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C8" w:rsidRPr="007B2E82" w:rsidRDefault="006C2EEF" w:rsidP="007B2E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3EC8" w:rsidRPr="007B2E82">
        <w:rPr>
          <w:b/>
          <w:sz w:val="24"/>
          <w:szCs w:val="24"/>
        </w:rPr>
        <w:t>BEFORE THE</w:t>
      </w:r>
    </w:p>
    <w:p w:rsidR="00ED3EC8" w:rsidRPr="007B2E82" w:rsidRDefault="00ED3EC8" w:rsidP="007B2E82">
      <w:pPr>
        <w:jc w:val="center"/>
        <w:rPr>
          <w:b/>
          <w:sz w:val="24"/>
          <w:szCs w:val="24"/>
        </w:rPr>
      </w:pPr>
      <w:r w:rsidRPr="007B2E82">
        <w:rPr>
          <w:b/>
          <w:sz w:val="24"/>
          <w:szCs w:val="24"/>
        </w:rPr>
        <w:t>PENNSYLVANIA PUBLIC UTILITY COMMISSION</w:t>
      </w:r>
    </w:p>
    <w:p w:rsidR="00ED3EC8" w:rsidRDefault="00ED3EC8" w:rsidP="007B2E82">
      <w:pPr>
        <w:jc w:val="center"/>
        <w:rPr>
          <w:b/>
          <w:sz w:val="24"/>
          <w:szCs w:val="24"/>
        </w:rPr>
      </w:pPr>
    </w:p>
    <w:p w:rsidR="007B2E82" w:rsidRPr="007B2E82" w:rsidRDefault="007B2E82" w:rsidP="007B2E82">
      <w:pPr>
        <w:jc w:val="center"/>
        <w:rPr>
          <w:b/>
          <w:sz w:val="24"/>
          <w:szCs w:val="24"/>
        </w:rPr>
      </w:pPr>
    </w:p>
    <w:p w:rsidR="00ED3EC8" w:rsidRPr="007B2E82" w:rsidRDefault="00ED3EC8" w:rsidP="007B2E8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D3EC8" w:rsidRPr="007B2E82" w:rsidRDefault="00614812" w:rsidP="007B2E82">
      <w:pPr>
        <w:rPr>
          <w:sz w:val="24"/>
          <w:szCs w:val="24"/>
        </w:rPr>
      </w:pPr>
      <w:r>
        <w:rPr>
          <w:sz w:val="24"/>
          <w:szCs w:val="24"/>
        </w:rPr>
        <w:t>Harold Taylor, Jr.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0735" w:rsidRPr="007B2E82">
        <w:rPr>
          <w:sz w:val="24"/>
          <w:szCs w:val="24"/>
        </w:rPr>
        <w:tab/>
      </w:r>
      <w:r w:rsidR="00ED3EC8" w:rsidRPr="007B2E82">
        <w:rPr>
          <w:sz w:val="24"/>
          <w:szCs w:val="24"/>
        </w:rPr>
        <w:tab/>
      </w:r>
      <w:r w:rsidR="005E13BA" w:rsidRPr="007B2E82">
        <w:rPr>
          <w:sz w:val="24"/>
          <w:szCs w:val="24"/>
        </w:rPr>
        <w:tab/>
      </w:r>
      <w:r w:rsidR="00ED3EC8" w:rsidRPr="007B2E82">
        <w:rPr>
          <w:sz w:val="24"/>
          <w:szCs w:val="24"/>
        </w:rPr>
        <w:t>:</w:t>
      </w:r>
    </w:p>
    <w:p w:rsidR="00ED3EC8" w:rsidRPr="007B2E82" w:rsidRDefault="00ED3EC8" w:rsidP="007B2E82">
      <w:pPr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5E13BA"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>:</w:t>
      </w:r>
    </w:p>
    <w:p w:rsidR="00ED3EC8" w:rsidRPr="007B2E82" w:rsidRDefault="008E19D7" w:rsidP="007B2E82">
      <w:pPr>
        <w:rPr>
          <w:sz w:val="24"/>
          <w:szCs w:val="24"/>
        </w:rPr>
      </w:pPr>
      <w:r w:rsidRPr="007B2E82">
        <w:rPr>
          <w:sz w:val="24"/>
          <w:szCs w:val="24"/>
        </w:rPr>
        <w:tab/>
        <w:t>v.</w:t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5E13BA"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>:</w:t>
      </w:r>
      <w:r w:rsidRPr="007B2E82">
        <w:rPr>
          <w:sz w:val="24"/>
          <w:szCs w:val="24"/>
        </w:rPr>
        <w:tab/>
      </w:r>
      <w:r w:rsidR="007B2E82">
        <w:rPr>
          <w:sz w:val="24"/>
          <w:szCs w:val="24"/>
        </w:rPr>
        <w:tab/>
      </w:r>
      <w:r w:rsidRPr="007B2E82">
        <w:rPr>
          <w:sz w:val="24"/>
          <w:szCs w:val="24"/>
        </w:rPr>
        <w:t xml:space="preserve"> C-201</w:t>
      </w:r>
      <w:r w:rsidR="00124A2A" w:rsidRPr="007B2E82">
        <w:rPr>
          <w:sz w:val="24"/>
          <w:szCs w:val="24"/>
        </w:rPr>
        <w:t>1</w:t>
      </w:r>
      <w:r w:rsidRPr="007B2E82">
        <w:rPr>
          <w:sz w:val="24"/>
          <w:szCs w:val="24"/>
        </w:rPr>
        <w:t>-2</w:t>
      </w:r>
      <w:r w:rsidR="00900735" w:rsidRPr="007B2E82">
        <w:rPr>
          <w:sz w:val="24"/>
          <w:szCs w:val="24"/>
        </w:rPr>
        <w:t>2</w:t>
      </w:r>
      <w:r w:rsidR="00614812">
        <w:rPr>
          <w:sz w:val="24"/>
          <w:szCs w:val="24"/>
        </w:rPr>
        <w:t>66012</w:t>
      </w:r>
    </w:p>
    <w:p w:rsidR="00ED3EC8" w:rsidRPr="007B2E82" w:rsidRDefault="00ED3EC8" w:rsidP="007B2E82">
      <w:pPr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5E13BA"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>:</w:t>
      </w:r>
    </w:p>
    <w:p w:rsidR="00ED3EC8" w:rsidRPr="007B2E82" w:rsidRDefault="00614812" w:rsidP="007B2E82">
      <w:pPr>
        <w:rPr>
          <w:sz w:val="24"/>
          <w:szCs w:val="24"/>
        </w:rPr>
      </w:pPr>
      <w:r>
        <w:rPr>
          <w:sz w:val="24"/>
          <w:szCs w:val="24"/>
        </w:rPr>
        <w:t>Aqua Pennsylvania, Inc.</w:t>
      </w:r>
      <w:r w:rsidR="00841FF2" w:rsidRPr="007B2E82">
        <w:rPr>
          <w:sz w:val="24"/>
          <w:szCs w:val="24"/>
        </w:rPr>
        <w:tab/>
      </w:r>
      <w:r w:rsidR="00ED3EC8" w:rsidRPr="007B2E82">
        <w:rPr>
          <w:sz w:val="24"/>
          <w:szCs w:val="24"/>
        </w:rPr>
        <w:tab/>
      </w:r>
      <w:r w:rsidR="00ED3EC8" w:rsidRPr="007B2E82">
        <w:rPr>
          <w:sz w:val="24"/>
          <w:szCs w:val="24"/>
        </w:rPr>
        <w:tab/>
      </w:r>
      <w:r w:rsidR="005E13BA" w:rsidRPr="007B2E82">
        <w:rPr>
          <w:sz w:val="24"/>
          <w:szCs w:val="24"/>
        </w:rPr>
        <w:tab/>
      </w:r>
      <w:r w:rsidR="00ED3EC8" w:rsidRPr="007B2E82">
        <w:rPr>
          <w:sz w:val="24"/>
          <w:szCs w:val="24"/>
        </w:rPr>
        <w:t>:</w:t>
      </w:r>
    </w:p>
    <w:p w:rsidR="00ED3EC8" w:rsidRPr="007B2E82" w:rsidRDefault="00ED3EC8" w:rsidP="007B2E82">
      <w:pPr>
        <w:rPr>
          <w:sz w:val="24"/>
          <w:szCs w:val="24"/>
        </w:rPr>
      </w:pPr>
    </w:p>
    <w:p w:rsidR="005E13BA" w:rsidRPr="007B2E82" w:rsidRDefault="005E13BA" w:rsidP="007B2E82">
      <w:pPr>
        <w:rPr>
          <w:sz w:val="24"/>
          <w:szCs w:val="24"/>
        </w:rPr>
      </w:pPr>
    </w:p>
    <w:p w:rsidR="00ED3EC8" w:rsidRPr="007B2E82" w:rsidRDefault="00ED3EC8" w:rsidP="007B2E82">
      <w:pPr>
        <w:rPr>
          <w:sz w:val="24"/>
          <w:szCs w:val="24"/>
        </w:rPr>
      </w:pPr>
    </w:p>
    <w:p w:rsidR="00ED3EC8" w:rsidRPr="007B2E82" w:rsidRDefault="00F8605D" w:rsidP="007B2E82">
      <w:pPr>
        <w:jc w:val="center"/>
        <w:rPr>
          <w:b/>
          <w:sz w:val="24"/>
          <w:szCs w:val="24"/>
          <w:u w:val="single"/>
        </w:rPr>
      </w:pPr>
      <w:r w:rsidRPr="007B2E82">
        <w:rPr>
          <w:b/>
          <w:sz w:val="24"/>
          <w:szCs w:val="24"/>
          <w:u w:val="single"/>
        </w:rPr>
        <w:t>INITIAL DECISION</w:t>
      </w:r>
    </w:p>
    <w:p w:rsidR="00ED3EC8" w:rsidRDefault="00ED3EC8" w:rsidP="007B2E82">
      <w:pPr>
        <w:jc w:val="center"/>
        <w:rPr>
          <w:b/>
          <w:sz w:val="24"/>
          <w:szCs w:val="24"/>
        </w:rPr>
      </w:pPr>
    </w:p>
    <w:p w:rsidR="007B2E82" w:rsidRPr="007B2E82" w:rsidRDefault="007B2E82" w:rsidP="007B2E82">
      <w:pPr>
        <w:jc w:val="center"/>
        <w:rPr>
          <w:b/>
          <w:sz w:val="24"/>
          <w:szCs w:val="24"/>
        </w:rPr>
      </w:pPr>
    </w:p>
    <w:p w:rsidR="00FC763F" w:rsidRPr="007B2E82" w:rsidRDefault="00FC763F" w:rsidP="007B2E82">
      <w:pPr>
        <w:pStyle w:val="BodyTextIndent"/>
        <w:widowControl/>
        <w:spacing w:line="240" w:lineRule="auto"/>
        <w:ind w:firstLine="0"/>
        <w:jc w:val="center"/>
        <w:rPr>
          <w:bCs/>
          <w:sz w:val="24"/>
          <w:szCs w:val="24"/>
        </w:rPr>
      </w:pPr>
      <w:r w:rsidRPr="007B2E82">
        <w:rPr>
          <w:bCs/>
          <w:sz w:val="24"/>
          <w:szCs w:val="24"/>
        </w:rPr>
        <w:t>Before</w:t>
      </w:r>
    </w:p>
    <w:p w:rsidR="00FC763F" w:rsidRPr="007B2E82" w:rsidRDefault="00FC763F" w:rsidP="007B2E82">
      <w:pPr>
        <w:pStyle w:val="BodyTextIndent"/>
        <w:widowControl/>
        <w:spacing w:line="240" w:lineRule="auto"/>
        <w:ind w:firstLine="0"/>
        <w:jc w:val="center"/>
        <w:rPr>
          <w:bCs/>
          <w:sz w:val="24"/>
          <w:szCs w:val="24"/>
        </w:rPr>
      </w:pPr>
      <w:r w:rsidRPr="007B2E82">
        <w:rPr>
          <w:bCs/>
          <w:sz w:val="24"/>
          <w:szCs w:val="24"/>
        </w:rPr>
        <w:t>Dennis J. Buckley</w:t>
      </w:r>
    </w:p>
    <w:p w:rsidR="00FC763F" w:rsidRPr="007B2E82" w:rsidRDefault="00FC763F" w:rsidP="007B2E82">
      <w:pPr>
        <w:pStyle w:val="BodyTextIndent"/>
        <w:widowControl/>
        <w:spacing w:line="240" w:lineRule="auto"/>
        <w:ind w:firstLine="0"/>
        <w:jc w:val="center"/>
        <w:rPr>
          <w:bCs/>
          <w:sz w:val="24"/>
          <w:szCs w:val="24"/>
        </w:rPr>
      </w:pPr>
      <w:r w:rsidRPr="007B2E82">
        <w:rPr>
          <w:bCs/>
          <w:sz w:val="24"/>
          <w:szCs w:val="24"/>
        </w:rPr>
        <w:t>Administrative Law Judge</w:t>
      </w:r>
    </w:p>
    <w:p w:rsidR="00ED3EC8" w:rsidRPr="007B2E82" w:rsidRDefault="00ED3EC8" w:rsidP="007B2E82">
      <w:pPr>
        <w:rPr>
          <w:b/>
          <w:sz w:val="24"/>
          <w:szCs w:val="24"/>
        </w:rPr>
      </w:pPr>
    </w:p>
    <w:p w:rsidR="00FC763F" w:rsidRPr="007B2E82" w:rsidRDefault="00FC763F" w:rsidP="007B2E82">
      <w:pPr>
        <w:rPr>
          <w:b/>
          <w:sz w:val="24"/>
          <w:szCs w:val="24"/>
        </w:rPr>
      </w:pPr>
    </w:p>
    <w:p w:rsidR="00FC763F" w:rsidRPr="007B2E82" w:rsidRDefault="00FC763F" w:rsidP="007B2E82">
      <w:pPr>
        <w:jc w:val="center"/>
        <w:rPr>
          <w:sz w:val="24"/>
          <w:szCs w:val="24"/>
          <w:u w:val="single"/>
        </w:rPr>
      </w:pPr>
      <w:r w:rsidRPr="007B2E82">
        <w:rPr>
          <w:sz w:val="24"/>
          <w:szCs w:val="24"/>
          <w:u w:val="single"/>
        </w:rPr>
        <w:t>HISTORY OF THE PROCEEDING</w:t>
      </w:r>
    </w:p>
    <w:p w:rsidR="00FC763F" w:rsidRPr="007B2E82" w:rsidRDefault="00FC763F" w:rsidP="007B2E82">
      <w:pPr>
        <w:jc w:val="center"/>
        <w:rPr>
          <w:sz w:val="24"/>
          <w:szCs w:val="24"/>
          <w:u w:val="single"/>
        </w:rPr>
      </w:pPr>
    </w:p>
    <w:p w:rsidR="00B11062" w:rsidRPr="007B2E82" w:rsidRDefault="00B11062" w:rsidP="00F65464">
      <w:pPr>
        <w:spacing w:line="360" w:lineRule="auto"/>
        <w:jc w:val="center"/>
        <w:rPr>
          <w:sz w:val="24"/>
          <w:szCs w:val="24"/>
        </w:rPr>
      </w:pPr>
    </w:p>
    <w:p w:rsidR="00CC7377" w:rsidRPr="007B2E82" w:rsidRDefault="00B11062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647EF2" w:rsidRPr="007B2E82">
        <w:rPr>
          <w:sz w:val="24"/>
          <w:szCs w:val="24"/>
        </w:rPr>
        <w:t xml:space="preserve">On </w:t>
      </w:r>
      <w:r w:rsidR="00614812">
        <w:rPr>
          <w:sz w:val="24"/>
          <w:szCs w:val="24"/>
        </w:rPr>
        <w:t>September 26, 2011</w:t>
      </w:r>
      <w:r w:rsidR="00647EF2" w:rsidRPr="007B2E82">
        <w:rPr>
          <w:sz w:val="24"/>
          <w:szCs w:val="24"/>
        </w:rPr>
        <w:t xml:space="preserve">, </w:t>
      </w:r>
      <w:r w:rsidR="00614812">
        <w:rPr>
          <w:sz w:val="24"/>
          <w:szCs w:val="24"/>
        </w:rPr>
        <w:t xml:space="preserve">Harold Taylor, Jr. (Complainant) </w:t>
      </w:r>
      <w:r w:rsidR="00647EF2" w:rsidRPr="007B2E82">
        <w:rPr>
          <w:sz w:val="24"/>
          <w:szCs w:val="24"/>
        </w:rPr>
        <w:t xml:space="preserve">filed a formal Complaint with the Commission against </w:t>
      </w:r>
      <w:r w:rsidR="00614812" w:rsidRPr="00614812">
        <w:rPr>
          <w:sz w:val="24"/>
          <w:szCs w:val="24"/>
        </w:rPr>
        <w:t>Aqua Pennsylvania, Inc.</w:t>
      </w:r>
      <w:r w:rsidR="00614812">
        <w:rPr>
          <w:sz w:val="24"/>
          <w:szCs w:val="24"/>
        </w:rPr>
        <w:t xml:space="preserve"> (Aqua</w:t>
      </w:r>
      <w:r w:rsidR="00CC7377" w:rsidRPr="007B2E82">
        <w:rPr>
          <w:sz w:val="24"/>
          <w:szCs w:val="24"/>
        </w:rPr>
        <w:t xml:space="preserve"> </w:t>
      </w:r>
      <w:r w:rsidR="00647EF2" w:rsidRPr="007B2E82">
        <w:rPr>
          <w:sz w:val="24"/>
          <w:szCs w:val="24"/>
        </w:rPr>
        <w:t xml:space="preserve">or Respondent) </w:t>
      </w:r>
      <w:r w:rsidR="00166750">
        <w:rPr>
          <w:sz w:val="24"/>
          <w:szCs w:val="24"/>
        </w:rPr>
        <w:t>arguing that he should not be required to install a backflow device at his business address as the Complainant stated that he uses less than six gallons of water a day at the service address, and that it would be cost-prohibitive to install such a device.  Complainant asked the Commission to inform Aqua that there is no need for a backflow device at the service address.</w:t>
      </w:r>
      <w:r w:rsidR="001F6817" w:rsidRPr="007B2E82">
        <w:rPr>
          <w:rStyle w:val="FootnoteReference"/>
          <w:sz w:val="24"/>
          <w:szCs w:val="24"/>
        </w:rPr>
        <w:footnoteReference w:id="1"/>
      </w:r>
      <w:r w:rsidR="00CC7377" w:rsidRPr="007B2E82">
        <w:rPr>
          <w:sz w:val="24"/>
          <w:szCs w:val="24"/>
        </w:rPr>
        <w:t xml:space="preserve"> </w:t>
      </w:r>
    </w:p>
    <w:p w:rsidR="00CC7377" w:rsidRPr="007B2E82" w:rsidRDefault="00CC7377" w:rsidP="007B2E82">
      <w:pPr>
        <w:spacing w:line="360" w:lineRule="auto"/>
        <w:rPr>
          <w:sz w:val="24"/>
          <w:szCs w:val="24"/>
        </w:rPr>
      </w:pPr>
    </w:p>
    <w:p w:rsidR="001B0EF6" w:rsidRPr="007B2E82" w:rsidRDefault="00647EF2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On </w:t>
      </w:r>
      <w:r w:rsidR="00166750">
        <w:rPr>
          <w:sz w:val="24"/>
          <w:szCs w:val="24"/>
        </w:rPr>
        <w:t xml:space="preserve">October 5, </w:t>
      </w:r>
      <w:r w:rsidR="001B0EF6" w:rsidRPr="007B2E82">
        <w:rPr>
          <w:sz w:val="24"/>
          <w:szCs w:val="24"/>
        </w:rPr>
        <w:t xml:space="preserve">2011, </w:t>
      </w:r>
      <w:r w:rsidR="00166750">
        <w:rPr>
          <w:sz w:val="24"/>
          <w:szCs w:val="24"/>
        </w:rPr>
        <w:t>Aqua</w:t>
      </w:r>
      <w:r w:rsidR="001B0EF6" w:rsidRPr="007B2E82">
        <w:rPr>
          <w:sz w:val="24"/>
          <w:szCs w:val="24"/>
        </w:rPr>
        <w:t xml:space="preserve"> was advised by the Secretary of the Commission of the pending Complaint and </w:t>
      </w:r>
      <w:r w:rsidR="000513F0" w:rsidRPr="007B2E82">
        <w:rPr>
          <w:sz w:val="24"/>
          <w:szCs w:val="24"/>
        </w:rPr>
        <w:t xml:space="preserve">was </w:t>
      </w:r>
      <w:r w:rsidR="001B0EF6" w:rsidRPr="007B2E82">
        <w:rPr>
          <w:sz w:val="24"/>
          <w:szCs w:val="24"/>
        </w:rPr>
        <w:t>directed to file an Answer.</w:t>
      </w:r>
    </w:p>
    <w:p w:rsidR="001B0EF6" w:rsidRPr="007B2E82" w:rsidRDefault="001B0EF6" w:rsidP="007B2E82">
      <w:pPr>
        <w:spacing w:line="360" w:lineRule="auto"/>
        <w:rPr>
          <w:sz w:val="24"/>
          <w:szCs w:val="24"/>
        </w:rPr>
      </w:pPr>
    </w:p>
    <w:p w:rsidR="001B0EF6" w:rsidRDefault="001B0EF6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On </w:t>
      </w:r>
      <w:r w:rsidR="00166750">
        <w:rPr>
          <w:sz w:val="24"/>
          <w:szCs w:val="24"/>
        </w:rPr>
        <w:t>October 18, 2011</w:t>
      </w:r>
      <w:r w:rsidRPr="007B2E82">
        <w:rPr>
          <w:sz w:val="24"/>
          <w:szCs w:val="24"/>
        </w:rPr>
        <w:t xml:space="preserve">, </w:t>
      </w:r>
      <w:r w:rsidR="00166750">
        <w:rPr>
          <w:sz w:val="24"/>
          <w:szCs w:val="24"/>
        </w:rPr>
        <w:t>Aqua</w:t>
      </w:r>
      <w:r w:rsidRPr="007B2E82">
        <w:rPr>
          <w:sz w:val="24"/>
          <w:szCs w:val="24"/>
        </w:rPr>
        <w:t xml:space="preserve"> filed an Answer to the Complaint.  </w:t>
      </w:r>
      <w:r w:rsidR="0012496B">
        <w:rPr>
          <w:sz w:val="24"/>
          <w:szCs w:val="24"/>
        </w:rPr>
        <w:t xml:space="preserve">In its Answer, Aqua argued that the installation and annual inspection of backflow protection devices is </w:t>
      </w:r>
      <w:r w:rsidR="0012496B">
        <w:rPr>
          <w:sz w:val="24"/>
          <w:szCs w:val="24"/>
        </w:rPr>
        <w:lastRenderedPageBreak/>
        <w:t>required by Federal and State Safe Drinking Water Act</w:t>
      </w:r>
      <w:r w:rsidR="00791449">
        <w:rPr>
          <w:sz w:val="24"/>
          <w:szCs w:val="24"/>
        </w:rPr>
        <w:t>s</w:t>
      </w:r>
      <w:r w:rsidR="00791449">
        <w:rPr>
          <w:rStyle w:val="FootnoteReference"/>
          <w:sz w:val="24"/>
          <w:szCs w:val="24"/>
        </w:rPr>
        <w:footnoteReference w:id="2"/>
      </w:r>
      <w:r w:rsidR="00791449">
        <w:rPr>
          <w:sz w:val="24"/>
          <w:szCs w:val="24"/>
        </w:rPr>
        <w:t xml:space="preserve"> and</w:t>
      </w:r>
      <w:r w:rsidR="0012496B">
        <w:rPr>
          <w:sz w:val="24"/>
          <w:szCs w:val="24"/>
        </w:rPr>
        <w:t xml:space="preserve"> regulations, and that </w:t>
      </w:r>
      <w:proofErr w:type="spellStart"/>
      <w:r w:rsidR="0012496B">
        <w:rPr>
          <w:sz w:val="24"/>
          <w:szCs w:val="24"/>
        </w:rPr>
        <w:t>Aqua’s</w:t>
      </w:r>
      <w:proofErr w:type="spellEnd"/>
      <w:r w:rsidR="0012496B">
        <w:rPr>
          <w:sz w:val="24"/>
          <w:szCs w:val="24"/>
        </w:rPr>
        <w:t xml:space="preserve"> requirement of installation, inspection and testing of the device is consistent with its PUC approved Tariff.  </w:t>
      </w:r>
      <w:proofErr w:type="gramStart"/>
      <w:r w:rsidR="0012496B">
        <w:rPr>
          <w:sz w:val="24"/>
          <w:szCs w:val="24"/>
        </w:rPr>
        <w:t>Answer at 2.</w:t>
      </w:r>
      <w:proofErr w:type="gramEnd"/>
      <w:r w:rsidR="0012496B">
        <w:rPr>
          <w:sz w:val="24"/>
          <w:szCs w:val="24"/>
        </w:rPr>
        <w:t xml:space="preserve">  Aqua asked that the Complaint be dismissed.</w:t>
      </w:r>
    </w:p>
    <w:p w:rsidR="0012496B" w:rsidRDefault="0012496B" w:rsidP="007B2E82">
      <w:pPr>
        <w:spacing w:line="360" w:lineRule="auto"/>
        <w:rPr>
          <w:sz w:val="24"/>
          <w:szCs w:val="24"/>
        </w:rPr>
      </w:pPr>
    </w:p>
    <w:p w:rsidR="001B0EF6" w:rsidRPr="007B2E82" w:rsidRDefault="0012496B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0EF6" w:rsidRPr="007B2E82">
        <w:rPr>
          <w:sz w:val="24"/>
          <w:szCs w:val="24"/>
        </w:rPr>
        <w:tab/>
        <w:t xml:space="preserve">On </w:t>
      </w:r>
      <w:r>
        <w:rPr>
          <w:sz w:val="24"/>
          <w:szCs w:val="24"/>
        </w:rPr>
        <w:t>January 2, 2012,</w:t>
      </w:r>
      <w:r w:rsidR="001B0EF6" w:rsidRPr="007B2E82">
        <w:rPr>
          <w:sz w:val="24"/>
          <w:szCs w:val="24"/>
        </w:rPr>
        <w:t xml:space="preserve"> Notice of telephonic hearing was issued by the Office of Administrative Law Judge (OALJ) setting </w:t>
      </w:r>
      <w:r>
        <w:rPr>
          <w:sz w:val="24"/>
          <w:szCs w:val="24"/>
        </w:rPr>
        <w:t>February 16, 2012</w:t>
      </w:r>
      <w:r w:rsidR="001B0EF6" w:rsidRPr="007B2E82">
        <w:rPr>
          <w:sz w:val="24"/>
          <w:szCs w:val="24"/>
        </w:rPr>
        <w:t>, as the date for the hearing in this matter.</w:t>
      </w:r>
    </w:p>
    <w:p w:rsidR="001B0EF6" w:rsidRPr="007B2E82" w:rsidRDefault="001B0EF6" w:rsidP="007B2E82">
      <w:pPr>
        <w:spacing w:line="360" w:lineRule="auto"/>
        <w:rPr>
          <w:sz w:val="24"/>
          <w:szCs w:val="24"/>
        </w:rPr>
      </w:pPr>
    </w:p>
    <w:p w:rsidR="001B0EF6" w:rsidRDefault="001B0EF6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On </w:t>
      </w:r>
      <w:r w:rsidR="0012496B">
        <w:rPr>
          <w:sz w:val="24"/>
          <w:szCs w:val="24"/>
        </w:rPr>
        <w:t>January 4, 2012</w:t>
      </w:r>
      <w:r w:rsidRPr="007B2E82">
        <w:rPr>
          <w:sz w:val="24"/>
          <w:szCs w:val="24"/>
        </w:rPr>
        <w:t>, a standard form Prehearing Order was issued by the undersigned</w:t>
      </w:r>
      <w:r w:rsidR="005C734F" w:rsidRPr="007B2E82">
        <w:rPr>
          <w:sz w:val="24"/>
          <w:szCs w:val="24"/>
        </w:rPr>
        <w:t>.</w:t>
      </w:r>
    </w:p>
    <w:p w:rsidR="00087D34" w:rsidRDefault="00087D34" w:rsidP="007B2E82">
      <w:pPr>
        <w:spacing w:line="360" w:lineRule="auto"/>
        <w:rPr>
          <w:sz w:val="24"/>
          <w:szCs w:val="24"/>
        </w:rPr>
      </w:pPr>
    </w:p>
    <w:p w:rsidR="00087D34" w:rsidRPr="007B2E82" w:rsidRDefault="00087D34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January 26, 2012, Complainant served three water usage bills on the Presiding Officer.</w:t>
      </w:r>
    </w:p>
    <w:p w:rsidR="005C734F" w:rsidRPr="007B2E82" w:rsidRDefault="005C734F" w:rsidP="007B2E82">
      <w:pPr>
        <w:spacing w:line="360" w:lineRule="auto"/>
        <w:rPr>
          <w:sz w:val="24"/>
          <w:szCs w:val="24"/>
        </w:rPr>
      </w:pPr>
    </w:p>
    <w:p w:rsidR="005C734F" w:rsidRPr="007B2E82" w:rsidRDefault="005C734F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On </w:t>
      </w:r>
      <w:r w:rsidR="0012496B">
        <w:rPr>
          <w:sz w:val="24"/>
          <w:szCs w:val="24"/>
        </w:rPr>
        <w:t>February 9, 2012</w:t>
      </w:r>
      <w:r w:rsidRPr="007B2E82">
        <w:rPr>
          <w:sz w:val="24"/>
          <w:szCs w:val="24"/>
        </w:rPr>
        <w:t xml:space="preserve">, </w:t>
      </w:r>
      <w:r w:rsidR="0012496B">
        <w:rPr>
          <w:sz w:val="24"/>
          <w:szCs w:val="24"/>
        </w:rPr>
        <w:t>Aqua</w:t>
      </w:r>
      <w:r w:rsidR="007B14BD" w:rsidRPr="007B2E82">
        <w:rPr>
          <w:sz w:val="24"/>
          <w:szCs w:val="24"/>
        </w:rPr>
        <w:t xml:space="preserve"> served its proposed hearing exhibits on the Complainant</w:t>
      </w:r>
      <w:r w:rsidR="0012496B">
        <w:rPr>
          <w:sz w:val="24"/>
          <w:szCs w:val="24"/>
        </w:rPr>
        <w:t xml:space="preserve"> and </w:t>
      </w:r>
      <w:r w:rsidR="007B14BD" w:rsidRPr="007B2E82">
        <w:rPr>
          <w:sz w:val="24"/>
          <w:szCs w:val="24"/>
        </w:rPr>
        <w:t>the Presiding Officer.</w:t>
      </w:r>
    </w:p>
    <w:p w:rsidR="007B14BD" w:rsidRPr="007B2E82" w:rsidRDefault="007B14BD" w:rsidP="007B2E82">
      <w:pPr>
        <w:spacing w:line="360" w:lineRule="auto"/>
        <w:rPr>
          <w:sz w:val="24"/>
          <w:szCs w:val="24"/>
        </w:rPr>
      </w:pPr>
    </w:p>
    <w:p w:rsidR="007D28A3" w:rsidRDefault="007B14BD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C57D9D" w:rsidRPr="007B2E82">
        <w:rPr>
          <w:sz w:val="24"/>
          <w:szCs w:val="24"/>
        </w:rPr>
        <w:t xml:space="preserve">On </w:t>
      </w:r>
      <w:r w:rsidR="00087D34">
        <w:rPr>
          <w:sz w:val="24"/>
          <w:szCs w:val="24"/>
        </w:rPr>
        <w:t>February 16</w:t>
      </w:r>
      <w:r w:rsidR="00C57D9D" w:rsidRPr="007B2E82">
        <w:rPr>
          <w:sz w:val="24"/>
          <w:szCs w:val="24"/>
        </w:rPr>
        <w:t>, 201</w:t>
      </w:r>
      <w:r w:rsidR="00087D34">
        <w:rPr>
          <w:sz w:val="24"/>
          <w:szCs w:val="24"/>
        </w:rPr>
        <w:t>2</w:t>
      </w:r>
      <w:r w:rsidR="00C57D9D" w:rsidRPr="007B2E82">
        <w:rPr>
          <w:sz w:val="24"/>
          <w:szCs w:val="24"/>
        </w:rPr>
        <w:t xml:space="preserve">, a telephonic hearing took place, originating from the Commission’s Harrisburg office.  </w:t>
      </w:r>
      <w:r w:rsidR="00087D34">
        <w:rPr>
          <w:sz w:val="24"/>
          <w:szCs w:val="24"/>
        </w:rPr>
        <w:t xml:space="preserve">Complainant </w:t>
      </w:r>
      <w:r w:rsidR="00C57D9D" w:rsidRPr="007B2E82">
        <w:rPr>
          <w:sz w:val="24"/>
          <w:szCs w:val="24"/>
        </w:rPr>
        <w:t xml:space="preserve">testified on </w:t>
      </w:r>
      <w:r w:rsidR="00087D34">
        <w:rPr>
          <w:sz w:val="24"/>
          <w:szCs w:val="24"/>
        </w:rPr>
        <w:t>his</w:t>
      </w:r>
      <w:r w:rsidR="00C57D9D" w:rsidRPr="007B2E82">
        <w:rPr>
          <w:sz w:val="24"/>
          <w:szCs w:val="24"/>
        </w:rPr>
        <w:t xml:space="preserve"> own behalf</w:t>
      </w:r>
      <w:r w:rsidR="00087D34">
        <w:rPr>
          <w:sz w:val="24"/>
          <w:szCs w:val="24"/>
        </w:rPr>
        <w:t xml:space="preserve"> and offered three exhibits that were accepted into the record: </w:t>
      </w:r>
      <w:r w:rsidR="00A003C1">
        <w:rPr>
          <w:sz w:val="24"/>
          <w:szCs w:val="24"/>
        </w:rPr>
        <w:t xml:space="preserve">a bill for Complainant’s account with Aqua dated October 24, 2011 (Complainant’s Exhibit C-1); </w:t>
      </w:r>
      <w:r w:rsidR="00A003C1" w:rsidRPr="00A003C1">
        <w:rPr>
          <w:sz w:val="24"/>
          <w:szCs w:val="24"/>
        </w:rPr>
        <w:t xml:space="preserve">a bill for Complainant’s account with Aqua dated </w:t>
      </w:r>
      <w:r w:rsidR="00A003C1">
        <w:rPr>
          <w:sz w:val="24"/>
          <w:szCs w:val="24"/>
        </w:rPr>
        <w:t>November 21</w:t>
      </w:r>
      <w:r w:rsidR="00A003C1" w:rsidRPr="00A003C1">
        <w:rPr>
          <w:sz w:val="24"/>
          <w:szCs w:val="24"/>
        </w:rPr>
        <w:t>, 2011 (Complainant’s Exhibit C-</w:t>
      </w:r>
      <w:r w:rsidR="00A003C1">
        <w:rPr>
          <w:sz w:val="24"/>
          <w:szCs w:val="24"/>
        </w:rPr>
        <w:t>2</w:t>
      </w:r>
      <w:r w:rsidR="00A003C1" w:rsidRPr="00A003C1">
        <w:rPr>
          <w:sz w:val="24"/>
          <w:szCs w:val="24"/>
        </w:rPr>
        <w:t>)</w:t>
      </w:r>
      <w:r w:rsidR="00A003C1">
        <w:rPr>
          <w:sz w:val="24"/>
          <w:szCs w:val="24"/>
        </w:rPr>
        <w:t xml:space="preserve">; and </w:t>
      </w:r>
      <w:r w:rsidR="00A003C1" w:rsidRPr="00A003C1">
        <w:rPr>
          <w:sz w:val="24"/>
          <w:szCs w:val="24"/>
        </w:rPr>
        <w:t xml:space="preserve">a bill for Complainant’s account with Aqua dated </w:t>
      </w:r>
      <w:r w:rsidR="00A003C1">
        <w:rPr>
          <w:sz w:val="24"/>
          <w:szCs w:val="24"/>
        </w:rPr>
        <w:t>December 19, 2011</w:t>
      </w:r>
      <w:r w:rsidR="00A003C1" w:rsidRPr="00A003C1">
        <w:rPr>
          <w:sz w:val="24"/>
          <w:szCs w:val="24"/>
        </w:rPr>
        <w:t xml:space="preserve"> (Complainant’s Exhibit C-</w:t>
      </w:r>
      <w:r w:rsidR="00A003C1">
        <w:rPr>
          <w:sz w:val="24"/>
          <w:szCs w:val="24"/>
        </w:rPr>
        <w:t>3</w:t>
      </w:r>
      <w:r w:rsidR="00A003C1" w:rsidRPr="00A003C1">
        <w:rPr>
          <w:sz w:val="24"/>
          <w:szCs w:val="24"/>
        </w:rPr>
        <w:t>)</w:t>
      </w:r>
      <w:r w:rsidR="00A003C1">
        <w:rPr>
          <w:sz w:val="24"/>
          <w:szCs w:val="24"/>
        </w:rPr>
        <w:t>.  Atto</w:t>
      </w:r>
      <w:r w:rsidR="00C57D9D" w:rsidRPr="007B2E82">
        <w:rPr>
          <w:sz w:val="24"/>
          <w:szCs w:val="24"/>
        </w:rPr>
        <w:t xml:space="preserve">rney </w:t>
      </w:r>
      <w:r w:rsidR="00A003C1">
        <w:rPr>
          <w:sz w:val="24"/>
          <w:szCs w:val="24"/>
        </w:rPr>
        <w:t xml:space="preserve">Margaret A. Morris </w:t>
      </w:r>
      <w:r w:rsidR="00C57D9D" w:rsidRPr="007B2E82">
        <w:rPr>
          <w:sz w:val="24"/>
          <w:szCs w:val="24"/>
        </w:rPr>
        <w:t xml:space="preserve">represented </w:t>
      </w:r>
      <w:r w:rsidR="00A003C1">
        <w:rPr>
          <w:sz w:val="24"/>
          <w:szCs w:val="24"/>
        </w:rPr>
        <w:t>Aqua</w:t>
      </w:r>
      <w:r w:rsidR="00C57D9D" w:rsidRPr="007B2E82">
        <w:rPr>
          <w:sz w:val="24"/>
          <w:szCs w:val="24"/>
        </w:rPr>
        <w:t xml:space="preserve"> and presented the testimony of </w:t>
      </w:r>
      <w:r w:rsidR="00A003C1">
        <w:rPr>
          <w:sz w:val="24"/>
          <w:szCs w:val="24"/>
        </w:rPr>
        <w:t xml:space="preserve">Matthew </w:t>
      </w:r>
      <w:proofErr w:type="spellStart"/>
      <w:r w:rsidR="00A003C1">
        <w:rPr>
          <w:sz w:val="24"/>
          <w:szCs w:val="24"/>
        </w:rPr>
        <w:t>Fasbinder</w:t>
      </w:r>
      <w:proofErr w:type="spellEnd"/>
      <w:r w:rsidR="00A003C1">
        <w:rPr>
          <w:sz w:val="24"/>
          <w:szCs w:val="24"/>
        </w:rPr>
        <w:t>, Manager of Customer Field Service for Aqua</w:t>
      </w:r>
      <w:r w:rsidR="00C57D9D" w:rsidRPr="007B2E82">
        <w:rPr>
          <w:sz w:val="24"/>
          <w:szCs w:val="24"/>
        </w:rPr>
        <w:t xml:space="preserve">.  </w:t>
      </w:r>
      <w:r w:rsidR="00A003C1">
        <w:rPr>
          <w:sz w:val="24"/>
          <w:szCs w:val="24"/>
        </w:rPr>
        <w:t>Aqua</w:t>
      </w:r>
      <w:r w:rsidR="006B444B">
        <w:rPr>
          <w:sz w:val="24"/>
          <w:szCs w:val="24"/>
        </w:rPr>
        <w:t xml:space="preserve"> offered</w:t>
      </w:r>
      <w:r w:rsidR="00A003C1">
        <w:rPr>
          <w:sz w:val="24"/>
          <w:szCs w:val="24"/>
        </w:rPr>
        <w:t xml:space="preserve"> </w:t>
      </w:r>
      <w:r w:rsidR="00ED5EB3" w:rsidRPr="007B2E82">
        <w:rPr>
          <w:sz w:val="24"/>
          <w:szCs w:val="24"/>
        </w:rPr>
        <w:t>six exhibits</w:t>
      </w:r>
      <w:r w:rsidR="00A003C1">
        <w:rPr>
          <w:sz w:val="24"/>
          <w:szCs w:val="24"/>
        </w:rPr>
        <w:t xml:space="preserve"> which were received into the record</w:t>
      </w:r>
      <w:r w:rsidR="00ED5EB3" w:rsidRPr="007B2E82">
        <w:rPr>
          <w:sz w:val="24"/>
          <w:szCs w:val="24"/>
        </w:rPr>
        <w:t xml:space="preserve">: </w:t>
      </w:r>
      <w:r w:rsidR="00A003C1">
        <w:rPr>
          <w:sz w:val="24"/>
          <w:szCs w:val="24"/>
        </w:rPr>
        <w:t>Aqua</w:t>
      </w:r>
      <w:r w:rsidR="00ED5EB3" w:rsidRPr="007B2E82">
        <w:rPr>
          <w:sz w:val="24"/>
          <w:szCs w:val="24"/>
        </w:rPr>
        <w:t xml:space="preserve"> Exhibit No. 1, the BCS informal complaint summary sheet; </w:t>
      </w:r>
      <w:r w:rsidR="00A003C1">
        <w:rPr>
          <w:sz w:val="24"/>
          <w:szCs w:val="24"/>
        </w:rPr>
        <w:t>Aqua</w:t>
      </w:r>
      <w:r w:rsidR="00ED5EB3" w:rsidRPr="007B2E82">
        <w:rPr>
          <w:sz w:val="24"/>
          <w:szCs w:val="24"/>
        </w:rPr>
        <w:t xml:space="preserve"> Exhibit No. 2, </w:t>
      </w:r>
      <w:r w:rsidR="00A003C1">
        <w:rPr>
          <w:sz w:val="24"/>
          <w:szCs w:val="24"/>
        </w:rPr>
        <w:t xml:space="preserve">extracts from </w:t>
      </w:r>
      <w:proofErr w:type="spellStart"/>
      <w:r w:rsidR="00A003C1">
        <w:rPr>
          <w:sz w:val="24"/>
          <w:szCs w:val="24"/>
        </w:rPr>
        <w:t>Aqua’s</w:t>
      </w:r>
      <w:proofErr w:type="spellEnd"/>
      <w:r w:rsidR="00A003C1">
        <w:rPr>
          <w:sz w:val="24"/>
          <w:szCs w:val="24"/>
        </w:rPr>
        <w:t xml:space="preserve"> tariff; Aqua Exhibit No. 3, Part VII Cross-Connection Control/Backflow Prevention, </w:t>
      </w:r>
      <w:r w:rsidR="00A003C1">
        <w:rPr>
          <w:i/>
          <w:sz w:val="24"/>
          <w:szCs w:val="24"/>
        </w:rPr>
        <w:t>Public Water Supply Manual</w:t>
      </w:r>
      <w:r w:rsidR="00A003C1">
        <w:rPr>
          <w:sz w:val="24"/>
          <w:szCs w:val="24"/>
        </w:rPr>
        <w:t xml:space="preserve">, compiled by the Pennsylvania Department of Environmental Protection; </w:t>
      </w:r>
      <w:r w:rsidR="00ED5EB3" w:rsidRPr="007B2E82">
        <w:rPr>
          <w:sz w:val="24"/>
          <w:szCs w:val="24"/>
        </w:rPr>
        <w:t xml:space="preserve"> </w:t>
      </w:r>
      <w:r w:rsidR="00A003C1">
        <w:rPr>
          <w:sz w:val="24"/>
          <w:szCs w:val="24"/>
        </w:rPr>
        <w:t>Aqua</w:t>
      </w:r>
      <w:r w:rsidR="00ED5EB3" w:rsidRPr="007B2E82">
        <w:rPr>
          <w:sz w:val="24"/>
          <w:szCs w:val="24"/>
        </w:rPr>
        <w:t xml:space="preserve"> Exhibit No. 4, </w:t>
      </w:r>
      <w:r w:rsidR="00A003C1">
        <w:rPr>
          <w:sz w:val="24"/>
          <w:szCs w:val="24"/>
        </w:rPr>
        <w:t>Aqua Pennsylvania’s Cross-Connection Control Program, November 19, 2004 (condensed)</w:t>
      </w:r>
      <w:r w:rsidR="00ED5EB3" w:rsidRPr="007B2E82">
        <w:rPr>
          <w:sz w:val="24"/>
          <w:szCs w:val="24"/>
        </w:rPr>
        <w:t xml:space="preserve">; </w:t>
      </w:r>
      <w:r w:rsidR="00A003C1">
        <w:rPr>
          <w:sz w:val="24"/>
          <w:szCs w:val="24"/>
        </w:rPr>
        <w:t xml:space="preserve">Aqua Exhibit </w:t>
      </w:r>
      <w:r w:rsidR="00ED5EB3" w:rsidRPr="007B2E82">
        <w:rPr>
          <w:sz w:val="24"/>
          <w:szCs w:val="24"/>
        </w:rPr>
        <w:t xml:space="preserve">No. 5, a copy of the </w:t>
      </w:r>
      <w:r w:rsidR="00A003C1">
        <w:rPr>
          <w:sz w:val="24"/>
          <w:szCs w:val="24"/>
        </w:rPr>
        <w:t xml:space="preserve">Initial Decision and Final </w:t>
      </w:r>
      <w:r w:rsidR="00A003C1">
        <w:rPr>
          <w:sz w:val="24"/>
          <w:szCs w:val="24"/>
        </w:rPr>
        <w:lastRenderedPageBreak/>
        <w:t xml:space="preserve">Order in the case of </w:t>
      </w:r>
      <w:r w:rsidR="00A003C1">
        <w:rPr>
          <w:i/>
          <w:sz w:val="24"/>
          <w:szCs w:val="24"/>
        </w:rPr>
        <w:t xml:space="preserve">Jerry </w:t>
      </w:r>
      <w:proofErr w:type="spellStart"/>
      <w:r w:rsidR="00A003C1">
        <w:rPr>
          <w:i/>
          <w:sz w:val="24"/>
          <w:szCs w:val="24"/>
        </w:rPr>
        <w:t>Cordisco</w:t>
      </w:r>
      <w:proofErr w:type="spellEnd"/>
      <w:r w:rsidR="00A003C1">
        <w:rPr>
          <w:i/>
          <w:sz w:val="24"/>
          <w:szCs w:val="24"/>
        </w:rPr>
        <w:t xml:space="preserve"> v. Aqua Pennsylvania, Inc.,</w:t>
      </w:r>
      <w:r w:rsidR="00A003C1">
        <w:rPr>
          <w:sz w:val="24"/>
          <w:szCs w:val="24"/>
        </w:rPr>
        <w:t xml:space="preserve"> Pa. PUC Docket No. </w:t>
      </w:r>
      <w:r w:rsidR="007D28A3">
        <w:rPr>
          <w:sz w:val="24"/>
          <w:szCs w:val="24"/>
        </w:rPr>
        <w:t>C-2009-2137247 (Order entered March 25, 2011)</w:t>
      </w:r>
      <w:r w:rsidR="00ED5EB3" w:rsidRPr="007B2E82">
        <w:rPr>
          <w:sz w:val="24"/>
          <w:szCs w:val="24"/>
        </w:rPr>
        <w:t xml:space="preserve">; </w:t>
      </w:r>
      <w:r w:rsidR="007D28A3">
        <w:rPr>
          <w:sz w:val="24"/>
          <w:szCs w:val="24"/>
        </w:rPr>
        <w:t>Aqua E</w:t>
      </w:r>
      <w:r w:rsidR="00ED5EB3" w:rsidRPr="007B2E82">
        <w:rPr>
          <w:sz w:val="24"/>
          <w:szCs w:val="24"/>
        </w:rPr>
        <w:t xml:space="preserve">xhibit No. 6, </w:t>
      </w:r>
      <w:r w:rsidR="007D28A3">
        <w:rPr>
          <w:sz w:val="24"/>
          <w:szCs w:val="24"/>
        </w:rPr>
        <w:t>four Aqua forms related to a water usage survey and the installation and testing of a backflow prevention device</w:t>
      </w:r>
      <w:r w:rsidR="00ED5EB3" w:rsidRPr="007B2E82">
        <w:rPr>
          <w:sz w:val="24"/>
          <w:szCs w:val="24"/>
        </w:rPr>
        <w:t>.</w:t>
      </w:r>
      <w:r w:rsidR="007D28A3">
        <w:rPr>
          <w:sz w:val="24"/>
          <w:szCs w:val="24"/>
        </w:rPr>
        <w:t xml:space="preserve"> </w:t>
      </w:r>
      <w:r w:rsidR="00ED5EB3" w:rsidRPr="007B2E82">
        <w:rPr>
          <w:sz w:val="24"/>
          <w:szCs w:val="24"/>
        </w:rPr>
        <w:t xml:space="preserve"> The record in this case consists of the hearing transcript of </w:t>
      </w:r>
      <w:r w:rsidR="007D28A3">
        <w:rPr>
          <w:sz w:val="24"/>
          <w:szCs w:val="24"/>
        </w:rPr>
        <w:t>55</w:t>
      </w:r>
      <w:r w:rsidR="00ED5EB3" w:rsidRPr="007B2E82">
        <w:rPr>
          <w:sz w:val="24"/>
          <w:szCs w:val="24"/>
        </w:rPr>
        <w:t xml:space="preserve"> pages</w:t>
      </w:r>
      <w:r w:rsidR="007D28A3">
        <w:rPr>
          <w:sz w:val="24"/>
          <w:szCs w:val="24"/>
        </w:rPr>
        <w:t xml:space="preserve">, Complainant’s Exhibits 1-3, </w:t>
      </w:r>
      <w:r w:rsidR="00ED5EB3" w:rsidRPr="007B2E82">
        <w:rPr>
          <w:sz w:val="24"/>
          <w:szCs w:val="24"/>
        </w:rPr>
        <w:t xml:space="preserve">and </w:t>
      </w:r>
      <w:proofErr w:type="spellStart"/>
      <w:r w:rsidR="007D28A3">
        <w:rPr>
          <w:sz w:val="24"/>
          <w:szCs w:val="24"/>
        </w:rPr>
        <w:t>Aqua’s</w:t>
      </w:r>
      <w:proofErr w:type="spellEnd"/>
      <w:r w:rsidR="007D28A3">
        <w:rPr>
          <w:sz w:val="24"/>
          <w:szCs w:val="24"/>
        </w:rPr>
        <w:t xml:space="preserve"> E</w:t>
      </w:r>
      <w:r w:rsidR="00ED5EB3" w:rsidRPr="007B2E82">
        <w:rPr>
          <w:sz w:val="24"/>
          <w:szCs w:val="24"/>
        </w:rPr>
        <w:t>xhibits</w:t>
      </w:r>
      <w:r w:rsidR="007D28A3">
        <w:rPr>
          <w:sz w:val="24"/>
          <w:szCs w:val="24"/>
        </w:rPr>
        <w:t xml:space="preserve"> Nos. 1-6.</w:t>
      </w:r>
    </w:p>
    <w:p w:rsidR="007B14BD" w:rsidRPr="007B2E82" w:rsidRDefault="00ED5EB3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 xml:space="preserve">The record was closed on </w:t>
      </w:r>
      <w:r w:rsidR="007D28A3">
        <w:rPr>
          <w:sz w:val="24"/>
          <w:szCs w:val="24"/>
        </w:rPr>
        <w:t>March 13, 2012, with the filing of the hearing transcript</w:t>
      </w:r>
      <w:r w:rsidRPr="007B2E82">
        <w:rPr>
          <w:sz w:val="24"/>
          <w:szCs w:val="24"/>
        </w:rPr>
        <w:t>.  No briefs were filed.</w:t>
      </w:r>
    </w:p>
    <w:p w:rsidR="006C5928" w:rsidRPr="007B2E82" w:rsidRDefault="006C5928" w:rsidP="007B2E82">
      <w:pPr>
        <w:spacing w:line="360" w:lineRule="auto"/>
        <w:rPr>
          <w:sz w:val="24"/>
          <w:szCs w:val="24"/>
        </w:rPr>
      </w:pPr>
    </w:p>
    <w:p w:rsidR="00BE2FC0" w:rsidRPr="007B2E82" w:rsidRDefault="006C5928" w:rsidP="007B2E82">
      <w:pPr>
        <w:spacing w:line="360" w:lineRule="auto"/>
        <w:jc w:val="center"/>
        <w:rPr>
          <w:sz w:val="24"/>
          <w:szCs w:val="24"/>
        </w:rPr>
      </w:pPr>
      <w:r w:rsidRPr="007B2E82">
        <w:rPr>
          <w:sz w:val="24"/>
          <w:szCs w:val="24"/>
          <w:u w:val="single"/>
        </w:rPr>
        <w:t>FINDINGS OF FACT</w:t>
      </w:r>
    </w:p>
    <w:p w:rsidR="006C5928" w:rsidRPr="007B2E82" w:rsidRDefault="006C5928" w:rsidP="007B2E82">
      <w:pPr>
        <w:spacing w:line="360" w:lineRule="auto"/>
        <w:jc w:val="center"/>
        <w:rPr>
          <w:sz w:val="24"/>
          <w:szCs w:val="24"/>
        </w:rPr>
      </w:pPr>
    </w:p>
    <w:p w:rsidR="006C5928" w:rsidRPr="007B2E82" w:rsidRDefault="000006BA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>1.</w:t>
      </w:r>
      <w:r w:rsidRPr="007B2E82">
        <w:rPr>
          <w:sz w:val="24"/>
          <w:szCs w:val="24"/>
        </w:rPr>
        <w:tab/>
        <w:t>The Complainant</w:t>
      </w:r>
      <w:r w:rsidR="000E5FB2" w:rsidRPr="007B2E82">
        <w:rPr>
          <w:sz w:val="24"/>
          <w:szCs w:val="24"/>
        </w:rPr>
        <w:t xml:space="preserve"> </w:t>
      </w:r>
      <w:r w:rsidR="004F5598">
        <w:rPr>
          <w:sz w:val="24"/>
          <w:szCs w:val="24"/>
        </w:rPr>
        <w:t>is</w:t>
      </w:r>
      <w:r w:rsidR="000E5FB2" w:rsidRPr="007B2E82">
        <w:rPr>
          <w:sz w:val="24"/>
          <w:szCs w:val="24"/>
        </w:rPr>
        <w:t xml:space="preserve"> </w:t>
      </w:r>
      <w:r w:rsidR="004F5598">
        <w:rPr>
          <w:sz w:val="24"/>
          <w:szCs w:val="24"/>
        </w:rPr>
        <w:t>Harold Taylor</w:t>
      </w:r>
      <w:r w:rsidRPr="007B2E82">
        <w:rPr>
          <w:sz w:val="24"/>
          <w:szCs w:val="24"/>
        </w:rPr>
        <w:t xml:space="preserve">, </w:t>
      </w:r>
      <w:r w:rsidR="006B444B">
        <w:rPr>
          <w:sz w:val="24"/>
          <w:szCs w:val="24"/>
        </w:rPr>
        <w:t xml:space="preserve">Jr., </w:t>
      </w:r>
      <w:r w:rsidR="00141AFE" w:rsidRPr="007B2E82">
        <w:rPr>
          <w:sz w:val="24"/>
          <w:szCs w:val="24"/>
        </w:rPr>
        <w:t xml:space="preserve">whose service address is </w:t>
      </w:r>
      <w:r w:rsidR="004F5598">
        <w:rPr>
          <w:sz w:val="24"/>
          <w:szCs w:val="24"/>
        </w:rPr>
        <w:t xml:space="preserve">402 North Penn Street, West Chester, </w:t>
      </w:r>
      <w:r w:rsidR="00141AFE" w:rsidRPr="007B2E82">
        <w:rPr>
          <w:sz w:val="24"/>
          <w:szCs w:val="24"/>
        </w:rPr>
        <w:t>Pennsylvania.</w:t>
      </w:r>
      <w:r w:rsidR="008A2622">
        <w:rPr>
          <w:sz w:val="24"/>
          <w:szCs w:val="24"/>
        </w:rPr>
        <w:t xml:space="preserve">  </w:t>
      </w:r>
      <w:proofErr w:type="gramStart"/>
      <w:r w:rsidR="008A2622">
        <w:rPr>
          <w:sz w:val="24"/>
          <w:szCs w:val="24"/>
        </w:rPr>
        <w:t>Complaint at 1.</w:t>
      </w:r>
      <w:proofErr w:type="gramEnd"/>
    </w:p>
    <w:p w:rsidR="00ED3EC8" w:rsidRPr="007B2E82" w:rsidRDefault="00ED3EC8" w:rsidP="007B2E82">
      <w:pPr>
        <w:spacing w:line="360" w:lineRule="auto"/>
        <w:jc w:val="center"/>
        <w:rPr>
          <w:b/>
          <w:sz w:val="24"/>
          <w:szCs w:val="24"/>
        </w:rPr>
      </w:pPr>
    </w:p>
    <w:p w:rsidR="00141AFE" w:rsidRPr="007B2E82" w:rsidRDefault="00ED3EC8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141AFE" w:rsidRPr="007B2E82">
        <w:rPr>
          <w:sz w:val="24"/>
          <w:szCs w:val="24"/>
        </w:rPr>
        <w:t>2.</w:t>
      </w:r>
      <w:r w:rsidR="00141AFE" w:rsidRPr="007B2E82">
        <w:rPr>
          <w:sz w:val="24"/>
          <w:szCs w:val="24"/>
        </w:rPr>
        <w:tab/>
        <w:t xml:space="preserve">Respondent is </w:t>
      </w:r>
      <w:r w:rsidR="004F5598">
        <w:rPr>
          <w:sz w:val="24"/>
          <w:szCs w:val="24"/>
        </w:rPr>
        <w:t xml:space="preserve">Aqua Pennsylvania, Inc., </w:t>
      </w:r>
      <w:r w:rsidR="00141AFE" w:rsidRPr="007B2E82">
        <w:rPr>
          <w:sz w:val="24"/>
          <w:szCs w:val="24"/>
        </w:rPr>
        <w:t xml:space="preserve">a jurisdictional </w:t>
      </w:r>
      <w:r w:rsidR="00DD5ADB">
        <w:rPr>
          <w:sz w:val="24"/>
          <w:szCs w:val="24"/>
        </w:rPr>
        <w:t>water company providing se</w:t>
      </w:r>
      <w:r w:rsidR="00141AFE" w:rsidRPr="007B2E82">
        <w:rPr>
          <w:sz w:val="24"/>
          <w:szCs w:val="24"/>
        </w:rPr>
        <w:t>rvice in the Commonwealth of Pennsylvania.</w:t>
      </w:r>
    </w:p>
    <w:p w:rsidR="00141AFE" w:rsidRPr="007B2E82" w:rsidRDefault="00141AFE" w:rsidP="007B2E82">
      <w:pPr>
        <w:spacing w:line="360" w:lineRule="auto"/>
        <w:rPr>
          <w:sz w:val="24"/>
          <w:szCs w:val="24"/>
        </w:rPr>
      </w:pPr>
    </w:p>
    <w:p w:rsidR="00885062" w:rsidRDefault="00141AFE" w:rsidP="00DD5ADB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>3.</w:t>
      </w:r>
      <w:r w:rsidRPr="007B2E82">
        <w:rPr>
          <w:sz w:val="24"/>
          <w:szCs w:val="24"/>
        </w:rPr>
        <w:tab/>
      </w:r>
      <w:r w:rsidR="00DD5ADB">
        <w:rPr>
          <w:sz w:val="24"/>
          <w:szCs w:val="24"/>
        </w:rPr>
        <w:t xml:space="preserve">Complainant’s service address is </w:t>
      </w:r>
      <w:r w:rsidR="008A2622">
        <w:rPr>
          <w:sz w:val="24"/>
          <w:szCs w:val="24"/>
        </w:rPr>
        <w:t xml:space="preserve">the location of </w:t>
      </w:r>
      <w:r w:rsidR="00DD5ADB">
        <w:rPr>
          <w:sz w:val="24"/>
          <w:szCs w:val="24"/>
        </w:rPr>
        <w:t>his printing brokerage business at which he uses approximately three gallons of water per day</w:t>
      </w:r>
      <w:r w:rsidR="008A4D09">
        <w:rPr>
          <w:sz w:val="24"/>
          <w:szCs w:val="24"/>
        </w:rPr>
        <w:t xml:space="preserve"> and is a commercial account</w:t>
      </w:r>
      <w:r w:rsidR="00DD5ADB">
        <w:rPr>
          <w:sz w:val="24"/>
          <w:szCs w:val="24"/>
        </w:rPr>
        <w:t xml:space="preserve">.  </w:t>
      </w:r>
      <w:proofErr w:type="gramStart"/>
      <w:r w:rsidR="00DD5ADB">
        <w:rPr>
          <w:sz w:val="24"/>
          <w:szCs w:val="24"/>
        </w:rPr>
        <w:t>N.T. at 9</w:t>
      </w:r>
      <w:r w:rsidR="008A4D09">
        <w:rPr>
          <w:sz w:val="24"/>
          <w:szCs w:val="24"/>
        </w:rPr>
        <w:t>, 19</w:t>
      </w:r>
      <w:r w:rsidR="00DD5ADB">
        <w:rPr>
          <w:sz w:val="24"/>
          <w:szCs w:val="24"/>
        </w:rPr>
        <w:t>; Complainant’s Exhibits C-1 - C3.</w:t>
      </w:r>
      <w:proofErr w:type="gramEnd"/>
    </w:p>
    <w:p w:rsidR="00DD5ADB" w:rsidRDefault="00DD5ADB" w:rsidP="00DD5ADB">
      <w:pPr>
        <w:spacing w:line="360" w:lineRule="auto"/>
        <w:rPr>
          <w:sz w:val="24"/>
          <w:szCs w:val="24"/>
        </w:rPr>
      </w:pPr>
    </w:p>
    <w:p w:rsidR="00DD5ADB" w:rsidRDefault="00DD5ADB" w:rsidP="00DD5A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 xml:space="preserve">Complainant objects to participation in </w:t>
      </w:r>
      <w:proofErr w:type="spellStart"/>
      <w:r>
        <w:rPr>
          <w:sz w:val="24"/>
          <w:szCs w:val="24"/>
        </w:rPr>
        <w:t>Aqua’</w:t>
      </w:r>
      <w:r w:rsidR="00FB5522">
        <w:rPr>
          <w:sz w:val="24"/>
          <w:szCs w:val="24"/>
        </w:rPr>
        <w:t>s</w:t>
      </w:r>
      <w:proofErr w:type="spellEnd"/>
      <w:r w:rsidR="00FB5522">
        <w:rPr>
          <w:sz w:val="24"/>
          <w:szCs w:val="24"/>
        </w:rPr>
        <w:t xml:space="preserve"> C</w:t>
      </w:r>
      <w:r>
        <w:rPr>
          <w:sz w:val="24"/>
          <w:szCs w:val="24"/>
        </w:rPr>
        <w:t>ross-</w:t>
      </w:r>
      <w:r w:rsidR="00FB5522">
        <w:rPr>
          <w:sz w:val="24"/>
          <w:szCs w:val="24"/>
        </w:rPr>
        <w:t>C</w:t>
      </w:r>
      <w:r>
        <w:rPr>
          <w:sz w:val="24"/>
          <w:szCs w:val="24"/>
        </w:rPr>
        <w:t xml:space="preserve">onnection </w:t>
      </w:r>
      <w:r w:rsidR="00FB5522">
        <w:rPr>
          <w:sz w:val="24"/>
          <w:szCs w:val="24"/>
        </w:rPr>
        <w:t>C</w:t>
      </w:r>
      <w:r>
        <w:rPr>
          <w:sz w:val="24"/>
          <w:szCs w:val="24"/>
        </w:rPr>
        <w:t xml:space="preserve">ontrol </w:t>
      </w:r>
      <w:r w:rsidR="00FB5522">
        <w:rPr>
          <w:sz w:val="24"/>
          <w:szCs w:val="24"/>
        </w:rPr>
        <w:t>P</w:t>
      </w:r>
      <w:r>
        <w:rPr>
          <w:sz w:val="24"/>
          <w:szCs w:val="24"/>
        </w:rPr>
        <w:t xml:space="preserve">rogram </w:t>
      </w:r>
      <w:r w:rsidR="00652841">
        <w:rPr>
          <w:sz w:val="24"/>
          <w:szCs w:val="24"/>
        </w:rPr>
        <w:t xml:space="preserve">(CCCP) </w:t>
      </w:r>
      <w:r>
        <w:rPr>
          <w:sz w:val="24"/>
          <w:szCs w:val="24"/>
        </w:rPr>
        <w:t xml:space="preserve">which requires commercial accounts to have a backflow device installed.  </w:t>
      </w:r>
      <w:proofErr w:type="gramStart"/>
      <w:r>
        <w:rPr>
          <w:sz w:val="24"/>
          <w:szCs w:val="24"/>
        </w:rPr>
        <w:t>Complaint at ¶ 4; N.T. at 16.</w:t>
      </w:r>
      <w:proofErr w:type="gramEnd"/>
    </w:p>
    <w:p w:rsidR="00DD5ADB" w:rsidRDefault="00DD5ADB" w:rsidP="00DD5ADB">
      <w:pPr>
        <w:spacing w:line="360" w:lineRule="auto"/>
        <w:rPr>
          <w:sz w:val="24"/>
          <w:szCs w:val="24"/>
        </w:rPr>
      </w:pPr>
    </w:p>
    <w:p w:rsidR="00DD5ADB" w:rsidRDefault="00DD5ADB" w:rsidP="00DD5A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 xml:space="preserve">A backflow preventer is a device designed to prevent a potential backflow of contaminants from a customer’s property into a water company’s distribution system.  </w:t>
      </w:r>
      <w:proofErr w:type="gramStart"/>
      <w:r>
        <w:rPr>
          <w:sz w:val="24"/>
          <w:szCs w:val="24"/>
        </w:rPr>
        <w:t>N.T. at</w:t>
      </w:r>
      <w:r w:rsidR="00F65464">
        <w:rPr>
          <w:sz w:val="24"/>
          <w:szCs w:val="24"/>
        </w:rPr>
        <w:t> </w:t>
      </w:r>
      <w:r>
        <w:rPr>
          <w:sz w:val="24"/>
          <w:szCs w:val="24"/>
        </w:rPr>
        <w:t>19.</w:t>
      </w:r>
      <w:proofErr w:type="gramEnd"/>
    </w:p>
    <w:p w:rsidR="00DD5ADB" w:rsidRDefault="00DD5ADB" w:rsidP="00DD5ADB">
      <w:pPr>
        <w:spacing w:line="360" w:lineRule="auto"/>
        <w:rPr>
          <w:sz w:val="24"/>
          <w:szCs w:val="24"/>
        </w:rPr>
      </w:pPr>
    </w:p>
    <w:p w:rsidR="00DD5ADB" w:rsidRDefault="00DD5ADB" w:rsidP="00DD5A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 xml:space="preserve">A cross-connection is created when a customer connects to </w:t>
      </w:r>
      <w:proofErr w:type="spellStart"/>
      <w:r>
        <w:rPr>
          <w:sz w:val="24"/>
          <w:szCs w:val="24"/>
        </w:rPr>
        <w:t>Aqua’s</w:t>
      </w:r>
      <w:proofErr w:type="spellEnd"/>
      <w:r>
        <w:rPr>
          <w:sz w:val="24"/>
          <w:szCs w:val="24"/>
        </w:rPr>
        <w:t xml:space="preserve"> distribution system.  </w:t>
      </w:r>
      <w:proofErr w:type="gramStart"/>
      <w:r>
        <w:rPr>
          <w:sz w:val="24"/>
          <w:szCs w:val="24"/>
        </w:rPr>
        <w:t>N.T. at 19.</w:t>
      </w:r>
      <w:proofErr w:type="gramEnd"/>
    </w:p>
    <w:p w:rsidR="008A4D09" w:rsidRDefault="008A4D09" w:rsidP="00DD5ADB">
      <w:pPr>
        <w:spacing w:line="360" w:lineRule="auto"/>
        <w:rPr>
          <w:sz w:val="24"/>
          <w:szCs w:val="24"/>
        </w:rPr>
      </w:pPr>
    </w:p>
    <w:p w:rsidR="009A3F3F" w:rsidRDefault="008A4D09" w:rsidP="00DD5A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="009A3F3F" w:rsidRPr="009A3F3F">
        <w:rPr>
          <w:sz w:val="24"/>
          <w:szCs w:val="24"/>
        </w:rPr>
        <w:t xml:space="preserve">The Public Water Supply Manual is a comprehensive publication that provides information to public water suppliers concerning Pennsylvania’s Safe Drinking Water Program administered by </w:t>
      </w:r>
      <w:r w:rsidR="00FB5522">
        <w:rPr>
          <w:sz w:val="24"/>
          <w:szCs w:val="24"/>
        </w:rPr>
        <w:t xml:space="preserve">the state </w:t>
      </w:r>
      <w:r w:rsidR="009A3F3F" w:rsidRPr="009A3F3F">
        <w:rPr>
          <w:sz w:val="24"/>
          <w:szCs w:val="24"/>
        </w:rPr>
        <w:t>D</w:t>
      </w:r>
      <w:r w:rsidR="00FB5522">
        <w:rPr>
          <w:sz w:val="24"/>
          <w:szCs w:val="24"/>
        </w:rPr>
        <w:t xml:space="preserve">epartment of </w:t>
      </w:r>
      <w:r w:rsidR="009A3F3F" w:rsidRPr="009A3F3F">
        <w:rPr>
          <w:sz w:val="24"/>
          <w:szCs w:val="24"/>
        </w:rPr>
        <w:t>E</w:t>
      </w:r>
      <w:r w:rsidR="00FB5522">
        <w:rPr>
          <w:sz w:val="24"/>
          <w:szCs w:val="24"/>
        </w:rPr>
        <w:t xml:space="preserve">nvironmental </w:t>
      </w:r>
      <w:r w:rsidR="009A3F3F" w:rsidRPr="009A3F3F">
        <w:rPr>
          <w:sz w:val="24"/>
          <w:szCs w:val="24"/>
        </w:rPr>
        <w:t>P</w:t>
      </w:r>
      <w:r w:rsidR="00FB5522">
        <w:rPr>
          <w:sz w:val="24"/>
          <w:szCs w:val="24"/>
        </w:rPr>
        <w:t>rotection.  The M</w:t>
      </w:r>
      <w:r w:rsidR="009A3F3F" w:rsidRPr="009A3F3F">
        <w:rPr>
          <w:sz w:val="24"/>
          <w:szCs w:val="24"/>
        </w:rPr>
        <w:t>anual contains everything the public water supplier needs to know about the Safe Drinking Water Program, including de</w:t>
      </w:r>
      <w:r w:rsidR="00FB5522">
        <w:rPr>
          <w:sz w:val="24"/>
          <w:szCs w:val="24"/>
        </w:rPr>
        <w:t>sign and construction standards,</w:t>
      </w:r>
      <w:r w:rsidR="009A3F3F" w:rsidRPr="009A3F3F">
        <w:rPr>
          <w:sz w:val="24"/>
          <w:szCs w:val="24"/>
        </w:rPr>
        <w:t xml:space="preserve"> water quality standards</w:t>
      </w:r>
      <w:r w:rsidR="00FB5522">
        <w:rPr>
          <w:sz w:val="24"/>
          <w:szCs w:val="24"/>
        </w:rPr>
        <w:t>,</w:t>
      </w:r>
      <w:r w:rsidR="009A3F3F" w:rsidRPr="009A3F3F">
        <w:rPr>
          <w:sz w:val="24"/>
          <w:szCs w:val="24"/>
        </w:rPr>
        <w:t xml:space="preserve"> monitoring, reporting and operating requirements</w:t>
      </w:r>
      <w:r w:rsidR="00FB5522">
        <w:rPr>
          <w:sz w:val="24"/>
          <w:szCs w:val="24"/>
        </w:rPr>
        <w:t>,</w:t>
      </w:r>
      <w:r w:rsidR="009A3F3F" w:rsidRPr="009A3F3F">
        <w:rPr>
          <w:sz w:val="24"/>
          <w:szCs w:val="24"/>
        </w:rPr>
        <w:t xml:space="preserve"> emergency measure</w:t>
      </w:r>
      <w:r w:rsidR="00FB5522">
        <w:rPr>
          <w:sz w:val="24"/>
          <w:szCs w:val="24"/>
        </w:rPr>
        <w:t>s,</w:t>
      </w:r>
      <w:r w:rsidR="009A3F3F" w:rsidRPr="009A3F3F">
        <w:rPr>
          <w:sz w:val="24"/>
          <w:szCs w:val="24"/>
        </w:rPr>
        <w:t xml:space="preserve"> and information on government agency programs and contacts.  </w:t>
      </w:r>
      <w:proofErr w:type="gramStart"/>
      <w:r w:rsidR="008A2622">
        <w:rPr>
          <w:sz w:val="24"/>
          <w:szCs w:val="24"/>
        </w:rPr>
        <w:t>Aqua Exhibit No. 3.</w:t>
      </w:r>
      <w:proofErr w:type="gramEnd"/>
    </w:p>
    <w:p w:rsidR="009A3F3F" w:rsidRDefault="009A3F3F" w:rsidP="00DD5ADB">
      <w:pPr>
        <w:spacing w:line="360" w:lineRule="auto"/>
        <w:rPr>
          <w:sz w:val="24"/>
          <w:szCs w:val="24"/>
        </w:rPr>
      </w:pPr>
    </w:p>
    <w:p w:rsidR="009A3F3F" w:rsidRDefault="009A3F3F" w:rsidP="00DD5A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9A3F3F">
        <w:rPr>
          <w:sz w:val="24"/>
          <w:szCs w:val="24"/>
        </w:rPr>
        <w:t>.</w:t>
      </w:r>
      <w:r w:rsidRPr="009A3F3F">
        <w:rPr>
          <w:sz w:val="24"/>
          <w:szCs w:val="24"/>
        </w:rPr>
        <w:tab/>
      </w:r>
      <w:proofErr w:type="spellStart"/>
      <w:r w:rsidRPr="009A3F3F">
        <w:rPr>
          <w:sz w:val="24"/>
          <w:szCs w:val="24"/>
        </w:rPr>
        <w:t>Aqua’s</w:t>
      </w:r>
      <w:proofErr w:type="spellEnd"/>
      <w:r w:rsidRPr="009A3F3F">
        <w:rPr>
          <w:sz w:val="24"/>
          <w:szCs w:val="24"/>
        </w:rPr>
        <w:t xml:space="preserve"> </w:t>
      </w:r>
      <w:r w:rsidR="008A2622">
        <w:rPr>
          <w:sz w:val="24"/>
          <w:szCs w:val="24"/>
        </w:rPr>
        <w:t>C</w:t>
      </w:r>
      <w:r w:rsidRPr="009A3F3F">
        <w:rPr>
          <w:sz w:val="24"/>
          <w:szCs w:val="24"/>
        </w:rPr>
        <w:t>ross-</w:t>
      </w:r>
      <w:r w:rsidR="008A2622">
        <w:rPr>
          <w:sz w:val="24"/>
          <w:szCs w:val="24"/>
        </w:rPr>
        <w:t>C</w:t>
      </w:r>
      <w:r w:rsidRPr="009A3F3F">
        <w:rPr>
          <w:sz w:val="24"/>
          <w:szCs w:val="24"/>
        </w:rPr>
        <w:t xml:space="preserve">onnection </w:t>
      </w:r>
      <w:r w:rsidR="008A2622">
        <w:rPr>
          <w:sz w:val="24"/>
          <w:szCs w:val="24"/>
        </w:rPr>
        <w:t>Control Program M</w:t>
      </w:r>
      <w:r w:rsidRPr="009A3F3F">
        <w:rPr>
          <w:sz w:val="24"/>
          <w:szCs w:val="24"/>
        </w:rPr>
        <w:t>an</w:t>
      </w:r>
      <w:r w:rsidR="00FB5522">
        <w:rPr>
          <w:sz w:val="24"/>
          <w:szCs w:val="24"/>
        </w:rPr>
        <w:t>ual is consistent with the DEP C</w:t>
      </w:r>
      <w:r w:rsidRPr="009A3F3F">
        <w:rPr>
          <w:sz w:val="24"/>
          <w:szCs w:val="24"/>
        </w:rPr>
        <w:t>r</w:t>
      </w:r>
      <w:r w:rsidR="00FB5522">
        <w:rPr>
          <w:sz w:val="24"/>
          <w:szCs w:val="24"/>
        </w:rPr>
        <w:t>oss-Connection Prevention M</w:t>
      </w:r>
      <w:r w:rsidRPr="009A3F3F">
        <w:rPr>
          <w:sz w:val="24"/>
          <w:szCs w:val="24"/>
        </w:rPr>
        <w:t xml:space="preserve">anual and </w:t>
      </w:r>
      <w:r w:rsidR="008A2622">
        <w:rPr>
          <w:sz w:val="24"/>
          <w:szCs w:val="24"/>
        </w:rPr>
        <w:t xml:space="preserve">state and federal </w:t>
      </w:r>
      <w:r w:rsidRPr="009A3F3F">
        <w:rPr>
          <w:sz w:val="24"/>
          <w:szCs w:val="24"/>
        </w:rPr>
        <w:t xml:space="preserve">Safe Water Drinking Act requirements.  </w:t>
      </w:r>
      <w:proofErr w:type="gramStart"/>
      <w:r w:rsidR="008B0A0B">
        <w:rPr>
          <w:sz w:val="24"/>
          <w:szCs w:val="24"/>
        </w:rPr>
        <w:t>N.T. at 27-28, 33; Aqua Exhibit No. 4.</w:t>
      </w:r>
      <w:proofErr w:type="gramEnd"/>
    </w:p>
    <w:p w:rsidR="009A3F3F" w:rsidRDefault="009A3F3F" w:rsidP="00DD5ADB">
      <w:pPr>
        <w:spacing w:line="360" w:lineRule="auto"/>
        <w:rPr>
          <w:sz w:val="24"/>
          <w:szCs w:val="24"/>
        </w:rPr>
      </w:pPr>
    </w:p>
    <w:p w:rsidR="008B0A0B" w:rsidRDefault="009A3F3F" w:rsidP="009A3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9A3F3F">
        <w:rPr>
          <w:sz w:val="24"/>
          <w:szCs w:val="24"/>
        </w:rPr>
        <w:t>.</w:t>
      </w:r>
      <w:r w:rsidRPr="009A3F3F">
        <w:rPr>
          <w:sz w:val="24"/>
          <w:szCs w:val="24"/>
        </w:rPr>
        <w:tab/>
      </w:r>
      <w:r w:rsidR="008B0A0B">
        <w:rPr>
          <w:sz w:val="24"/>
          <w:szCs w:val="24"/>
        </w:rPr>
        <w:t>It is Complainant’s responsibility, as a commercial customer, to ensure adequate design, installation, maintenance and operation of the piping system on his premises, including any backflow preventers.  N.T. at 30-31.</w:t>
      </w:r>
    </w:p>
    <w:p w:rsidR="008B0A0B" w:rsidRDefault="008B0A0B" w:rsidP="009A3F3F">
      <w:pPr>
        <w:spacing w:line="360" w:lineRule="auto"/>
        <w:rPr>
          <w:sz w:val="24"/>
          <w:szCs w:val="24"/>
        </w:rPr>
      </w:pPr>
    </w:p>
    <w:p w:rsidR="008B0A0B" w:rsidRDefault="008B0A0B" w:rsidP="009A3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6C2EEF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Aqua notifies new customers of the backflow protection equipment requirement.  </w:t>
      </w:r>
      <w:proofErr w:type="gramStart"/>
      <w:r>
        <w:rPr>
          <w:sz w:val="24"/>
          <w:szCs w:val="24"/>
        </w:rPr>
        <w:t>N.T. at 35; Aqua Exhibit No. 6.</w:t>
      </w:r>
      <w:proofErr w:type="gramEnd"/>
    </w:p>
    <w:p w:rsidR="008B0A0B" w:rsidRDefault="008B0A0B" w:rsidP="009A3F3F">
      <w:pPr>
        <w:spacing w:line="360" w:lineRule="auto"/>
        <w:rPr>
          <w:sz w:val="24"/>
          <w:szCs w:val="24"/>
        </w:rPr>
      </w:pPr>
    </w:p>
    <w:p w:rsidR="008B0A0B" w:rsidRPr="009A3F3F" w:rsidRDefault="008B0A0B" w:rsidP="009A3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6C2EE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Aqua does not provide exceptions to its rule requiring commercial accounts to have </w:t>
      </w:r>
      <w:r w:rsidRPr="008B0A0B">
        <w:rPr>
          <w:sz w:val="24"/>
          <w:szCs w:val="24"/>
        </w:rPr>
        <w:t>backflow protection equipment</w:t>
      </w:r>
      <w:r>
        <w:rPr>
          <w:sz w:val="24"/>
          <w:szCs w:val="24"/>
        </w:rPr>
        <w:t xml:space="preserve"> installed.  </w:t>
      </w:r>
      <w:proofErr w:type="gramStart"/>
      <w:r>
        <w:rPr>
          <w:sz w:val="24"/>
          <w:szCs w:val="24"/>
        </w:rPr>
        <w:t>N.T. at 37.</w:t>
      </w:r>
      <w:proofErr w:type="gramEnd"/>
    </w:p>
    <w:p w:rsidR="009A3F3F" w:rsidRPr="009A3F3F" w:rsidRDefault="009A3F3F" w:rsidP="009A3F3F">
      <w:pPr>
        <w:spacing w:line="360" w:lineRule="auto"/>
        <w:rPr>
          <w:sz w:val="24"/>
          <w:szCs w:val="24"/>
        </w:rPr>
      </w:pPr>
    </w:p>
    <w:p w:rsidR="009A3F3F" w:rsidRDefault="009A3F3F" w:rsidP="009A3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6C2EEF">
        <w:rPr>
          <w:sz w:val="24"/>
          <w:szCs w:val="24"/>
        </w:rPr>
        <w:t>2</w:t>
      </w:r>
      <w:r w:rsidRPr="009A3F3F">
        <w:rPr>
          <w:sz w:val="24"/>
          <w:szCs w:val="24"/>
        </w:rPr>
        <w:t>.</w:t>
      </w:r>
      <w:r w:rsidRPr="009A3F3F">
        <w:rPr>
          <w:sz w:val="24"/>
          <w:szCs w:val="24"/>
        </w:rPr>
        <w:tab/>
        <w:t xml:space="preserve">Lack of compliance with the cross-connection manual increases the potential of a hazard to the potable water supply.  </w:t>
      </w:r>
      <w:proofErr w:type="gramStart"/>
      <w:r w:rsidR="008A2622">
        <w:rPr>
          <w:sz w:val="24"/>
          <w:szCs w:val="24"/>
        </w:rPr>
        <w:t>N.T. at 20, 28.</w:t>
      </w:r>
      <w:proofErr w:type="gramEnd"/>
    </w:p>
    <w:p w:rsidR="008A2622" w:rsidRDefault="008A2622" w:rsidP="009A3F3F">
      <w:pPr>
        <w:spacing w:line="360" w:lineRule="auto"/>
        <w:rPr>
          <w:sz w:val="24"/>
          <w:szCs w:val="24"/>
        </w:rPr>
      </w:pPr>
    </w:p>
    <w:p w:rsidR="008A2622" w:rsidRDefault="008A2622" w:rsidP="009A3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6C2EE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Aqua cannot continually inspect every commercial establishment that Aqua serves to assure that contaminants are not being introduced into the water system by backflow.  </w:t>
      </w:r>
      <w:proofErr w:type="gramStart"/>
      <w:r>
        <w:rPr>
          <w:sz w:val="24"/>
          <w:szCs w:val="24"/>
        </w:rPr>
        <w:t>N.T. at 32.</w:t>
      </w:r>
      <w:proofErr w:type="gramEnd"/>
    </w:p>
    <w:p w:rsidR="006C2EEF" w:rsidRDefault="006C2EEF" w:rsidP="009A3F3F">
      <w:pPr>
        <w:spacing w:line="360" w:lineRule="auto"/>
        <w:rPr>
          <w:sz w:val="24"/>
          <w:szCs w:val="24"/>
        </w:rPr>
      </w:pPr>
    </w:p>
    <w:p w:rsidR="006C2EEF" w:rsidRPr="009A3F3F" w:rsidRDefault="006C2EEF" w:rsidP="009A3F3F">
      <w:pPr>
        <w:spacing w:line="360" w:lineRule="auto"/>
        <w:rPr>
          <w:sz w:val="24"/>
          <w:szCs w:val="24"/>
        </w:rPr>
      </w:pPr>
    </w:p>
    <w:p w:rsidR="0088462F" w:rsidRPr="007B2E82" w:rsidRDefault="0088462F" w:rsidP="007B2E82">
      <w:pPr>
        <w:spacing w:line="360" w:lineRule="auto"/>
        <w:rPr>
          <w:sz w:val="24"/>
          <w:szCs w:val="24"/>
        </w:rPr>
      </w:pPr>
    </w:p>
    <w:p w:rsidR="005D7C65" w:rsidRPr="007B2E82" w:rsidRDefault="005D7C65" w:rsidP="007B2E82">
      <w:pPr>
        <w:spacing w:line="360" w:lineRule="auto"/>
        <w:jc w:val="center"/>
        <w:rPr>
          <w:sz w:val="24"/>
          <w:szCs w:val="24"/>
        </w:rPr>
      </w:pPr>
      <w:r w:rsidRPr="007B2E82">
        <w:rPr>
          <w:sz w:val="24"/>
          <w:szCs w:val="24"/>
          <w:u w:val="single"/>
        </w:rPr>
        <w:lastRenderedPageBreak/>
        <w:t>DISCUSSION</w:t>
      </w:r>
    </w:p>
    <w:p w:rsidR="005D7C65" w:rsidRPr="007B2E82" w:rsidRDefault="005D7C65" w:rsidP="007B2E82">
      <w:pPr>
        <w:spacing w:line="360" w:lineRule="auto"/>
        <w:jc w:val="center"/>
        <w:rPr>
          <w:sz w:val="24"/>
          <w:szCs w:val="24"/>
        </w:rPr>
      </w:pPr>
    </w:p>
    <w:p w:rsidR="00F65464" w:rsidRDefault="005D7C65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As the party seeking affirmative relief from the Commission, Complainant bears the burden of proof.  </w:t>
      </w:r>
      <w:proofErr w:type="gramStart"/>
      <w:r w:rsidRPr="007B2E82">
        <w:rPr>
          <w:sz w:val="24"/>
          <w:szCs w:val="24"/>
        </w:rPr>
        <w:t>66 Pa. C.S.A § 332(a).</w:t>
      </w:r>
      <w:proofErr w:type="gramEnd"/>
    </w:p>
    <w:p w:rsidR="00F65464" w:rsidRDefault="00F65464" w:rsidP="007B2E82">
      <w:pPr>
        <w:spacing w:line="360" w:lineRule="auto"/>
        <w:rPr>
          <w:sz w:val="24"/>
          <w:szCs w:val="24"/>
        </w:rPr>
      </w:pPr>
    </w:p>
    <w:p w:rsidR="005D7C65" w:rsidRPr="007B2E82" w:rsidRDefault="005D7C65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 xml:space="preserve">To satisfy this burden, a complainant must show that the named utility is responsible or accountable for the problem described in the Complaint. </w:t>
      </w:r>
      <w:r w:rsidRPr="007B2E82">
        <w:rPr>
          <w:i/>
          <w:sz w:val="24"/>
          <w:szCs w:val="24"/>
        </w:rPr>
        <w:t>Patterson v. Bell Telephone Company of Pennsylvania</w:t>
      </w:r>
      <w:r w:rsidRPr="007B2E82">
        <w:rPr>
          <w:sz w:val="24"/>
          <w:szCs w:val="24"/>
        </w:rPr>
        <w:t>, 72 PA PUC 196 (1990);</w:t>
      </w:r>
      <w:proofErr w:type="gramStart"/>
      <w:r w:rsidRPr="007B2E82">
        <w:rPr>
          <w:sz w:val="24"/>
          <w:szCs w:val="24"/>
        </w:rPr>
        <w:t>  </w:t>
      </w:r>
      <w:r w:rsidRPr="007B2E82">
        <w:rPr>
          <w:i/>
          <w:sz w:val="24"/>
          <w:szCs w:val="24"/>
        </w:rPr>
        <w:t>Feinstein</w:t>
      </w:r>
      <w:proofErr w:type="gramEnd"/>
      <w:r w:rsidRPr="007B2E82">
        <w:rPr>
          <w:i/>
          <w:sz w:val="24"/>
          <w:szCs w:val="24"/>
        </w:rPr>
        <w:t xml:space="preserve"> v. Philadelphia Suburban Water Company</w:t>
      </w:r>
      <w:r w:rsidRPr="007B2E82">
        <w:rPr>
          <w:sz w:val="24"/>
          <w:szCs w:val="24"/>
        </w:rPr>
        <w:t xml:space="preserve">, 50 PA PUC 300 (1976). This must be shown by a preponderance of the evidence.  </w:t>
      </w:r>
      <w:proofErr w:type="gramStart"/>
      <w:r w:rsidRPr="007B2E82">
        <w:rPr>
          <w:i/>
          <w:sz w:val="24"/>
          <w:szCs w:val="24"/>
        </w:rPr>
        <w:t>Samuel J. Lansberry, Inc. v. PA Pub.</w:t>
      </w:r>
      <w:proofErr w:type="gramEnd"/>
      <w:r w:rsidRPr="007B2E82">
        <w:rPr>
          <w:i/>
          <w:sz w:val="24"/>
          <w:szCs w:val="24"/>
        </w:rPr>
        <w:t xml:space="preserve"> </w:t>
      </w:r>
      <w:proofErr w:type="gramStart"/>
      <w:r w:rsidRPr="007B2E82">
        <w:rPr>
          <w:i/>
          <w:sz w:val="24"/>
          <w:szCs w:val="24"/>
        </w:rPr>
        <w:t>Util. Comm'n</w:t>
      </w:r>
      <w:r w:rsidRPr="007B2E82">
        <w:rPr>
          <w:sz w:val="24"/>
          <w:szCs w:val="24"/>
        </w:rPr>
        <w:t xml:space="preserve">, 578 A.2d 600 (Pa. Cmwlth. 1990), </w:t>
      </w:r>
      <w:r w:rsidRPr="007B2E82">
        <w:rPr>
          <w:i/>
          <w:iCs/>
          <w:sz w:val="24"/>
          <w:szCs w:val="24"/>
        </w:rPr>
        <w:t>alloc.</w:t>
      </w:r>
      <w:proofErr w:type="gramEnd"/>
      <w:r w:rsidRPr="007B2E82">
        <w:rPr>
          <w:i/>
          <w:iCs/>
          <w:sz w:val="24"/>
          <w:szCs w:val="24"/>
        </w:rPr>
        <w:t xml:space="preserve"> </w:t>
      </w:r>
      <w:proofErr w:type="gramStart"/>
      <w:r w:rsidRPr="007B2E82">
        <w:rPr>
          <w:i/>
          <w:iCs/>
          <w:sz w:val="24"/>
          <w:szCs w:val="24"/>
        </w:rPr>
        <w:t>den</w:t>
      </w:r>
      <w:r w:rsidRPr="007B2E82">
        <w:rPr>
          <w:sz w:val="24"/>
          <w:szCs w:val="24"/>
        </w:rPr>
        <w:t>., 602 A.2d 863 (Pa. 1992).</w:t>
      </w:r>
      <w:proofErr w:type="gramEnd"/>
      <w:r w:rsidR="00885062" w:rsidRPr="007B2E82">
        <w:rPr>
          <w:sz w:val="24"/>
          <w:szCs w:val="24"/>
        </w:rPr>
        <w:t xml:space="preserve"> </w:t>
      </w:r>
      <w:r w:rsidRPr="007B2E82">
        <w:rPr>
          <w:sz w:val="24"/>
          <w:szCs w:val="24"/>
        </w:rPr>
        <w:t xml:space="preserve"> That is, by presenting evidence more convincing, by even the smallest amount, than that presented by the other party.  </w:t>
      </w:r>
      <w:proofErr w:type="gramStart"/>
      <w:r w:rsidRPr="007B2E82">
        <w:rPr>
          <w:i/>
          <w:sz w:val="24"/>
          <w:szCs w:val="24"/>
        </w:rPr>
        <w:t>Se-Ling Hosiery v. Margulies</w:t>
      </w:r>
      <w:r w:rsidRPr="007B2E82">
        <w:rPr>
          <w:sz w:val="24"/>
          <w:szCs w:val="24"/>
        </w:rPr>
        <w:t>, 70 A.2d 854 (Pa. 1950).</w:t>
      </w:r>
      <w:proofErr w:type="gramEnd"/>
      <w:r w:rsidRPr="007B2E82">
        <w:rPr>
          <w:sz w:val="24"/>
          <w:szCs w:val="24"/>
        </w:rPr>
        <w:t xml:space="preserve">  Additionally, any finding of fact necessary to support the Commission's adjudication must be based upon substantial evidence.  </w:t>
      </w:r>
      <w:proofErr w:type="gramStart"/>
      <w:r w:rsidRPr="007B2E82">
        <w:rPr>
          <w:i/>
          <w:sz w:val="24"/>
          <w:szCs w:val="24"/>
        </w:rPr>
        <w:t>Mill v. Comm'w., PA Pub.</w:t>
      </w:r>
      <w:proofErr w:type="gramEnd"/>
      <w:r w:rsidRPr="007B2E82">
        <w:rPr>
          <w:i/>
          <w:sz w:val="24"/>
          <w:szCs w:val="24"/>
        </w:rPr>
        <w:t xml:space="preserve"> Util. Comm'n</w:t>
      </w:r>
      <w:r w:rsidRPr="007B2E82">
        <w:rPr>
          <w:sz w:val="24"/>
          <w:szCs w:val="24"/>
        </w:rPr>
        <w:t>, 447 A.2d 1100 (Pa. Cmwlth. 1982)</w:t>
      </w:r>
      <w:proofErr w:type="gramStart"/>
      <w:r w:rsidRPr="007B2E82">
        <w:rPr>
          <w:sz w:val="24"/>
          <w:szCs w:val="24"/>
        </w:rPr>
        <w:t xml:space="preserve">;  </w:t>
      </w:r>
      <w:r w:rsidRPr="007B2E82">
        <w:rPr>
          <w:i/>
          <w:sz w:val="24"/>
          <w:szCs w:val="24"/>
        </w:rPr>
        <w:t>Edan</w:t>
      </w:r>
      <w:proofErr w:type="gramEnd"/>
      <w:r w:rsidRPr="007B2E82">
        <w:rPr>
          <w:i/>
          <w:sz w:val="24"/>
          <w:szCs w:val="24"/>
        </w:rPr>
        <w:t xml:space="preserve"> Transportation Corp. v. PA Pub. </w:t>
      </w:r>
      <w:proofErr w:type="gramStart"/>
      <w:r w:rsidRPr="007B2E82">
        <w:rPr>
          <w:i/>
          <w:sz w:val="24"/>
          <w:szCs w:val="24"/>
        </w:rPr>
        <w:t>Util. Comm'n</w:t>
      </w:r>
      <w:r w:rsidRPr="007B2E82">
        <w:rPr>
          <w:sz w:val="24"/>
          <w:szCs w:val="24"/>
        </w:rPr>
        <w:t>, 623 A.2d 6 (Pa. Cmwlth. 1993), 2 Pa.C.S.</w:t>
      </w:r>
      <w:proofErr w:type="gramEnd"/>
      <w:r w:rsidRPr="007B2E82">
        <w:rPr>
          <w:sz w:val="24"/>
          <w:szCs w:val="24"/>
        </w:rPr>
        <w:t xml:space="preserve"> § 704.  More is required than a mere trace of evidence or a suspicion of the existence of a fact sought to be established.  </w:t>
      </w:r>
      <w:proofErr w:type="gramStart"/>
      <w:r w:rsidRPr="007B2E82">
        <w:rPr>
          <w:i/>
          <w:sz w:val="24"/>
          <w:szCs w:val="24"/>
        </w:rPr>
        <w:t>Norfolk and Western Ry. v. PA Pub.</w:t>
      </w:r>
      <w:proofErr w:type="gramEnd"/>
      <w:r w:rsidRPr="007B2E82">
        <w:rPr>
          <w:i/>
          <w:sz w:val="24"/>
          <w:szCs w:val="24"/>
        </w:rPr>
        <w:t xml:space="preserve"> Util. Comm'n</w:t>
      </w:r>
      <w:r w:rsidRPr="007B2E82">
        <w:rPr>
          <w:sz w:val="24"/>
          <w:szCs w:val="24"/>
        </w:rPr>
        <w:t>, 413 A.2d 1037 (Pa. 1980)</w:t>
      </w:r>
      <w:proofErr w:type="gramStart"/>
      <w:r w:rsidRPr="007B2E82">
        <w:rPr>
          <w:sz w:val="24"/>
          <w:szCs w:val="24"/>
        </w:rPr>
        <w:t xml:space="preserve">;  </w:t>
      </w:r>
      <w:r w:rsidRPr="007B2E82">
        <w:rPr>
          <w:i/>
          <w:sz w:val="24"/>
          <w:szCs w:val="24"/>
        </w:rPr>
        <w:t>Erie</w:t>
      </w:r>
      <w:proofErr w:type="gramEnd"/>
      <w:r w:rsidRPr="007B2E82">
        <w:rPr>
          <w:i/>
          <w:sz w:val="24"/>
          <w:szCs w:val="24"/>
        </w:rPr>
        <w:t xml:space="preserve"> Resistor Corp. v. Unemployment Compensation Bd. of Review</w:t>
      </w:r>
      <w:r w:rsidRPr="007B2E82">
        <w:rPr>
          <w:sz w:val="24"/>
          <w:szCs w:val="24"/>
        </w:rPr>
        <w:t xml:space="preserve">, 166 A.2d 96 (Pa. Super. 1960);  </w:t>
      </w:r>
      <w:r w:rsidRPr="007B2E82">
        <w:rPr>
          <w:i/>
          <w:sz w:val="24"/>
          <w:szCs w:val="24"/>
        </w:rPr>
        <w:t xml:space="preserve">Murphy v. Commonwealth, Dep't. </w:t>
      </w:r>
      <w:proofErr w:type="gramStart"/>
      <w:r w:rsidRPr="007B2E82">
        <w:rPr>
          <w:i/>
          <w:sz w:val="24"/>
          <w:szCs w:val="24"/>
        </w:rPr>
        <w:t>of</w:t>
      </w:r>
      <w:proofErr w:type="gramEnd"/>
      <w:r w:rsidRPr="007B2E82">
        <w:rPr>
          <w:i/>
          <w:sz w:val="24"/>
          <w:szCs w:val="24"/>
        </w:rPr>
        <w:t xml:space="preserve"> Public Welfare, White Haven Center</w:t>
      </w:r>
      <w:r w:rsidRPr="007B2E82">
        <w:rPr>
          <w:sz w:val="24"/>
          <w:szCs w:val="24"/>
        </w:rPr>
        <w:t>, 480 A.2d 382 (Pa. Cmwlth. 1984).</w:t>
      </w:r>
    </w:p>
    <w:p w:rsidR="005D7C65" w:rsidRPr="007B2E82" w:rsidRDefault="005D7C65" w:rsidP="007B2E82">
      <w:pPr>
        <w:spacing w:line="360" w:lineRule="auto"/>
        <w:rPr>
          <w:sz w:val="24"/>
          <w:szCs w:val="24"/>
        </w:rPr>
      </w:pPr>
    </w:p>
    <w:p w:rsidR="005015B8" w:rsidRDefault="005D7C65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464398" w:rsidRPr="007B2E82">
        <w:rPr>
          <w:sz w:val="24"/>
          <w:szCs w:val="24"/>
        </w:rPr>
        <w:t xml:space="preserve">The </w:t>
      </w:r>
      <w:r w:rsidR="00655BCF">
        <w:rPr>
          <w:sz w:val="24"/>
          <w:szCs w:val="24"/>
        </w:rPr>
        <w:t>facts of this case are not in dispute.  Complainant owns a brokerage business that he operates from the commercial property served by Aqua.  Complainant does not use chemicals in his business.  Aqua point</w:t>
      </w:r>
      <w:r w:rsidR="00652841">
        <w:rPr>
          <w:sz w:val="24"/>
          <w:szCs w:val="24"/>
        </w:rPr>
        <w:t>s</w:t>
      </w:r>
      <w:r w:rsidR="00655BCF">
        <w:rPr>
          <w:sz w:val="24"/>
          <w:szCs w:val="24"/>
        </w:rPr>
        <w:t xml:space="preserve"> to the requirements of the law that a backflow device must be installed and maintained in a commercial establishment, both as an anti-pollution and as an anti-terrorism measure.  The </w:t>
      </w:r>
      <w:r w:rsidR="00464398" w:rsidRPr="007B2E82">
        <w:rPr>
          <w:sz w:val="24"/>
          <w:szCs w:val="24"/>
        </w:rPr>
        <w:t>essence of this Complaint is that Complainant</w:t>
      </w:r>
      <w:r w:rsidR="005015B8">
        <w:rPr>
          <w:sz w:val="24"/>
          <w:szCs w:val="24"/>
        </w:rPr>
        <w:t xml:space="preserve"> does not want to incur the expense of installing a backflow preventer in his commercial establishment.  Complainant stated his argument succinctly at hearing:</w:t>
      </w:r>
    </w:p>
    <w:p w:rsidR="005015B8" w:rsidRDefault="005015B8" w:rsidP="007B2E82">
      <w:pPr>
        <w:spacing w:line="360" w:lineRule="auto"/>
        <w:rPr>
          <w:sz w:val="24"/>
          <w:szCs w:val="24"/>
        </w:rPr>
      </w:pPr>
    </w:p>
    <w:p w:rsidR="005015B8" w:rsidRDefault="00655BCF" w:rsidP="00655BCF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[U]sing no </w:t>
      </w:r>
      <w:proofErr w:type="gramStart"/>
      <w:r>
        <w:rPr>
          <w:sz w:val="24"/>
          <w:szCs w:val="24"/>
        </w:rPr>
        <w:t>chemicals,</w:t>
      </w:r>
      <w:proofErr w:type="gramEnd"/>
      <w:r>
        <w:rPr>
          <w:sz w:val="24"/>
          <w:szCs w:val="24"/>
        </w:rPr>
        <w:t xml:space="preserve"> I see no need for my expense for a backflow device when one is really not needed.  Using only three gallons of water a day and not using any chemicals or any machinery that </w:t>
      </w:r>
      <w:r>
        <w:rPr>
          <w:sz w:val="24"/>
          <w:szCs w:val="24"/>
        </w:rPr>
        <w:lastRenderedPageBreak/>
        <w:t>produces chemicals, why would I need an antipollution device when there is no need?  Just because I believe that’s a commercial building, I’m not using anything but a telephone in my business as a broker business.</w:t>
      </w:r>
    </w:p>
    <w:p w:rsidR="00655BCF" w:rsidRDefault="00655BCF" w:rsidP="00655BCF">
      <w:pPr>
        <w:ind w:left="1440" w:right="1440"/>
        <w:rPr>
          <w:sz w:val="24"/>
          <w:szCs w:val="24"/>
        </w:rPr>
      </w:pPr>
    </w:p>
    <w:p w:rsidR="00655BCF" w:rsidRDefault="00655BCF" w:rsidP="00655BCF">
      <w:pPr>
        <w:ind w:left="1440" w:right="1440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*</w:t>
      </w:r>
      <w:r>
        <w:rPr>
          <w:sz w:val="24"/>
          <w:szCs w:val="24"/>
        </w:rPr>
        <w:tab/>
        <w:t>*</w:t>
      </w:r>
    </w:p>
    <w:p w:rsidR="00655BCF" w:rsidRDefault="00655BCF" w:rsidP="00655BCF">
      <w:pPr>
        <w:ind w:left="1440" w:right="1440"/>
        <w:jc w:val="center"/>
        <w:rPr>
          <w:sz w:val="24"/>
          <w:szCs w:val="24"/>
        </w:rPr>
      </w:pPr>
    </w:p>
    <w:p w:rsidR="00655BCF" w:rsidRDefault="00655BCF" w:rsidP="00655BCF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>And also, there are exceptions and exception and modifications to almost every law that was ever enacted.  And I think common sense should prevail.  That’s my argument.</w:t>
      </w:r>
    </w:p>
    <w:p w:rsidR="00655BCF" w:rsidRDefault="00655BCF" w:rsidP="00655BCF">
      <w:pPr>
        <w:rPr>
          <w:sz w:val="24"/>
          <w:szCs w:val="24"/>
        </w:rPr>
      </w:pPr>
    </w:p>
    <w:p w:rsidR="00655BCF" w:rsidRDefault="00655BCF" w:rsidP="00655BC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N.T. at 12, 49.</w:t>
      </w:r>
      <w:proofErr w:type="gramEnd"/>
    </w:p>
    <w:p w:rsidR="005015B8" w:rsidRDefault="005015B8" w:rsidP="007B2E82">
      <w:pPr>
        <w:spacing w:line="360" w:lineRule="auto"/>
        <w:rPr>
          <w:sz w:val="24"/>
          <w:szCs w:val="24"/>
        </w:rPr>
      </w:pPr>
    </w:p>
    <w:p w:rsidR="00655BCF" w:rsidRDefault="00655BCF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 its part, Aqua accepts the facts but points to the law and its tariff as requiring Complainant to install the backflow preventer:</w:t>
      </w:r>
    </w:p>
    <w:p w:rsidR="00655BCF" w:rsidRDefault="00655BCF" w:rsidP="007B2E82">
      <w:pPr>
        <w:spacing w:line="360" w:lineRule="auto"/>
        <w:rPr>
          <w:sz w:val="24"/>
          <w:szCs w:val="24"/>
        </w:rPr>
      </w:pPr>
    </w:p>
    <w:p w:rsidR="001406F5" w:rsidRDefault="00655BCF" w:rsidP="001406F5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The complaint of Mr. </w:t>
      </w:r>
      <w:r w:rsidR="001406F5">
        <w:rPr>
          <w:sz w:val="24"/>
          <w:szCs w:val="24"/>
        </w:rPr>
        <w:t>T</w:t>
      </w:r>
      <w:r>
        <w:rPr>
          <w:sz w:val="24"/>
          <w:szCs w:val="24"/>
        </w:rPr>
        <w:t xml:space="preserve">aylor is seeking an exemption from </w:t>
      </w:r>
      <w:proofErr w:type="spellStart"/>
      <w:r>
        <w:rPr>
          <w:sz w:val="24"/>
          <w:szCs w:val="24"/>
        </w:rPr>
        <w:t>Aqua’s</w:t>
      </w:r>
      <w:proofErr w:type="spellEnd"/>
      <w:r>
        <w:rPr>
          <w:sz w:val="24"/>
          <w:szCs w:val="24"/>
        </w:rPr>
        <w:t xml:space="preserve"> PUC-approved tariff, that as a commercial customer, he does not have to install a backflow device.  </w:t>
      </w:r>
      <w:proofErr w:type="spellStart"/>
      <w:r>
        <w:rPr>
          <w:sz w:val="24"/>
          <w:szCs w:val="24"/>
        </w:rPr>
        <w:t>Aqua’s</w:t>
      </w:r>
      <w:proofErr w:type="spellEnd"/>
      <w:r>
        <w:rPr>
          <w:sz w:val="24"/>
          <w:szCs w:val="24"/>
        </w:rPr>
        <w:t xml:space="preserve"> tariff, </w:t>
      </w:r>
      <w:proofErr w:type="spellStart"/>
      <w:r>
        <w:rPr>
          <w:sz w:val="24"/>
          <w:szCs w:val="24"/>
        </w:rPr>
        <w:t>Aqua’s</w:t>
      </w:r>
      <w:proofErr w:type="spellEnd"/>
      <w:r>
        <w:rPr>
          <w:sz w:val="24"/>
          <w:szCs w:val="24"/>
        </w:rPr>
        <w:t xml:space="preserve"> Cross Connection Control Program</w:t>
      </w:r>
      <w:r w:rsidR="001406F5">
        <w:rPr>
          <w:sz w:val="24"/>
          <w:szCs w:val="24"/>
        </w:rPr>
        <w:t xml:space="preserve"> is consistent with the DEP Manual, is consistent with both federal and state laws and regulations.  </w:t>
      </w:r>
    </w:p>
    <w:p w:rsidR="001406F5" w:rsidRDefault="001406F5" w:rsidP="001406F5">
      <w:pPr>
        <w:ind w:left="1440" w:right="1440"/>
        <w:rPr>
          <w:sz w:val="24"/>
          <w:szCs w:val="24"/>
        </w:rPr>
      </w:pPr>
    </w:p>
    <w:p w:rsidR="00655BCF" w:rsidRDefault="001406F5" w:rsidP="001406F5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>There is no—Aqua has never granted an exception for a commercial customer for a waiver of its backflow device.  [The Complainant] has not provided any evidence which would support his burden of proof that he should be granted an exception and that Aqua should make an exception to its program.</w:t>
      </w:r>
    </w:p>
    <w:p w:rsidR="001406F5" w:rsidRDefault="001406F5" w:rsidP="00655BCF">
      <w:pPr>
        <w:rPr>
          <w:sz w:val="24"/>
          <w:szCs w:val="24"/>
        </w:rPr>
      </w:pPr>
    </w:p>
    <w:p w:rsidR="001406F5" w:rsidRDefault="001406F5" w:rsidP="00655BCF">
      <w:pPr>
        <w:rPr>
          <w:sz w:val="24"/>
          <w:szCs w:val="24"/>
        </w:rPr>
      </w:pPr>
      <w:r>
        <w:rPr>
          <w:sz w:val="24"/>
          <w:szCs w:val="24"/>
        </w:rPr>
        <w:t>N.T. at 48-49.</w:t>
      </w:r>
    </w:p>
    <w:p w:rsidR="005D7C65" w:rsidRPr="007B2E82" w:rsidRDefault="005D7C65" w:rsidP="007B2E82">
      <w:pPr>
        <w:spacing w:line="360" w:lineRule="auto"/>
        <w:rPr>
          <w:sz w:val="24"/>
          <w:szCs w:val="24"/>
        </w:rPr>
      </w:pPr>
    </w:p>
    <w:p w:rsidR="00652841" w:rsidRDefault="00993054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652841">
        <w:rPr>
          <w:sz w:val="24"/>
          <w:szCs w:val="24"/>
        </w:rPr>
        <w:t>No evidence or citation was provided at hearing by either party</w:t>
      </w:r>
      <w:r w:rsidR="00BC1FFE">
        <w:rPr>
          <w:sz w:val="24"/>
          <w:szCs w:val="24"/>
        </w:rPr>
        <w:t xml:space="preserve"> to establish</w:t>
      </w:r>
      <w:r w:rsidR="00652841">
        <w:rPr>
          <w:sz w:val="24"/>
          <w:szCs w:val="24"/>
        </w:rPr>
        <w:t>, nor have I been able to discover, an exemption to the requirement of having a backflow preventer</w:t>
      </w:r>
      <w:r w:rsidR="00BC1FFE">
        <w:rPr>
          <w:sz w:val="24"/>
          <w:szCs w:val="24"/>
        </w:rPr>
        <w:t xml:space="preserve"> for a cross-connected commercial customer</w:t>
      </w:r>
      <w:r w:rsidR="00652841">
        <w:rPr>
          <w:sz w:val="24"/>
          <w:szCs w:val="24"/>
        </w:rPr>
        <w:t xml:space="preserve">.  Certainly such an exemption does not exist in </w:t>
      </w:r>
      <w:proofErr w:type="spellStart"/>
      <w:r w:rsidR="00652841">
        <w:rPr>
          <w:sz w:val="24"/>
          <w:szCs w:val="24"/>
        </w:rPr>
        <w:t>Aqua’s</w:t>
      </w:r>
      <w:proofErr w:type="spellEnd"/>
      <w:r w:rsidR="00652841">
        <w:rPr>
          <w:sz w:val="24"/>
          <w:szCs w:val="24"/>
        </w:rPr>
        <w:t xml:space="preserve"> tariff, nor has Aqua ever granted such an exemption.</w:t>
      </w:r>
    </w:p>
    <w:p w:rsidR="00652841" w:rsidRDefault="00652841" w:rsidP="007B2E82">
      <w:pPr>
        <w:spacing w:line="360" w:lineRule="auto"/>
        <w:rPr>
          <w:sz w:val="24"/>
          <w:szCs w:val="24"/>
        </w:rPr>
      </w:pPr>
    </w:p>
    <w:p w:rsidR="00FC74E1" w:rsidRDefault="00652841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FFE">
        <w:rPr>
          <w:sz w:val="24"/>
          <w:szCs w:val="24"/>
        </w:rPr>
        <w:t>However, t</w:t>
      </w:r>
      <w:r w:rsidR="00FC74E1">
        <w:rPr>
          <w:sz w:val="24"/>
          <w:szCs w:val="24"/>
        </w:rPr>
        <w:t>he issue of whether the requirement to furnish, install and maintain a backflow prevention device should be determined by</w:t>
      </w:r>
      <w:r>
        <w:rPr>
          <w:sz w:val="24"/>
          <w:szCs w:val="24"/>
        </w:rPr>
        <w:t xml:space="preserve"> an assessment of </w:t>
      </w:r>
      <w:r w:rsidR="00FC74E1">
        <w:rPr>
          <w:sz w:val="24"/>
          <w:szCs w:val="24"/>
        </w:rPr>
        <w:t xml:space="preserve">the </w:t>
      </w:r>
      <w:r w:rsidR="00FC74E1" w:rsidRPr="00FC74E1">
        <w:rPr>
          <w:i/>
          <w:sz w:val="24"/>
          <w:szCs w:val="24"/>
        </w:rPr>
        <w:t>actual</w:t>
      </w:r>
      <w:r w:rsidR="00FC74E1">
        <w:rPr>
          <w:sz w:val="24"/>
          <w:szCs w:val="24"/>
        </w:rPr>
        <w:t xml:space="preserve"> hazardous risk a customer presents rather than the </w:t>
      </w:r>
      <w:r w:rsidR="00FC74E1" w:rsidRPr="00FC74E1">
        <w:rPr>
          <w:i/>
          <w:sz w:val="24"/>
          <w:szCs w:val="24"/>
        </w:rPr>
        <w:t>potential</w:t>
      </w:r>
      <w:r w:rsidR="00FC74E1">
        <w:rPr>
          <w:sz w:val="24"/>
          <w:szCs w:val="24"/>
        </w:rPr>
        <w:t xml:space="preserve"> hazardous risk a customer presents </w:t>
      </w:r>
      <w:r>
        <w:rPr>
          <w:sz w:val="24"/>
          <w:szCs w:val="24"/>
        </w:rPr>
        <w:t xml:space="preserve">has already been </w:t>
      </w:r>
      <w:r w:rsidR="00FC74E1">
        <w:rPr>
          <w:sz w:val="24"/>
          <w:szCs w:val="24"/>
        </w:rPr>
        <w:t xml:space="preserve">addressed </w:t>
      </w:r>
      <w:r>
        <w:rPr>
          <w:sz w:val="24"/>
          <w:szCs w:val="24"/>
        </w:rPr>
        <w:t xml:space="preserve">and answered </w:t>
      </w:r>
      <w:r w:rsidR="00FC74E1">
        <w:rPr>
          <w:sz w:val="24"/>
          <w:szCs w:val="24"/>
        </w:rPr>
        <w:t xml:space="preserve">in the case of </w:t>
      </w:r>
      <w:proofErr w:type="spellStart"/>
      <w:r w:rsidR="00FC74E1" w:rsidRPr="00FC74E1">
        <w:rPr>
          <w:i/>
          <w:sz w:val="24"/>
          <w:szCs w:val="24"/>
        </w:rPr>
        <w:t>Cordisco</w:t>
      </w:r>
      <w:proofErr w:type="spellEnd"/>
      <w:r w:rsidR="00FC74E1" w:rsidRPr="00FC74E1">
        <w:rPr>
          <w:i/>
          <w:sz w:val="24"/>
          <w:szCs w:val="24"/>
        </w:rPr>
        <w:t xml:space="preserve"> v. Aqua Pennsylvania, Inc</w:t>
      </w:r>
      <w:r w:rsidR="00FC74E1">
        <w:rPr>
          <w:sz w:val="24"/>
          <w:szCs w:val="24"/>
        </w:rPr>
        <w:t xml:space="preserve">., Pa. PUC Docket No. </w:t>
      </w:r>
      <w:r w:rsidR="00FC74E1">
        <w:rPr>
          <w:sz w:val="24"/>
          <w:szCs w:val="24"/>
        </w:rPr>
        <w:lastRenderedPageBreak/>
        <w:t>C-2009-2137247 (Order entered March 25, 2011), which Aqua identified and of which I took judicial notice at the hearing on February 16, 2012.</w:t>
      </w:r>
      <w:r>
        <w:rPr>
          <w:sz w:val="24"/>
          <w:szCs w:val="24"/>
        </w:rPr>
        <w:t xml:space="preserve"> </w:t>
      </w:r>
      <w:r w:rsidR="00FC74E1">
        <w:rPr>
          <w:sz w:val="24"/>
          <w:szCs w:val="24"/>
        </w:rPr>
        <w:t xml:space="preserve"> </w:t>
      </w:r>
      <w:r w:rsidR="0065154A">
        <w:rPr>
          <w:sz w:val="24"/>
          <w:szCs w:val="24"/>
        </w:rPr>
        <w:t>In that case, Administrative Law Judge Angela Jones wrote:</w:t>
      </w:r>
    </w:p>
    <w:p w:rsidR="0065154A" w:rsidRDefault="0065154A" w:rsidP="007B2E82">
      <w:pPr>
        <w:spacing w:line="360" w:lineRule="auto"/>
        <w:rPr>
          <w:sz w:val="24"/>
          <w:szCs w:val="24"/>
        </w:rPr>
      </w:pPr>
    </w:p>
    <w:p w:rsidR="0065154A" w:rsidRDefault="0065154A" w:rsidP="0065154A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The Company has maintained to implement its </w:t>
      </w:r>
      <w:proofErr w:type="gramStart"/>
      <w:r>
        <w:rPr>
          <w:sz w:val="24"/>
          <w:szCs w:val="24"/>
        </w:rPr>
        <w:t>CCCP,</w:t>
      </w:r>
      <w:proofErr w:type="gramEnd"/>
      <w:r>
        <w:rPr>
          <w:sz w:val="24"/>
          <w:szCs w:val="24"/>
        </w:rPr>
        <w:t xml:space="preserve"> it requested a backflow preventer device for commercial accounts to ‘provide reasonable protection of its potable water supply system against </w:t>
      </w:r>
      <w:r w:rsidRPr="0065154A">
        <w:rPr>
          <w:i/>
          <w:sz w:val="24"/>
          <w:szCs w:val="24"/>
        </w:rPr>
        <w:t>potential</w:t>
      </w:r>
      <w:r>
        <w:rPr>
          <w:sz w:val="24"/>
          <w:szCs w:val="24"/>
        </w:rPr>
        <w:t xml:space="preserve"> contamination and/or pollution resulting from backflow through uncontrolled plumbing connections and/or cross connection at any . . . customer premise.’ Aqua Main Brief at 2, Tr. 53-55 (Emphasis in original).  The tariff at Rule 54, </w:t>
      </w:r>
      <w:r>
        <w:rPr>
          <w:i/>
          <w:sz w:val="24"/>
          <w:szCs w:val="24"/>
        </w:rPr>
        <w:t>supra</w:t>
      </w:r>
      <w:r>
        <w:rPr>
          <w:sz w:val="24"/>
          <w:szCs w:val="24"/>
        </w:rPr>
        <w:t xml:space="preserve"> at 18, requires a commercial customer that has a cross-connect to the Company’s water supply to install a testable, backflow preventer device.  The existing Commission-approved tariff has the force of law and is binding on the utility and the customer.  </w:t>
      </w:r>
      <w:proofErr w:type="gramStart"/>
      <w:r w:rsidRPr="0065154A">
        <w:rPr>
          <w:i/>
          <w:sz w:val="24"/>
          <w:szCs w:val="24"/>
        </w:rPr>
        <w:t>Brockway Glass v. Pa. Pub.</w:t>
      </w:r>
      <w:proofErr w:type="gramEnd"/>
      <w:r w:rsidRPr="0065154A">
        <w:rPr>
          <w:i/>
          <w:sz w:val="24"/>
          <w:szCs w:val="24"/>
        </w:rPr>
        <w:t xml:space="preserve"> Util. Comm’n</w:t>
      </w:r>
      <w:r>
        <w:rPr>
          <w:sz w:val="24"/>
          <w:szCs w:val="24"/>
        </w:rPr>
        <w:t xml:space="preserve">, 62 Pa. Commw. </w:t>
      </w:r>
      <w:proofErr w:type="gramStart"/>
      <w:r>
        <w:rPr>
          <w:sz w:val="24"/>
          <w:szCs w:val="24"/>
        </w:rPr>
        <w:t>Ct. 238, 437 A.2d 1067 (Pa. Cmwlth. 1981).</w:t>
      </w:r>
      <w:proofErr w:type="gramEnd"/>
      <w:r>
        <w:rPr>
          <w:sz w:val="24"/>
          <w:szCs w:val="24"/>
        </w:rPr>
        <w:t xml:space="preserve"> </w:t>
      </w:r>
    </w:p>
    <w:p w:rsidR="0065154A" w:rsidRDefault="0065154A" w:rsidP="0065154A">
      <w:pPr>
        <w:ind w:left="1440" w:right="1440"/>
        <w:rPr>
          <w:sz w:val="24"/>
          <w:szCs w:val="24"/>
        </w:rPr>
      </w:pPr>
    </w:p>
    <w:p w:rsidR="0065154A" w:rsidRPr="0065154A" w:rsidRDefault="0065154A" w:rsidP="0065154A">
      <w:pPr>
        <w:ind w:right="1440"/>
        <w:rPr>
          <w:sz w:val="24"/>
          <w:szCs w:val="24"/>
        </w:rPr>
      </w:pPr>
      <w:proofErr w:type="spellStart"/>
      <w:r w:rsidRPr="0065154A">
        <w:rPr>
          <w:i/>
          <w:sz w:val="24"/>
          <w:szCs w:val="24"/>
        </w:rPr>
        <w:t>Cordisco</w:t>
      </w:r>
      <w:proofErr w:type="spellEnd"/>
      <w:r>
        <w:rPr>
          <w:sz w:val="24"/>
          <w:szCs w:val="24"/>
        </w:rPr>
        <w:t>, at 19-20.</w:t>
      </w:r>
    </w:p>
    <w:p w:rsidR="00FC74E1" w:rsidRDefault="00FC74E1" w:rsidP="007B2E82">
      <w:pPr>
        <w:spacing w:line="360" w:lineRule="auto"/>
        <w:rPr>
          <w:sz w:val="24"/>
          <w:szCs w:val="24"/>
        </w:rPr>
      </w:pPr>
    </w:p>
    <w:p w:rsidR="008C1393" w:rsidRDefault="00FC74E1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154A">
        <w:rPr>
          <w:sz w:val="24"/>
          <w:szCs w:val="24"/>
        </w:rPr>
        <w:t xml:space="preserve">In both </w:t>
      </w:r>
      <w:proofErr w:type="spellStart"/>
      <w:r w:rsidR="0065154A" w:rsidRPr="0065154A">
        <w:rPr>
          <w:i/>
          <w:sz w:val="24"/>
          <w:szCs w:val="24"/>
        </w:rPr>
        <w:t>Cordisco</w:t>
      </w:r>
      <w:proofErr w:type="spellEnd"/>
      <w:r w:rsidR="0065154A">
        <w:rPr>
          <w:sz w:val="24"/>
          <w:szCs w:val="24"/>
        </w:rPr>
        <w:t xml:space="preserve"> and in the present case, the Complainants provided no evidence that the existing tariff as implemented by Aqua is unjust or unreasonable</w:t>
      </w:r>
      <w:r w:rsidR="008C1393">
        <w:rPr>
          <w:sz w:val="24"/>
          <w:szCs w:val="24"/>
        </w:rPr>
        <w:t>.</w:t>
      </w:r>
      <w:r w:rsidR="006B444B" w:rsidRPr="006B444B">
        <w:t xml:space="preserve"> </w:t>
      </w:r>
      <w:r w:rsidR="006B444B" w:rsidRPr="006B444B">
        <w:rPr>
          <w:sz w:val="24"/>
          <w:szCs w:val="24"/>
        </w:rPr>
        <w:t xml:space="preserve">A Commission-approved tariff has the force of law and is binding on the utility and the customer.  </w:t>
      </w:r>
      <w:proofErr w:type="gramStart"/>
      <w:r w:rsidR="006B444B" w:rsidRPr="006B444B">
        <w:rPr>
          <w:sz w:val="24"/>
          <w:szCs w:val="24"/>
        </w:rPr>
        <w:t>Brockway Glass Co. v. Pa. Pub.</w:t>
      </w:r>
      <w:proofErr w:type="gramEnd"/>
      <w:r w:rsidR="006B444B" w:rsidRPr="006B444B">
        <w:rPr>
          <w:sz w:val="24"/>
          <w:szCs w:val="24"/>
        </w:rPr>
        <w:t xml:space="preserve"> Util. Comm’n, 63 Pa. Commw. </w:t>
      </w:r>
      <w:proofErr w:type="gramStart"/>
      <w:r w:rsidR="006B444B" w:rsidRPr="006B444B">
        <w:rPr>
          <w:sz w:val="24"/>
          <w:szCs w:val="24"/>
        </w:rPr>
        <w:t>Ct. 238, 437 A.2d 1067 (Pa. Cmwlth. 1981).</w:t>
      </w:r>
      <w:proofErr w:type="gramEnd"/>
    </w:p>
    <w:p w:rsidR="008C1393" w:rsidRDefault="008C1393" w:rsidP="007B2E82">
      <w:pPr>
        <w:spacing w:line="360" w:lineRule="auto"/>
        <w:rPr>
          <w:sz w:val="24"/>
          <w:szCs w:val="24"/>
        </w:rPr>
      </w:pPr>
    </w:p>
    <w:p w:rsidR="00ED3EC8" w:rsidRDefault="008C1393" w:rsidP="007B2E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054" w:rsidRPr="007B2E82">
        <w:rPr>
          <w:sz w:val="24"/>
          <w:szCs w:val="24"/>
        </w:rPr>
        <w:t>Based on the evidence presented, the Complainant</w:t>
      </w:r>
      <w:r w:rsidR="00FB5522">
        <w:rPr>
          <w:sz w:val="24"/>
          <w:szCs w:val="24"/>
        </w:rPr>
        <w:t xml:space="preserve"> has </w:t>
      </w:r>
      <w:r w:rsidR="00993054" w:rsidRPr="007B2E82">
        <w:rPr>
          <w:sz w:val="24"/>
          <w:szCs w:val="24"/>
        </w:rPr>
        <w:t xml:space="preserve">failed to prove by a preponderance of the evidence that </w:t>
      </w:r>
      <w:r w:rsidR="00FB5522">
        <w:rPr>
          <w:sz w:val="24"/>
          <w:szCs w:val="24"/>
        </w:rPr>
        <w:t xml:space="preserve">he is entitled to an exemption from the requirement that, as a commercial customer of Aqua, he is responsible for the installation of a backflow preventer at his place of business.  The Complainant has failed to show that Aqua has </w:t>
      </w:r>
      <w:r w:rsidR="00D36DE5" w:rsidRPr="007B2E82">
        <w:rPr>
          <w:sz w:val="24"/>
          <w:szCs w:val="24"/>
        </w:rPr>
        <w:t xml:space="preserve">violated any provision of the </w:t>
      </w:r>
      <w:r w:rsidR="00BF16D8" w:rsidRPr="007B2E82">
        <w:rPr>
          <w:sz w:val="24"/>
          <w:szCs w:val="24"/>
        </w:rPr>
        <w:t xml:space="preserve">Pennsylvania Public Utility </w:t>
      </w:r>
      <w:r w:rsidR="00D36DE5" w:rsidRPr="007B2E82">
        <w:rPr>
          <w:sz w:val="24"/>
          <w:szCs w:val="24"/>
        </w:rPr>
        <w:t>Code or the regulations of the Commission.</w:t>
      </w:r>
      <w:r w:rsidR="00993054" w:rsidRPr="007B2E82">
        <w:rPr>
          <w:sz w:val="24"/>
          <w:szCs w:val="24"/>
        </w:rPr>
        <w:t xml:space="preserve"> </w:t>
      </w:r>
      <w:r w:rsidR="00D36DE5" w:rsidRPr="007B2E82">
        <w:rPr>
          <w:sz w:val="24"/>
          <w:szCs w:val="24"/>
        </w:rPr>
        <w:t xml:space="preserve"> </w:t>
      </w:r>
      <w:r w:rsidR="00993054" w:rsidRPr="007B2E82">
        <w:rPr>
          <w:sz w:val="24"/>
          <w:szCs w:val="24"/>
        </w:rPr>
        <w:t>Therefore, the Complaint in this case must be dismissed.</w:t>
      </w:r>
    </w:p>
    <w:p w:rsidR="00BC1FFE" w:rsidRDefault="00BC1FFE" w:rsidP="007B2E82">
      <w:pPr>
        <w:spacing w:line="360" w:lineRule="auto"/>
        <w:rPr>
          <w:sz w:val="24"/>
          <w:szCs w:val="24"/>
        </w:rPr>
      </w:pPr>
    </w:p>
    <w:p w:rsidR="00993054" w:rsidRDefault="00993054" w:rsidP="007B2E82">
      <w:pPr>
        <w:spacing w:line="360" w:lineRule="auto"/>
        <w:rPr>
          <w:sz w:val="24"/>
          <w:szCs w:val="24"/>
        </w:rPr>
      </w:pPr>
    </w:p>
    <w:p w:rsidR="006B444B" w:rsidRDefault="006B444B" w:rsidP="007B2E82">
      <w:pPr>
        <w:spacing w:line="360" w:lineRule="auto"/>
        <w:rPr>
          <w:sz w:val="24"/>
          <w:szCs w:val="24"/>
        </w:rPr>
      </w:pPr>
    </w:p>
    <w:p w:rsidR="006B444B" w:rsidRPr="007B2E82" w:rsidRDefault="006B444B" w:rsidP="007B2E82">
      <w:pPr>
        <w:spacing w:line="360" w:lineRule="auto"/>
        <w:rPr>
          <w:sz w:val="24"/>
          <w:szCs w:val="24"/>
        </w:rPr>
      </w:pPr>
    </w:p>
    <w:p w:rsidR="00993054" w:rsidRPr="007B2E82" w:rsidRDefault="00013F48" w:rsidP="007B2E82">
      <w:pPr>
        <w:spacing w:line="360" w:lineRule="auto"/>
        <w:jc w:val="center"/>
        <w:rPr>
          <w:sz w:val="24"/>
          <w:szCs w:val="24"/>
        </w:rPr>
      </w:pPr>
      <w:r w:rsidRPr="007B2E82">
        <w:rPr>
          <w:sz w:val="24"/>
          <w:szCs w:val="24"/>
          <w:u w:val="single"/>
        </w:rPr>
        <w:lastRenderedPageBreak/>
        <w:t>CONCLUSIONS OF LAW</w:t>
      </w:r>
    </w:p>
    <w:p w:rsidR="00013F48" w:rsidRPr="007B2E82" w:rsidRDefault="00013F48" w:rsidP="007B2E82">
      <w:pPr>
        <w:spacing w:line="360" w:lineRule="auto"/>
        <w:jc w:val="center"/>
        <w:rPr>
          <w:sz w:val="24"/>
          <w:szCs w:val="24"/>
        </w:rPr>
      </w:pPr>
    </w:p>
    <w:p w:rsidR="005015B8" w:rsidRDefault="00013F48" w:rsidP="005015B8">
      <w:pPr>
        <w:spacing w:line="360" w:lineRule="auto"/>
        <w:jc w:val="both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>1.</w:t>
      </w:r>
      <w:r w:rsidRPr="007B2E82">
        <w:rPr>
          <w:sz w:val="24"/>
          <w:szCs w:val="24"/>
        </w:rPr>
        <w:tab/>
      </w:r>
      <w:r w:rsidR="005015B8" w:rsidRPr="005015B8">
        <w:rPr>
          <w:sz w:val="24"/>
          <w:szCs w:val="24"/>
        </w:rPr>
        <w:t xml:space="preserve">The Commission has jurisdiction over the subject matter and parties to this proceeding.  </w:t>
      </w:r>
      <w:proofErr w:type="gramStart"/>
      <w:r w:rsidR="005015B8" w:rsidRPr="005015B8">
        <w:rPr>
          <w:sz w:val="24"/>
          <w:szCs w:val="24"/>
        </w:rPr>
        <w:t>66 Pa. C.S. §701.</w:t>
      </w:r>
      <w:proofErr w:type="gramEnd"/>
    </w:p>
    <w:p w:rsidR="005015B8" w:rsidRDefault="005015B8" w:rsidP="005015B8">
      <w:pPr>
        <w:spacing w:line="360" w:lineRule="auto"/>
        <w:jc w:val="both"/>
        <w:rPr>
          <w:sz w:val="24"/>
          <w:szCs w:val="24"/>
        </w:rPr>
      </w:pP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Pr="005015B8">
        <w:rPr>
          <w:sz w:val="24"/>
          <w:szCs w:val="24"/>
        </w:rPr>
        <w:t xml:space="preserve">The party filing the Complaint bears the burden of proving that he or she is entitled to relief from the Commission.  </w:t>
      </w:r>
      <w:proofErr w:type="gramStart"/>
      <w:r w:rsidRPr="005015B8">
        <w:rPr>
          <w:sz w:val="24"/>
          <w:szCs w:val="24"/>
        </w:rPr>
        <w:t>66 Pa.C.S.</w:t>
      </w:r>
      <w:proofErr w:type="gramEnd"/>
      <w:r w:rsidRPr="005015B8">
        <w:rPr>
          <w:sz w:val="24"/>
          <w:szCs w:val="24"/>
        </w:rPr>
        <w:t xml:space="preserve"> § 332(a).  </w:t>
      </w: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5015B8">
        <w:rPr>
          <w:sz w:val="24"/>
          <w:szCs w:val="24"/>
        </w:rPr>
        <w:t>.</w:t>
      </w:r>
      <w:r w:rsidRPr="005015B8">
        <w:rPr>
          <w:sz w:val="24"/>
          <w:szCs w:val="24"/>
        </w:rPr>
        <w:tab/>
        <w:t xml:space="preserve">“Burden of proof” means a duty to establish one’s case by a preponderance of the evidence, which requires that the evidence be more convincing by even the smallest degree, than the evidence presented by the other side.  </w:t>
      </w:r>
      <w:proofErr w:type="gramStart"/>
      <w:r w:rsidRPr="005015B8">
        <w:rPr>
          <w:i/>
          <w:sz w:val="24"/>
          <w:szCs w:val="24"/>
        </w:rPr>
        <w:t>Se-Ling Hosiery, Inc. v. Margulies</w:t>
      </w:r>
      <w:r w:rsidRPr="005015B8">
        <w:rPr>
          <w:sz w:val="24"/>
          <w:szCs w:val="24"/>
        </w:rPr>
        <w:t>, 364 Pa. 45, 70 A.2d 854 (1950).</w:t>
      </w:r>
      <w:proofErr w:type="gramEnd"/>
      <w:r w:rsidRPr="005015B8">
        <w:rPr>
          <w:sz w:val="24"/>
          <w:szCs w:val="24"/>
        </w:rPr>
        <w:t xml:space="preserve">  </w:t>
      </w: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841">
        <w:rPr>
          <w:sz w:val="24"/>
          <w:szCs w:val="24"/>
        </w:rPr>
        <w:t>4</w:t>
      </w:r>
      <w:r w:rsidRPr="005015B8">
        <w:rPr>
          <w:sz w:val="24"/>
          <w:szCs w:val="24"/>
        </w:rPr>
        <w:t>.</w:t>
      </w:r>
      <w:r w:rsidRPr="005015B8">
        <w:rPr>
          <w:sz w:val="24"/>
          <w:szCs w:val="24"/>
        </w:rPr>
        <w:tab/>
        <w:t xml:space="preserve">Complainant has not sustained his burden of proof regarding </w:t>
      </w:r>
      <w:r w:rsidR="00652841">
        <w:rPr>
          <w:sz w:val="24"/>
          <w:szCs w:val="24"/>
        </w:rPr>
        <w:t xml:space="preserve">the existence of or his eligibility for </w:t>
      </w:r>
      <w:r>
        <w:rPr>
          <w:sz w:val="24"/>
          <w:szCs w:val="24"/>
        </w:rPr>
        <w:t xml:space="preserve">an exemption from the requirement of installing a backflow preventer at his </w:t>
      </w:r>
      <w:r w:rsidRPr="005015B8">
        <w:rPr>
          <w:sz w:val="24"/>
          <w:szCs w:val="24"/>
        </w:rPr>
        <w:t>commercial property.</w:t>
      </w: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841">
        <w:rPr>
          <w:sz w:val="24"/>
          <w:szCs w:val="24"/>
        </w:rPr>
        <w:t>5</w:t>
      </w:r>
      <w:r w:rsidRPr="005015B8">
        <w:rPr>
          <w:sz w:val="24"/>
          <w:szCs w:val="24"/>
        </w:rPr>
        <w:t>.</w:t>
      </w:r>
      <w:r w:rsidRPr="005015B8">
        <w:rPr>
          <w:sz w:val="24"/>
          <w:szCs w:val="24"/>
        </w:rPr>
        <w:tab/>
        <w:t xml:space="preserve">Complainant has not sustained his burden of proof that the Company has unreasonably </w:t>
      </w:r>
      <w:r>
        <w:rPr>
          <w:sz w:val="24"/>
          <w:szCs w:val="24"/>
        </w:rPr>
        <w:t>or</w:t>
      </w:r>
      <w:r w:rsidRPr="005015B8">
        <w:rPr>
          <w:sz w:val="24"/>
          <w:szCs w:val="24"/>
        </w:rPr>
        <w:t xml:space="preserve"> unjustly mandated that a testable, backflow preventer device be installed at the service address.</w:t>
      </w:r>
    </w:p>
    <w:p w:rsidR="005015B8" w:rsidRPr="005015B8" w:rsidRDefault="005015B8" w:rsidP="005015B8">
      <w:pPr>
        <w:spacing w:line="360" w:lineRule="auto"/>
        <w:jc w:val="both"/>
        <w:rPr>
          <w:sz w:val="24"/>
          <w:szCs w:val="24"/>
        </w:rPr>
      </w:pPr>
    </w:p>
    <w:p w:rsidR="006C2EEF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841">
        <w:rPr>
          <w:sz w:val="24"/>
          <w:szCs w:val="24"/>
        </w:rPr>
        <w:t>6</w:t>
      </w:r>
      <w:r w:rsidRPr="005015B8">
        <w:rPr>
          <w:sz w:val="24"/>
          <w:szCs w:val="24"/>
        </w:rPr>
        <w:t>.</w:t>
      </w:r>
      <w:r w:rsidRPr="005015B8">
        <w:rPr>
          <w:sz w:val="24"/>
          <w:szCs w:val="24"/>
        </w:rPr>
        <w:tab/>
        <w:t xml:space="preserve">A Commission-approved tariff has the force of law and is binding on the utility and the customer.  </w:t>
      </w:r>
      <w:proofErr w:type="gramStart"/>
      <w:r w:rsidRPr="005015B8">
        <w:rPr>
          <w:i/>
          <w:sz w:val="24"/>
          <w:szCs w:val="24"/>
        </w:rPr>
        <w:t>Brockway Glass Co. v. Pa. Pub.</w:t>
      </w:r>
      <w:proofErr w:type="gramEnd"/>
      <w:r w:rsidRPr="005015B8">
        <w:rPr>
          <w:i/>
          <w:sz w:val="24"/>
          <w:szCs w:val="24"/>
        </w:rPr>
        <w:t xml:space="preserve"> Util. Comm’n</w:t>
      </w:r>
      <w:r w:rsidRPr="005015B8">
        <w:rPr>
          <w:sz w:val="24"/>
          <w:szCs w:val="24"/>
        </w:rPr>
        <w:t xml:space="preserve">, 63 Pa. Commw. </w:t>
      </w:r>
      <w:proofErr w:type="gramStart"/>
      <w:r w:rsidRPr="005015B8">
        <w:rPr>
          <w:sz w:val="24"/>
          <w:szCs w:val="24"/>
        </w:rPr>
        <w:t>Ct. 238, 437 A.2d 1067 (Pa.</w:t>
      </w:r>
      <w:r w:rsidR="00BF7AE6">
        <w:rPr>
          <w:sz w:val="24"/>
          <w:szCs w:val="24"/>
        </w:rPr>
        <w:t xml:space="preserve"> </w:t>
      </w:r>
      <w:r w:rsidRPr="005015B8">
        <w:rPr>
          <w:sz w:val="24"/>
          <w:szCs w:val="24"/>
        </w:rPr>
        <w:t>Cmwlth. 1981).</w:t>
      </w:r>
      <w:proofErr w:type="gramEnd"/>
      <w:r w:rsidRPr="005015B8">
        <w:rPr>
          <w:sz w:val="24"/>
          <w:szCs w:val="24"/>
        </w:rPr>
        <w:t xml:space="preserve"> </w:t>
      </w:r>
    </w:p>
    <w:p w:rsidR="006C2EEF" w:rsidRDefault="006C2EEF" w:rsidP="005015B8">
      <w:pPr>
        <w:spacing w:line="360" w:lineRule="auto"/>
        <w:jc w:val="both"/>
        <w:rPr>
          <w:sz w:val="24"/>
          <w:szCs w:val="24"/>
        </w:rPr>
      </w:pPr>
    </w:p>
    <w:p w:rsidR="00013F48" w:rsidRDefault="005015B8" w:rsidP="005015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2EEF">
        <w:rPr>
          <w:sz w:val="24"/>
          <w:szCs w:val="24"/>
        </w:rPr>
        <w:tab/>
      </w:r>
      <w:r w:rsidR="006C2EEF">
        <w:rPr>
          <w:sz w:val="24"/>
          <w:szCs w:val="24"/>
        </w:rPr>
        <w:tab/>
        <w:t>7.</w:t>
      </w:r>
      <w:r w:rsidR="006C2EEF">
        <w:rPr>
          <w:sz w:val="24"/>
          <w:szCs w:val="24"/>
        </w:rPr>
        <w:tab/>
      </w:r>
      <w:r w:rsidR="006C2EEF" w:rsidRPr="006C2EEF">
        <w:rPr>
          <w:sz w:val="24"/>
          <w:szCs w:val="24"/>
        </w:rPr>
        <w:t xml:space="preserve">Pursuant to </w:t>
      </w:r>
      <w:proofErr w:type="spellStart"/>
      <w:r w:rsidR="006C2EEF" w:rsidRPr="006C2EEF">
        <w:rPr>
          <w:sz w:val="24"/>
          <w:szCs w:val="24"/>
        </w:rPr>
        <w:t>Aqua’s</w:t>
      </w:r>
      <w:proofErr w:type="spellEnd"/>
      <w:r w:rsidR="006C2EEF" w:rsidRPr="006C2EEF">
        <w:rPr>
          <w:sz w:val="24"/>
          <w:szCs w:val="24"/>
        </w:rPr>
        <w:t xml:space="preserve"> tariff, a commercial customer with an existing connection to the Company’s distribution system will furnish, install and maintain a Company approved backflow prevention, cross-connection control or other special device at the Company’s request.  </w:t>
      </w:r>
      <w:proofErr w:type="gramStart"/>
      <w:r w:rsidR="006C2EEF" w:rsidRPr="006C2EEF">
        <w:rPr>
          <w:sz w:val="24"/>
          <w:szCs w:val="24"/>
        </w:rPr>
        <w:t>Aqua Exhibit No. 2; Aqua Exhibit No. 4, Rule 5.1.</w:t>
      </w:r>
      <w:proofErr w:type="gramEnd"/>
    </w:p>
    <w:p w:rsidR="00652841" w:rsidRDefault="00652841" w:rsidP="005015B8">
      <w:pPr>
        <w:spacing w:line="360" w:lineRule="auto"/>
        <w:jc w:val="both"/>
        <w:rPr>
          <w:sz w:val="24"/>
          <w:szCs w:val="24"/>
        </w:rPr>
      </w:pPr>
    </w:p>
    <w:p w:rsidR="00652841" w:rsidRDefault="00652841" w:rsidP="005015B8">
      <w:pPr>
        <w:spacing w:line="360" w:lineRule="auto"/>
        <w:jc w:val="both"/>
        <w:rPr>
          <w:sz w:val="24"/>
          <w:szCs w:val="24"/>
        </w:rPr>
      </w:pPr>
    </w:p>
    <w:p w:rsidR="006B1387" w:rsidRDefault="006B1387" w:rsidP="005015B8">
      <w:pPr>
        <w:spacing w:line="360" w:lineRule="auto"/>
        <w:jc w:val="center"/>
        <w:rPr>
          <w:sz w:val="24"/>
          <w:szCs w:val="24"/>
          <w:u w:val="single"/>
        </w:rPr>
      </w:pPr>
      <w:r w:rsidRPr="007B2E82">
        <w:rPr>
          <w:sz w:val="24"/>
          <w:szCs w:val="24"/>
          <w:u w:val="single"/>
        </w:rPr>
        <w:lastRenderedPageBreak/>
        <w:t>ORDER</w:t>
      </w:r>
    </w:p>
    <w:p w:rsidR="000D4208" w:rsidRPr="007B2E82" w:rsidRDefault="000D4208" w:rsidP="007B2E82">
      <w:pPr>
        <w:spacing w:line="360" w:lineRule="auto"/>
        <w:jc w:val="center"/>
        <w:rPr>
          <w:sz w:val="24"/>
          <w:szCs w:val="24"/>
          <w:u w:val="single"/>
        </w:rPr>
      </w:pPr>
    </w:p>
    <w:p w:rsidR="00013F48" w:rsidRPr="007B2E82" w:rsidRDefault="00013F48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>THEREFORE,</w:t>
      </w:r>
    </w:p>
    <w:p w:rsidR="00013F48" w:rsidRPr="007B2E82" w:rsidRDefault="00013F48" w:rsidP="007B2E82">
      <w:pPr>
        <w:rPr>
          <w:sz w:val="24"/>
          <w:szCs w:val="24"/>
        </w:rPr>
      </w:pPr>
    </w:p>
    <w:p w:rsidR="00013F48" w:rsidRPr="007B2E82" w:rsidRDefault="00013F48" w:rsidP="007B2E82">
      <w:pPr>
        <w:spacing w:line="360" w:lineRule="auto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  <w:t>IT IS ORDERED:</w:t>
      </w:r>
    </w:p>
    <w:p w:rsidR="00013F48" w:rsidRPr="007B2E82" w:rsidRDefault="00013F48" w:rsidP="007B2E82">
      <w:pPr>
        <w:spacing w:line="360" w:lineRule="auto"/>
        <w:rPr>
          <w:sz w:val="24"/>
          <w:szCs w:val="24"/>
        </w:rPr>
      </w:pPr>
    </w:p>
    <w:p w:rsidR="005015B8" w:rsidRPr="005015B8" w:rsidRDefault="005015B8" w:rsidP="005015B8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Pr="005015B8">
        <w:rPr>
          <w:sz w:val="24"/>
          <w:szCs w:val="24"/>
        </w:rPr>
        <w:t xml:space="preserve">That the formal Complaint filed by </w:t>
      </w:r>
      <w:r>
        <w:rPr>
          <w:sz w:val="24"/>
          <w:szCs w:val="24"/>
        </w:rPr>
        <w:t xml:space="preserve">Harold Taylor, Jr., </w:t>
      </w:r>
      <w:r w:rsidRPr="005015B8">
        <w:rPr>
          <w:sz w:val="24"/>
          <w:szCs w:val="24"/>
        </w:rPr>
        <w:t>against Aqua Pennsylvania, Inc. at Docket No. C-20</w:t>
      </w:r>
      <w:r>
        <w:rPr>
          <w:sz w:val="24"/>
          <w:szCs w:val="24"/>
        </w:rPr>
        <w:t>11</w:t>
      </w:r>
      <w:r w:rsidRPr="005015B8">
        <w:rPr>
          <w:sz w:val="24"/>
          <w:szCs w:val="24"/>
        </w:rPr>
        <w:t>-2</w:t>
      </w:r>
      <w:r>
        <w:rPr>
          <w:sz w:val="24"/>
          <w:szCs w:val="24"/>
        </w:rPr>
        <w:t>266012</w:t>
      </w:r>
      <w:r w:rsidRPr="005015B8">
        <w:rPr>
          <w:sz w:val="24"/>
          <w:szCs w:val="24"/>
        </w:rPr>
        <w:t xml:space="preserve"> is dismissed.</w:t>
      </w:r>
    </w:p>
    <w:p w:rsidR="005015B8" w:rsidRPr="005015B8" w:rsidRDefault="005015B8" w:rsidP="005015B8">
      <w:pPr>
        <w:pStyle w:val="BodyText"/>
        <w:spacing w:line="360" w:lineRule="auto"/>
        <w:rPr>
          <w:sz w:val="24"/>
          <w:szCs w:val="24"/>
        </w:rPr>
      </w:pPr>
    </w:p>
    <w:p w:rsidR="005015B8" w:rsidRDefault="005015B8" w:rsidP="00BF7AE6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Pr="005015B8">
        <w:rPr>
          <w:sz w:val="24"/>
          <w:szCs w:val="24"/>
        </w:rPr>
        <w:t xml:space="preserve">That Complainant, </w:t>
      </w:r>
      <w:r>
        <w:rPr>
          <w:sz w:val="24"/>
          <w:szCs w:val="24"/>
        </w:rPr>
        <w:t xml:space="preserve">Harold Taylor, Jr., </w:t>
      </w:r>
      <w:r w:rsidRPr="005015B8">
        <w:rPr>
          <w:sz w:val="24"/>
          <w:szCs w:val="24"/>
        </w:rPr>
        <w:t xml:space="preserve">is directed to install the appropriate testable, backflow preventer device at </w:t>
      </w:r>
      <w:r>
        <w:rPr>
          <w:sz w:val="24"/>
          <w:szCs w:val="24"/>
        </w:rPr>
        <w:t xml:space="preserve">402 North Penn Street, West Chester, </w:t>
      </w:r>
      <w:r w:rsidRPr="005015B8">
        <w:rPr>
          <w:sz w:val="24"/>
          <w:szCs w:val="24"/>
        </w:rPr>
        <w:t>Pennsylvania within 90 days of</w:t>
      </w:r>
      <w:r>
        <w:rPr>
          <w:sz w:val="24"/>
          <w:szCs w:val="24"/>
        </w:rPr>
        <w:t xml:space="preserve"> entry of the Commission Order in this case.</w:t>
      </w:r>
    </w:p>
    <w:p w:rsidR="005015B8" w:rsidRPr="005015B8" w:rsidRDefault="005015B8" w:rsidP="00BF7AE6">
      <w:pPr>
        <w:pStyle w:val="BodyText"/>
        <w:spacing w:line="360" w:lineRule="auto"/>
        <w:rPr>
          <w:sz w:val="24"/>
          <w:szCs w:val="24"/>
        </w:rPr>
      </w:pPr>
    </w:p>
    <w:p w:rsidR="005015B8" w:rsidRDefault="005015B8" w:rsidP="005015B8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Pr="005015B8">
        <w:rPr>
          <w:sz w:val="24"/>
          <w:szCs w:val="24"/>
        </w:rPr>
        <w:t xml:space="preserve">That if </w:t>
      </w:r>
      <w:r w:rsidR="00AE185D" w:rsidRPr="00AE185D">
        <w:rPr>
          <w:sz w:val="24"/>
          <w:szCs w:val="24"/>
        </w:rPr>
        <w:t>Harold Taylor, Jr.,</w:t>
      </w:r>
      <w:r>
        <w:rPr>
          <w:sz w:val="24"/>
          <w:szCs w:val="24"/>
        </w:rPr>
        <w:t xml:space="preserve"> </w:t>
      </w:r>
      <w:r w:rsidRPr="005015B8">
        <w:rPr>
          <w:sz w:val="24"/>
          <w:szCs w:val="24"/>
        </w:rPr>
        <w:t xml:space="preserve">fails to comply with the above ordering paragraph, Aqua may initiate procedures to terminate water service at </w:t>
      </w:r>
      <w:r w:rsidR="00AE185D" w:rsidRPr="00AE185D">
        <w:rPr>
          <w:sz w:val="24"/>
          <w:szCs w:val="24"/>
        </w:rPr>
        <w:t>402 North Penn Street, West Chester, Pennsylvania</w:t>
      </w:r>
      <w:r w:rsidRPr="005015B8">
        <w:rPr>
          <w:sz w:val="24"/>
          <w:szCs w:val="24"/>
        </w:rPr>
        <w:t xml:space="preserve"> consistent with the Company’s tariff, Commission regulations, statute and Orders.</w:t>
      </w:r>
    </w:p>
    <w:p w:rsidR="00BF7AE6" w:rsidRPr="005015B8" w:rsidRDefault="00BF7AE6" w:rsidP="005015B8">
      <w:pPr>
        <w:pStyle w:val="BodyText"/>
        <w:spacing w:line="360" w:lineRule="auto"/>
        <w:rPr>
          <w:sz w:val="24"/>
          <w:szCs w:val="24"/>
        </w:rPr>
      </w:pPr>
    </w:p>
    <w:p w:rsidR="005015B8" w:rsidRPr="005015B8" w:rsidRDefault="005015B8" w:rsidP="005015B8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</w:r>
      <w:r w:rsidRPr="005015B8">
        <w:rPr>
          <w:sz w:val="24"/>
          <w:szCs w:val="24"/>
        </w:rPr>
        <w:t>That the Secretary’s Bureau shall mark the record at Docket No. C-20</w:t>
      </w:r>
      <w:r w:rsidR="00AE185D">
        <w:rPr>
          <w:sz w:val="24"/>
          <w:szCs w:val="24"/>
        </w:rPr>
        <w:t>11</w:t>
      </w:r>
      <w:r w:rsidRPr="005015B8">
        <w:rPr>
          <w:sz w:val="24"/>
          <w:szCs w:val="24"/>
        </w:rPr>
        <w:t>-2</w:t>
      </w:r>
      <w:r w:rsidR="00AE185D">
        <w:rPr>
          <w:sz w:val="24"/>
          <w:szCs w:val="24"/>
        </w:rPr>
        <w:t>266012</w:t>
      </w:r>
      <w:r w:rsidRPr="005015B8">
        <w:rPr>
          <w:sz w:val="24"/>
          <w:szCs w:val="24"/>
        </w:rPr>
        <w:t xml:space="preserve"> closed.</w:t>
      </w:r>
    </w:p>
    <w:p w:rsidR="00ED3EC8" w:rsidRPr="007B2E82" w:rsidRDefault="00ED3EC8" w:rsidP="007B2E82">
      <w:pPr>
        <w:spacing w:line="360" w:lineRule="auto"/>
        <w:rPr>
          <w:sz w:val="24"/>
          <w:szCs w:val="24"/>
        </w:rPr>
      </w:pPr>
    </w:p>
    <w:p w:rsidR="00ED3EC8" w:rsidRPr="007B2E82" w:rsidRDefault="00ED3EC8" w:rsidP="007B2E82">
      <w:pPr>
        <w:spacing w:line="360" w:lineRule="auto"/>
        <w:rPr>
          <w:sz w:val="24"/>
          <w:szCs w:val="24"/>
        </w:rPr>
      </w:pPr>
    </w:p>
    <w:p w:rsidR="00ED3EC8" w:rsidRPr="007B2E82" w:rsidRDefault="00ED3EC8" w:rsidP="007B2E82">
      <w:pPr>
        <w:pStyle w:val="NoSpacing"/>
        <w:rPr>
          <w:sz w:val="24"/>
          <w:szCs w:val="24"/>
        </w:rPr>
      </w:pPr>
      <w:r w:rsidRPr="007B2E82">
        <w:rPr>
          <w:sz w:val="24"/>
          <w:szCs w:val="24"/>
        </w:rPr>
        <w:t>Dated:</w:t>
      </w:r>
      <w:r w:rsidR="005015B8">
        <w:rPr>
          <w:sz w:val="24"/>
          <w:szCs w:val="24"/>
        </w:rPr>
        <w:t xml:space="preserve">  </w:t>
      </w:r>
      <w:r w:rsidR="005015B8">
        <w:rPr>
          <w:sz w:val="24"/>
          <w:szCs w:val="24"/>
          <w:u w:val="single"/>
        </w:rPr>
        <w:t>May 15</w:t>
      </w:r>
      <w:r w:rsidR="00890848" w:rsidRPr="007F1E22">
        <w:rPr>
          <w:sz w:val="24"/>
          <w:szCs w:val="24"/>
          <w:u w:val="single"/>
        </w:rPr>
        <w:t>, 201</w:t>
      </w:r>
      <w:r w:rsidR="005015B8">
        <w:rPr>
          <w:sz w:val="24"/>
          <w:szCs w:val="24"/>
          <w:u w:val="single"/>
        </w:rPr>
        <w:t>2</w:t>
      </w:r>
      <w:r w:rsidRPr="007B2E82">
        <w:rPr>
          <w:sz w:val="24"/>
          <w:szCs w:val="24"/>
        </w:rPr>
        <w:tab/>
      </w:r>
      <w:r w:rsidR="005015B8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013F48"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>______________________________</w:t>
      </w:r>
    </w:p>
    <w:p w:rsidR="00ED3EC8" w:rsidRPr="007B2E82" w:rsidRDefault="00ED3EC8" w:rsidP="007B2E82">
      <w:pPr>
        <w:pStyle w:val="NoSpacing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013F48" w:rsidRPr="007B2E82">
        <w:rPr>
          <w:sz w:val="24"/>
          <w:szCs w:val="24"/>
        </w:rPr>
        <w:tab/>
      </w:r>
      <w:r w:rsidR="008E19D7" w:rsidRPr="007B2E82">
        <w:rPr>
          <w:sz w:val="24"/>
          <w:szCs w:val="24"/>
        </w:rPr>
        <w:t>Dennis J. Buckley</w:t>
      </w:r>
    </w:p>
    <w:p w:rsidR="00C04960" w:rsidRPr="007B2E82" w:rsidRDefault="00ED3EC8" w:rsidP="007B2E82">
      <w:pPr>
        <w:pStyle w:val="NoSpacing"/>
        <w:rPr>
          <w:sz w:val="24"/>
          <w:szCs w:val="24"/>
        </w:rPr>
      </w:pP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ab/>
      </w:r>
      <w:r w:rsidR="00013F48" w:rsidRPr="007B2E82">
        <w:rPr>
          <w:sz w:val="24"/>
          <w:szCs w:val="24"/>
        </w:rPr>
        <w:tab/>
      </w:r>
      <w:r w:rsidRPr="007B2E82">
        <w:rPr>
          <w:sz w:val="24"/>
          <w:szCs w:val="24"/>
        </w:rPr>
        <w:t>Administrative Law Judge</w:t>
      </w:r>
    </w:p>
    <w:p w:rsidR="00477566" w:rsidRPr="007B2E82" w:rsidRDefault="00477566" w:rsidP="007B2E82">
      <w:pPr>
        <w:pStyle w:val="NoSpacing"/>
        <w:rPr>
          <w:sz w:val="24"/>
          <w:szCs w:val="24"/>
        </w:rPr>
      </w:pPr>
    </w:p>
    <w:p w:rsidR="00477566" w:rsidRPr="007B2E82" w:rsidRDefault="00477566" w:rsidP="007B2E82">
      <w:pPr>
        <w:pStyle w:val="NoSpacing"/>
        <w:rPr>
          <w:sz w:val="24"/>
          <w:szCs w:val="24"/>
        </w:rPr>
      </w:pPr>
    </w:p>
    <w:sectPr w:rsidR="00477566" w:rsidRPr="007B2E82" w:rsidSect="007B2E8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F8" w:rsidRDefault="00183FF8">
      <w:r>
        <w:separator/>
      </w:r>
    </w:p>
  </w:endnote>
  <w:endnote w:type="continuationSeparator" w:id="0">
    <w:p w:rsidR="00183FF8" w:rsidRDefault="0018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3B027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Pr="007E069F" w:rsidRDefault="003B0276" w:rsidP="00ED3EC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7E069F">
      <w:rPr>
        <w:rStyle w:val="PageNumber"/>
        <w:sz w:val="20"/>
        <w:szCs w:val="20"/>
      </w:rPr>
      <w:fldChar w:fldCharType="begin"/>
    </w:r>
    <w:r w:rsidR="00ED3EC8" w:rsidRPr="007E069F">
      <w:rPr>
        <w:rStyle w:val="PageNumber"/>
        <w:sz w:val="20"/>
        <w:szCs w:val="20"/>
      </w:rPr>
      <w:instrText xml:space="preserve">PAGE  </w:instrText>
    </w:r>
    <w:r w:rsidRPr="007E069F">
      <w:rPr>
        <w:rStyle w:val="PageNumber"/>
        <w:sz w:val="20"/>
        <w:szCs w:val="20"/>
      </w:rPr>
      <w:fldChar w:fldCharType="separate"/>
    </w:r>
    <w:r w:rsidR="00375AC2">
      <w:rPr>
        <w:rStyle w:val="PageNumber"/>
        <w:noProof/>
        <w:sz w:val="20"/>
        <w:szCs w:val="20"/>
      </w:rPr>
      <w:t>9</w:t>
    </w:r>
    <w:r w:rsidRPr="007E069F">
      <w:rPr>
        <w:rStyle w:val="PageNumber"/>
        <w:sz w:val="20"/>
        <w:szCs w:val="20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F8" w:rsidRDefault="00183FF8">
      <w:r>
        <w:separator/>
      </w:r>
    </w:p>
  </w:footnote>
  <w:footnote w:type="continuationSeparator" w:id="0">
    <w:p w:rsidR="00183FF8" w:rsidRDefault="00183FF8">
      <w:r>
        <w:continuationSeparator/>
      </w:r>
    </w:p>
  </w:footnote>
  <w:footnote w:id="1">
    <w:p w:rsidR="001F6817" w:rsidRDefault="001F6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166750">
        <w:t xml:space="preserve">An informal Complaint previously filed with </w:t>
      </w:r>
      <w:r>
        <w:t>the Commission’s Bureau of Consumer Services (BCS) at Case No. 2</w:t>
      </w:r>
      <w:r w:rsidR="00166750">
        <w:t>857961 had been closed without a determination as Complainant wished to pursue a formal Complaint.</w:t>
      </w:r>
    </w:p>
  </w:footnote>
  <w:footnote w:id="2">
    <w:p w:rsidR="00791449" w:rsidRDefault="007914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42 U.S.C. § 300f</w:t>
      </w:r>
      <w:r w:rsidR="00FC74E1">
        <w:t>,</w:t>
      </w:r>
      <w:r>
        <w:t xml:space="preserve"> and </w:t>
      </w:r>
      <w:r w:rsidRPr="00791449">
        <w:t>35 P.S. §§ 721.1 - 721.17</w:t>
      </w:r>
      <w:r>
        <w:t>, respectively.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F72"/>
    <w:multiLevelType w:val="hybridMultilevel"/>
    <w:tmpl w:val="25F46442"/>
    <w:lvl w:ilvl="0" w:tplc="A9269EEE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06BA"/>
    <w:rsid w:val="00001B92"/>
    <w:rsid w:val="00001E3A"/>
    <w:rsid w:val="00001EF6"/>
    <w:rsid w:val="00003D11"/>
    <w:rsid w:val="00005558"/>
    <w:rsid w:val="000079FE"/>
    <w:rsid w:val="00010AF8"/>
    <w:rsid w:val="00012104"/>
    <w:rsid w:val="0001305A"/>
    <w:rsid w:val="00013F48"/>
    <w:rsid w:val="00016E55"/>
    <w:rsid w:val="0002105C"/>
    <w:rsid w:val="00035BB8"/>
    <w:rsid w:val="00050520"/>
    <w:rsid w:val="000513F0"/>
    <w:rsid w:val="000541C0"/>
    <w:rsid w:val="000576ED"/>
    <w:rsid w:val="000576F6"/>
    <w:rsid w:val="000605B6"/>
    <w:rsid w:val="00061278"/>
    <w:rsid w:val="000634EB"/>
    <w:rsid w:val="00063801"/>
    <w:rsid w:val="00067CBC"/>
    <w:rsid w:val="00087D34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D4208"/>
    <w:rsid w:val="000E5FB2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96B"/>
    <w:rsid w:val="00124A2A"/>
    <w:rsid w:val="00124D49"/>
    <w:rsid w:val="001406F5"/>
    <w:rsid w:val="00140A18"/>
    <w:rsid w:val="0014105E"/>
    <w:rsid w:val="00141AFE"/>
    <w:rsid w:val="00143142"/>
    <w:rsid w:val="00155E87"/>
    <w:rsid w:val="00157E46"/>
    <w:rsid w:val="00162908"/>
    <w:rsid w:val="00162D2F"/>
    <w:rsid w:val="00166750"/>
    <w:rsid w:val="00172E8C"/>
    <w:rsid w:val="00174F7E"/>
    <w:rsid w:val="0017580D"/>
    <w:rsid w:val="00181AB1"/>
    <w:rsid w:val="00183909"/>
    <w:rsid w:val="00183FF8"/>
    <w:rsid w:val="001857EA"/>
    <w:rsid w:val="00191522"/>
    <w:rsid w:val="00192EB5"/>
    <w:rsid w:val="001966CB"/>
    <w:rsid w:val="001A103D"/>
    <w:rsid w:val="001A216A"/>
    <w:rsid w:val="001A3A8A"/>
    <w:rsid w:val="001A3E1A"/>
    <w:rsid w:val="001A4184"/>
    <w:rsid w:val="001B0EF6"/>
    <w:rsid w:val="001B1B1D"/>
    <w:rsid w:val="001B3D6F"/>
    <w:rsid w:val="001B3E78"/>
    <w:rsid w:val="001D0D25"/>
    <w:rsid w:val="001D1F1B"/>
    <w:rsid w:val="001E2642"/>
    <w:rsid w:val="001E3C9A"/>
    <w:rsid w:val="001E5447"/>
    <w:rsid w:val="001E79A7"/>
    <w:rsid w:val="001F0835"/>
    <w:rsid w:val="001F6817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4529C"/>
    <w:rsid w:val="00250147"/>
    <w:rsid w:val="00251E5A"/>
    <w:rsid w:val="00252DB6"/>
    <w:rsid w:val="002546D8"/>
    <w:rsid w:val="00260459"/>
    <w:rsid w:val="00264D05"/>
    <w:rsid w:val="00266522"/>
    <w:rsid w:val="0026705F"/>
    <w:rsid w:val="002704DD"/>
    <w:rsid w:val="00284760"/>
    <w:rsid w:val="0029096F"/>
    <w:rsid w:val="0029353E"/>
    <w:rsid w:val="00297286"/>
    <w:rsid w:val="002A05C6"/>
    <w:rsid w:val="002A5F4D"/>
    <w:rsid w:val="002A6FFE"/>
    <w:rsid w:val="002B4CC2"/>
    <w:rsid w:val="002B754D"/>
    <w:rsid w:val="002C3F09"/>
    <w:rsid w:val="002C4F02"/>
    <w:rsid w:val="002C79E3"/>
    <w:rsid w:val="002E7DDB"/>
    <w:rsid w:val="002F42FC"/>
    <w:rsid w:val="00304AA1"/>
    <w:rsid w:val="003053DC"/>
    <w:rsid w:val="00306375"/>
    <w:rsid w:val="00306C33"/>
    <w:rsid w:val="00316EDF"/>
    <w:rsid w:val="003201D4"/>
    <w:rsid w:val="00321DB1"/>
    <w:rsid w:val="003250E0"/>
    <w:rsid w:val="00330A67"/>
    <w:rsid w:val="00333FF7"/>
    <w:rsid w:val="00334F62"/>
    <w:rsid w:val="003364EB"/>
    <w:rsid w:val="003366D5"/>
    <w:rsid w:val="00344C34"/>
    <w:rsid w:val="00354574"/>
    <w:rsid w:val="00360F5F"/>
    <w:rsid w:val="0036124A"/>
    <w:rsid w:val="00365459"/>
    <w:rsid w:val="0036754C"/>
    <w:rsid w:val="00375AC2"/>
    <w:rsid w:val="0038073F"/>
    <w:rsid w:val="00381B05"/>
    <w:rsid w:val="00386626"/>
    <w:rsid w:val="00390929"/>
    <w:rsid w:val="003A0B9C"/>
    <w:rsid w:val="003A0E5A"/>
    <w:rsid w:val="003A4C58"/>
    <w:rsid w:val="003A7581"/>
    <w:rsid w:val="003B0276"/>
    <w:rsid w:val="003B4D40"/>
    <w:rsid w:val="003B5D19"/>
    <w:rsid w:val="003B610B"/>
    <w:rsid w:val="003C47E8"/>
    <w:rsid w:val="003C7919"/>
    <w:rsid w:val="003D6389"/>
    <w:rsid w:val="003E2B14"/>
    <w:rsid w:val="003F01A7"/>
    <w:rsid w:val="004047B1"/>
    <w:rsid w:val="00405CCE"/>
    <w:rsid w:val="00405DC3"/>
    <w:rsid w:val="00407C2F"/>
    <w:rsid w:val="00411425"/>
    <w:rsid w:val="00413BA5"/>
    <w:rsid w:val="00426277"/>
    <w:rsid w:val="004262B3"/>
    <w:rsid w:val="00431130"/>
    <w:rsid w:val="00442254"/>
    <w:rsid w:val="00446B02"/>
    <w:rsid w:val="0045300F"/>
    <w:rsid w:val="00454158"/>
    <w:rsid w:val="00454723"/>
    <w:rsid w:val="00456657"/>
    <w:rsid w:val="00460140"/>
    <w:rsid w:val="0046238B"/>
    <w:rsid w:val="00464398"/>
    <w:rsid w:val="0047550E"/>
    <w:rsid w:val="00477566"/>
    <w:rsid w:val="00491F39"/>
    <w:rsid w:val="0049575D"/>
    <w:rsid w:val="004A5318"/>
    <w:rsid w:val="004A5FCA"/>
    <w:rsid w:val="004A741E"/>
    <w:rsid w:val="004B10D4"/>
    <w:rsid w:val="004B1ADE"/>
    <w:rsid w:val="004B570B"/>
    <w:rsid w:val="004B652A"/>
    <w:rsid w:val="004C30D2"/>
    <w:rsid w:val="004D0BE0"/>
    <w:rsid w:val="004D14F0"/>
    <w:rsid w:val="004D4A68"/>
    <w:rsid w:val="004E429F"/>
    <w:rsid w:val="004E64A1"/>
    <w:rsid w:val="004F25E0"/>
    <w:rsid w:val="004F2E8E"/>
    <w:rsid w:val="004F37CB"/>
    <w:rsid w:val="004F45CA"/>
    <w:rsid w:val="004F5598"/>
    <w:rsid w:val="005015B8"/>
    <w:rsid w:val="0050417A"/>
    <w:rsid w:val="00504F92"/>
    <w:rsid w:val="005078B3"/>
    <w:rsid w:val="00521B57"/>
    <w:rsid w:val="00522DE9"/>
    <w:rsid w:val="00523FBA"/>
    <w:rsid w:val="00524079"/>
    <w:rsid w:val="005255C0"/>
    <w:rsid w:val="005328F4"/>
    <w:rsid w:val="00532B33"/>
    <w:rsid w:val="0054248C"/>
    <w:rsid w:val="00547727"/>
    <w:rsid w:val="005534BD"/>
    <w:rsid w:val="0055472A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1211"/>
    <w:rsid w:val="005C373B"/>
    <w:rsid w:val="005C4AAA"/>
    <w:rsid w:val="005C734F"/>
    <w:rsid w:val="005D1442"/>
    <w:rsid w:val="005D2701"/>
    <w:rsid w:val="005D5AF1"/>
    <w:rsid w:val="005D75C8"/>
    <w:rsid w:val="005D7C65"/>
    <w:rsid w:val="005E13BA"/>
    <w:rsid w:val="005F064D"/>
    <w:rsid w:val="005F5A21"/>
    <w:rsid w:val="00600458"/>
    <w:rsid w:val="00603824"/>
    <w:rsid w:val="006060DD"/>
    <w:rsid w:val="00614812"/>
    <w:rsid w:val="00620850"/>
    <w:rsid w:val="00623DD7"/>
    <w:rsid w:val="00624D32"/>
    <w:rsid w:val="00626F9E"/>
    <w:rsid w:val="006273ED"/>
    <w:rsid w:val="0064750C"/>
    <w:rsid w:val="00647EF2"/>
    <w:rsid w:val="0065154A"/>
    <w:rsid w:val="00652841"/>
    <w:rsid w:val="00655BCF"/>
    <w:rsid w:val="006621E9"/>
    <w:rsid w:val="00664C73"/>
    <w:rsid w:val="00665DD9"/>
    <w:rsid w:val="00667C4C"/>
    <w:rsid w:val="006856E2"/>
    <w:rsid w:val="00695397"/>
    <w:rsid w:val="0069562F"/>
    <w:rsid w:val="006B1387"/>
    <w:rsid w:val="006B2FA8"/>
    <w:rsid w:val="006B3E08"/>
    <w:rsid w:val="006B444B"/>
    <w:rsid w:val="006C2EEF"/>
    <w:rsid w:val="006C4536"/>
    <w:rsid w:val="006C4572"/>
    <w:rsid w:val="006C51E2"/>
    <w:rsid w:val="006C5928"/>
    <w:rsid w:val="006C71BB"/>
    <w:rsid w:val="006D1276"/>
    <w:rsid w:val="006E670A"/>
    <w:rsid w:val="006F27FC"/>
    <w:rsid w:val="006F3153"/>
    <w:rsid w:val="006F4F6D"/>
    <w:rsid w:val="006F77EF"/>
    <w:rsid w:val="00705262"/>
    <w:rsid w:val="00705CA5"/>
    <w:rsid w:val="00716D0A"/>
    <w:rsid w:val="00721ECF"/>
    <w:rsid w:val="00725BEA"/>
    <w:rsid w:val="007306D1"/>
    <w:rsid w:val="007358BD"/>
    <w:rsid w:val="00742CE1"/>
    <w:rsid w:val="0074372C"/>
    <w:rsid w:val="00744C7C"/>
    <w:rsid w:val="00747C4D"/>
    <w:rsid w:val="0075585E"/>
    <w:rsid w:val="00765F0F"/>
    <w:rsid w:val="00767047"/>
    <w:rsid w:val="0078470A"/>
    <w:rsid w:val="00787AF1"/>
    <w:rsid w:val="00791449"/>
    <w:rsid w:val="007A1913"/>
    <w:rsid w:val="007B1039"/>
    <w:rsid w:val="007B14BD"/>
    <w:rsid w:val="007B2E82"/>
    <w:rsid w:val="007D28A3"/>
    <w:rsid w:val="007D5B1C"/>
    <w:rsid w:val="007D65EF"/>
    <w:rsid w:val="007E04BC"/>
    <w:rsid w:val="007E069F"/>
    <w:rsid w:val="007E0ADA"/>
    <w:rsid w:val="007E5866"/>
    <w:rsid w:val="007F1E22"/>
    <w:rsid w:val="00804065"/>
    <w:rsid w:val="008062F5"/>
    <w:rsid w:val="00817BBA"/>
    <w:rsid w:val="00840A53"/>
    <w:rsid w:val="00841FF2"/>
    <w:rsid w:val="008427B3"/>
    <w:rsid w:val="00844B77"/>
    <w:rsid w:val="008502DA"/>
    <w:rsid w:val="0085047D"/>
    <w:rsid w:val="008524EA"/>
    <w:rsid w:val="00857642"/>
    <w:rsid w:val="00857F8E"/>
    <w:rsid w:val="0086268A"/>
    <w:rsid w:val="00864B15"/>
    <w:rsid w:val="00865C18"/>
    <w:rsid w:val="0086621E"/>
    <w:rsid w:val="0087492A"/>
    <w:rsid w:val="00882CB8"/>
    <w:rsid w:val="0088462F"/>
    <w:rsid w:val="00884650"/>
    <w:rsid w:val="00885062"/>
    <w:rsid w:val="00890848"/>
    <w:rsid w:val="00893230"/>
    <w:rsid w:val="00893901"/>
    <w:rsid w:val="008A2622"/>
    <w:rsid w:val="008A41C8"/>
    <w:rsid w:val="008A4D09"/>
    <w:rsid w:val="008B0A0B"/>
    <w:rsid w:val="008B2982"/>
    <w:rsid w:val="008B44D4"/>
    <w:rsid w:val="008C03AD"/>
    <w:rsid w:val="008C1393"/>
    <w:rsid w:val="008C1485"/>
    <w:rsid w:val="008D2DBA"/>
    <w:rsid w:val="008D638B"/>
    <w:rsid w:val="008E19D7"/>
    <w:rsid w:val="008E6FB7"/>
    <w:rsid w:val="008E7FE5"/>
    <w:rsid w:val="008F1B8D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4A88"/>
    <w:rsid w:val="00925C73"/>
    <w:rsid w:val="00926002"/>
    <w:rsid w:val="00930EBA"/>
    <w:rsid w:val="00935580"/>
    <w:rsid w:val="00941016"/>
    <w:rsid w:val="009412D9"/>
    <w:rsid w:val="00944730"/>
    <w:rsid w:val="009471B5"/>
    <w:rsid w:val="00952928"/>
    <w:rsid w:val="00953CFD"/>
    <w:rsid w:val="009622E9"/>
    <w:rsid w:val="009632D0"/>
    <w:rsid w:val="009669E3"/>
    <w:rsid w:val="009671DB"/>
    <w:rsid w:val="00972738"/>
    <w:rsid w:val="00976894"/>
    <w:rsid w:val="00980958"/>
    <w:rsid w:val="00987014"/>
    <w:rsid w:val="00993054"/>
    <w:rsid w:val="00997443"/>
    <w:rsid w:val="009A3F3F"/>
    <w:rsid w:val="009A68E7"/>
    <w:rsid w:val="009A78FB"/>
    <w:rsid w:val="009B66C0"/>
    <w:rsid w:val="009C24F9"/>
    <w:rsid w:val="009D3AAC"/>
    <w:rsid w:val="009D5B63"/>
    <w:rsid w:val="009E1679"/>
    <w:rsid w:val="009E239E"/>
    <w:rsid w:val="009E271D"/>
    <w:rsid w:val="009E2E98"/>
    <w:rsid w:val="009F768D"/>
    <w:rsid w:val="00A003C1"/>
    <w:rsid w:val="00A039DA"/>
    <w:rsid w:val="00A07D8F"/>
    <w:rsid w:val="00A13C95"/>
    <w:rsid w:val="00A249F6"/>
    <w:rsid w:val="00A24F5E"/>
    <w:rsid w:val="00A35AFD"/>
    <w:rsid w:val="00A40731"/>
    <w:rsid w:val="00A448EF"/>
    <w:rsid w:val="00A52A4E"/>
    <w:rsid w:val="00A5343C"/>
    <w:rsid w:val="00A7043A"/>
    <w:rsid w:val="00A7538D"/>
    <w:rsid w:val="00A8008F"/>
    <w:rsid w:val="00A80E74"/>
    <w:rsid w:val="00A82749"/>
    <w:rsid w:val="00A84418"/>
    <w:rsid w:val="00A851A4"/>
    <w:rsid w:val="00A86BD8"/>
    <w:rsid w:val="00A87EDF"/>
    <w:rsid w:val="00A90A39"/>
    <w:rsid w:val="00AA13DD"/>
    <w:rsid w:val="00AA1496"/>
    <w:rsid w:val="00AA3D06"/>
    <w:rsid w:val="00AA4899"/>
    <w:rsid w:val="00AA639F"/>
    <w:rsid w:val="00AC0D42"/>
    <w:rsid w:val="00AC7DAD"/>
    <w:rsid w:val="00AD344D"/>
    <w:rsid w:val="00AD5E7B"/>
    <w:rsid w:val="00AE185D"/>
    <w:rsid w:val="00AE43F5"/>
    <w:rsid w:val="00AE7E8A"/>
    <w:rsid w:val="00AF32D8"/>
    <w:rsid w:val="00AF4C64"/>
    <w:rsid w:val="00B01BE5"/>
    <w:rsid w:val="00B06DDF"/>
    <w:rsid w:val="00B079A5"/>
    <w:rsid w:val="00B11062"/>
    <w:rsid w:val="00B16D92"/>
    <w:rsid w:val="00B20FAA"/>
    <w:rsid w:val="00B21FBA"/>
    <w:rsid w:val="00B2793E"/>
    <w:rsid w:val="00B37C66"/>
    <w:rsid w:val="00B42826"/>
    <w:rsid w:val="00B46EE3"/>
    <w:rsid w:val="00B542E3"/>
    <w:rsid w:val="00B55869"/>
    <w:rsid w:val="00B567F1"/>
    <w:rsid w:val="00B569FA"/>
    <w:rsid w:val="00B571D3"/>
    <w:rsid w:val="00B759EC"/>
    <w:rsid w:val="00B75F96"/>
    <w:rsid w:val="00B81C6E"/>
    <w:rsid w:val="00B824F8"/>
    <w:rsid w:val="00B86F52"/>
    <w:rsid w:val="00B904AA"/>
    <w:rsid w:val="00B91893"/>
    <w:rsid w:val="00B926BD"/>
    <w:rsid w:val="00B944E7"/>
    <w:rsid w:val="00BB1D36"/>
    <w:rsid w:val="00BB5630"/>
    <w:rsid w:val="00BC1FFE"/>
    <w:rsid w:val="00BD00D9"/>
    <w:rsid w:val="00BD6387"/>
    <w:rsid w:val="00BE2FC0"/>
    <w:rsid w:val="00BE5D1C"/>
    <w:rsid w:val="00BE7640"/>
    <w:rsid w:val="00BF0242"/>
    <w:rsid w:val="00BF16D8"/>
    <w:rsid w:val="00BF7AE6"/>
    <w:rsid w:val="00C02723"/>
    <w:rsid w:val="00C02A91"/>
    <w:rsid w:val="00C04960"/>
    <w:rsid w:val="00C07483"/>
    <w:rsid w:val="00C11391"/>
    <w:rsid w:val="00C138A5"/>
    <w:rsid w:val="00C211F9"/>
    <w:rsid w:val="00C25927"/>
    <w:rsid w:val="00C26CD3"/>
    <w:rsid w:val="00C27126"/>
    <w:rsid w:val="00C30CE6"/>
    <w:rsid w:val="00C310B8"/>
    <w:rsid w:val="00C31DBD"/>
    <w:rsid w:val="00C3343C"/>
    <w:rsid w:val="00C36C29"/>
    <w:rsid w:val="00C401B1"/>
    <w:rsid w:val="00C57D9D"/>
    <w:rsid w:val="00C65047"/>
    <w:rsid w:val="00C833D6"/>
    <w:rsid w:val="00C93BE4"/>
    <w:rsid w:val="00C95318"/>
    <w:rsid w:val="00C95A99"/>
    <w:rsid w:val="00C96F6B"/>
    <w:rsid w:val="00CA27F9"/>
    <w:rsid w:val="00CB772E"/>
    <w:rsid w:val="00CC1659"/>
    <w:rsid w:val="00CC30C3"/>
    <w:rsid w:val="00CC7377"/>
    <w:rsid w:val="00CD4229"/>
    <w:rsid w:val="00CD439E"/>
    <w:rsid w:val="00CD4AE1"/>
    <w:rsid w:val="00CE047D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36DE5"/>
    <w:rsid w:val="00D40E5E"/>
    <w:rsid w:val="00D4152F"/>
    <w:rsid w:val="00D43F6F"/>
    <w:rsid w:val="00D62214"/>
    <w:rsid w:val="00D62B94"/>
    <w:rsid w:val="00D62E62"/>
    <w:rsid w:val="00D65E10"/>
    <w:rsid w:val="00D709A0"/>
    <w:rsid w:val="00D73BC0"/>
    <w:rsid w:val="00D76C93"/>
    <w:rsid w:val="00D77E88"/>
    <w:rsid w:val="00DA0625"/>
    <w:rsid w:val="00DA671A"/>
    <w:rsid w:val="00DA7E6E"/>
    <w:rsid w:val="00DB07B8"/>
    <w:rsid w:val="00DB4F49"/>
    <w:rsid w:val="00DC46F7"/>
    <w:rsid w:val="00DC4772"/>
    <w:rsid w:val="00DC6711"/>
    <w:rsid w:val="00DC67F2"/>
    <w:rsid w:val="00DD4F2F"/>
    <w:rsid w:val="00DD5ADB"/>
    <w:rsid w:val="00DD5F86"/>
    <w:rsid w:val="00DD6047"/>
    <w:rsid w:val="00DD771A"/>
    <w:rsid w:val="00DE2759"/>
    <w:rsid w:val="00DE4037"/>
    <w:rsid w:val="00DE4193"/>
    <w:rsid w:val="00DF1CFA"/>
    <w:rsid w:val="00DF63EB"/>
    <w:rsid w:val="00E04EFF"/>
    <w:rsid w:val="00E101A9"/>
    <w:rsid w:val="00E13468"/>
    <w:rsid w:val="00E13F2B"/>
    <w:rsid w:val="00E257AB"/>
    <w:rsid w:val="00E25D1A"/>
    <w:rsid w:val="00E31B54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86D78"/>
    <w:rsid w:val="00E9310C"/>
    <w:rsid w:val="00E9501F"/>
    <w:rsid w:val="00E9676A"/>
    <w:rsid w:val="00EB7A35"/>
    <w:rsid w:val="00EC05B4"/>
    <w:rsid w:val="00EC074E"/>
    <w:rsid w:val="00EC33EA"/>
    <w:rsid w:val="00ED1B28"/>
    <w:rsid w:val="00ED2F8A"/>
    <w:rsid w:val="00ED3EC8"/>
    <w:rsid w:val="00ED5EB3"/>
    <w:rsid w:val="00ED7543"/>
    <w:rsid w:val="00EE1EE5"/>
    <w:rsid w:val="00EF4A3C"/>
    <w:rsid w:val="00EF7235"/>
    <w:rsid w:val="00F04C8C"/>
    <w:rsid w:val="00F054DA"/>
    <w:rsid w:val="00F07770"/>
    <w:rsid w:val="00F07BCF"/>
    <w:rsid w:val="00F16FAB"/>
    <w:rsid w:val="00F31625"/>
    <w:rsid w:val="00F3389A"/>
    <w:rsid w:val="00F36E39"/>
    <w:rsid w:val="00F5046F"/>
    <w:rsid w:val="00F5088C"/>
    <w:rsid w:val="00F510AC"/>
    <w:rsid w:val="00F561B9"/>
    <w:rsid w:val="00F62D04"/>
    <w:rsid w:val="00F65464"/>
    <w:rsid w:val="00F70887"/>
    <w:rsid w:val="00F8605D"/>
    <w:rsid w:val="00F86EF9"/>
    <w:rsid w:val="00F86FB1"/>
    <w:rsid w:val="00F908E0"/>
    <w:rsid w:val="00F9335A"/>
    <w:rsid w:val="00FA0DD6"/>
    <w:rsid w:val="00FB4A94"/>
    <w:rsid w:val="00FB4C6F"/>
    <w:rsid w:val="00FB5522"/>
    <w:rsid w:val="00FB64A1"/>
    <w:rsid w:val="00FC110D"/>
    <w:rsid w:val="00FC2E9C"/>
    <w:rsid w:val="00FC3800"/>
    <w:rsid w:val="00FC4F1C"/>
    <w:rsid w:val="00FC74E1"/>
    <w:rsid w:val="00FC763F"/>
    <w:rsid w:val="00FD36CA"/>
    <w:rsid w:val="00FD3B41"/>
    <w:rsid w:val="00FD6C73"/>
    <w:rsid w:val="00FE734D"/>
    <w:rsid w:val="00FF0BE2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FC763F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FC763F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C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C66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37C6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013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F48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4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9F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FC763F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FC763F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C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C66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37C6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013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F48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4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9F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63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11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B8A0-0301-40C5-AD1F-610AC890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tibikunle</cp:lastModifiedBy>
  <cp:revision>2</cp:revision>
  <cp:lastPrinted>2012-05-25T14:37:00Z</cp:lastPrinted>
  <dcterms:created xsi:type="dcterms:W3CDTF">2012-05-25T14:38:00Z</dcterms:created>
  <dcterms:modified xsi:type="dcterms:W3CDTF">2012-05-25T14:38:00Z</dcterms:modified>
</cp:coreProperties>
</file>