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D79" w:rsidRPr="001C16D2" w:rsidRDefault="00687D79" w:rsidP="001A2A85">
      <w:pPr>
        <w:pStyle w:val="Title"/>
        <w:rPr>
          <w:sz w:val="24"/>
          <w:szCs w:val="24"/>
        </w:rPr>
      </w:pPr>
      <w:r w:rsidRPr="001C16D2">
        <w:rPr>
          <w:sz w:val="24"/>
          <w:szCs w:val="24"/>
        </w:rPr>
        <w:t>BEFORE THE</w:t>
      </w:r>
    </w:p>
    <w:p w:rsidR="00687D79" w:rsidRPr="001C16D2" w:rsidRDefault="00687D79" w:rsidP="001A2A85">
      <w:pPr>
        <w:pStyle w:val="Subtitle"/>
        <w:rPr>
          <w:sz w:val="24"/>
          <w:szCs w:val="24"/>
        </w:rPr>
      </w:pPr>
      <w:smartTag w:uri="urn:schemas-microsoft-com:office:smarttags" w:element="State">
        <w:smartTag w:uri="urn:schemas-microsoft-com:office:smarttags" w:element="place">
          <w:r w:rsidRPr="001C16D2">
            <w:rPr>
              <w:sz w:val="24"/>
              <w:szCs w:val="24"/>
            </w:rPr>
            <w:t>PENNSYLVANIA</w:t>
          </w:r>
        </w:smartTag>
      </w:smartTag>
      <w:r w:rsidRPr="001C16D2">
        <w:rPr>
          <w:sz w:val="24"/>
          <w:szCs w:val="24"/>
        </w:rPr>
        <w:t xml:space="preserve"> PUBLIC UTILITY COMMISSION</w:t>
      </w:r>
    </w:p>
    <w:p w:rsidR="00687D79" w:rsidRPr="001C16D2" w:rsidRDefault="00687D79" w:rsidP="001A2A85">
      <w:pPr>
        <w:rPr>
          <w:sz w:val="24"/>
          <w:szCs w:val="24"/>
        </w:rPr>
      </w:pPr>
    </w:p>
    <w:p w:rsidR="00687D79" w:rsidRPr="001C16D2" w:rsidRDefault="00687D79" w:rsidP="001A2A85">
      <w:pPr>
        <w:rPr>
          <w:sz w:val="24"/>
          <w:szCs w:val="24"/>
        </w:rPr>
      </w:pPr>
    </w:p>
    <w:p w:rsidR="00687D79" w:rsidRDefault="00687D79" w:rsidP="001A2A85">
      <w:pPr>
        <w:rPr>
          <w:sz w:val="24"/>
          <w:szCs w:val="24"/>
        </w:rPr>
      </w:pPr>
    </w:p>
    <w:p w:rsidR="00687D79" w:rsidRDefault="00687D79" w:rsidP="001A2A85">
      <w:pPr>
        <w:rPr>
          <w:sz w:val="24"/>
          <w:szCs w:val="24"/>
        </w:rPr>
      </w:pPr>
      <w:r w:rsidRPr="001C16D2">
        <w:rPr>
          <w:sz w:val="24"/>
          <w:szCs w:val="24"/>
        </w:rPr>
        <w:t>Pennsylvania Public Utility Commission</w:t>
      </w:r>
      <w:r>
        <w:rPr>
          <w:sz w:val="24"/>
          <w:szCs w:val="24"/>
        </w:rPr>
        <w:tab/>
      </w:r>
      <w:r>
        <w:rPr>
          <w:sz w:val="24"/>
          <w:szCs w:val="24"/>
        </w:rPr>
        <w:tab/>
        <w:t>:</w:t>
      </w:r>
      <w:r>
        <w:rPr>
          <w:sz w:val="24"/>
          <w:szCs w:val="24"/>
        </w:rPr>
        <w:tab/>
      </w:r>
      <w:r>
        <w:rPr>
          <w:sz w:val="24"/>
          <w:szCs w:val="24"/>
        </w:rPr>
        <w:tab/>
        <w:t>R-20</w:t>
      </w:r>
      <w:r w:rsidR="004808AB">
        <w:rPr>
          <w:sz w:val="24"/>
          <w:szCs w:val="24"/>
        </w:rPr>
        <w:t>12-2281465</w:t>
      </w:r>
    </w:p>
    <w:p w:rsidR="00687D79" w:rsidRDefault="00687D79" w:rsidP="001A2A85">
      <w:pPr>
        <w:rPr>
          <w:sz w:val="24"/>
          <w:szCs w:val="24"/>
        </w:rPr>
      </w:pPr>
      <w:r>
        <w:rPr>
          <w:sz w:val="24"/>
          <w:szCs w:val="24"/>
        </w:rPr>
        <w:t>Office of Consumer Advocate</w:t>
      </w:r>
      <w:r>
        <w:rPr>
          <w:sz w:val="24"/>
          <w:szCs w:val="24"/>
        </w:rPr>
        <w:tab/>
      </w:r>
      <w:r>
        <w:rPr>
          <w:sz w:val="24"/>
          <w:szCs w:val="24"/>
        </w:rPr>
        <w:tab/>
      </w:r>
      <w:r>
        <w:rPr>
          <w:sz w:val="24"/>
          <w:szCs w:val="24"/>
        </w:rPr>
        <w:tab/>
        <w:t>:</w:t>
      </w:r>
      <w:r>
        <w:rPr>
          <w:sz w:val="24"/>
          <w:szCs w:val="24"/>
        </w:rPr>
        <w:tab/>
      </w:r>
      <w:r>
        <w:rPr>
          <w:sz w:val="24"/>
          <w:szCs w:val="24"/>
        </w:rPr>
        <w:tab/>
        <w:t>C-20</w:t>
      </w:r>
      <w:r w:rsidR="004808AB">
        <w:rPr>
          <w:sz w:val="24"/>
          <w:szCs w:val="24"/>
        </w:rPr>
        <w:t>12-2283065</w:t>
      </w:r>
    </w:p>
    <w:p w:rsidR="004808AB" w:rsidRDefault="00687D79" w:rsidP="00C975E3">
      <w:pPr>
        <w:rPr>
          <w:sz w:val="24"/>
          <w:szCs w:val="24"/>
        </w:rPr>
      </w:pPr>
      <w:r>
        <w:rPr>
          <w:sz w:val="24"/>
          <w:szCs w:val="24"/>
        </w:rPr>
        <w:t>Office of Small Business Advocate</w:t>
      </w:r>
      <w:r>
        <w:rPr>
          <w:sz w:val="24"/>
          <w:szCs w:val="24"/>
        </w:rPr>
        <w:tab/>
      </w:r>
      <w:r>
        <w:rPr>
          <w:sz w:val="24"/>
          <w:szCs w:val="24"/>
        </w:rPr>
        <w:tab/>
      </w:r>
      <w:r w:rsidR="00A869CF">
        <w:rPr>
          <w:sz w:val="24"/>
          <w:szCs w:val="24"/>
        </w:rPr>
        <w:tab/>
      </w:r>
      <w:r>
        <w:rPr>
          <w:sz w:val="24"/>
          <w:szCs w:val="24"/>
        </w:rPr>
        <w:t>:</w:t>
      </w:r>
      <w:r>
        <w:rPr>
          <w:sz w:val="24"/>
          <w:szCs w:val="24"/>
        </w:rPr>
        <w:tab/>
      </w:r>
      <w:r>
        <w:rPr>
          <w:sz w:val="24"/>
          <w:szCs w:val="24"/>
        </w:rPr>
        <w:tab/>
        <w:t>C-201</w:t>
      </w:r>
      <w:r w:rsidR="007E43F4">
        <w:rPr>
          <w:sz w:val="24"/>
          <w:szCs w:val="24"/>
        </w:rPr>
        <w:t>2-2284611</w:t>
      </w:r>
    </w:p>
    <w:p w:rsidR="00687D79" w:rsidRDefault="004808AB" w:rsidP="00C975E3">
      <w:pPr>
        <w:rPr>
          <w:sz w:val="24"/>
          <w:szCs w:val="24"/>
        </w:rPr>
      </w:pPr>
      <w:r>
        <w:rPr>
          <w:sz w:val="24"/>
          <w:szCs w:val="24"/>
        </w:rPr>
        <w:t>James L. Amitrone</w:t>
      </w:r>
      <w:r w:rsidR="00687D79">
        <w:rPr>
          <w:sz w:val="24"/>
          <w:szCs w:val="24"/>
        </w:rPr>
        <w:tab/>
      </w:r>
      <w:r w:rsidR="00687D79">
        <w:rPr>
          <w:sz w:val="24"/>
          <w:szCs w:val="24"/>
        </w:rPr>
        <w:tab/>
      </w:r>
      <w:r>
        <w:rPr>
          <w:sz w:val="24"/>
          <w:szCs w:val="24"/>
        </w:rPr>
        <w:tab/>
      </w:r>
      <w:r>
        <w:rPr>
          <w:sz w:val="24"/>
          <w:szCs w:val="24"/>
        </w:rPr>
        <w:tab/>
      </w:r>
      <w:r>
        <w:rPr>
          <w:sz w:val="24"/>
          <w:szCs w:val="24"/>
        </w:rPr>
        <w:tab/>
      </w:r>
      <w:r w:rsidR="00687D79">
        <w:rPr>
          <w:sz w:val="24"/>
          <w:szCs w:val="24"/>
        </w:rPr>
        <w:t>:</w:t>
      </w:r>
      <w:r>
        <w:rPr>
          <w:sz w:val="24"/>
          <w:szCs w:val="24"/>
        </w:rPr>
        <w:tab/>
      </w:r>
      <w:r>
        <w:rPr>
          <w:sz w:val="24"/>
          <w:szCs w:val="24"/>
        </w:rPr>
        <w:tab/>
        <w:t>C-2012-2286737</w:t>
      </w:r>
    </w:p>
    <w:p w:rsidR="007C3D92" w:rsidRDefault="007C3D92" w:rsidP="00C975E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687D79" w:rsidRDefault="00687D79" w:rsidP="00C975E3">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p>
    <w:p w:rsidR="00687D79" w:rsidRDefault="00687D79" w:rsidP="00865557">
      <w:pPr>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w:t>
      </w:r>
      <w:r w:rsidRPr="00727546">
        <w:rPr>
          <w:sz w:val="24"/>
          <w:szCs w:val="24"/>
        </w:rPr>
        <w:t xml:space="preserve"> </w:t>
      </w:r>
      <w:r w:rsidR="007E43F4">
        <w:rPr>
          <w:sz w:val="24"/>
          <w:szCs w:val="24"/>
        </w:rPr>
        <w:tab/>
      </w:r>
      <w:r w:rsidR="007E43F4">
        <w:rPr>
          <w:sz w:val="24"/>
          <w:szCs w:val="24"/>
        </w:rPr>
        <w:tab/>
      </w:r>
    </w:p>
    <w:p w:rsidR="00687D79" w:rsidRDefault="00687D79" w:rsidP="00727546">
      <w:pPr>
        <w:rPr>
          <w:sz w:val="24"/>
          <w:szCs w:val="24"/>
        </w:rPr>
      </w:pPr>
      <w:r>
        <w:rPr>
          <w:sz w:val="24"/>
          <w:szCs w:val="24"/>
        </w:rPr>
        <w:t>National Fuel Gas Distribution Corporation</w:t>
      </w:r>
      <w:r>
        <w:rPr>
          <w:sz w:val="24"/>
          <w:szCs w:val="24"/>
        </w:rPr>
        <w:tab/>
      </w:r>
      <w:r>
        <w:rPr>
          <w:sz w:val="24"/>
          <w:szCs w:val="24"/>
        </w:rPr>
        <w:tab/>
        <w:t>:</w:t>
      </w:r>
      <w:r>
        <w:rPr>
          <w:sz w:val="24"/>
          <w:szCs w:val="24"/>
        </w:rPr>
        <w:tab/>
      </w:r>
      <w:r>
        <w:rPr>
          <w:sz w:val="24"/>
          <w:szCs w:val="24"/>
        </w:rPr>
        <w:tab/>
      </w:r>
    </w:p>
    <w:p w:rsidR="00687D79" w:rsidRDefault="00687D79" w:rsidP="001A2A85">
      <w:pPr>
        <w:jc w:val="center"/>
        <w:rPr>
          <w:b/>
          <w:sz w:val="24"/>
          <w:szCs w:val="24"/>
          <w:u w:val="single"/>
        </w:rPr>
      </w:pPr>
    </w:p>
    <w:p w:rsidR="00687D79" w:rsidRDefault="00687D79" w:rsidP="001A2A85">
      <w:pPr>
        <w:jc w:val="center"/>
        <w:rPr>
          <w:b/>
          <w:sz w:val="24"/>
          <w:szCs w:val="24"/>
          <w:u w:val="single"/>
        </w:rPr>
      </w:pPr>
    </w:p>
    <w:p w:rsidR="00687D79" w:rsidRDefault="00687D79" w:rsidP="001A2A85">
      <w:pPr>
        <w:jc w:val="center"/>
        <w:rPr>
          <w:b/>
          <w:sz w:val="24"/>
          <w:szCs w:val="24"/>
          <w:u w:val="single"/>
        </w:rPr>
      </w:pPr>
    </w:p>
    <w:p w:rsidR="00687D79" w:rsidRPr="00865557" w:rsidRDefault="00687D79" w:rsidP="001A2A85">
      <w:pPr>
        <w:jc w:val="center"/>
        <w:rPr>
          <w:b/>
          <w:sz w:val="24"/>
          <w:szCs w:val="24"/>
          <w:u w:val="single"/>
        </w:rPr>
      </w:pPr>
      <w:r w:rsidRPr="00865557">
        <w:rPr>
          <w:b/>
          <w:sz w:val="24"/>
          <w:szCs w:val="24"/>
          <w:u w:val="single"/>
        </w:rPr>
        <w:t>RECOMMENDED DECISION</w:t>
      </w:r>
    </w:p>
    <w:p w:rsidR="00687D79" w:rsidRDefault="00687D79" w:rsidP="001A2A85">
      <w:pPr>
        <w:jc w:val="center"/>
        <w:rPr>
          <w:sz w:val="24"/>
          <w:szCs w:val="24"/>
        </w:rPr>
      </w:pPr>
    </w:p>
    <w:p w:rsidR="00687D79" w:rsidRDefault="00687D79" w:rsidP="001A2A85">
      <w:pPr>
        <w:jc w:val="center"/>
        <w:rPr>
          <w:sz w:val="24"/>
          <w:szCs w:val="24"/>
        </w:rPr>
      </w:pPr>
    </w:p>
    <w:p w:rsidR="00687D79" w:rsidRDefault="00687D79" w:rsidP="001A2A85">
      <w:pPr>
        <w:jc w:val="center"/>
        <w:rPr>
          <w:sz w:val="24"/>
          <w:szCs w:val="24"/>
        </w:rPr>
      </w:pPr>
      <w:r w:rsidRPr="001C16D2">
        <w:rPr>
          <w:sz w:val="24"/>
          <w:szCs w:val="24"/>
        </w:rPr>
        <w:t>Before</w:t>
      </w:r>
    </w:p>
    <w:p w:rsidR="00687D79" w:rsidRPr="001C16D2" w:rsidRDefault="00687D79" w:rsidP="001A2A85">
      <w:pPr>
        <w:jc w:val="center"/>
        <w:rPr>
          <w:sz w:val="24"/>
          <w:szCs w:val="24"/>
        </w:rPr>
      </w:pPr>
      <w:r>
        <w:rPr>
          <w:sz w:val="24"/>
          <w:szCs w:val="24"/>
        </w:rPr>
        <w:t>Mark A. Hoyer</w:t>
      </w:r>
    </w:p>
    <w:p w:rsidR="0033551E" w:rsidRDefault="00687D79" w:rsidP="001A2A85">
      <w:pPr>
        <w:jc w:val="center"/>
        <w:rPr>
          <w:sz w:val="24"/>
          <w:szCs w:val="24"/>
        </w:rPr>
        <w:sectPr w:rsidR="0033551E" w:rsidSect="0036379A">
          <w:pgSz w:w="12240" w:h="15840" w:code="1"/>
          <w:pgMar w:top="1440" w:right="1440" w:bottom="1440" w:left="1440" w:header="1440" w:footer="720" w:gutter="0"/>
          <w:pgNumType w:start="1"/>
          <w:cols w:space="720"/>
          <w:docGrid w:linePitch="360"/>
        </w:sectPr>
      </w:pPr>
      <w:r w:rsidRPr="001C16D2">
        <w:rPr>
          <w:sz w:val="24"/>
          <w:szCs w:val="24"/>
        </w:rPr>
        <w:t>Administrative Law Judge</w:t>
      </w:r>
    </w:p>
    <w:p w:rsidR="00711276" w:rsidRDefault="00711276" w:rsidP="00711276">
      <w:pPr>
        <w:tabs>
          <w:tab w:val="left" w:pos="720"/>
          <w:tab w:val="left" w:pos="1440"/>
          <w:tab w:val="left" w:pos="2160"/>
          <w:tab w:val="center" w:pos="4680"/>
        </w:tabs>
        <w:jc w:val="center"/>
        <w:rPr>
          <w:b/>
          <w:szCs w:val="24"/>
          <w:u w:val="single"/>
        </w:rPr>
      </w:pPr>
      <w:r w:rsidRPr="009C0B03">
        <w:rPr>
          <w:b/>
          <w:szCs w:val="24"/>
          <w:u w:val="single"/>
        </w:rPr>
        <w:lastRenderedPageBreak/>
        <w:t>TABLE OF CONTENTS</w:t>
      </w:r>
    </w:p>
    <w:p w:rsidR="00711276" w:rsidRPr="009C0B03" w:rsidRDefault="00711276" w:rsidP="00711276">
      <w:pPr>
        <w:tabs>
          <w:tab w:val="left" w:pos="720"/>
          <w:tab w:val="left" w:pos="1440"/>
          <w:tab w:val="left" w:pos="2160"/>
          <w:tab w:val="center" w:pos="4680"/>
        </w:tabs>
        <w:jc w:val="center"/>
        <w:rPr>
          <w:b/>
          <w:szCs w:val="24"/>
          <w:u w:val="single"/>
        </w:rPr>
      </w:pPr>
    </w:p>
    <w:p w:rsidR="00711276" w:rsidRPr="009C0B03" w:rsidRDefault="00711276" w:rsidP="00711276">
      <w:pPr>
        <w:tabs>
          <w:tab w:val="left" w:pos="720"/>
          <w:tab w:val="left" w:pos="1440"/>
          <w:tab w:val="left" w:pos="2160"/>
        </w:tabs>
        <w:rPr>
          <w:szCs w:val="24"/>
        </w:rPr>
      </w:pPr>
    </w:p>
    <w:p w:rsidR="00711276" w:rsidRDefault="00711276" w:rsidP="00711276">
      <w:pPr>
        <w:tabs>
          <w:tab w:val="left" w:pos="720"/>
          <w:tab w:val="left" w:pos="1440"/>
          <w:tab w:val="left" w:pos="2160"/>
          <w:tab w:val="right" w:leader="dot" w:pos="9360"/>
        </w:tabs>
        <w:rPr>
          <w:szCs w:val="24"/>
        </w:rPr>
      </w:pPr>
      <w:r w:rsidRPr="009C0B03">
        <w:rPr>
          <w:szCs w:val="24"/>
        </w:rPr>
        <w:t>I.</w:t>
      </w:r>
      <w:r w:rsidRPr="009C0B03">
        <w:rPr>
          <w:szCs w:val="24"/>
        </w:rPr>
        <w:tab/>
      </w:r>
      <w:r w:rsidR="000004E7">
        <w:rPr>
          <w:szCs w:val="24"/>
        </w:rPr>
        <w:t>History of the Proceeding</w:t>
      </w:r>
      <w:r w:rsidR="00BF6D3F">
        <w:rPr>
          <w:szCs w:val="24"/>
        </w:rPr>
        <w:tab/>
        <w:t>1</w:t>
      </w:r>
      <w:r w:rsidRPr="009C0B03">
        <w:rPr>
          <w:szCs w:val="24"/>
        </w:rPr>
        <w:tab/>
      </w:r>
    </w:p>
    <w:p w:rsidR="00711276" w:rsidRPr="009C0B03" w:rsidRDefault="00711276" w:rsidP="00711276">
      <w:pPr>
        <w:tabs>
          <w:tab w:val="left" w:pos="720"/>
          <w:tab w:val="left" w:pos="1440"/>
          <w:tab w:val="left" w:pos="2160"/>
          <w:tab w:val="right" w:leader="dot" w:pos="9360"/>
        </w:tabs>
        <w:rPr>
          <w:szCs w:val="24"/>
        </w:rPr>
      </w:pPr>
    </w:p>
    <w:p w:rsidR="00711276" w:rsidRDefault="00711276" w:rsidP="00711276">
      <w:pPr>
        <w:tabs>
          <w:tab w:val="left" w:pos="720"/>
          <w:tab w:val="left" w:pos="1440"/>
          <w:tab w:val="right" w:leader="dot" w:pos="9360"/>
        </w:tabs>
        <w:rPr>
          <w:szCs w:val="24"/>
        </w:rPr>
      </w:pPr>
      <w:r>
        <w:rPr>
          <w:szCs w:val="24"/>
        </w:rPr>
        <w:t>II.</w:t>
      </w:r>
      <w:r w:rsidRPr="009C0B03">
        <w:rPr>
          <w:szCs w:val="24"/>
        </w:rPr>
        <w:tab/>
      </w:r>
      <w:r>
        <w:rPr>
          <w:szCs w:val="24"/>
        </w:rPr>
        <w:t>F</w:t>
      </w:r>
      <w:r w:rsidR="000004E7">
        <w:rPr>
          <w:szCs w:val="24"/>
        </w:rPr>
        <w:t>indings of Fact</w:t>
      </w:r>
      <w:r w:rsidR="00BF6D3F">
        <w:rPr>
          <w:szCs w:val="24"/>
        </w:rPr>
        <w:tab/>
        <w:t>2</w:t>
      </w:r>
      <w:r w:rsidRPr="009C0B03">
        <w:rPr>
          <w:szCs w:val="24"/>
        </w:rPr>
        <w:tab/>
      </w:r>
    </w:p>
    <w:p w:rsidR="00711276" w:rsidRPr="009C0B03" w:rsidRDefault="00711276" w:rsidP="00711276">
      <w:pPr>
        <w:tabs>
          <w:tab w:val="left" w:pos="720"/>
          <w:tab w:val="left" w:pos="1440"/>
          <w:tab w:val="right" w:leader="dot" w:pos="9360"/>
        </w:tabs>
        <w:rPr>
          <w:szCs w:val="24"/>
        </w:rPr>
      </w:pPr>
    </w:p>
    <w:p w:rsidR="00711276" w:rsidRPr="009C0B03" w:rsidRDefault="00711276" w:rsidP="00711276">
      <w:pPr>
        <w:tabs>
          <w:tab w:val="left" w:pos="720"/>
          <w:tab w:val="left" w:pos="1440"/>
          <w:tab w:val="left" w:pos="2160"/>
          <w:tab w:val="right" w:leader="dot" w:pos="9360"/>
        </w:tabs>
        <w:rPr>
          <w:szCs w:val="24"/>
        </w:rPr>
      </w:pPr>
      <w:r w:rsidRPr="009C0B03">
        <w:rPr>
          <w:szCs w:val="24"/>
        </w:rPr>
        <w:t>I</w:t>
      </w:r>
      <w:r>
        <w:rPr>
          <w:szCs w:val="24"/>
        </w:rPr>
        <w:t>II</w:t>
      </w:r>
      <w:r w:rsidRPr="009C0B03">
        <w:rPr>
          <w:szCs w:val="24"/>
        </w:rPr>
        <w:t>.</w:t>
      </w:r>
      <w:r w:rsidRPr="009C0B03">
        <w:rPr>
          <w:szCs w:val="24"/>
        </w:rPr>
        <w:tab/>
      </w:r>
      <w:r>
        <w:rPr>
          <w:szCs w:val="24"/>
        </w:rPr>
        <w:t>D</w:t>
      </w:r>
      <w:r w:rsidR="000004E7">
        <w:rPr>
          <w:szCs w:val="24"/>
        </w:rPr>
        <w:t>escription and Terms of the Settlement</w:t>
      </w:r>
      <w:r w:rsidR="00BF6D3F">
        <w:rPr>
          <w:szCs w:val="24"/>
        </w:rPr>
        <w:tab/>
        <w:t>3</w:t>
      </w:r>
      <w:r w:rsidR="00CA0C8E">
        <w:rPr>
          <w:szCs w:val="24"/>
        </w:rPr>
        <w:tab/>
      </w:r>
    </w:p>
    <w:p w:rsidR="00711276" w:rsidRDefault="00711276" w:rsidP="00CA0C8E">
      <w:pPr>
        <w:tabs>
          <w:tab w:val="left" w:pos="720"/>
          <w:tab w:val="left" w:pos="1440"/>
          <w:tab w:val="right" w:leader="dot" w:pos="9360"/>
        </w:tabs>
        <w:rPr>
          <w:szCs w:val="24"/>
        </w:rPr>
      </w:pPr>
      <w:r w:rsidRPr="009C0B03">
        <w:rPr>
          <w:szCs w:val="24"/>
        </w:rPr>
        <w:tab/>
      </w:r>
    </w:p>
    <w:p w:rsidR="00711276" w:rsidRDefault="00711276" w:rsidP="00C10A09">
      <w:pPr>
        <w:tabs>
          <w:tab w:val="left" w:pos="720"/>
          <w:tab w:val="left" w:pos="1440"/>
          <w:tab w:val="left" w:pos="1890"/>
          <w:tab w:val="right" w:leader="dot" w:pos="9360"/>
        </w:tabs>
        <w:rPr>
          <w:szCs w:val="24"/>
        </w:rPr>
      </w:pPr>
      <w:r>
        <w:rPr>
          <w:szCs w:val="24"/>
        </w:rPr>
        <w:t>IV.</w:t>
      </w:r>
      <w:r>
        <w:rPr>
          <w:szCs w:val="24"/>
        </w:rPr>
        <w:tab/>
        <w:t>D</w:t>
      </w:r>
      <w:r w:rsidR="00C10A09">
        <w:rPr>
          <w:szCs w:val="24"/>
        </w:rPr>
        <w:t>iscussion</w:t>
      </w:r>
      <w:r w:rsidR="00C10A09">
        <w:rPr>
          <w:szCs w:val="24"/>
        </w:rPr>
        <w:tab/>
      </w:r>
      <w:r w:rsidR="00BF6D3F">
        <w:rPr>
          <w:szCs w:val="24"/>
        </w:rPr>
        <w:tab/>
        <w:t>12</w:t>
      </w:r>
      <w:r>
        <w:rPr>
          <w:szCs w:val="24"/>
        </w:rPr>
        <w:tab/>
      </w:r>
    </w:p>
    <w:p w:rsidR="00711276" w:rsidRDefault="00711276" w:rsidP="00711276">
      <w:pPr>
        <w:tabs>
          <w:tab w:val="left" w:pos="720"/>
          <w:tab w:val="left" w:pos="1440"/>
          <w:tab w:val="left" w:pos="2160"/>
          <w:tab w:val="right" w:leader="dot" w:pos="9360"/>
        </w:tabs>
        <w:rPr>
          <w:szCs w:val="24"/>
        </w:rPr>
      </w:pPr>
    </w:p>
    <w:p w:rsidR="00711276" w:rsidRDefault="00711276" w:rsidP="00711276">
      <w:pPr>
        <w:tabs>
          <w:tab w:val="left" w:pos="720"/>
          <w:tab w:val="left" w:pos="1440"/>
          <w:tab w:val="left" w:pos="2160"/>
          <w:tab w:val="right" w:leader="dot" w:pos="9360"/>
        </w:tabs>
        <w:rPr>
          <w:szCs w:val="24"/>
        </w:rPr>
      </w:pPr>
      <w:r>
        <w:rPr>
          <w:szCs w:val="24"/>
        </w:rPr>
        <w:tab/>
        <w:t>A.</w:t>
      </w:r>
      <w:r>
        <w:rPr>
          <w:szCs w:val="24"/>
        </w:rPr>
        <w:tab/>
        <w:t>Stipulation in Settlement</w:t>
      </w:r>
      <w:r w:rsidR="00BF6D3F">
        <w:rPr>
          <w:szCs w:val="24"/>
        </w:rPr>
        <w:tab/>
        <w:t>12</w:t>
      </w:r>
      <w:r>
        <w:rPr>
          <w:szCs w:val="24"/>
        </w:rPr>
        <w:tab/>
      </w:r>
    </w:p>
    <w:p w:rsidR="00711276" w:rsidRDefault="00711276" w:rsidP="00711276">
      <w:pPr>
        <w:tabs>
          <w:tab w:val="left" w:pos="720"/>
          <w:tab w:val="left" w:pos="1440"/>
          <w:tab w:val="left" w:pos="2160"/>
          <w:tab w:val="right" w:leader="dot" w:pos="9360"/>
        </w:tabs>
        <w:rPr>
          <w:szCs w:val="24"/>
        </w:rPr>
      </w:pPr>
    </w:p>
    <w:p w:rsidR="00711276" w:rsidRDefault="00711276" w:rsidP="00711276">
      <w:pPr>
        <w:tabs>
          <w:tab w:val="left" w:pos="720"/>
          <w:tab w:val="left" w:pos="1440"/>
          <w:tab w:val="left" w:pos="2160"/>
          <w:tab w:val="right" w:leader="dot" w:pos="9360"/>
        </w:tabs>
        <w:rPr>
          <w:szCs w:val="24"/>
        </w:rPr>
      </w:pPr>
      <w:r>
        <w:rPr>
          <w:szCs w:val="24"/>
        </w:rPr>
        <w:tab/>
      </w:r>
      <w:r>
        <w:rPr>
          <w:szCs w:val="24"/>
        </w:rPr>
        <w:tab/>
        <w:t>1.</w:t>
      </w:r>
      <w:r>
        <w:rPr>
          <w:szCs w:val="24"/>
        </w:rPr>
        <w:tab/>
      </w:r>
      <w:r w:rsidR="00CA0C8E">
        <w:rPr>
          <w:szCs w:val="24"/>
        </w:rPr>
        <w:t>Distribution</w:t>
      </w:r>
      <w:r>
        <w:rPr>
          <w:szCs w:val="24"/>
        </w:rPr>
        <w:t>’s Position</w:t>
      </w:r>
      <w:r w:rsidR="00CE2BD1">
        <w:rPr>
          <w:szCs w:val="24"/>
        </w:rPr>
        <w:tab/>
        <w:t>13</w:t>
      </w:r>
      <w:r>
        <w:rPr>
          <w:szCs w:val="24"/>
        </w:rPr>
        <w:tab/>
      </w:r>
    </w:p>
    <w:p w:rsidR="00711276" w:rsidRDefault="00711276" w:rsidP="00711276">
      <w:pPr>
        <w:tabs>
          <w:tab w:val="left" w:pos="720"/>
          <w:tab w:val="left" w:pos="1440"/>
          <w:tab w:val="left" w:pos="2160"/>
          <w:tab w:val="right" w:leader="dot" w:pos="9360"/>
        </w:tabs>
        <w:rPr>
          <w:szCs w:val="24"/>
        </w:rPr>
      </w:pPr>
    </w:p>
    <w:p w:rsidR="00711276" w:rsidRDefault="00711276" w:rsidP="00711276">
      <w:pPr>
        <w:tabs>
          <w:tab w:val="left" w:pos="720"/>
          <w:tab w:val="left" w:pos="1440"/>
          <w:tab w:val="left" w:pos="2160"/>
          <w:tab w:val="right" w:leader="dot" w:pos="9360"/>
        </w:tabs>
        <w:rPr>
          <w:szCs w:val="24"/>
        </w:rPr>
      </w:pPr>
      <w:r>
        <w:rPr>
          <w:szCs w:val="24"/>
        </w:rPr>
        <w:tab/>
      </w:r>
      <w:r>
        <w:rPr>
          <w:szCs w:val="24"/>
        </w:rPr>
        <w:tab/>
        <w:t>2.</w:t>
      </w:r>
      <w:r>
        <w:rPr>
          <w:szCs w:val="24"/>
        </w:rPr>
        <w:tab/>
      </w:r>
      <w:r w:rsidR="00CA0C8E">
        <w:rPr>
          <w:szCs w:val="24"/>
        </w:rPr>
        <w:t>BI&amp;E</w:t>
      </w:r>
      <w:r>
        <w:rPr>
          <w:szCs w:val="24"/>
        </w:rPr>
        <w:t>’s Position</w:t>
      </w:r>
      <w:r w:rsidR="00CE2BD1">
        <w:rPr>
          <w:szCs w:val="24"/>
        </w:rPr>
        <w:tab/>
        <w:t>16</w:t>
      </w:r>
      <w:r>
        <w:rPr>
          <w:szCs w:val="24"/>
        </w:rPr>
        <w:tab/>
      </w:r>
    </w:p>
    <w:p w:rsidR="00711276" w:rsidRDefault="00711276" w:rsidP="00711276">
      <w:pPr>
        <w:tabs>
          <w:tab w:val="left" w:pos="720"/>
          <w:tab w:val="left" w:pos="1440"/>
          <w:tab w:val="left" w:pos="2160"/>
          <w:tab w:val="right" w:leader="dot" w:pos="9360"/>
        </w:tabs>
        <w:rPr>
          <w:szCs w:val="24"/>
        </w:rPr>
      </w:pPr>
    </w:p>
    <w:p w:rsidR="00711276" w:rsidRDefault="00711276" w:rsidP="00711276">
      <w:pPr>
        <w:tabs>
          <w:tab w:val="left" w:pos="720"/>
          <w:tab w:val="left" w:pos="1440"/>
          <w:tab w:val="left" w:pos="2160"/>
          <w:tab w:val="right" w:leader="dot" w:pos="9360"/>
        </w:tabs>
        <w:rPr>
          <w:szCs w:val="24"/>
        </w:rPr>
      </w:pPr>
      <w:r>
        <w:rPr>
          <w:szCs w:val="24"/>
        </w:rPr>
        <w:tab/>
      </w:r>
      <w:r>
        <w:rPr>
          <w:szCs w:val="24"/>
        </w:rPr>
        <w:tab/>
        <w:t>3.</w:t>
      </w:r>
      <w:r>
        <w:rPr>
          <w:szCs w:val="24"/>
        </w:rPr>
        <w:tab/>
        <w:t>OCA’s Position</w:t>
      </w:r>
      <w:r w:rsidR="009B5ABA">
        <w:rPr>
          <w:szCs w:val="24"/>
        </w:rPr>
        <w:tab/>
        <w:t>19</w:t>
      </w:r>
      <w:r>
        <w:rPr>
          <w:szCs w:val="24"/>
        </w:rPr>
        <w:tab/>
      </w:r>
    </w:p>
    <w:p w:rsidR="00D627E4" w:rsidRDefault="00D627E4" w:rsidP="00711276">
      <w:pPr>
        <w:tabs>
          <w:tab w:val="left" w:pos="720"/>
          <w:tab w:val="left" w:pos="1440"/>
          <w:tab w:val="left" w:pos="2160"/>
          <w:tab w:val="right" w:leader="dot" w:pos="9360"/>
        </w:tabs>
        <w:rPr>
          <w:szCs w:val="24"/>
        </w:rPr>
      </w:pPr>
    </w:p>
    <w:p w:rsidR="00D627E4" w:rsidRDefault="00D627E4" w:rsidP="00711276">
      <w:pPr>
        <w:tabs>
          <w:tab w:val="left" w:pos="720"/>
          <w:tab w:val="left" w:pos="1440"/>
          <w:tab w:val="left" w:pos="2160"/>
          <w:tab w:val="right" w:leader="dot" w:pos="9360"/>
        </w:tabs>
        <w:rPr>
          <w:szCs w:val="24"/>
        </w:rPr>
      </w:pPr>
      <w:r>
        <w:rPr>
          <w:szCs w:val="24"/>
        </w:rPr>
        <w:tab/>
      </w:r>
      <w:r>
        <w:rPr>
          <w:szCs w:val="24"/>
        </w:rPr>
        <w:tab/>
        <w:t>4.</w:t>
      </w:r>
      <w:r>
        <w:rPr>
          <w:szCs w:val="24"/>
        </w:rPr>
        <w:tab/>
        <w:t>OSBA’s Position</w:t>
      </w:r>
      <w:r w:rsidR="00853258">
        <w:rPr>
          <w:szCs w:val="24"/>
        </w:rPr>
        <w:tab/>
      </w:r>
      <w:r>
        <w:rPr>
          <w:szCs w:val="24"/>
        </w:rPr>
        <w:t>………………...</w:t>
      </w:r>
      <w:r w:rsidR="00853258">
        <w:rPr>
          <w:szCs w:val="24"/>
        </w:rPr>
        <w:t>22</w:t>
      </w:r>
    </w:p>
    <w:p w:rsidR="00711276" w:rsidRDefault="00711276" w:rsidP="00711276">
      <w:pPr>
        <w:tabs>
          <w:tab w:val="left" w:pos="720"/>
          <w:tab w:val="left" w:pos="1440"/>
          <w:tab w:val="left" w:pos="2160"/>
          <w:tab w:val="right" w:leader="dot" w:pos="9360"/>
        </w:tabs>
        <w:rPr>
          <w:szCs w:val="24"/>
        </w:rPr>
      </w:pPr>
    </w:p>
    <w:p w:rsidR="005D4A2B" w:rsidRDefault="00711276" w:rsidP="00711276">
      <w:pPr>
        <w:tabs>
          <w:tab w:val="left" w:pos="720"/>
          <w:tab w:val="left" w:pos="1440"/>
          <w:tab w:val="left" w:pos="2160"/>
          <w:tab w:val="right" w:leader="dot" w:pos="9360"/>
        </w:tabs>
        <w:rPr>
          <w:szCs w:val="24"/>
        </w:rPr>
      </w:pPr>
      <w:r>
        <w:rPr>
          <w:szCs w:val="24"/>
        </w:rPr>
        <w:tab/>
        <w:t>B.</w:t>
      </w:r>
      <w:r>
        <w:rPr>
          <w:szCs w:val="24"/>
        </w:rPr>
        <w:tab/>
        <w:t>Recommendation – Settlement</w:t>
      </w:r>
      <w:r>
        <w:rPr>
          <w:szCs w:val="24"/>
        </w:rPr>
        <w:tab/>
      </w:r>
      <w:r w:rsidR="00ED5DF3">
        <w:rPr>
          <w:szCs w:val="24"/>
        </w:rPr>
        <w:t>26</w:t>
      </w:r>
      <w:r>
        <w:rPr>
          <w:szCs w:val="24"/>
        </w:rPr>
        <w:tab/>
      </w:r>
    </w:p>
    <w:p w:rsidR="005D4A2B" w:rsidRDefault="005D4A2B" w:rsidP="00711276">
      <w:pPr>
        <w:tabs>
          <w:tab w:val="left" w:pos="720"/>
          <w:tab w:val="left" w:pos="1440"/>
          <w:tab w:val="left" w:pos="2160"/>
          <w:tab w:val="right" w:leader="dot" w:pos="9360"/>
        </w:tabs>
        <w:rPr>
          <w:szCs w:val="24"/>
        </w:rPr>
      </w:pPr>
    </w:p>
    <w:p w:rsidR="00711276" w:rsidRDefault="005D4A2B" w:rsidP="00711276">
      <w:pPr>
        <w:tabs>
          <w:tab w:val="left" w:pos="720"/>
          <w:tab w:val="left" w:pos="1440"/>
          <w:tab w:val="left" w:pos="2160"/>
          <w:tab w:val="right" w:leader="dot" w:pos="9360"/>
        </w:tabs>
        <w:rPr>
          <w:szCs w:val="24"/>
        </w:rPr>
      </w:pPr>
      <w:r>
        <w:rPr>
          <w:szCs w:val="24"/>
        </w:rPr>
        <w:t>V.</w:t>
      </w:r>
      <w:r>
        <w:rPr>
          <w:szCs w:val="24"/>
        </w:rPr>
        <w:tab/>
      </w:r>
      <w:r w:rsidR="00711276">
        <w:rPr>
          <w:szCs w:val="24"/>
        </w:rPr>
        <w:t>C</w:t>
      </w:r>
      <w:r w:rsidR="008D6E55">
        <w:rPr>
          <w:szCs w:val="24"/>
        </w:rPr>
        <w:t>onclusions of Law</w:t>
      </w:r>
      <w:r w:rsidR="00D627E4">
        <w:rPr>
          <w:szCs w:val="24"/>
        </w:rPr>
        <w:tab/>
      </w:r>
      <w:r w:rsidR="00B16C5E">
        <w:rPr>
          <w:szCs w:val="24"/>
        </w:rPr>
        <w:t>26</w:t>
      </w:r>
    </w:p>
    <w:p w:rsidR="00711276" w:rsidRDefault="00711276" w:rsidP="00711276">
      <w:pPr>
        <w:tabs>
          <w:tab w:val="left" w:pos="720"/>
          <w:tab w:val="left" w:pos="1440"/>
          <w:tab w:val="left" w:pos="2160"/>
          <w:tab w:val="right" w:leader="dot" w:pos="9360"/>
        </w:tabs>
        <w:rPr>
          <w:szCs w:val="24"/>
        </w:rPr>
      </w:pPr>
    </w:p>
    <w:p w:rsidR="00711276" w:rsidRDefault="00711276" w:rsidP="00711276">
      <w:pPr>
        <w:tabs>
          <w:tab w:val="left" w:pos="720"/>
          <w:tab w:val="left" w:pos="1440"/>
          <w:tab w:val="left" w:pos="2160"/>
          <w:tab w:val="right" w:leader="dot" w:pos="9360"/>
        </w:tabs>
        <w:rPr>
          <w:szCs w:val="24"/>
        </w:rPr>
      </w:pPr>
      <w:r>
        <w:rPr>
          <w:szCs w:val="24"/>
        </w:rPr>
        <w:t>VI</w:t>
      </w:r>
      <w:r w:rsidR="005D04D1">
        <w:rPr>
          <w:szCs w:val="24"/>
        </w:rPr>
        <w:t>.</w:t>
      </w:r>
      <w:r>
        <w:rPr>
          <w:szCs w:val="24"/>
        </w:rPr>
        <w:tab/>
        <w:t>R</w:t>
      </w:r>
      <w:r w:rsidR="008D6E55">
        <w:rPr>
          <w:szCs w:val="24"/>
        </w:rPr>
        <w:t>ecommended Order</w:t>
      </w:r>
      <w:r w:rsidR="00B16C5E">
        <w:rPr>
          <w:szCs w:val="24"/>
        </w:rPr>
        <w:tab/>
        <w:t>28</w:t>
      </w:r>
      <w:r w:rsidR="00D627E4">
        <w:rPr>
          <w:szCs w:val="24"/>
        </w:rPr>
        <w:tab/>
      </w:r>
    </w:p>
    <w:p w:rsidR="00687A7A" w:rsidRDefault="00687A7A" w:rsidP="00711276">
      <w:pPr>
        <w:tabs>
          <w:tab w:val="left" w:pos="720"/>
          <w:tab w:val="left" w:pos="1440"/>
          <w:tab w:val="left" w:pos="2160"/>
          <w:tab w:val="right" w:leader="dot" w:pos="9360"/>
        </w:tabs>
        <w:rPr>
          <w:szCs w:val="24"/>
        </w:rPr>
      </w:pPr>
    </w:p>
    <w:p w:rsidR="00687A7A" w:rsidRDefault="00687A7A" w:rsidP="00711276">
      <w:pPr>
        <w:tabs>
          <w:tab w:val="left" w:pos="720"/>
          <w:tab w:val="left" w:pos="1440"/>
          <w:tab w:val="left" w:pos="2160"/>
          <w:tab w:val="right" w:leader="dot" w:pos="9360"/>
        </w:tabs>
        <w:rPr>
          <w:szCs w:val="24"/>
        </w:rPr>
      </w:pPr>
    </w:p>
    <w:p w:rsidR="00687A7A" w:rsidRDefault="00687A7A" w:rsidP="00711276">
      <w:pPr>
        <w:tabs>
          <w:tab w:val="left" w:pos="720"/>
          <w:tab w:val="left" w:pos="1440"/>
          <w:tab w:val="left" w:pos="2160"/>
          <w:tab w:val="right" w:leader="dot" w:pos="9360"/>
        </w:tabs>
        <w:rPr>
          <w:szCs w:val="24"/>
        </w:rPr>
        <w:sectPr w:rsidR="00687A7A" w:rsidSect="00A57DD5">
          <w:pgSz w:w="12240" w:h="15840" w:code="1"/>
          <w:pgMar w:top="1440" w:right="1440" w:bottom="1440" w:left="1440" w:header="1440" w:footer="1440" w:gutter="0"/>
          <w:pgNumType w:start="1"/>
          <w:cols w:space="720"/>
          <w:docGrid w:linePitch="360"/>
        </w:sectPr>
      </w:pPr>
    </w:p>
    <w:p w:rsidR="00687D79" w:rsidRDefault="00711276" w:rsidP="00711276">
      <w:pPr>
        <w:jc w:val="center"/>
        <w:rPr>
          <w:sz w:val="24"/>
          <w:szCs w:val="24"/>
          <w:u w:val="single"/>
        </w:rPr>
      </w:pPr>
      <w:r w:rsidRPr="001C16D2">
        <w:rPr>
          <w:sz w:val="24"/>
          <w:szCs w:val="24"/>
        </w:rPr>
        <w:t>I.</w:t>
      </w:r>
      <w:r w:rsidRPr="001C16D2">
        <w:rPr>
          <w:sz w:val="24"/>
          <w:szCs w:val="24"/>
        </w:rPr>
        <w:tab/>
      </w:r>
      <w:r w:rsidR="00687D79" w:rsidRPr="00421BBB">
        <w:rPr>
          <w:sz w:val="24"/>
          <w:szCs w:val="24"/>
          <w:u w:val="single"/>
        </w:rPr>
        <w:t>HISTORY OF THE PROCEEDING</w:t>
      </w:r>
    </w:p>
    <w:p w:rsidR="00551840" w:rsidRPr="001C16D2" w:rsidRDefault="00551840" w:rsidP="00711276">
      <w:pPr>
        <w:jc w:val="center"/>
        <w:rPr>
          <w:sz w:val="24"/>
          <w:szCs w:val="24"/>
        </w:rPr>
      </w:pPr>
    </w:p>
    <w:p w:rsidR="00687D79" w:rsidRDefault="00687D79" w:rsidP="00227CE8">
      <w:pPr>
        <w:jc w:val="left"/>
        <w:rPr>
          <w:sz w:val="24"/>
          <w:szCs w:val="24"/>
        </w:rPr>
      </w:pPr>
    </w:p>
    <w:p w:rsidR="00551840" w:rsidRDefault="00551840" w:rsidP="002569D9">
      <w:pPr>
        <w:spacing w:line="360" w:lineRule="auto"/>
        <w:jc w:val="left"/>
        <w:rPr>
          <w:sz w:val="24"/>
          <w:szCs w:val="24"/>
        </w:rPr>
      </w:pPr>
      <w:r>
        <w:rPr>
          <w:sz w:val="24"/>
          <w:szCs w:val="24"/>
        </w:rPr>
        <w:tab/>
      </w:r>
      <w:r>
        <w:rPr>
          <w:sz w:val="24"/>
          <w:szCs w:val="24"/>
        </w:rPr>
        <w:tab/>
        <w:t>On January 3, 2012, National Fuel Gas Distribution Corporation (“</w:t>
      </w:r>
      <w:r w:rsidR="008B7F72">
        <w:rPr>
          <w:sz w:val="24"/>
          <w:szCs w:val="24"/>
        </w:rPr>
        <w:t>Distribution</w:t>
      </w:r>
      <w:r w:rsidR="005B14E6">
        <w:rPr>
          <w:sz w:val="24"/>
          <w:szCs w:val="24"/>
        </w:rPr>
        <w:t>,” “NFGD</w:t>
      </w:r>
      <w:r>
        <w:rPr>
          <w:sz w:val="24"/>
          <w:szCs w:val="24"/>
        </w:rPr>
        <w:t xml:space="preserve">” or “the Company”) submitted its purchased gas cost (“PGC”) pre-filing pursuant to the Commission’s regulations at </w:t>
      </w:r>
      <w:r w:rsidRPr="00B43A12">
        <w:rPr>
          <w:sz w:val="24"/>
          <w:szCs w:val="24"/>
        </w:rPr>
        <w:t>52</w:t>
      </w:r>
      <w:r>
        <w:rPr>
          <w:sz w:val="24"/>
          <w:szCs w:val="24"/>
        </w:rPr>
        <w:t> </w:t>
      </w:r>
      <w:r w:rsidRPr="00B43A12">
        <w:rPr>
          <w:sz w:val="24"/>
          <w:szCs w:val="24"/>
        </w:rPr>
        <w:t xml:space="preserve">Pa. Code §§53.64 and 53.65.  </w:t>
      </w:r>
      <w:r>
        <w:rPr>
          <w:sz w:val="24"/>
          <w:szCs w:val="24"/>
        </w:rPr>
        <w:t xml:space="preserve">The Company’s pre-filing projected a PGC rate of $7.1467/McF.  On February 1, 2012, </w:t>
      </w:r>
      <w:r w:rsidR="002E623B">
        <w:rPr>
          <w:sz w:val="24"/>
          <w:szCs w:val="24"/>
        </w:rPr>
        <w:t>Distribution</w:t>
      </w:r>
      <w:r>
        <w:rPr>
          <w:sz w:val="24"/>
          <w:szCs w:val="24"/>
        </w:rPr>
        <w:t xml:space="preserve"> submitted its definitive filing pursuant to Section 1307(f) of the Public Utility Code,</w:t>
      </w:r>
      <w:r w:rsidRPr="00B43A12">
        <w:rPr>
          <w:sz w:val="24"/>
          <w:szCs w:val="24"/>
        </w:rPr>
        <w:t xml:space="preserve"> 66 Pa. C.S. §1307(f</w:t>
      </w:r>
      <w:r>
        <w:rPr>
          <w:sz w:val="24"/>
          <w:szCs w:val="24"/>
        </w:rPr>
        <w:t>)</w:t>
      </w:r>
      <w:r w:rsidR="002E623B">
        <w:rPr>
          <w:sz w:val="24"/>
          <w:szCs w:val="24"/>
        </w:rPr>
        <w:t>,</w:t>
      </w:r>
      <w:r>
        <w:rPr>
          <w:sz w:val="24"/>
          <w:szCs w:val="24"/>
        </w:rPr>
        <w:t xml:space="preserve"> in support of Supplement No. 125 to Tariff Gas-Pa. P.U.C. No. 9, which was issued February 1, 2012, to be effective for service rendered on or after August 1, 2012.  Relative to the current rate of $5.1970/McF, the Company’s definitive filing on February 1, 2012 projected an increase of $1.9497/McF to $7.1467/McF.  </w:t>
      </w:r>
      <w:r w:rsidRPr="00B43A12">
        <w:rPr>
          <w:sz w:val="24"/>
          <w:szCs w:val="24"/>
        </w:rPr>
        <w:t xml:space="preserve">  </w:t>
      </w:r>
    </w:p>
    <w:p w:rsidR="00551840" w:rsidRDefault="00551840" w:rsidP="002569D9">
      <w:pPr>
        <w:spacing w:line="360" w:lineRule="auto"/>
        <w:jc w:val="left"/>
        <w:rPr>
          <w:sz w:val="24"/>
          <w:szCs w:val="24"/>
        </w:rPr>
      </w:pPr>
    </w:p>
    <w:p w:rsidR="00551840" w:rsidRPr="0095087E" w:rsidRDefault="00551840" w:rsidP="002569D9">
      <w:pPr>
        <w:spacing w:line="360" w:lineRule="auto"/>
        <w:jc w:val="left"/>
        <w:rPr>
          <w:sz w:val="24"/>
          <w:szCs w:val="24"/>
        </w:rPr>
      </w:pPr>
      <w:r>
        <w:rPr>
          <w:sz w:val="24"/>
          <w:szCs w:val="24"/>
        </w:rPr>
        <w:tab/>
      </w:r>
      <w:r>
        <w:rPr>
          <w:sz w:val="24"/>
          <w:szCs w:val="24"/>
        </w:rPr>
        <w:tab/>
      </w:r>
      <w:r w:rsidRPr="0095087E">
        <w:rPr>
          <w:sz w:val="24"/>
          <w:szCs w:val="24"/>
        </w:rPr>
        <w:t xml:space="preserve">On January 13, 2012, the </w:t>
      </w:r>
      <w:r>
        <w:rPr>
          <w:sz w:val="24"/>
          <w:szCs w:val="24"/>
        </w:rPr>
        <w:t>Office of Consumer Advocate (“</w:t>
      </w:r>
      <w:r w:rsidRPr="0095087E">
        <w:rPr>
          <w:sz w:val="24"/>
          <w:szCs w:val="24"/>
        </w:rPr>
        <w:t>OCA</w:t>
      </w:r>
      <w:r>
        <w:rPr>
          <w:sz w:val="24"/>
          <w:szCs w:val="24"/>
        </w:rPr>
        <w:t>”)</w:t>
      </w:r>
      <w:r w:rsidRPr="0095087E">
        <w:rPr>
          <w:sz w:val="24"/>
          <w:szCs w:val="24"/>
        </w:rPr>
        <w:t xml:space="preserve"> filed a Formal Complaint, Public Statement an</w:t>
      </w:r>
      <w:r w:rsidR="002E623B">
        <w:rPr>
          <w:sz w:val="24"/>
          <w:szCs w:val="24"/>
        </w:rPr>
        <w:t>d Notice of Appearance against Distribution</w:t>
      </w:r>
      <w:r w:rsidRPr="0095087E">
        <w:rPr>
          <w:sz w:val="24"/>
          <w:szCs w:val="24"/>
        </w:rPr>
        <w:t>’s proposed PGC rates</w:t>
      </w:r>
      <w:r>
        <w:rPr>
          <w:sz w:val="24"/>
          <w:szCs w:val="24"/>
        </w:rPr>
        <w:t xml:space="preserve"> at Docket No. C-2012-2283065</w:t>
      </w:r>
      <w:r w:rsidRPr="0095087E">
        <w:rPr>
          <w:sz w:val="24"/>
          <w:szCs w:val="24"/>
        </w:rPr>
        <w:t>.  On January 13, 2012, the Bureau of Investigation and Enforcement (</w:t>
      </w:r>
      <w:r>
        <w:rPr>
          <w:sz w:val="24"/>
          <w:szCs w:val="24"/>
        </w:rPr>
        <w:t>“</w:t>
      </w:r>
      <w:r w:rsidRPr="0095087E">
        <w:rPr>
          <w:sz w:val="24"/>
          <w:szCs w:val="24"/>
        </w:rPr>
        <w:t>BI&amp;E</w:t>
      </w:r>
      <w:r>
        <w:rPr>
          <w:sz w:val="24"/>
          <w:szCs w:val="24"/>
        </w:rPr>
        <w:t>”</w:t>
      </w:r>
      <w:r w:rsidRPr="0095087E">
        <w:rPr>
          <w:sz w:val="24"/>
          <w:szCs w:val="24"/>
        </w:rPr>
        <w:t>) filed its Notice of Appearance.  On January 20, 2012, the Office of Small Business Advocate (</w:t>
      </w:r>
      <w:r>
        <w:rPr>
          <w:sz w:val="24"/>
          <w:szCs w:val="24"/>
        </w:rPr>
        <w:t>“</w:t>
      </w:r>
      <w:r w:rsidRPr="0095087E">
        <w:rPr>
          <w:sz w:val="24"/>
          <w:szCs w:val="24"/>
        </w:rPr>
        <w:t>OSBA</w:t>
      </w:r>
      <w:r>
        <w:rPr>
          <w:sz w:val="24"/>
          <w:szCs w:val="24"/>
        </w:rPr>
        <w:t>”</w:t>
      </w:r>
      <w:r w:rsidRPr="0095087E">
        <w:rPr>
          <w:sz w:val="24"/>
          <w:szCs w:val="24"/>
        </w:rPr>
        <w:t>) filed its Formal Complaint, Public Statement and Notice of Appearance</w:t>
      </w:r>
      <w:r>
        <w:rPr>
          <w:sz w:val="24"/>
          <w:szCs w:val="24"/>
        </w:rPr>
        <w:t xml:space="preserve"> at Docket No. C-2012-2284611.  On February 2, 2012, a Formal Complaint was filed by James Amitrone at Docket No. C-2012-2286737.    </w:t>
      </w:r>
    </w:p>
    <w:p w:rsidR="00551840" w:rsidRDefault="00551840" w:rsidP="002569D9">
      <w:pPr>
        <w:spacing w:line="360" w:lineRule="auto"/>
        <w:jc w:val="left"/>
        <w:rPr>
          <w:sz w:val="24"/>
          <w:szCs w:val="24"/>
        </w:rPr>
      </w:pPr>
    </w:p>
    <w:p w:rsidR="00687D79" w:rsidRDefault="00551840" w:rsidP="002569D9">
      <w:pPr>
        <w:spacing w:line="360" w:lineRule="auto"/>
        <w:ind w:firstLine="720"/>
        <w:jc w:val="left"/>
        <w:rPr>
          <w:sz w:val="24"/>
          <w:szCs w:val="24"/>
        </w:rPr>
      </w:pPr>
      <w:r>
        <w:rPr>
          <w:sz w:val="24"/>
          <w:szCs w:val="24"/>
        </w:rPr>
        <w:t xml:space="preserve">           </w:t>
      </w:r>
      <w:r w:rsidR="006952B1">
        <w:rPr>
          <w:sz w:val="24"/>
          <w:szCs w:val="24"/>
        </w:rPr>
        <w:t xml:space="preserve">On January 31, 2012, the undersigned Administrative Law Judge (“ALJ”) issued a Prehearing Conference Order scheduling a prehearing conference for Thursday, February 9, 2012. The </w:t>
      </w:r>
      <w:r>
        <w:rPr>
          <w:sz w:val="24"/>
          <w:szCs w:val="24"/>
        </w:rPr>
        <w:t>P</w:t>
      </w:r>
      <w:r w:rsidRPr="00B43A12">
        <w:rPr>
          <w:sz w:val="24"/>
          <w:szCs w:val="24"/>
        </w:rPr>
        <w:t xml:space="preserve">rehearing </w:t>
      </w:r>
      <w:r>
        <w:rPr>
          <w:sz w:val="24"/>
          <w:szCs w:val="24"/>
        </w:rPr>
        <w:t>C</w:t>
      </w:r>
      <w:r w:rsidRPr="00B43A12">
        <w:rPr>
          <w:sz w:val="24"/>
          <w:szCs w:val="24"/>
        </w:rPr>
        <w:t>onference was held on T</w:t>
      </w:r>
      <w:r>
        <w:rPr>
          <w:sz w:val="24"/>
          <w:szCs w:val="24"/>
        </w:rPr>
        <w:t>hursday, February 9, 2012</w:t>
      </w:r>
      <w:r w:rsidR="006952B1">
        <w:rPr>
          <w:sz w:val="24"/>
          <w:szCs w:val="24"/>
        </w:rPr>
        <w:t xml:space="preserve"> as scheduled</w:t>
      </w:r>
      <w:r w:rsidR="002E623B">
        <w:rPr>
          <w:sz w:val="24"/>
          <w:szCs w:val="24"/>
        </w:rPr>
        <w:t xml:space="preserve">.  </w:t>
      </w:r>
      <w:r w:rsidRPr="00B43A12">
        <w:rPr>
          <w:sz w:val="24"/>
          <w:szCs w:val="24"/>
        </w:rPr>
        <w:t xml:space="preserve">The parties participating and represented by counsel were </w:t>
      </w:r>
      <w:r w:rsidR="002E623B">
        <w:rPr>
          <w:sz w:val="24"/>
          <w:szCs w:val="24"/>
        </w:rPr>
        <w:t>Distribution</w:t>
      </w:r>
      <w:r w:rsidRPr="00B43A12">
        <w:rPr>
          <w:sz w:val="24"/>
          <w:szCs w:val="24"/>
        </w:rPr>
        <w:t xml:space="preserve">, </w:t>
      </w:r>
      <w:r>
        <w:rPr>
          <w:sz w:val="24"/>
          <w:szCs w:val="24"/>
        </w:rPr>
        <w:t>BI&amp;E</w:t>
      </w:r>
      <w:r w:rsidR="00BC2DF1">
        <w:rPr>
          <w:sz w:val="24"/>
          <w:szCs w:val="24"/>
        </w:rPr>
        <w:t xml:space="preserve">, OCA, and </w:t>
      </w:r>
      <w:r w:rsidRPr="00B43A12">
        <w:rPr>
          <w:sz w:val="24"/>
          <w:szCs w:val="24"/>
        </w:rPr>
        <w:t xml:space="preserve">OSBA.  Counsel for </w:t>
      </w:r>
      <w:r w:rsidR="002E623B">
        <w:rPr>
          <w:sz w:val="24"/>
          <w:szCs w:val="24"/>
        </w:rPr>
        <w:t>Distribution</w:t>
      </w:r>
      <w:r w:rsidRPr="00B43A12">
        <w:rPr>
          <w:sz w:val="24"/>
          <w:szCs w:val="24"/>
        </w:rPr>
        <w:t xml:space="preserve">, </w:t>
      </w:r>
      <w:r>
        <w:rPr>
          <w:sz w:val="24"/>
          <w:szCs w:val="24"/>
        </w:rPr>
        <w:t>BI&amp;E</w:t>
      </w:r>
      <w:r w:rsidRPr="00B43A12">
        <w:rPr>
          <w:sz w:val="24"/>
          <w:szCs w:val="24"/>
        </w:rPr>
        <w:t>, the OCA, and the OSBA filed prehearing memoranda.</w:t>
      </w:r>
      <w:r w:rsidR="00BC2DF1">
        <w:rPr>
          <w:sz w:val="24"/>
          <w:szCs w:val="24"/>
        </w:rPr>
        <w:t xml:space="preserve">  </w:t>
      </w:r>
      <w:r w:rsidR="00687D79">
        <w:rPr>
          <w:sz w:val="24"/>
          <w:szCs w:val="24"/>
        </w:rPr>
        <w:t xml:space="preserve">A Prehearing Order was issued by the undersigned ALJ on February </w:t>
      </w:r>
      <w:r w:rsidR="006952B1">
        <w:rPr>
          <w:sz w:val="24"/>
          <w:szCs w:val="24"/>
        </w:rPr>
        <w:t>9, 2012</w:t>
      </w:r>
      <w:r w:rsidR="002569D9">
        <w:rPr>
          <w:sz w:val="24"/>
          <w:szCs w:val="24"/>
        </w:rPr>
        <w:t xml:space="preserve"> following the Prehearing C</w:t>
      </w:r>
      <w:r w:rsidR="00687D79">
        <w:rPr>
          <w:sz w:val="24"/>
          <w:szCs w:val="24"/>
        </w:rPr>
        <w:t>onference</w:t>
      </w:r>
      <w:r w:rsidR="00BC2DF1">
        <w:rPr>
          <w:sz w:val="24"/>
          <w:szCs w:val="24"/>
        </w:rPr>
        <w:t>.</w:t>
      </w:r>
    </w:p>
    <w:p w:rsidR="00687D79" w:rsidRDefault="00687D79" w:rsidP="002569D9">
      <w:pPr>
        <w:pStyle w:val="BodyText2"/>
        <w:spacing w:after="0" w:line="360" w:lineRule="auto"/>
        <w:jc w:val="left"/>
        <w:rPr>
          <w:sz w:val="24"/>
          <w:szCs w:val="24"/>
        </w:rPr>
      </w:pPr>
    </w:p>
    <w:p w:rsidR="002569D9" w:rsidRDefault="00687D79" w:rsidP="002569D9">
      <w:pPr>
        <w:spacing w:line="360" w:lineRule="auto"/>
        <w:jc w:val="left"/>
        <w:rPr>
          <w:sz w:val="24"/>
          <w:szCs w:val="24"/>
        </w:rPr>
      </w:pPr>
      <w:r>
        <w:rPr>
          <w:sz w:val="24"/>
          <w:szCs w:val="24"/>
        </w:rPr>
        <w:tab/>
      </w:r>
      <w:r>
        <w:rPr>
          <w:sz w:val="24"/>
          <w:szCs w:val="24"/>
        </w:rPr>
        <w:tab/>
      </w:r>
      <w:r w:rsidR="00BC2DF1">
        <w:rPr>
          <w:sz w:val="24"/>
          <w:szCs w:val="24"/>
        </w:rPr>
        <w:t xml:space="preserve">On April 17, 2012, Distribution </w:t>
      </w:r>
      <w:r w:rsidR="00BC2DF1" w:rsidRPr="00382141">
        <w:rPr>
          <w:sz w:val="24"/>
          <w:szCs w:val="24"/>
        </w:rPr>
        <w:t xml:space="preserve">informed the </w:t>
      </w:r>
      <w:r w:rsidR="00BC2DF1">
        <w:rPr>
          <w:sz w:val="24"/>
          <w:szCs w:val="24"/>
        </w:rPr>
        <w:t>undersigned A</w:t>
      </w:r>
      <w:r w:rsidR="00BC2DF1" w:rsidRPr="00382141">
        <w:rPr>
          <w:sz w:val="24"/>
          <w:szCs w:val="24"/>
        </w:rPr>
        <w:t xml:space="preserve">LJ </w:t>
      </w:r>
      <w:r w:rsidR="00BC2DF1">
        <w:rPr>
          <w:sz w:val="24"/>
          <w:szCs w:val="24"/>
        </w:rPr>
        <w:t>that Distribution, BI&amp;E,</w:t>
      </w:r>
      <w:r w:rsidR="00D85CE5">
        <w:rPr>
          <w:sz w:val="24"/>
          <w:szCs w:val="24"/>
        </w:rPr>
        <w:t xml:space="preserve"> </w:t>
      </w:r>
      <w:r w:rsidR="00BC2DF1">
        <w:rPr>
          <w:sz w:val="24"/>
          <w:szCs w:val="24"/>
        </w:rPr>
        <w:t xml:space="preserve">OCA and OSBA (“Settlement Parties”) achieved a </w:t>
      </w:r>
      <w:r w:rsidR="002569D9">
        <w:rPr>
          <w:sz w:val="24"/>
          <w:szCs w:val="24"/>
        </w:rPr>
        <w:t>s</w:t>
      </w:r>
      <w:r w:rsidR="00BC2DF1">
        <w:rPr>
          <w:sz w:val="24"/>
          <w:szCs w:val="24"/>
        </w:rPr>
        <w:t>ettlement in principle of all issues and the Settlement Parties further agreed that the OSBA would submit surrebuttal testimony consistent with the litigation schedule established in the Prehearing Order issued on February 9, 2012.  The litigation schedule was suspended on April 20, 2012 and the evidentiary hearings scheduled for April 24-25, 2012 in Harrisburg were cancelled to enable the Settlement Parties to reduce their settlement in principle to writing.</w:t>
      </w:r>
    </w:p>
    <w:p w:rsidR="002569D9" w:rsidRDefault="002569D9" w:rsidP="002569D9">
      <w:pPr>
        <w:spacing w:line="360" w:lineRule="auto"/>
        <w:jc w:val="left"/>
        <w:rPr>
          <w:sz w:val="24"/>
          <w:szCs w:val="24"/>
        </w:rPr>
      </w:pPr>
    </w:p>
    <w:p w:rsidR="002569D9" w:rsidRDefault="002569D9" w:rsidP="002569D9">
      <w:pPr>
        <w:spacing w:line="360" w:lineRule="auto"/>
        <w:ind w:firstLine="1440"/>
        <w:jc w:val="left"/>
        <w:rPr>
          <w:sz w:val="24"/>
          <w:szCs w:val="24"/>
        </w:rPr>
      </w:pPr>
      <w:r>
        <w:rPr>
          <w:sz w:val="24"/>
          <w:szCs w:val="24"/>
        </w:rPr>
        <w:t xml:space="preserve">On April 20, 2012, counsel for </w:t>
      </w:r>
      <w:r w:rsidR="00D85CE5">
        <w:rPr>
          <w:sz w:val="24"/>
          <w:szCs w:val="24"/>
        </w:rPr>
        <w:t>Distribution</w:t>
      </w:r>
      <w:r>
        <w:rPr>
          <w:sz w:val="24"/>
          <w:szCs w:val="24"/>
        </w:rPr>
        <w:t>, John H. Isom, Esquire, filed a Joint Motion of All Active Parties for Admission of Testimony and Exhibits into Evidence (“Joint Motion”), executed by the Settlement Parties to this proceeding.</w:t>
      </w:r>
      <w:r w:rsidRPr="00BF5E54">
        <w:rPr>
          <w:rStyle w:val="FootnoteReference"/>
        </w:rPr>
        <w:footnoteReference w:id="1"/>
      </w:r>
      <w:r w:rsidRPr="00BF5E54">
        <w:rPr>
          <w:vertAlign w:val="superscript"/>
        </w:rPr>
        <w:t xml:space="preserve">  </w:t>
      </w:r>
      <w:r>
        <w:rPr>
          <w:sz w:val="24"/>
          <w:szCs w:val="24"/>
        </w:rPr>
        <w:t xml:space="preserve">On April 24, 2012, the Joint Motion was served on Mr. Amitrone.  Mr. Amitrone did not file a response to the Joint Motion.    </w:t>
      </w:r>
    </w:p>
    <w:p w:rsidR="002569D9" w:rsidRDefault="002569D9" w:rsidP="002569D9">
      <w:pPr>
        <w:spacing w:line="360" w:lineRule="auto"/>
        <w:jc w:val="left"/>
        <w:rPr>
          <w:sz w:val="24"/>
          <w:szCs w:val="24"/>
        </w:rPr>
      </w:pPr>
    </w:p>
    <w:p w:rsidR="00D85CE5" w:rsidRDefault="002569D9" w:rsidP="002569D9">
      <w:pPr>
        <w:spacing w:line="360" w:lineRule="auto"/>
        <w:jc w:val="left"/>
        <w:rPr>
          <w:sz w:val="24"/>
          <w:szCs w:val="24"/>
        </w:rPr>
      </w:pPr>
      <w:r>
        <w:rPr>
          <w:sz w:val="24"/>
          <w:szCs w:val="24"/>
        </w:rPr>
        <w:tab/>
      </w:r>
      <w:r>
        <w:rPr>
          <w:sz w:val="24"/>
          <w:szCs w:val="24"/>
        </w:rPr>
        <w:tab/>
        <w:t xml:space="preserve">On May 11, 2012, the </w:t>
      </w:r>
      <w:r w:rsidR="00D85CE5">
        <w:rPr>
          <w:sz w:val="24"/>
          <w:szCs w:val="24"/>
        </w:rPr>
        <w:t xml:space="preserve">Settlement </w:t>
      </w:r>
      <w:r>
        <w:rPr>
          <w:sz w:val="24"/>
          <w:szCs w:val="24"/>
        </w:rPr>
        <w:t>Parties filed a Stipulation in Settlement of the Rate Investigation pursuant to 66 Pa. C.S. §1307(f)</w:t>
      </w:r>
      <w:r w:rsidR="00DA5BFA">
        <w:rPr>
          <w:sz w:val="24"/>
          <w:szCs w:val="24"/>
        </w:rPr>
        <w:t xml:space="preserve"> (“Settlement”)</w:t>
      </w:r>
      <w:r>
        <w:rPr>
          <w:sz w:val="24"/>
          <w:szCs w:val="24"/>
        </w:rPr>
        <w:t xml:space="preserve">.  On May 14, 2012, the undersigned ALJ sent a letter to Mr. Amitrone advising him that any written comments or objections to the Stipulation in Settlement of the Rate Investigation must be filed and received by the undersigned ALJ on or before May 24, 2012.   </w:t>
      </w:r>
    </w:p>
    <w:p w:rsidR="00D85CE5" w:rsidRDefault="00D85CE5" w:rsidP="002569D9">
      <w:pPr>
        <w:spacing w:line="360" w:lineRule="auto"/>
        <w:jc w:val="left"/>
        <w:rPr>
          <w:sz w:val="24"/>
          <w:szCs w:val="24"/>
        </w:rPr>
      </w:pPr>
    </w:p>
    <w:p w:rsidR="00DA5BFA" w:rsidRDefault="00D85CE5" w:rsidP="002569D9">
      <w:pPr>
        <w:spacing w:line="360" w:lineRule="auto"/>
        <w:jc w:val="left"/>
        <w:rPr>
          <w:sz w:val="24"/>
          <w:szCs w:val="24"/>
        </w:rPr>
      </w:pPr>
      <w:r>
        <w:rPr>
          <w:sz w:val="24"/>
          <w:szCs w:val="24"/>
        </w:rPr>
        <w:tab/>
      </w:r>
      <w:r>
        <w:rPr>
          <w:sz w:val="24"/>
          <w:szCs w:val="24"/>
        </w:rPr>
        <w:tab/>
        <w:t xml:space="preserve">On May 15, 2012, the undersigned ALJ issued a First Interim Order granting the Joint Motion </w:t>
      </w:r>
      <w:r w:rsidR="00DA5BFA">
        <w:rPr>
          <w:sz w:val="24"/>
          <w:szCs w:val="24"/>
        </w:rPr>
        <w:t xml:space="preserve">filed on April 20, 2012.  </w:t>
      </w:r>
    </w:p>
    <w:p w:rsidR="00DA5BFA" w:rsidRDefault="00DA5BFA" w:rsidP="002569D9">
      <w:pPr>
        <w:spacing w:line="360" w:lineRule="auto"/>
        <w:jc w:val="left"/>
        <w:rPr>
          <w:sz w:val="24"/>
          <w:szCs w:val="24"/>
        </w:rPr>
      </w:pPr>
    </w:p>
    <w:p w:rsidR="00687D79" w:rsidRDefault="00DA5BFA" w:rsidP="00B45397">
      <w:pPr>
        <w:spacing w:line="360" w:lineRule="auto"/>
        <w:jc w:val="left"/>
        <w:rPr>
          <w:sz w:val="24"/>
          <w:szCs w:val="24"/>
        </w:rPr>
      </w:pPr>
      <w:r>
        <w:rPr>
          <w:sz w:val="24"/>
          <w:szCs w:val="24"/>
        </w:rPr>
        <w:tab/>
      </w:r>
      <w:r>
        <w:rPr>
          <w:sz w:val="24"/>
          <w:szCs w:val="24"/>
        </w:rPr>
        <w:tab/>
        <w:t>Mr. Amitrone did not file comments or objections to the Settlement by May 24, 2012.  On May 25, 2012, the undersigned ALJ issued an order closing the hearing record</w:t>
      </w:r>
      <w:r w:rsidR="00B45397">
        <w:rPr>
          <w:sz w:val="24"/>
          <w:szCs w:val="24"/>
        </w:rPr>
        <w:t>.</w:t>
      </w:r>
    </w:p>
    <w:p w:rsidR="00716913" w:rsidRDefault="00716913" w:rsidP="00227CE8">
      <w:pPr>
        <w:spacing w:line="360" w:lineRule="auto"/>
        <w:jc w:val="center"/>
        <w:rPr>
          <w:spacing w:val="-3"/>
          <w:sz w:val="24"/>
          <w:szCs w:val="24"/>
        </w:rPr>
      </w:pPr>
    </w:p>
    <w:p w:rsidR="00687D79" w:rsidRPr="00CD7C6B" w:rsidRDefault="00687D79" w:rsidP="00227CE8">
      <w:pPr>
        <w:spacing w:line="360" w:lineRule="auto"/>
        <w:jc w:val="center"/>
        <w:rPr>
          <w:spacing w:val="-3"/>
          <w:sz w:val="24"/>
          <w:szCs w:val="24"/>
        </w:rPr>
      </w:pPr>
      <w:r w:rsidRPr="00720B9B">
        <w:rPr>
          <w:spacing w:val="-3"/>
          <w:sz w:val="24"/>
          <w:szCs w:val="24"/>
        </w:rPr>
        <w:t>II.</w:t>
      </w:r>
      <w:r w:rsidRPr="00720B9B">
        <w:rPr>
          <w:spacing w:val="-3"/>
          <w:sz w:val="24"/>
          <w:szCs w:val="24"/>
        </w:rPr>
        <w:tab/>
      </w:r>
      <w:r w:rsidRPr="00CD7C6B">
        <w:rPr>
          <w:spacing w:val="-3"/>
          <w:sz w:val="24"/>
          <w:szCs w:val="24"/>
          <w:u w:val="single"/>
        </w:rPr>
        <w:t>FINDINGS OF FACT</w:t>
      </w:r>
    </w:p>
    <w:p w:rsidR="00687D79" w:rsidRPr="00CD7C6B" w:rsidRDefault="00687D79" w:rsidP="00227CE8">
      <w:pPr>
        <w:spacing w:line="360" w:lineRule="auto"/>
        <w:rPr>
          <w:spacing w:val="-3"/>
          <w:sz w:val="24"/>
          <w:szCs w:val="24"/>
        </w:rPr>
      </w:pPr>
    </w:p>
    <w:p w:rsidR="00687D79" w:rsidRPr="00CD7C6B" w:rsidRDefault="00687D79" w:rsidP="006E19BA">
      <w:pPr>
        <w:spacing w:line="360" w:lineRule="auto"/>
        <w:jc w:val="left"/>
        <w:rPr>
          <w:sz w:val="24"/>
          <w:szCs w:val="24"/>
        </w:rPr>
      </w:pPr>
      <w:r w:rsidRPr="00CD7C6B">
        <w:rPr>
          <w:sz w:val="24"/>
          <w:szCs w:val="24"/>
        </w:rPr>
        <w:tab/>
      </w:r>
      <w:r w:rsidRPr="00CD7C6B">
        <w:rPr>
          <w:sz w:val="24"/>
          <w:szCs w:val="24"/>
        </w:rPr>
        <w:tab/>
        <w:t xml:space="preserve">Based on the evidence of record in this proceeding, and as required by Section 1318(a) and (b) of the Code, 66 </w:t>
      </w:r>
      <w:smartTag w:uri="urn:schemas-microsoft-com:office:smarttags" w:element="State">
        <w:smartTag w:uri="urn:schemas-microsoft-com:office:smarttags" w:element="place">
          <w:r w:rsidRPr="00CD7C6B">
            <w:rPr>
              <w:sz w:val="24"/>
              <w:szCs w:val="24"/>
            </w:rPr>
            <w:t>Pa.</w:t>
          </w:r>
        </w:smartTag>
      </w:smartTag>
      <w:r w:rsidRPr="00CD7C6B">
        <w:rPr>
          <w:sz w:val="24"/>
          <w:szCs w:val="24"/>
        </w:rPr>
        <w:t xml:space="preserve"> C.S. §1318(a) and (b), the following findings are made:</w:t>
      </w:r>
    </w:p>
    <w:p w:rsidR="00687D79" w:rsidRPr="00CD7C6B" w:rsidRDefault="00687D79" w:rsidP="006E19BA">
      <w:pPr>
        <w:spacing w:line="360" w:lineRule="auto"/>
        <w:jc w:val="left"/>
        <w:rPr>
          <w:sz w:val="24"/>
          <w:szCs w:val="24"/>
        </w:rPr>
      </w:pPr>
    </w:p>
    <w:p w:rsidR="00687D79" w:rsidRPr="00CD7C6B" w:rsidRDefault="00687D79" w:rsidP="006E19BA">
      <w:pPr>
        <w:spacing w:line="360" w:lineRule="auto"/>
        <w:jc w:val="left"/>
        <w:rPr>
          <w:sz w:val="24"/>
          <w:szCs w:val="24"/>
        </w:rPr>
      </w:pPr>
      <w:r w:rsidRPr="00CD7C6B">
        <w:rPr>
          <w:sz w:val="24"/>
          <w:szCs w:val="24"/>
        </w:rPr>
        <w:tab/>
      </w:r>
      <w:r w:rsidRPr="00CD7C6B">
        <w:rPr>
          <w:sz w:val="24"/>
          <w:szCs w:val="24"/>
        </w:rPr>
        <w:tab/>
        <w:t>1.</w:t>
      </w:r>
      <w:r w:rsidRPr="00CD7C6B">
        <w:rPr>
          <w:sz w:val="24"/>
          <w:szCs w:val="24"/>
        </w:rPr>
        <w:tab/>
      </w:r>
      <w:r w:rsidR="00B45397">
        <w:rPr>
          <w:sz w:val="24"/>
          <w:szCs w:val="24"/>
        </w:rPr>
        <w:t>Distribution has</w:t>
      </w:r>
      <w:r w:rsidRPr="00CD7C6B">
        <w:rPr>
          <w:sz w:val="24"/>
          <w:szCs w:val="24"/>
        </w:rPr>
        <w:t xml:space="preserve"> fully and vigorously represented the interests of its ratepayers in proceedings before the Federa</w:t>
      </w:r>
      <w:r>
        <w:rPr>
          <w:sz w:val="24"/>
          <w:szCs w:val="24"/>
        </w:rPr>
        <w:t>l Energy Regulatory Commission</w:t>
      </w:r>
      <w:r w:rsidRPr="00CD7C6B">
        <w:rPr>
          <w:sz w:val="24"/>
          <w:szCs w:val="24"/>
        </w:rPr>
        <w:t>.</w:t>
      </w:r>
    </w:p>
    <w:p w:rsidR="00687D79" w:rsidRPr="00CD7C6B" w:rsidRDefault="00687D79" w:rsidP="006E19BA">
      <w:pPr>
        <w:spacing w:line="360" w:lineRule="auto"/>
        <w:jc w:val="left"/>
        <w:rPr>
          <w:sz w:val="24"/>
          <w:szCs w:val="24"/>
        </w:rPr>
      </w:pPr>
      <w:r w:rsidRPr="00CD7C6B">
        <w:rPr>
          <w:sz w:val="24"/>
          <w:szCs w:val="24"/>
        </w:rPr>
        <w:tab/>
      </w:r>
      <w:r w:rsidRPr="00CD7C6B">
        <w:rPr>
          <w:sz w:val="24"/>
          <w:szCs w:val="24"/>
        </w:rPr>
        <w:tab/>
        <w:t>2.</w:t>
      </w:r>
      <w:r w:rsidRPr="00CD7C6B">
        <w:rPr>
          <w:sz w:val="24"/>
          <w:szCs w:val="24"/>
        </w:rPr>
        <w:tab/>
      </w:r>
      <w:r w:rsidR="00B45397">
        <w:rPr>
          <w:sz w:val="24"/>
          <w:szCs w:val="24"/>
        </w:rPr>
        <w:t>Distribution</w:t>
      </w:r>
      <w:r w:rsidRPr="00CD7C6B">
        <w:rPr>
          <w:sz w:val="24"/>
          <w:szCs w:val="24"/>
        </w:rPr>
        <w:t xml:space="preserve"> has taken all prudent steps necessary to negotiate favorable gas supply contracts and to relieve it from terms in existing contracts with its gas suppliers which are or may be adverse to the interests of its ratepayers.</w:t>
      </w:r>
    </w:p>
    <w:p w:rsidR="00687D79" w:rsidRPr="00CD7C6B" w:rsidRDefault="00687D79" w:rsidP="006E19BA">
      <w:pPr>
        <w:spacing w:line="360" w:lineRule="auto"/>
        <w:jc w:val="left"/>
        <w:rPr>
          <w:sz w:val="24"/>
          <w:szCs w:val="24"/>
        </w:rPr>
      </w:pPr>
    </w:p>
    <w:p w:rsidR="001300E3" w:rsidRDefault="00687D79" w:rsidP="006E19BA">
      <w:pPr>
        <w:spacing w:line="360" w:lineRule="auto"/>
        <w:jc w:val="left"/>
        <w:rPr>
          <w:sz w:val="24"/>
          <w:szCs w:val="24"/>
        </w:rPr>
      </w:pPr>
      <w:r w:rsidRPr="00CD7C6B">
        <w:rPr>
          <w:sz w:val="24"/>
          <w:szCs w:val="24"/>
        </w:rPr>
        <w:tab/>
      </w:r>
      <w:r w:rsidRPr="00CD7C6B">
        <w:rPr>
          <w:sz w:val="24"/>
          <w:szCs w:val="24"/>
        </w:rPr>
        <w:tab/>
        <w:t>3.</w:t>
      </w:r>
      <w:r w:rsidRPr="00CD7C6B">
        <w:rPr>
          <w:sz w:val="24"/>
          <w:szCs w:val="24"/>
        </w:rPr>
        <w:tab/>
      </w:r>
      <w:r w:rsidR="00B45397">
        <w:rPr>
          <w:sz w:val="24"/>
          <w:szCs w:val="24"/>
        </w:rPr>
        <w:t>Distribution</w:t>
      </w:r>
      <w:r w:rsidRPr="00CD7C6B">
        <w:rPr>
          <w:sz w:val="24"/>
          <w:szCs w:val="24"/>
        </w:rPr>
        <w:t xml:space="preserve"> has taken all prudent steps necessary to obtain lower cost gas supplies on both short-term and long-term bases both within and outside the Commonwealth, including the use of gas transportation arrangements with pipelines and other distribution companies</w:t>
      </w:r>
      <w:r>
        <w:rPr>
          <w:sz w:val="24"/>
          <w:szCs w:val="24"/>
        </w:rPr>
        <w:t>.</w:t>
      </w:r>
    </w:p>
    <w:p w:rsidR="002E62BE" w:rsidRDefault="002E62BE" w:rsidP="006E19BA">
      <w:pPr>
        <w:spacing w:line="360" w:lineRule="auto"/>
        <w:jc w:val="left"/>
        <w:rPr>
          <w:sz w:val="24"/>
          <w:szCs w:val="24"/>
        </w:rPr>
      </w:pPr>
    </w:p>
    <w:p w:rsidR="002A72EF" w:rsidRDefault="00687D79" w:rsidP="006E19BA">
      <w:pPr>
        <w:spacing w:line="360" w:lineRule="auto"/>
        <w:jc w:val="left"/>
        <w:rPr>
          <w:sz w:val="24"/>
          <w:szCs w:val="24"/>
        </w:rPr>
      </w:pPr>
      <w:r w:rsidRPr="00CD7C6B">
        <w:rPr>
          <w:sz w:val="24"/>
          <w:szCs w:val="24"/>
        </w:rPr>
        <w:tab/>
      </w:r>
      <w:r w:rsidRPr="00CD7C6B">
        <w:rPr>
          <w:sz w:val="24"/>
          <w:szCs w:val="24"/>
        </w:rPr>
        <w:tab/>
        <w:t>4.</w:t>
      </w:r>
      <w:r w:rsidRPr="00CD7C6B">
        <w:rPr>
          <w:sz w:val="24"/>
          <w:szCs w:val="24"/>
        </w:rPr>
        <w:tab/>
      </w:r>
      <w:r w:rsidR="00B45397">
        <w:rPr>
          <w:sz w:val="24"/>
          <w:szCs w:val="24"/>
        </w:rPr>
        <w:t>Distribution</w:t>
      </w:r>
      <w:r w:rsidRPr="00CD7C6B">
        <w:rPr>
          <w:sz w:val="24"/>
          <w:szCs w:val="24"/>
        </w:rPr>
        <w:t xml:space="preserve"> has not withheld from the market or caused to be withheld from the market any gas supplies which should have been utilized as part of a lea</w:t>
      </w:r>
      <w:r>
        <w:rPr>
          <w:sz w:val="24"/>
          <w:szCs w:val="24"/>
        </w:rPr>
        <w:t>st cost fuel procurement policy.</w:t>
      </w:r>
    </w:p>
    <w:p w:rsidR="002A72EF" w:rsidRPr="00CD7C6B" w:rsidRDefault="002A72EF" w:rsidP="006E19BA">
      <w:pPr>
        <w:spacing w:line="360" w:lineRule="auto"/>
        <w:jc w:val="left"/>
        <w:rPr>
          <w:sz w:val="24"/>
          <w:szCs w:val="24"/>
        </w:rPr>
      </w:pPr>
    </w:p>
    <w:p w:rsidR="00687D79" w:rsidRPr="00CD7C6B" w:rsidRDefault="00687D79" w:rsidP="006E19BA">
      <w:pPr>
        <w:spacing w:line="360" w:lineRule="auto"/>
        <w:jc w:val="left"/>
        <w:rPr>
          <w:sz w:val="24"/>
          <w:szCs w:val="24"/>
        </w:rPr>
      </w:pPr>
      <w:r w:rsidRPr="00CD7C6B">
        <w:rPr>
          <w:sz w:val="24"/>
          <w:szCs w:val="24"/>
        </w:rPr>
        <w:tab/>
      </w:r>
      <w:r w:rsidRPr="00CD7C6B">
        <w:rPr>
          <w:sz w:val="24"/>
          <w:szCs w:val="24"/>
        </w:rPr>
        <w:tab/>
        <w:t>5.</w:t>
      </w:r>
      <w:r w:rsidRPr="00CD7C6B">
        <w:rPr>
          <w:sz w:val="24"/>
          <w:szCs w:val="24"/>
        </w:rPr>
        <w:tab/>
      </w:r>
      <w:r w:rsidR="00B45397">
        <w:rPr>
          <w:sz w:val="24"/>
          <w:szCs w:val="24"/>
        </w:rPr>
        <w:t>Distribution</w:t>
      </w:r>
      <w:r w:rsidRPr="00CD7C6B">
        <w:rPr>
          <w:sz w:val="24"/>
          <w:szCs w:val="24"/>
        </w:rPr>
        <w:t xml:space="preserve"> has fully and vigorously attempted to obtain less costly gas supplies on both short-term and long-term bas</w:t>
      </w:r>
      <w:r>
        <w:rPr>
          <w:sz w:val="24"/>
          <w:szCs w:val="24"/>
        </w:rPr>
        <w:t>es from nonaffiliated interests.</w:t>
      </w:r>
    </w:p>
    <w:p w:rsidR="00687D79" w:rsidRPr="00CD7C6B" w:rsidRDefault="00687D79" w:rsidP="006E19BA">
      <w:pPr>
        <w:spacing w:line="360" w:lineRule="auto"/>
        <w:jc w:val="left"/>
        <w:rPr>
          <w:sz w:val="24"/>
          <w:szCs w:val="24"/>
        </w:rPr>
      </w:pPr>
    </w:p>
    <w:p w:rsidR="00687D79" w:rsidRDefault="00687D79" w:rsidP="006E19BA">
      <w:pPr>
        <w:spacing w:line="360" w:lineRule="auto"/>
        <w:jc w:val="left"/>
        <w:rPr>
          <w:sz w:val="24"/>
          <w:szCs w:val="24"/>
        </w:rPr>
      </w:pPr>
      <w:r w:rsidRPr="00CD7C6B">
        <w:rPr>
          <w:sz w:val="24"/>
          <w:szCs w:val="24"/>
        </w:rPr>
        <w:tab/>
      </w:r>
      <w:r w:rsidRPr="00CD7C6B">
        <w:rPr>
          <w:sz w:val="24"/>
          <w:szCs w:val="24"/>
        </w:rPr>
        <w:tab/>
        <w:t>6.</w:t>
      </w:r>
      <w:r w:rsidRPr="00CD7C6B">
        <w:rPr>
          <w:sz w:val="24"/>
          <w:szCs w:val="24"/>
        </w:rPr>
        <w:tab/>
        <w:t xml:space="preserve">Each contract for the purchase of gas from </w:t>
      </w:r>
      <w:r w:rsidR="00B45397">
        <w:rPr>
          <w:sz w:val="24"/>
          <w:szCs w:val="24"/>
        </w:rPr>
        <w:t>Distribution</w:t>
      </w:r>
      <w:r>
        <w:rPr>
          <w:sz w:val="24"/>
          <w:szCs w:val="24"/>
        </w:rPr>
        <w:t>’s</w:t>
      </w:r>
      <w:r w:rsidRPr="00CD7C6B">
        <w:rPr>
          <w:sz w:val="24"/>
          <w:szCs w:val="24"/>
        </w:rPr>
        <w:t xml:space="preserve"> affiliated interest is consistent with a least cost fue</w:t>
      </w:r>
      <w:r>
        <w:rPr>
          <w:sz w:val="24"/>
          <w:szCs w:val="24"/>
        </w:rPr>
        <w:t>l procurement policy.</w:t>
      </w:r>
    </w:p>
    <w:p w:rsidR="00687D79" w:rsidRPr="00CD7C6B" w:rsidRDefault="00687D79" w:rsidP="006E19BA">
      <w:pPr>
        <w:spacing w:line="360" w:lineRule="auto"/>
        <w:jc w:val="left"/>
        <w:rPr>
          <w:sz w:val="24"/>
          <w:szCs w:val="24"/>
        </w:rPr>
      </w:pPr>
    </w:p>
    <w:p w:rsidR="00687D79" w:rsidRPr="00CD7C6B" w:rsidRDefault="00687D79" w:rsidP="006E19BA">
      <w:pPr>
        <w:spacing w:line="360" w:lineRule="auto"/>
        <w:jc w:val="left"/>
        <w:rPr>
          <w:sz w:val="24"/>
          <w:szCs w:val="24"/>
        </w:rPr>
      </w:pPr>
      <w:r w:rsidRPr="00CD7C6B">
        <w:rPr>
          <w:sz w:val="24"/>
          <w:szCs w:val="24"/>
        </w:rPr>
        <w:tab/>
      </w:r>
      <w:r w:rsidRPr="00CD7C6B">
        <w:rPr>
          <w:sz w:val="24"/>
          <w:szCs w:val="24"/>
        </w:rPr>
        <w:tab/>
        <w:t>7.</w:t>
      </w:r>
      <w:r w:rsidRPr="00CD7C6B">
        <w:rPr>
          <w:sz w:val="24"/>
          <w:szCs w:val="24"/>
        </w:rPr>
        <w:tab/>
        <w:t xml:space="preserve">Neither </w:t>
      </w:r>
      <w:r w:rsidR="00B45397">
        <w:rPr>
          <w:sz w:val="24"/>
          <w:szCs w:val="24"/>
        </w:rPr>
        <w:t>Distribution</w:t>
      </w:r>
      <w:r w:rsidRPr="00CD7C6B">
        <w:rPr>
          <w:sz w:val="24"/>
          <w:szCs w:val="24"/>
        </w:rPr>
        <w:t xml:space="preserve"> nor its affiliated interest has withheld from the market any gas supplies which should have been utilized as part of a least cost fuel procurem</w:t>
      </w:r>
      <w:r>
        <w:rPr>
          <w:sz w:val="24"/>
          <w:szCs w:val="24"/>
        </w:rPr>
        <w:t>ent policy.</w:t>
      </w:r>
    </w:p>
    <w:p w:rsidR="00687D79" w:rsidRDefault="00687D79" w:rsidP="006E19BA">
      <w:pPr>
        <w:pStyle w:val="BodyText2"/>
        <w:spacing w:after="0" w:line="360" w:lineRule="auto"/>
        <w:ind w:left="720" w:hanging="720"/>
        <w:jc w:val="left"/>
        <w:rPr>
          <w:sz w:val="24"/>
          <w:szCs w:val="24"/>
        </w:rPr>
      </w:pPr>
    </w:p>
    <w:p w:rsidR="00687D79" w:rsidRPr="00AF6DF8" w:rsidRDefault="00687D79" w:rsidP="00AF6DF8">
      <w:pPr>
        <w:spacing w:line="360" w:lineRule="auto"/>
        <w:jc w:val="center"/>
        <w:rPr>
          <w:sz w:val="24"/>
          <w:szCs w:val="24"/>
          <w:u w:val="single"/>
        </w:rPr>
      </w:pPr>
      <w:r w:rsidRPr="00AF6DF8">
        <w:rPr>
          <w:sz w:val="24"/>
          <w:szCs w:val="24"/>
        </w:rPr>
        <w:t>III.</w:t>
      </w:r>
      <w:r w:rsidRPr="00AF6DF8">
        <w:rPr>
          <w:sz w:val="24"/>
          <w:szCs w:val="24"/>
        </w:rPr>
        <w:tab/>
      </w:r>
      <w:r w:rsidRPr="00AF6DF8">
        <w:rPr>
          <w:sz w:val="24"/>
          <w:szCs w:val="24"/>
          <w:u w:val="single"/>
        </w:rPr>
        <w:t>DESCRIPTION AND TERMS OF THE SETTLEMENT</w:t>
      </w:r>
    </w:p>
    <w:p w:rsidR="00687D79" w:rsidRPr="00AF6DF8" w:rsidRDefault="00687D79" w:rsidP="00AF6DF8">
      <w:pPr>
        <w:spacing w:line="360" w:lineRule="auto"/>
        <w:rPr>
          <w:sz w:val="24"/>
          <w:szCs w:val="24"/>
        </w:rPr>
      </w:pPr>
    </w:p>
    <w:p w:rsidR="00BE1108" w:rsidRDefault="00687D79" w:rsidP="00E169A7">
      <w:pPr>
        <w:pStyle w:val="ListNumber"/>
        <w:numPr>
          <w:ilvl w:val="0"/>
          <w:numId w:val="0"/>
        </w:numPr>
        <w:spacing w:line="360" w:lineRule="auto"/>
        <w:ind w:firstLine="1440"/>
      </w:pPr>
      <w:r w:rsidRPr="006935B1">
        <w:t>The Stipulation in Settlement of the Rate Investigation pursuant to 66 Pa. C.S. §1307(f)</w:t>
      </w:r>
      <w:r w:rsidR="002B6CDC" w:rsidRPr="006935B1">
        <w:t xml:space="preserve"> (“Settlement”)</w:t>
      </w:r>
      <w:r w:rsidRPr="006935B1">
        <w:t xml:space="preserve">, which is fully executed by </w:t>
      </w:r>
      <w:r w:rsidR="00D07C75" w:rsidRPr="006935B1">
        <w:t xml:space="preserve">Distribution, BI&amp;E, OCA and OSBA (“Settlement </w:t>
      </w:r>
      <w:r w:rsidRPr="006935B1">
        <w:t>Parties”),</w:t>
      </w:r>
      <w:r w:rsidR="000A2C6F" w:rsidRPr="006935B1">
        <w:t xml:space="preserve"> consists of 17</w:t>
      </w:r>
      <w:r w:rsidRPr="006935B1">
        <w:t xml:space="preserve"> pages and A</w:t>
      </w:r>
      <w:r w:rsidR="00E169A7">
        <w:t xml:space="preserve">ttachments </w:t>
      </w:r>
      <w:bookmarkStart w:id="0" w:name="_GoBack"/>
      <w:bookmarkEnd w:id="0"/>
      <w:r w:rsidRPr="006935B1">
        <w:t>“A,” “B,” and “C.”</w:t>
      </w:r>
      <w:r w:rsidRPr="006935B1">
        <w:rPr>
          <w:rStyle w:val="FootnoteReference"/>
        </w:rPr>
        <w:footnoteReference w:id="2"/>
      </w:r>
      <w:r w:rsidRPr="006935B1">
        <w:t xml:space="preserve">  </w:t>
      </w:r>
      <w:r w:rsidR="006935B1" w:rsidRPr="006935B1">
        <w:t>The Settlement Parties request that the</w:t>
      </w:r>
      <w:r w:rsidR="00E169A7">
        <w:t xml:space="preserve"> Commission find </w:t>
      </w:r>
      <w:r w:rsidR="006935B1" w:rsidRPr="006935B1">
        <w:t>Distribution has met the standards of Section 1318 of the Public Utility Code, 66 Pa.</w:t>
      </w:r>
      <w:r w:rsidR="000343CA">
        <w:t xml:space="preserve"> </w:t>
      </w:r>
      <w:r w:rsidR="006935B1" w:rsidRPr="006935B1">
        <w:t>C.S. §1318, as required by Section 1307(f)(5) of the Public Utility Code, 66 Pa.</w:t>
      </w:r>
      <w:r w:rsidR="00501D09">
        <w:t xml:space="preserve"> </w:t>
      </w:r>
      <w:r w:rsidR="006935B1" w:rsidRPr="006935B1">
        <w:t>C.S. §1307(f)(5), as to all actual purchased gas costs in the twelve-month historic reconciliation period.</w:t>
      </w:r>
      <w:r w:rsidR="006935B1">
        <w:t xml:space="preserve">  The Settlement Parties further request that the Commission</w:t>
      </w:r>
      <w:r w:rsidR="000F1D81">
        <w:t xml:space="preserve"> find</w:t>
      </w:r>
      <w:r w:rsidR="00E169A7">
        <w:t>,</w:t>
      </w:r>
      <w:r w:rsidR="000F1D81">
        <w:t xml:space="preserve"> based upon information presently available and based upon evidence of record in this proceeding concerning Distribution’s projected purchases and purchasing policies, that the rates to be adopted by the Commission result from Distribution’s compliance with the provisions of Section 1318 of the Public Utility Code, including Sections 1318(a)(1), 1318(a)(2), 1318(a)(3), 1318(a)(4), 1318(b)(1), 1318(b)(2) and 1318(b)(3), 66 Pa.</w:t>
      </w:r>
      <w:r w:rsidR="0053202F">
        <w:t xml:space="preserve"> </w:t>
      </w:r>
      <w:r w:rsidR="000F1D81">
        <w:t>C.S. §§1318(a)(1), 1318(a)(2), 1318(a)(3), 1318(a)(4), 1318(b)(1), 1318(b)(2) and 1318(b)(3); Settlement, pp.</w:t>
      </w:r>
      <w:r w:rsidR="00CE3B16">
        <w:t> </w:t>
      </w:r>
      <w:r w:rsidR="000F1D81">
        <w:t>10</w:t>
      </w:r>
      <w:r w:rsidR="00CE3B16">
        <w:noBreakHyphen/>
      </w:r>
      <w:r w:rsidR="000F1D81">
        <w:t xml:space="preserve">11. </w:t>
      </w:r>
      <w:r w:rsidR="006935B1">
        <w:t xml:space="preserve"> </w:t>
      </w:r>
      <w:r w:rsidR="006935B1" w:rsidRPr="006935B1">
        <w:t xml:space="preserve">  </w:t>
      </w:r>
    </w:p>
    <w:p w:rsidR="00BE1108" w:rsidRDefault="00BE1108" w:rsidP="00E169A7">
      <w:pPr>
        <w:pStyle w:val="ListNumber"/>
        <w:numPr>
          <w:ilvl w:val="0"/>
          <w:numId w:val="0"/>
        </w:numPr>
        <w:spacing w:line="360" w:lineRule="auto"/>
        <w:ind w:firstLine="1440"/>
      </w:pPr>
    </w:p>
    <w:p w:rsidR="00BE1108" w:rsidRDefault="00BE1108" w:rsidP="00BE1108">
      <w:pPr>
        <w:pStyle w:val="ListNumber"/>
        <w:numPr>
          <w:ilvl w:val="0"/>
          <w:numId w:val="0"/>
        </w:numPr>
        <w:spacing w:line="360" w:lineRule="auto"/>
        <w:ind w:firstLine="1440"/>
      </w:pPr>
      <w:r>
        <w:t>The Settlement Parties acknowledge</w:t>
      </w:r>
      <w:r w:rsidR="00596C0D">
        <w:t>d</w:t>
      </w:r>
      <w:r>
        <w:t xml:space="preserve"> and agree</w:t>
      </w:r>
      <w:r w:rsidR="00596C0D">
        <w:t>d</w:t>
      </w:r>
      <w:r>
        <w:t xml:space="preserve"> that this Settlement shall have the same force and effect as if the Settlement Parties had fully litigated this proceeding with regard to the historic period ended November 30, 2011.  The Se</w:t>
      </w:r>
      <w:r w:rsidR="009C285A">
        <w:t>ttlement Parties agree</w:t>
      </w:r>
      <w:r w:rsidR="00596C0D">
        <w:t>d</w:t>
      </w:r>
      <w:r w:rsidR="009C285A">
        <w:t xml:space="preserve"> that the Settlement is fair, just and reasonable, and therefore in the public interest.  Each Settlement Party filed a statement in support of the Settlement.  </w:t>
      </w:r>
      <w:r>
        <w:t>Th</w:t>
      </w:r>
      <w:r w:rsidR="003167F7">
        <w:t>e</w:t>
      </w:r>
      <w:r>
        <w:t xml:space="preserve"> Settlement is conditioned upon the Commission’s approval of terms and conditions contained </w:t>
      </w:r>
      <w:r w:rsidR="003167F7">
        <w:t>t</w:t>
      </w:r>
      <w:r>
        <w:t>herein without modification.</w:t>
      </w:r>
      <w:r w:rsidR="009C285A">
        <w:rPr>
          <w:rStyle w:val="FootnoteReference"/>
        </w:rPr>
        <w:footnoteReference w:id="3"/>
      </w:r>
      <w:r>
        <w:t xml:space="preserve"> </w:t>
      </w:r>
      <w:r w:rsidR="00596C0D">
        <w:t xml:space="preserve"> Settlement, pp. 14-16.  </w:t>
      </w:r>
      <w:r>
        <w:t xml:space="preserve"> </w:t>
      </w:r>
    </w:p>
    <w:p w:rsidR="00595DD4" w:rsidRDefault="006935B1" w:rsidP="00961476">
      <w:pPr>
        <w:pStyle w:val="ListNumber"/>
        <w:numPr>
          <w:ilvl w:val="0"/>
          <w:numId w:val="0"/>
        </w:numPr>
        <w:spacing w:line="360" w:lineRule="auto"/>
        <w:ind w:firstLine="1440"/>
      </w:pPr>
      <w:r w:rsidRPr="006935B1">
        <w:t xml:space="preserve"> </w:t>
      </w:r>
    </w:p>
    <w:p w:rsidR="00595DD4" w:rsidRDefault="00595DD4" w:rsidP="000373E6">
      <w:pPr>
        <w:spacing w:line="360" w:lineRule="auto"/>
        <w:jc w:val="left"/>
        <w:rPr>
          <w:sz w:val="24"/>
          <w:szCs w:val="24"/>
        </w:rPr>
      </w:pPr>
      <w:r>
        <w:rPr>
          <w:sz w:val="24"/>
          <w:szCs w:val="24"/>
        </w:rPr>
        <w:tab/>
      </w:r>
      <w:r>
        <w:rPr>
          <w:sz w:val="24"/>
          <w:szCs w:val="24"/>
        </w:rPr>
        <w:tab/>
        <w:t xml:space="preserve">The Settlement Parties agreed to several proposed findings of fact with citations to the record of admitted evidence.  These proposed findings provide the information necessary to support the “Findings of Fact” set forth in the preceding section of this Recommended Decision.  </w:t>
      </w:r>
    </w:p>
    <w:p w:rsidR="00595DD4" w:rsidRDefault="00595DD4" w:rsidP="000373E6">
      <w:pPr>
        <w:spacing w:line="360" w:lineRule="auto"/>
        <w:jc w:val="left"/>
        <w:rPr>
          <w:sz w:val="24"/>
          <w:szCs w:val="24"/>
        </w:rPr>
      </w:pPr>
    </w:p>
    <w:p w:rsidR="00595DD4" w:rsidRDefault="00595DD4" w:rsidP="000373E6">
      <w:pPr>
        <w:spacing w:line="360" w:lineRule="auto"/>
        <w:jc w:val="left"/>
        <w:rPr>
          <w:sz w:val="24"/>
          <w:szCs w:val="24"/>
        </w:rPr>
      </w:pPr>
      <w:r>
        <w:rPr>
          <w:sz w:val="24"/>
          <w:szCs w:val="24"/>
        </w:rPr>
        <w:tab/>
      </w:r>
      <w:r>
        <w:rPr>
          <w:sz w:val="24"/>
          <w:szCs w:val="24"/>
        </w:rPr>
        <w:tab/>
        <w:t xml:space="preserve">The Commission approved the realignment </w:t>
      </w:r>
      <w:r w:rsidR="00161ADD">
        <w:rPr>
          <w:sz w:val="24"/>
          <w:szCs w:val="24"/>
        </w:rPr>
        <w:t>of Distribution’s pipeline and storage capacity to identify specific capacity as being held for its New York customers or its Pennsylvania customers in an Order entered on October 25, 2001, at Docket No. R-00994898.  Generally, delivery points in Pennsylvania were assigned to the Pennsylvania Division and delivery points located in New York were assigned to the New York Division.  Settlement, p. 4.</w:t>
      </w:r>
    </w:p>
    <w:p w:rsidR="00161ADD" w:rsidRDefault="00161ADD" w:rsidP="000373E6">
      <w:pPr>
        <w:spacing w:line="360" w:lineRule="auto"/>
        <w:jc w:val="left"/>
        <w:rPr>
          <w:sz w:val="24"/>
          <w:szCs w:val="24"/>
        </w:rPr>
      </w:pPr>
    </w:p>
    <w:p w:rsidR="00161ADD" w:rsidRDefault="00A44B97" w:rsidP="00161ADD">
      <w:pPr>
        <w:pStyle w:val="ListNumber"/>
        <w:numPr>
          <w:ilvl w:val="0"/>
          <w:numId w:val="0"/>
        </w:numPr>
        <w:spacing w:line="360" w:lineRule="auto"/>
        <w:ind w:firstLine="1440"/>
      </w:pPr>
      <w:r>
        <w:t>The Settlement P</w:t>
      </w:r>
      <w:r w:rsidR="0010167B">
        <w:t xml:space="preserve">arties proposed several findings of fact regarding Distribution’s primary gas supplies.  According to the Settlement Parties, </w:t>
      </w:r>
      <w:r w:rsidR="00161ADD">
        <w:t>Distribution relies primarily upon gas supplies transported by Tennessee Gas Pipeline, LLC (“Tennessee”), Columbia Gas Transmission, LLC (“Columbia Transmission”) and Texas Eastern Transmission, LP (“Texas Eastern”) to meet the requirements of its sales customers in Pennsylvania</w:t>
      </w:r>
      <w:r w:rsidR="00F93EF3">
        <w:t xml:space="preserve">.  </w:t>
      </w:r>
      <w:r w:rsidR="00161ADD">
        <w:t>PGC Ex</w:t>
      </w:r>
      <w:r w:rsidR="00F93EF3">
        <w:t xml:space="preserve">. </w:t>
      </w:r>
      <w:r w:rsidR="00161ADD">
        <w:t>No. 8, pp.</w:t>
      </w:r>
      <w:r w:rsidR="00C94164">
        <w:t> </w:t>
      </w:r>
      <w:r w:rsidR="00161ADD">
        <w:t>3</w:t>
      </w:r>
      <w:r w:rsidR="00C94164">
        <w:noBreakHyphen/>
      </w:r>
      <w:r w:rsidR="00161ADD">
        <w:t>5.  Distribution contracts with Columbia Transmission for Firm Transportation Service, Firm Storage Service and Storage Service Transportation</w:t>
      </w:r>
      <w:r w:rsidR="00F93EF3">
        <w:t xml:space="preserve">.  </w:t>
      </w:r>
      <w:r w:rsidR="00161ADD">
        <w:t>PGC Ex</w:t>
      </w:r>
      <w:r w:rsidR="00F93EF3">
        <w:t xml:space="preserve">. </w:t>
      </w:r>
      <w:r w:rsidR="00161ADD">
        <w:t>No. 8, pp. 3-5.  Tennessee, Columbia Transmission and Texas Eastern transport Distribution’s gas supplies to Distribution’s pipeline capacity on National Fuel Gas Supply Corporation (“Supply”).  Supply, in turn, either delivers such gas supplies to Distribution for use by Distribution’s sales customers or injects such supplies into storage fields for later delivery to Distribution for use by its sales customers</w:t>
      </w:r>
      <w:r w:rsidR="00F93EF3">
        <w:t xml:space="preserve">.  </w:t>
      </w:r>
      <w:r w:rsidR="00161ADD">
        <w:t>PGC Ex</w:t>
      </w:r>
      <w:r w:rsidR="00F93EF3">
        <w:t>.</w:t>
      </w:r>
      <w:r w:rsidR="00161ADD">
        <w:t xml:space="preserve"> No. 4</w:t>
      </w:r>
      <w:r w:rsidR="00F93EF3">
        <w:t>, p. 2, PGC Ex. No. 8, p. 4</w:t>
      </w:r>
      <w:r w:rsidR="00161ADD">
        <w:t>.  Supply is an affiliate of Distribution and is subject to the regulatory jurisdiction of the Federal Energy Regulatory Commission (“FERC”)</w:t>
      </w:r>
      <w:r w:rsidR="00F93EF3">
        <w:t xml:space="preserve">.  </w:t>
      </w:r>
      <w:r w:rsidR="00161ADD">
        <w:t>PGC Ex</w:t>
      </w:r>
      <w:r w:rsidR="00F93EF3">
        <w:t>.</w:t>
      </w:r>
      <w:r w:rsidR="00161ADD">
        <w:t xml:space="preserve"> No. 4, pp. 2-3.  Supply owns and operates a transmission system and storage fields, and Supply charges Distribution for transportation and storage services under Supply’s FERC-approved tariff</w:t>
      </w:r>
      <w:r w:rsidR="00F93EF3">
        <w:t xml:space="preserve">.  </w:t>
      </w:r>
      <w:r w:rsidR="00161ADD">
        <w:t>PGC Ex</w:t>
      </w:r>
      <w:r w:rsidR="00F93EF3">
        <w:t xml:space="preserve">. </w:t>
      </w:r>
      <w:r w:rsidR="00161ADD">
        <w:t>No. 4, pp. 4-6</w:t>
      </w:r>
      <w:r w:rsidR="00F93EF3">
        <w:t xml:space="preserve">.  The Settlement Parties submit that Distribution’s capacity on Supply, Tennessee, Columbia Transmission and Texas Eastern is critical for the operation of the system, the provision of reliable service to customers and Distribution’s least cost fuel procurement policy.  PGC Ex. No. 8, pp. 2-3; </w:t>
      </w:r>
      <w:r w:rsidR="00161ADD">
        <w:t>Settlement, pp. 4-5.</w:t>
      </w:r>
    </w:p>
    <w:p w:rsidR="002A36CB" w:rsidRDefault="002A36CB" w:rsidP="00161ADD">
      <w:pPr>
        <w:pStyle w:val="ListNumber"/>
        <w:numPr>
          <w:ilvl w:val="0"/>
          <w:numId w:val="0"/>
        </w:numPr>
        <w:spacing w:line="360" w:lineRule="auto"/>
        <w:ind w:firstLine="1440"/>
      </w:pPr>
    </w:p>
    <w:p w:rsidR="000917F5" w:rsidRDefault="000917F5" w:rsidP="000917F5">
      <w:pPr>
        <w:pStyle w:val="ListNumber"/>
        <w:numPr>
          <w:ilvl w:val="0"/>
          <w:numId w:val="0"/>
        </w:numPr>
        <w:spacing w:line="360" w:lineRule="auto"/>
        <w:ind w:firstLine="1440"/>
      </w:pPr>
      <w:r>
        <w:t xml:space="preserve">The Settlement Parties agree that, at least through July 31, 2013, the end of the application period in this proceeding, Distribution will continue to rely principally upon gas supplies transported through facilities of Tennessee, Columbia Transmission, Texas Eastern and Supply, as well as storage (particularly on Supply), to meet the needs of its Pennsylvania sales customers.  PGC Ex. No. 8, pp. 2-4, 14-20; PGC Ex. No. 30.  According to the Settlement Parties, the availability of storage enhances Distribution’s ability to buy gas and to utilize its firm upstream transportation capacity at high load factors.  PGC Ex. No. 8, pp. 4 and 13-14.  Locally produced gas delivered directly to Distribution or transported by Supply to Distribution made up 17.1 percent of gas supplies purchased by Distribution to meet Distribution’s Pennsylvania sales requirements during the 12 months ended November 30, 2011.  The remaining 82.9 percent of gas supplies for Distribution’s sales customers were purchased from sources upstream of Supply.  PGC Ex. No. 1, Schedule 1, Sheet 1; Settlement, p. 5.  </w:t>
      </w:r>
    </w:p>
    <w:p w:rsidR="000917F5" w:rsidRDefault="000917F5" w:rsidP="000917F5">
      <w:pPr>
        <w:pStyle w:val="ListNumber"/>
        <w:numPr>
          <w:ilvl w:val="0"/>
          <w:numId w:val="0"/>
        </w:numPr>
        <w:spacing w:line="360" w:lineRule="auto"/>
        <w:ind w:firstLine="1440"/>
      </w:pPr>
    </w:p>
    <w:p w:rsidR="0022211D" w:rsidRDefault="0022211D" w:rsidP="0022211D">
      <w:pPr>
        <w:pStyle w:val="ListNumber"/>
        <w:numPr>
          <w:ilvl w:val="0"/>
          <w:numId w:val="0"/>
        </w:numPr>
        <w:spacing w:line="360" w:lineRule="auto"/>
        <w:ind w:firstLine="1440"/>
      </w:pPr>
      <w:r>
        <w:t>According to the Settlement, the remainder of Distribution’s system supply that is not transported by pipelines upstream of Supply consists of Appalachian supplies directly attached to the systems of Supply or Distribution and a small volume of gas from T.W. Phil</w:t>
      </w:r>
      <w:r w:rsidR="004F0BF2">
        <w:t>l</w:t>
      </w:r>
      <w:r>
        <w:t>ips Gas and Oil Co</w:t>
      </w:r>
      <w:r w:rsidR="00B01025">
        <w:t xml:space="preserve">. </w:t>
      </w:r>
      <w:r w:rsidR="004F0BF2">
        <w:t xml:space="preserve"> </w:t>
      </w:r>
      <w:r>
        <w:t>PGC St</w:t>
      </w:r>
      <w:r w:rsidR="00B01025">
        <w:t>.</w:t>
      </w:r>
      <w:r>
        <w:t xml:space="preserve"> No. 3, pp. 2-3; PGC Ex</w:t>
      </w:r>
      <w:r w:rsidR="00B01025">
        <w:t xml:space="preserve">. </w:t>
      </w:r>
      <w:r>
        <w:t>No. 1, Schedule 1, Sheet 1</w:t>
      </w:r>
      <w:r w:rsidR="00B01025">
        <w:t xml:space="preserve">; Settlement, p. </w:t>
      </w:r>
      <w:r w:rsidR="00B26F84">
        <w:t>7.</w:t>
      </w:r>
      <w:r>
        <w:t xml:space="preserve">  </w:t>
      </w:r>
    </w:p>
    <w:p w:rsidR="0022211D" w:rsidRDefault="0022211D" w:rsidP="0022211D">
      <w:pPr>
        <w:pStyle w:val="ListNumber"/>
        <w:numPr>
          <w:ilvl w:val="0"/>
          <w:numId w:val="0"/>
        </w:numPr>
        <w:spacing w:line="360" w:lineRule="auto"/>
        <w:ind w:firstLine="1440"/>
      </w:pPr>
    </w:p>
    <w:p w:rsidR="00B01025" w:rsidRDefault="00173D8D" w:rsidP="00B01025">
      <w:pPr>
        <w:pStyle w:val="ListNumber"/>
        <w:numPr>
          <w:ilvl w:val="0"/>
          <w:numId w:val="0"/>
        </w:numPr>
        <w:spacing w:line="360" w:lineRule="auto"/>
        <w:ind w:firstLine="1440"/>
      </w:pPr>
      <w:r>
        <w:t>The Settlement provides that d</w:t>
      </w:r>
      <w:r w:rsidR="0022211D">
        <w:t>uring the twelve months ended November 30, 2011, Distribution purchased 3,650,632 Mcf of locally-produced gas to serve customers in Pennsylvania</w:t>
      </w:r>
      <w:r w:rsidR="00B01025">
        <w:t xml:space="preserve">.  </w:t>
      </w:r>
      <w:r w:rsidR="0022211D">
        <w:t>PGC Ex</w:t>
      </w:r>
      <w:r w:rsidR="00B01025">
        <w:t>.</w:t>
      </w:r>
      <w:r w:rsidR="0022211D">
        <w:t xml:space="preserve"> No. 1, Schedule 1, Sheet 1.  </w:t>
      </w:r>
      <w:r w:rsidR="00B01025">
        <w:t>Distribution expects to continue to purchase local gas at prices that will not increase the weighted average cost of gas supplies that it sells to its customers</w:t>
      </w:r>
      <w:r w:rsidR="004E44B8">
        <w:t xml:space="preserve">.  </w:t>
      </w:r>
      <w:r w:rsidR="00B01025">
        <w:t>PGC Ex</w:t>
      </w:r>
      <w:r w:rsidR="004E44B8">
        <w:t xml:space="preserve">. </w:t>
      </w:r>
      <w:r w:rsidR="00B01025">
        <w:t xml:space="preserve">No. 8, pp. 20-21.  Distribution purchases dedicated, non-firm, life of reserve gas from Appalachian producers that is priced at an Appalachian Index (“AI”). </w:t>
      </w:r>
      <w:r w:rsidR="00640494">
        <w:t xml:space="preserve"> </w:t>
      </w:r>
      <w:r w:rsidR="00B01025">
        <w:t>The AI is the simple average of the first of the month spot prices for gas delivered to Dominion Transmission, Inc. and Columbia Transmission as reported by Inside FERC’s Gas Market Report and by Natural Gas Intelligence</w:t>
      </w:r>
      <w:r w:rsidR="004E44B8">
        <w:t xml:space="preserve">.  </w:t>
      </w:r>
      <w:r w:rsidR="00B01025">
        <w:t>PGC Ex</w:t>
      </w:r>
      <w:r w:rsidR="004E44B8">
        <w:t>.</w:t>
      </w:r>
      <w:r w:rsidR="00B01025">
        <w:t xml:space="preserve"> No. 4, p. 13.  Non-dedicated or excess gas, which is available to Distribution on a monthly best-efforts basis, is purchased at 80 percent of the AI ra</w:t>
      </w:r>
      <w:r w:rsidR="004E44B8">
        <w:t xml:space="preserve">te </w:t>
      </w:r>
      <w:r w:rsidR="00B01025">
        <w:t>PGC Ex</w:t>
      </w:r>
      <w:r w:rsidR="004E44B8">
        <w:t>.</w:t>
      </w:r>
      <w:r w:rsidR="00B01025">
        <w:t xml:space="preserve"> No. 4, p. 13.  </w:t>
      </w:r>
      <w:r w:rsidR="004E44B8">
        <w:t xml:space="preserve">The Settlement Parties agreed that </w:t>
      </w:r>
      <w:r w:rsidR="00B01025">
        <w:t>Distribution will continue to solicit offers from local producers whenever Distribution has an opportunity to adjust its upstream pipeline capacity.  Under such circumstances, Distribution will consider proposals that provide the same or greater operational benefits and that are at least as reliable as the capacity that may be replaced.  In evaluating such offers, Distribution will perform an economic analysis that will reflect any associated reduction in pipeline capacity costs</w:t>
      </w:r>
      <w:r w:rsidR="004E44B8">
        <w:t xml:space="preserve">.  </w:t>
      </w:r>
      <w:r w:rsidR="00B01025">
        <w:t>PGC Ex</w:t>
      </w:r>
      <w:r w:rsidR="004E44B8">
        <w:t>.</w:t>
      </w:r>
      <w:r w:rsidR="00B01025">
        <w:t xml:space="preserve"> No. 4, pp. 11; PGC Ex</w:t>
      </w:r>
      <w:r w:rsidR="004E44B8">
        <w:t>.</w:t>
      </w:r>
      <w:r w:rsidR="00B01025">
        <w:t xml:space="preserve"> No.</w:t>
      </w:r>
      <w:r w:rsidR="00AD2C2C">
        <w:t> </w:t>
      </w:r>
      <w:r w:rsidR="00B01025">
        <w:t>8, pp. 20-21</w:t>
      </w:r>
      <w:r w:rsidR="00B26F84">
        <w:t>; Settlement, p. 8.</w:t>
      </w:r>
      <w:r w:rsidR="00B01025">
        <w:t xml:space="preserve">  </w:t>
      </w:r>
    </w:p>
    <w:p w:rsidR="004E44B8" w:rsidRDefault="004E44B8" w:rsidP="00B01025">
      <w:pPr>
        <w:pStyle w:val="ListNumber"/>
        <w:numPr>
          <w:ilvl w:val="0"/>
          <w:numId w:val="0"/>
        </w:numPr>
        <w:spacing w:line="360" w:lineRule="auto"/>
        <w:ind w:firstLine="1440"/>
      </w:pPr>
    </w:p>
    <w:p w:rsidR="00E66D0D" w:rsidRDefault="00E66D0D" w:rsidP="00E66D0D">
      <w:pPr>
        <w:pStyle w:val="ListNumber"/>
        <w:numPr>
          <w:ilvl w:val="0"/>
          <w:numId w:val="0"/>
        </w:numPr>
        <w:spacing w:line="360" w:lineRule="auto"/>
        <w:ind w:firstLine="1440"/>
      </w:pPr>
      <w:r>
        <w:t xml:space="preserve">The Settlement Parties agreed that </w:t>
      </w:r>
      <w:r w:rsidR="004E44B8">
        <w:t>Distribution has fully and vigorously represented the interests of its ratepayers in proceedings before t</w:t>
      </w:r>
      <w:r>
        <w:t xml:space="preserve">he FERC.  </w:t>
      </w:r>
      <w:r w:rsidR="004E44B8">
        <w:t>PGC Ex</w:t>
      </w:r>
      <w:r>
        <w:t>.</w:t>
      </w:r>
      <w:r w:rsidR="004E44B8">
        <w:t xml:space="preserve"> No. 6.  </w:t>
      </w:r>
      <w:r>
        <w:t xml:space="preserve">The Settlement discusses two proceedings in which Distribution intervened and participated.  The first proceeding was Supply’s rate proceeding before the FERC and the </w:t>
      </w:r>
      <w:r w:rsidR="00451A88">
        <w:t>second p</w:t>
      </w:r>
      <w:r>
        <w:t xml:space="preserve">roceeding was a general rate filing by Tennessee with the FERC.  </w:t>
      </w:r>
    </w:p>
    <w:p w:rsidR="000F5C1E" w:rsidRDefault="004E44B8" w:rsidP="00E66D0D">
      <w:pPr>
        <w:pStyle w:val="ListNumber"/>
        <w:numPr>
          <w:ilvl w:val="0"/>
          <w:numId w:val="0"/>
        </w:numPr>
        <w:spacing w:line="360" w:lineRule="auto"/>
        <w:ind w:firstLine="1440"/>
      </w:pPr>
      <w:r>
        <w:t>On October 31, 2011, Supply filed with the FERC a general rate filing pursuant to Section 4 of the Natural Gas Act.  Distribution intervened in the proceeding and</w:t>
      </w:r>
      <w:r w:rsidR="00902759">
        <w:t xml:space="preserve"> </w:t>
      </w:r>
      <w:r>
        <w:t>made specific proposals regarding:</w:t>
      </w:r>
      <w:r w:rsidR="007769F3">
        <w:t xml:space="preserve"> </w:t>
      </w:r>
      <w:r>
        <w:t xml:space="preserve"> (1) storage terms, conditions and contract administration and (2) pooling procedures and pooling points to encourage development of a liquid point in light of changing gas flows.  Distribution continues to review proposed changes to rates and terms and conditions of service to determine whether they are just and reasonable.  On November 30, 2011, the FERC accepted and suspended Supply’s “base case” tariff to become effective on May 1, 2012, upon motion by Supply, subject to refund.  In the order, the FERC accepted some of the proposed tariff revisions but directed that other provisions be modified to conform to </w:t>
      </w:r>
      <w:r w:rsidR="004452A4">
        <w:t xml:space="preserve">the </w:t>
      </w:r>
      <w:r>
        <w:t>FERC policy or that Supply provide further explanation of why the policy should not apply to it.  The rate proceeding has been assigned to an ALJ and a hearing schedule has been established</w:t>
      </w:r>
      <w:r w:rsidR="00902759">
        <w:t xml:space="preserve">.  </w:t>
      </w:r>
      <w:r>
        <w:t>PGC Ex</w:t>
      </w:r>
      <w:r w:rsidR="00902759">
        <w:t>. No.</w:t>
      </w:r>
      <w:r>
        <w:t xml:space="preserve"> 6, pp.</w:t>
      </w:r>
      <w:r w:rsidR="00C579A1">
        <w:t> </w:t>
      </w:r>
      <w:r>
        <w:t>3</w:t>
      </w:r>
      <w:r w:rsidR="00C579A1">
        <w:noBreakHyphen/>
      </w:r>
      <w:r>
        <w:t>11</w:t>
      </w:r>
      <w:r w:rsidR="00902759">
        <w:t xml:space="preserve">; Settlement, p. 6.  </w:t>
      </w:r>
      <w:r>
        <w:t xml:space="preserve">   </w:t>
      </w:r>
    </w:p>
    <w:p w:rsidR="000F5C1E" w:rsidRDefault="000F5C1E" w:rsidP="00E66D0D">
      <w:pPr>
        <w:pStyle w:val="ListNumber"/>
        <w:numPr>
          <w:ilvl w:val="0"/>
          <w:numId w:val="0"/>
        </w:numPr>
        <w:spacing w:line="360" w:lineRule="auto"/>
        <w:ind w:firstLine="1440"/>
      </w:pPr>
    </w:p>
    <w:p w:rsidR="008746FB" w:rsidRDefault="00902759" w:rsidP="00E66D0D">
      <w:pPr>
        <w:pStyle w:val="ListNumber"/>
        <w:numPr>
          <w:ilvl w:val="0"/>
          <w:numId w:val="0"/>
        </w:numPr>
        <w:spacing w:line="360" w:lineRule="auto"/>
        <w:ind w:firstLine="1440"/>
      </w:pPr>
      <w:r>
        <w:t xml:space="preserve">The second proceeding before the FERC </w:t>
      </w:r>
      <w:r w:rsidR="008746FB">
        <w:t>involved</w:t>
      </w:r>
      <w:r>
        <w:t xml:space="preserve"> Tennessee.  </w:t>
      </w:r>
      <w:r w:rsidR="004E44B8">
        <w:t xml:space="preserve">On November 30, 2010, Tennessee submitted to </w:t>
      </w:r>
      <w:r w:rsidR="004452A4">
        <w:t xml:space="preserve">the </w:t>
      </w:r>
      <w:r w:rsidR="004E44B8">
        <w:t>FERC a general rate filing under Section 4 of the Natural Gas Act.  Distribution intervened and actively participat</w:t>
      </w:r>
      <w:r w:rsidR="008746FB">
        <w:t>ed</w:t>
      </w:r>
      <w:r w:rsidR="004E44B8">
        <w:t xml:space="preserve"> in the proceeding individually and as a member of the Northeast Customer Group (“NCG”).  The rate proceeding was resolved by means of a settlement, under which Tennessee’s cost of service was reduced, a rate design that benefited Distribution was adopted, a sharing mechanism under which firm customers like Distribution would share in revenues in excess of the authorized level was implemented and a rate moratorium under which Tennessee may not submit to </w:t>
      </w:r>
      <w:r w:rsidR="00631C5D">
        <w:t xml:space="preserve">the </w:t>
      </w:r>
      <w:r w:rsidR="004E44B8">
        <w:t>FERC a general rate filing until April 1, 2014 was imposed.  In addition, Tennessee agreed to further discussions regarding pooling points and elevation of secondary receipts to primary deliveries, and Tennessee agreed to file and support a tariff change</w:t>
      </w:r>
      <w:r w:rsidR="004E44B8">
        <w:rPr>
          <w:rStyle w:val="FootnoteReference"/>
        </w:rPr>
        <w:footnoteReference w:id="4"/>
      </w:r>
      <w:r w:rsidR="004E44B8">
        <w:t xml:space="preserve"> to raise the priority of secondary in-path transactions closer to the priority of primary transactions.  On December 5, 2011, the FERC approved the settlement, effective January 1, 2012</w:t>
      </w:r>
      <w:r w:rsidR="008746FB">
        <w:t xml:space="preserve">.  </w:t>
      </w:r>
      <w:r w:rsidR="004E44B8">
        <w:t>PGC Ex</w:t>
      </w:r>
      <w:r w:rsidR="008746FB">
        <w:t>.</w:t>
      </w:r>
      <w:r w:rsidR="004E44B8">
        <w:t xml:space="preserve"> No. 6, pp. 16-21</w:t>
      </w:r>
      <w:r w:rsidR="008746FB">
        <w:t>; Settlement, pp. 6-7.</w:t>
      </w:r>
    </w:p>
    <w:p w:rsidR="00C44ABF" w:rsidRDefault="00C44ABF" w:rsidP="00E66D0D">
      <w:pPr>
        <w:pStyle w:val="ListNumber"/>
        <w:numPr>
          <w:ilvl w:val="0"/>
          <w:numId w:val="0"/>
        </w:numPr>
        <w:spacing w:line="360" w:lineRule="auto"/>
        <w:ind w:firstLine="1440"/>
      </w:pPr>
    </w:p>
    <w:p w:rsidR="001D4536" w:rsidRDefault="001D4536" w:rsidP="00FD34F3">
      <w:pPr>
        <w:pStyle w:val="ListNumber"/>
        <w:numPr>
          <w:ilvl w:val="0"/>
          <w:numId w:val="0"/>
        </w:numPr>
        <w:spacing w:line="360" w:lineRule="auto"/>
        <w:ind w:firstLine="1440"/>
      </w:pPr>
      <w:r>
        <w:t>The Settlement Parties agreed that</w:t>
      </w:r>
      <w:r w:rsidR="00FD34F3">
        <w:t xml:space="preserve"> Distribution maintains capacity on interstate pipelines sufficient to meet the requirements of its firm customers during peak day and peak season periods.  I</w:t>
      </w:r>
      <w:r w:rsidR="00C44ABF">
        <w:t>n order to mitigate the cost to customers of natural gas supplies and achieve revenues, Distribution makes off-system sales.  In a</w:t>
      </w:r>
      <w:r>
        <w:t>d</w:t>
      </w:r>
      <w:r w:rsidR="00C44ABF">
        <w:t>dition to off-system sales, Distribution</w:t>
      </w:r>
      <w:r>
        <w:t xml:space="preserve"> a</w:t>
      </w:r>
      <w:r w:rsidR="00C44ABF">
        <w:t>chieve</w:t>
      </w:r>
      <w:r>
        <w:t>s</w:t>
      </w:r>
      <w:r w:rsidR="00C44ABF">
        <w:t xml:space="preserve"> revenues, pursuant to programs under FERC Order 636, for releases of capacity on Supply</w:t>
      </w:r>
      <w:r>
        <w:t xml:space="preserve"> and on upstream pipelines that serve Distribution when they are not needed to serve firm customers.  Distribution also participates in asset management and storage fill contracts.  Distribution participates in a sharing mechanism under which it retains 25 percent of the net revenues from off-system sales, capacity releases and asset management arrangements, including storage fill contracts</w:t>
      </w:r>
      <w:r w:rsidR="00FD34F3">
        <w:t xml:space="preserve">.  </w:t>
      </w:r>
      <w:r>
        <w:t>PGC Ex</w:t>
      </w:r>
      <w:r w:rsidR="00FD34F3">
        <w:t>.</w:t>
      </w:r>
      <w:r w:rsidR="004961D9">
        <w:t xml:space="preserve"> No. 8, pp. 26-30; Settlement, p. 7.</w:t>
      </w:r>
      <w:r>
        <w:t xml:space="preserve">  </w:t>
      </w:r>
    </w:p>
    <w:p w:rsidR="006270C7" w:rsidRDefault="006270C7" w:rsidP="00FD34F3">
      <w:pPr>
        <w:pStyle w:val="ListNumber"/>
        <w:numPr>
          <w:ilvl w:val="0"/>
          <w:numId w:val="0"/>
        </w:numPr>
        <w:spacing w:line="360" w:lineRule="auto"/>
        <w:ind w:firstLine="1440"/>
      </w:pPr>
    </w:p>
    <w:p w:rsidR="006270C7" w:rsidRDefault="006270C7" w:rsidP="006270C7">
      <w:pPr>
        <w:pStyle w:val="ListNumber"/>
        <w:numPr>
          <w:ilvl w:val="0"/>
          <w:numId w:val="0"/>
        </w:numPr>
        <w:spacing w:line="360" w:lineRule="auto"/>
        <w:ind w:firstLine="1440"/>
      </w:pPr>
      <w:r>
        <w:t xml:space="preserve">According to the Settlement, Distribution has implemented, with the Commission’s approval, a system-wide “Energy Select” program throughout its Pennsylvania service territory under which all customers, except those served under Distribution’s Low Income Residential Assistance Program, may choose a natural gas supplier other than Distribution.  Distribution has identified all purchased gas costs associated with the implementation of the program and is recovering such costs from entities participating in the program.  PGC St. No. 2, pp. 2-6; PGC St. No. 102, pp. 3-5; Settlement, p. 9.  </w:t>
      </w:r>
    </w:p>
    <w:p w:rsidR="006270C7" w:rsidRDefault="006270C7" w:rsidP="006270C7">
      <w:pPr>
        <w:pStyle w:val="ListNumber"/>
        <w:numPr>
          <w:ilvl w:val="0"/>
          <w:numId w:val="0"/>
        </w:numPr>
        <w:spacing w:line="360" w:lineRule="auto"/>
        <w:ind w:firstLine="1440"/>
      </w:pPr>
    </w:p>
    <w:p w:rsidR="00350B78" w:rsidRDefault="00826B5D" w:rsidP="006270C7">
      <w:pPr>
        <w:pStyle w:val="ListNumber"/>
        <w:numPr>
          <w:ilvl w:val="0"/>
          <w:numId w:val="0"/>
        </w:numPr>
        <w:spacing w:line="360" w:lineRule="auto"/>
        <w:ind w:firstLine="1440"/>
      </w:pPr>
      <w:r>
        <w:t xml:space="preserve">According to the Settlement, </w:t>
      </w:r>
      <w:r w:rsidR="006270C7">
        <w:t>Distribution will continue to implement, over the next several years, a plan to diversify the basins from which it purchases natural gas supplies.  Distribution intends to reduce its reliance on purchases from the Gulf of Mexico and Southwestern basins and to further diversify its supply sources by obtaining natural gas from basins in the Rocky Mountains and Canada.  The purpose of the supply basin diversification program is to reduce Distribution’s dependence on natural gas purchased from the Southwest and Gulf of Mexico, where production can be substantially disrupted by a single event, such as a hurricane.  Supply basin diversification will enable Distribution to reduce the impacts of such events on its natural gas supplies</w:t>
      </w:r>
      <w:r w:rsidR="003B0118">
        <w:t xml:space="preserve">.  </w:t>
      </w:r>
      <w:r w:rsidR="006270C7">
        <w:t>PGC St</w:t>
      </w:r>
      <w:r w:rsidR="003B0118">
        <w:t>.</w:t>
      </w:r>
      <w:r w:rsidR="006270C7">
        <w:t xml:space="preserve"> No. 5, pp. 4-11</w:t>
      </w:r>
      <w:r w:rsidR="003B0118">
        <w:t>; Settlement, p. 9.</w:t>
      </w:r>
    </w:p>
    <w:p w:rsidR="00350B78" w:rsidRDefault="00350B78" w:rsidP="006270C7">
      <w:pPr>
        <w:pStyle w:val="ListNumber"/>
        <w:numPr>
          <w:ilvl w:val="0"/>
          <w:numId w:val="0"/>
        </w:numPr>
        <w:spacing w:line="360" w:lineRule="auto"/>
        <w:ind w:firstLine="1440"/>
      </w:pPr>
    </w:p>
    <w:p w:rsidR="00350B78" w:rsidRDefault="00826B5D" w:rsidP="00350B78">
      <w:pPr>
        <w:pStyle w:val="ListNumber"/>
        <w:numPr>
          <w:ilvl w:val="0"/>
          <w:numId w:val="0"/>
        </w:numPr>
        <w:spacing w:line="360" w:lineRule="auto"/>
        <w:ind w:firstLine="1440"/>
      </w:pPr>
      <w:r>
        <w:t>The Settlement provides that, i</w:t>
      </w:r>
      <w:r w:rsidR="00350B78">
        <w:t>n order to maintain service to several remote pockets of customers without constructing additional pipeline facilities, Distribution has entered into two exchange agreements – one with UGI Central Penn Gas, Inc. and one with Columbia Gas of Pennsylvania, Inc.  Under the agreements, each company takes from the other volumes of gas needed to provide service.  The agreements do not contemplate purchases of gas; instead they contemplate that each company will receive approximately the same volumes of gas from the other over time.  If needed, additional deliveries are arranged to eliminate any balance that has built up over time.  The companies do not charge each other for this service</w:t>
      </w:r>
      <w:r w:rsidR="006935B1">
        <w:t xml:space="preserve">.  </w:t>
      </w:r>
      <w:r w:rsidR="00350B78">
        <w:t>PGC Ex</w:t>
      </w:r>
      <w:r w:rsidR="006935B1">
        <w:t xml:space="preserve">. </w:t>
      </w:r>
      <w:r w:rsidR="00350B78">
        <w:t>4, p.</w:t>
      </w:r>
      <w:r w:rsidR="00B5172E">
        <w:t> </w:t>
      </w:r>
      <w:r w:rsidR="00350B78">
        <w:t>12</w:t>
      </w:r>
      <w:r w:rsidR="006935B1">
        <w:t>; Settlement, pp. 9-10.</w:t>
      </w:r>
      <w:r w:rsidR="00350B78">
        <w:t xml:space="preserve">  </w:t>
      </w:r>
    </w:p>
    <w:p w:rsidR="003042E9" w:rsidRDefault="003042E9" w:rsidP="00F93B24">
      <w:pPr>
        <w:pStyle w:val="ListNumber"/>
        <w:numPr>
          <w:ilvl w:val="0"/>
          <w:numId w:val="0"/>
        </w:numPr>
        <w:spacing w:line="360" w:lineRule="auto"/>
      </w:pPr>
    </w:p>
    <w:p w:rsidR="00F93B24" w:rsidRDefault="00F93B24" w:rsidP="00F93B24">
      <w:pPr>
        <w:pStyle w:val="ListNumber"/>
        <w:numPr>
          <w:ilvl w:val="0"/>
          <w:numId w:val="0"/>
        </w:numPr>
        <w:spacing w:line="360" w:lineRule="auto"/>
      </w:pPr>
      <w:r>
        <w:tab/>
      </w:r>
      <w:r>
        <w:tab/>
        <w:t xml:space="preserve">In the section of the Settlement under the subheading, “Other Terms and Conditions,” the Settlement Parties express their agreement with respect to nine separate issues.  </w:t>
      </w:r>
    </w:p>
    <w:p w:rsidR="00F93B24" w:rsidRDefault="00F93B24" w:rsidP="00F93B24">
      <w:pPr>
        <w:pStyle w:val="ListNumber"/>
        <w:numPr>
          <w:ilvl w:val="0"/>
          <w:numId w:val="0"/>
        </w:numPr>
        <w:spacing w:line="360" w:lineRule="auto"/>
      </w:pPr>
    </w:p>
    <w:p w:rsidR="00F93B24" w:rsidRDefault="00F93B24" w:rsidP="00B12D3B">
      <w:pPr>
        <w:pStyle w:val="ListNumber"/>
        <w:numPr>
          <w:ilvl w:val="0"/>
          <w:numId w:val="28"/>
        </w:numPr>
        <w:spacing w:line="360" w:lineRule="auto"/>
      </w:pPr>
      <w:r>
        <w:rPr>
          <w:u w:val="single"/>
        </w:rPr>
        <w:t>PGC Rates</w:t>
      </w:r>
    </w:p>
    <w:p w:rsidR="00F93B24" w:rsidRDefault="00F93B24" w:rsidP="00F93B24">
      <w:pPr>
        <w:pStyle w:val="ListNumber"/>
        <w:numPr>
          <w:ilvl w:val="0"/>
          <w:numId w:val="0"/>
        </w:numPr>
        <w:spacing w:line="360" w:lineRule="auto"/>
      </w:pPr>
    </w:p>
    <w:p w:rsidR="00F93B24" w:rsidRDefault="00F93B24" w:rsidP="00F93B24">
      <w:pPr>
        <w:pStyle w:val="ListNumber"/>
        <w:numPr>
          <w:ilvl w:val="0"/>
          <w:numId w:val="0"/>
        </w:numPr>
        <w:spacing w:line="360" w:lineRule="auto"/>
        <w:ind w:firstLine="1440"/>
      </w:pPr>
      <w:r>
        <w:t xml:space="preserve">The </w:t>
      </w:r>
      <w:r w:rsidR="00B52C29">
        <w:t xml:space="preserve">Settlement Parties request </w:t>
      </w:r>
      <w:r>
        <w:t>approv</w:t>
      </w:r>
      <w:r w:rsidR="00B52C29">
        <w:t>al</w:t>
      </w:r>
      <w:r w:rsidR="00EC5F56">
        <w:t xml:space="preserve"> of </w:t>
      </w:r>
      <w:r>
        <w:t xml:space="preserve">the form of tariff supplement provided as Attachment “A” </w:t>
      </w:r>
      <w:r w:rsidR="00B52C29">
        <w:t>to the Settlement</w:t>
      </w:r>
      <w:r>
        <w:t xml:space="preserve">, including the rates set forth therein.  </w:t>
      </w:r>
      <w:r w:rsidR="00B52C29">
        <w:t>According to the Settlement, t</w:t>
      </w:r>
      <w:r>
        <w:t>he rates in Attachment “A” have been updated through February 29, 2012, and are subject to further updates for actual over/under recoveries of purchased gas costs through June</w:t>
      </w:r>
      <w:r w:rsidR="00207420">
        <w:t> </w:t>
      </w:r>
      <w:r>
        <w:t xml:space="preserve">30, 2012, and updates for revisions to the forecasts of wellhead prices.  The data and calculations used to produce the rates contained in Attachment “A” are provided in Attachment “B” </w:t>
      </w:r>
      <w:r w:rsidR="00B52C29">
        <w:t>to the Settlement.  Settlement, pp. 11-12.</w:t>
      </w:r>
      <w:r>
        <w:t xml:space="preserve">  </w:t>
      </w:r>
    </w:p>
    <w:p w:rsidR="00EC5F56" w:rsidRDefault="00EC5F56" w:rsidP="00EC5F56">
      <w:pPr>
        <w:pStyle w:val="ListNumber"/>
        <w:numPr>
          <w:ilvl w:val="0"/>
          <w:numId w:val="0"/>
        </w:numPr>
        <w:spacing w:line="360" w:lineRule="auto"/>
      </w:pPr>
    </w:p>
    <w:p w:rsidR="00EC5F56" w:rsidRDefault="00EC5F56" w:rsidP="00B12D3B">
      <w:pPr>
        <w:pStyle w:val="ListNumber"/>
        <w:numPr>
          <w:ilvl w:val="0"/>
          <w:numId w:val="28"/>
        </w:numPr>
        <w:spacing w:line="360" w:lineRule="auto"/>
      </w:pPr>
      <w:r>
        <w:rPr>
          <w:u w:val="single"/>
        </w:rPr>
        <w:t>Design Day Requirements</w:t>
      </w:r>
    </w:p>
    <w:p w:rsidR="00EC5F56" w:rsidRDefault="00EC5F56" w:rsidP="00EC5F56">
      <w:pPr>
        <w:pStyle w:val="ListNumber"/>
        <w:numPr>
          <w:ilvl w:val="0"/>
          <w:numId w:val="0"/>
        </w:numPr>
        <w:spacing w:line="360" w:lineRule="auto"/>
      </w:pPr>
    </w:p>
    <w:p w:rsidR="00EC5F56" w:rsidRDefault="00EC5F56" w:rsidP="00EC5F56">
      <w:pPr>
        <w:pStyle w:val="ListNumber"/>
        <w:numPr>
          <w:ilvl w:val="0"/>
          <w:numId w:val="0"/>
        </w:numPr>
        <w:spacing w:line="360" w:lineRule="auto"/>
        <w:ind w:firstLine="1440"/>
      </w:pPr>
      <w:r>
        <w:t>The Settlement Parties agree that the rates established in this proceeding shall be based on a contracted for level of pipeline and storage capacity of 309,715 Dth/day.  The Settlement Parties further agree to use the throughput and capacity amounts projected by the Company to calculate rates in this proceeding.  According to the Settlement, the acceptance by the Settlement Parties of this level of throughput and capacity to calculate rates does not indicate their acceptance, and the Commission’s approval</w:t>
      </w:r>
      <w:r w:rsidR="004961D9">
        <w:t xml:space="preserve"> of the S</w:t>
      </w:r>
      <w:r>
        <w:t>ettlement will not indicate its approval of</w:t>
      </w:r>
      <w:r w:rsidR="004961D9">
        <w:t xml:space="preserve"> </w:t>
      </w:r>
      <w:r>
        <w:t xml:space="preserve">the procedures or methodologies used to calculate these levels of throughput and capacity.  Settlement, p. 12.  </w:t>
      </w:r>
    </w:p>
    <w:p w:rsidR="00EC5F56" w:rsidRDefault="00EC5F56" w:rsidP="00EC5F56">
      <w:pPr>
        <w:pStyle w:val="ListNumber"/>
        <w:numPr>
          <w:ilvl w:val="0"/>
          <w:numId w:val="0"/>
        </w:numPr>
        <w:spacing w:line="360" w:lineRule="auto"/>
        <w:ind w:firstLine="1440"/>
      </w:pPr>
    </w:p>
    <w:p w:rsidR="00EC5F56" w:rsidRDefault="00EC5F56" w:rsidP="00EC5F56">
      <w:pPr>
        <w:pStyle w:val="ListNumber"/>
        <w:numPr>
          <w:ilvl w:val="0"/>
          <w:numId w:val="0"/>
        </w:numPr>
        <w:spacing w:line="360" w:lineRule="auto"/>
        <w:ind w:firstLine="1440"/>
      </w:pPr>
      <w:r>
        <w:t xml:space="preserve">In Distribution’s 2013 Section 1307(f) proceeding, any party may contend that Distribution should adjust its capacity to a different level.  If the Commission makes a determination concerning the appropriate level of capacity for Distribution, Distribution will undertake all reasonable and appropriate actions, after the determination becomes final, to adjust its level of capacity to the level determined to be appropriate.  Settlement, p. 12. </w:t>
      </w:r>
    </w:p>
    <w:p w:rsidR="00EC5F56" w:rsidRDefault="00EC5F56" w:rsidP="00EC5F56">
      <w:pPr>
        <w:pStyle w:val="ListNumber"/>
        <w:numPr>
          <w:ilvl w:val="0"/>
          <w:numId w:val="0"/>
        </w:numPr>
        <w:spacing w:line="360" w:lineRule="auto"/>
        <w:ind w:firstLine="1440"/>
      </w:pPr>
    </w:p>
    <w:p w:rsidR="00EC5F56" w:rsidRDefault="00BE3D80" w:rsidP="00EC5F56">
      <w:pPr>
        <w:pStyle w:val="ListNumber"/>
        <w:numPr>
          <w:ilvl w:val="0"/>
          <w:numId w:val="0"/>
        </w:numPr>
        <w:spacing w:line="360" w:lineRule="auto"/>
        <w:ind w:firstLine="1440"/>
      </w:pPr>
      <w:r>
        <w:t>The Settlement Parties agree that n</w:t>
      </w:r>
      <w:r w:rsidR="00EC5F56">
        <w:t xml:space="preserve">o party to this Settlement may contend that there should be a disallowance of recovery by Distribution of its cost of capacity for any period prior to Distribution’s first opportunity to adjust its capacity after the determination of the appropriate level of capacity has become final.  Settlement, p. 12.   </w:t>
      </w:r>
    </w:p>
    <w:p w:rsidR="002A4252" w:rsidRDefault="002A4252" w:rsidP="002A4252">
      <w:pPr>
        <w:pStyle w:val="ListNumber"/>
        <w:numPr>
          <w:ilvl w:val="0"/>
          <w:numId w:val="0"/>
        </w:numPr>
        <w:spacing w:line="360" w:lineRule="auto"/>
      </w:pPr>
    </w:p>
    <w:p w:rsidR="002A4252" w:rsidRDefault="002A4252" w:rsidP="00B12D3B">
      <w:pPr>
        <w:pStyle w:val="ListNumber"/>
        <w:numPr>
          <w:ilvl w:val="0"/>
          <w:numId w:val="28"/>
        </w:numPr>
        <w:spacing w:line="360" w:lineRule="auto"/>
      </w:pPr>
      <w:r>
        <w:rPr>
          <w:u w:val="single"/>
        </w:rPr>
        <w:t>Retainage</w:t>
      </w:r>
    </w:p>
    <w:p w:rsidR="002A4252" w:rsidRDefault="002A4252" w:rsidP="002A4252">
      <w:pPr>
        <w:pStyle w:val="ListNumber"/>
        <w:numPr>
          <w:ilvl w:val="0"/>
          <w:numId w:val="0"/>
        </w:numPr>
        <w:spacing w:line="360" w:lineRule="auto"/>
      </w:pPr>
    </w:p>
    <w:p w:rsidR="002A4252" w:rsidRDefault="002A4252" w:rsidP="002A4252">
      <w:pPr>
        <w:pStyle w:val="ListNumber"/>
        <w:numPr>
          <w:ilvl w:val="0"/>
          <w:numId w:val="0"/>
        </w:numPr>
        <w:spacing w:line="360" w:lineRule="auto"/>
        <w:ind w:firstLine="1440"/>
      </w:pPr>
      <w:r>
        <w:t xml:space="preserve">The Settlement Parties agree Distribution will reduce the retainage rate to 0.31% (0.31% = 0.29% lost and unaccounted for gas (“LAUF”) + 0.02% company use gas).  The 0.29% LAUF rate is equal to the median of the LAUF rates for the five 12-month periods ended July 2007-2011, as presented in Table TJC-2 of </w:t>
      </w:r>
      <w:r w:rsidR="00A23C62">
        <w:t>Thomas J.</w:t>
      </w:r>
      <w:r>
        <w:t xml:space="preserve"> Clark’s testimony, PGC Statement No. 2.  According to the Settlement, the acceptance by the Settlement Parties of this retainage rate does not indicate their acceptance, and the Commission’s approval of the </w:t>
      </w:r>
      <w:r w:rsidR="004961D9">
        <w:t>S</w:t>
      </w:r>
      <w:r>
        <w:t>ettlement will not indicate its approval of the procedures or methodologies used to calculate this retainage rate.  Settlement, pp. 12-13.</w:t>
      </w:r>
    </w:p>
    <w:p w:rsidR="002A4252" w:rsidRDefault="002A4252" w:rsidP="002A4252">
      <w:pPr>
        <w:pStyle w:val="ListNumber"/>
        <w:numPr>
          <w:ilvl w:val="0"/>
          <w:numId w:val="0"/>
        </w:numPr>
        <w:spacing w:line="360" w:lineRule="auto"/>
        <w:ind w:firstLine="1440"/>
      </w:pPr>
    </w:p>
    <w:p w:rsidR="002A4252" w:rsidRDefault="002A4252" w:rsidP="002A4252">
      <w:pPr>
        <w:pStyle w:val="ListNumber"/>
        <w:numPr>
          <w:ilvl w:val="0"/>
          <w:numId w:val="0"/>
        </w:numPr>
        <w:spacing w:line="360" w:lineRule="auto"/>
        <w:ind w:firstLine="1440"/>
      </w:pPr>
      <w:r>
        <w:t>The Settlement provides that any transportation customer presently being charged a different retainage rate for lost and unaccounted for gas and company use will continue to be charged the different percentage until the percentage is modified in a new contract or pursuant to Distribution’s tariff.  Settlement, p. 13.</w:t>
      </w:r>
    </w:p>
    <w:p w:rsidR="002A4252" w:rsidRDefault="002A4252" w:rsidP="002A4252">
      <w:pPr>
        <w:pStyle w:val="ListNumber"/>
        <w:numPr>
          <w:ilvl w:val="0"/>
          <w:numId w:val="0"/>
        </w:numPr>
        <w:spacing w:line="360" w:lineRule="auto"/>
        <w:ind w:firstLine="1440"/>
      </w:pPr>
    </w:p>
    <w:p w:rsidR="002A4252" w:rsidRDefault="002A4252" w:rsidP="002A4252">
      <w:pPr>
        <w:pStyle w:val="ListNumber"/>
        <w:numPr>
          <w:ilvl w:val="0"/>
          <w:numId w:val="0"/>
        </w:numPr>
        <w:spacing w:line="360" w:lineRule="auto"/>
        <w:ind w:firstLine="1440"/>
      </w:pPr>
      <w:r>
        <w:t xml:space="preserve">The Settlement Parties agree that the Commission should approve the renewals and changes in pipeline and storage capacity contracts that are explained in PGC Exhibits 4 and 8 and in PGC Statements 1, 5 and 6.  Settlement, p. 13. </w:t>
      </w:r>
    </w:p>
    <w:p w:rsidR="00B35D9C" w:rsidRDefault="00B35D9C" w:rsidP="00B0272B">
      <w:pPr>
        <w:pStyle w:val="ListNumber"/>
        <w:numPr>
          <w:ilvl w:val="0"/>
          <w:numId w:val="0"/>
        </w:numPr>
        <w:spacing w:line="360" w:lineRule="auto"/>
      </w:pPr>
    </w:p>
    <w:p w:rsidR="007776EB" w:rsidRDefault="007776EB" w:rsidP="00B0272B">
      <w:pPr>
        <w:pStyle w:val="ListNumber"/>
        <w:numPr>
          <w:ilvl w:val="0"/>
          <w:numId w:val="0"/>
        </w:numPr>
        <w:spacing w:line="360" w:lineRule="auto"/>
      </w:pPr>
    </w:p>
    <w:p w:rsidR="007776EB" w:rsidRDefault="007776EB" w:rsidP="00B0272B">
      <w:pPr>
        <w:pStyle w:val="ListNumber"/>
        <w:numPr>
          <w:ilvl w:val="0"/>
          <w:numId w:val="0"/>
        </w:numPr>
        <w:spacing w:line="360" w:lineRule="auto"/>
      </w:pPr>
    </w:p>
    <w:p w:rsidR="00B0272B" w:rsidRDefault="0071079A" w:rsidP="00B12D3B">
      <w:pPr>
        <w:pStyle w:val="ListNumber"/>
        <w:numPr>
          <w:ilvl w:val="0"/>
          <w:numId w:val="28"/>
        </w:numPr>
        <w:spacing w:line="360" w:lineRule="auto"/>
      </w:pPr>
      <w:r>
        <w:rPr>
          <w:u w:val="single"/>
        </w:rPr>
        <w:t>Tennessee Pipeline Refunds</w:t>
      </w:r>
    </w:p>
    <w:p w:rsidR="0071079A" w:rsidRDefault="0071079A" w:rsidP="00B0272B">
      <w:pPr>
        <w:pStyle w:val="ListNumber"/>
        <w:numPr>
          <w:ilvl w:val="0"/>
          <w:numId w:val="0"/>
        </w:numPr>
        <w:spacing w:line="360" w:lineRule="auto"/>
      </w:pPr>
    </w:p>
    <w:p w:rsidR="0071079A" w:rsidRDefault="0071079A" w:rsidP="0071079A">
      <w:pPr>
        <w:pStyle w:val="ListNumber"/>
        <w:numPr>
          <w:ilvl w:val="0"/>
          <w:numId w:val="0"/>
        </w:numPr>
        <w:spacing w:line="360" w:lineRule="auto"/>
        <w:ind w:firstLine="1440"/>
      </w:pPr>
      <w:r>
        <w:t>The Tennessee Gas Pipeline refund will be included in rates effective August 1, 2012.  The Settlement Parties agree that, as proposed by the Company, the demand-related portion of the refund shall be included in the delivery charge rates charged to sales and SATC (“Small Aggregation Transportation Customer Service”) customers and the commodity portion of the refund shall be included in the Gas Adjustment Charge billed to sales customers.  Settlement, p. 13.</w:t>
      </w:r>
    </w:p>
    <w:p w:rsidR="00A74AC9" w:rsidRDefault="00A74AC9" w:rsidP="00A74AC9">
      <w:pPr>
        <w:pStyle w:val="ListNumber"/>
        <w:numPr>
          <w:ilvl w:val="0"/>
          <w:numId w:val="0"/>
        </w:numPr>
        <w:spacing w:line="360" w:lineRule="auto"/>
      </w:pPr>
    </w:p>
    <w:p w:rsidR="00A74AC9" w:rsidRDefault="00A74AC9" w:rsidP="00B12D3B">
      <w:pPr>
        <w:pStyle w:val="ListNumber"/>
        <w:numPr>
          <w:ilvl w:val="0"/>
          <w:numId w:val="28"/>
        </w:numPr>
        <w:spacing w:line="360" w:lineRule="auto"/>
      </w:pPr>
      <w:r>
        <w:rPr>
          <w:u w:val="single"/>
        </w:rPr>
        <w:t>Allocation of Contingency Capacity</w:t>
      </w:r>
    </w:p>
    <w:p w:rsidR="00A74AC9" w:rsidRDefault="00A74AC9" w:rsidP="00A74AC9">
      <w:pPr>
        <w:pStyle w:val="ListNumber"/>
        <w:numPr>
          <w:ilvl w:val="0"/>
          <w:numId w:val="0"/>
        </w:numPr>
        <w:spacing w:line="360" w:lineRule="auto"/>
      </w:pPr>
    </w:p>
    <w:p w:rsidR="00A74AC9" w:rsidRDefault="00A74AC9" w:rsidP="00A74AC9">
      <w:pPr>
        <w:pStyle w:val="ListNumber"/>
        <w:numPr>
          <w:ilvl w:val="0"/>
          <w:numId w:val="0"/>
        </w:numPr>
        <w:spacing w:line="360" w:lineRule="auto"/>
        <w:ind w:firstLine="1440"/>
      </w:pPr>
      <w:r>
        <w:t>The Settlement provides that Distribution’s purchased gas cost rates will include an allocation of contingency capacity in sales and transportation rates, including SATC delivery rates.  The amount of contingency capacity to be allocated to delivery rates shal</w:t>
      </w:r>
      <w:r w:rsidR="004961D9">
        <w:t xml:space="preserve">l be 22,632 Dth.  Attachment C </w:t>
      </w:r>
      <w:r>
        <w:t>of the Settlement provides an update of PGC Exhibit No. 13A that includes an allocation of contingency capacity to the purchased gas costs to be included in SATC and other rates.  Settlement, p. 13.</w:t>
      </w:r>
    </w:p>
    <w:p w:rsidR="00A74AC9" w:rsidRDefault="00A74AC9" w:rsidP="00A74AC9">
      <w:pPr>
        <w:pStyle w:val="ListNumber"/>
        <w:numPr>
          <w:ilvl w:val="0"/>
          <w:numId w:val="0"/>
        </w:numPr>
        <w:spacing w:line="360" w:lineRule="auto"/>
      </w:pPr>
    </w:p>
    <w:p w:rsidR="00A74AC9" w:rsidRDefault="00A74AC9" w:rsidP="00B12D3B">
      <w:pPr>
        <w:pStyle w:val="ListNumber"/>
        <w:numPr>
          <w:ilvl w:val="0"/>
          <w:numId w:val="28"/>
        </w:numPr>
        <w:spacing w:line="360" w:lineRule="auto"/>
      </w:pPr>
      <w:r>
        <w:rPr>
          <w:u w:val="single"/>
        </w:rPr>
        <w:t>Overrun Charges from Columbia Transmission</w:t>
      </w:r>
    </w:p>
    <w:p w:rsidR="00A74AC9" w:rsidRDefault="00A74AC9" w:rsidP="00A74AC9">
      <w:pPr>
        <w:pStyle w:val="ListNumber"/>
        <w:numPr>
          <w:ilvl w:val="0"/>
          <w:numId w:val="0"/>
        </w:numPr>
        <w:spacing w:line="360" w:lineRule="auto"/>
      </w:pPr>
    </w:p>
    <w:p w:rsidR="00A74AC9" w:rsidRDefault="00A74AC9" w:rsidP="00A74AC9">
      <w:pPr>
        <w:pStyle w:val="ListNumber"/>
        <w:numPr>
          <w:ilvl w:val="0"/>
          <w:numId w:val="0"/>
        </w:numPr>
        <w:spacing w:line="360" w:lineRule="auto"/>
        <w:ind w:firstLine="1440"/>
      </w:pPr>
      <w:r>
        <w:t>The Settlement requires Distribution to reduce the level of purchased gas costs that it proposes to recover in this proceeding by $36,175, the amount of overrun charges from Columbia Transmission for October 2011; provided, however, that Distribution will retain any settlement of or other reduction in the overrun penalties from Columbia Transmission that was not born by Distribution’s PGC customers.  Settlement, pp. 13-14.</w:t>
      </w:r>
    </w:p>
    <w:p w:rsidR="00A74AC9" w:rsidRDefault="00A74AC9" w:rsidP="00A74AC9">
      <w:pPr>
        <w:pStyle w:val="ListNumber"/>
        <w:numPr>
          <w:ilvl w:val="0"/>
          <w:numId w:val="0"/>
        </w:numPr>
        <w:spacing w:line="360" w:lineRule="auto"/>
      </w:pPr>
    </w:p>
    <w:p w:rsidR="00A74AC9" w:rsidRPr="00A74AC9" w:rsidRDefault="00A74AC9" w:rsidP="00B12D3B">
      <w:pPr>
        <w:pStyle w:val="ListNumber"/>
        <w:numPr>
          <w:ilvl w:val="0"/>
          <w:numId w:val="28"/>
        </w:numPr>
        <w:spacing w:line="360" w:lineRule="auto"/>
      </w:pPr>
      <w:r>
        <w:rPr>
          <w:u w:val="single"/>
        </w:rPr>
        <w:t>Rates for Firm Gathering Service from Supply</w:t>
      </w:r>
    </w:p>
    <w:p w:rsidR="00A74AC9" w:rsidRDefault="00A74AC9" w:rsidP="00A74AC9">
      <w:pPr>
        <w:pStyle w:val="ListNumber"/>
        <w:numPr>
          <w:ilvl w:val="0"/>
          <w:numId w:val="0"/>
        </w:numPr>
        <w:spacing w:line="360" w:lineRule="auto"/>
        <w:ind w:firstLine="1440"/>
      </w:pPr>
    </w:p>
    <w:p w:rsidR="00A74AC9" w:rsidRDefault="00A74AC9" w:rsidP="00A74AC9">
      <w:pPr>
        <w:pStyle w:val="ListNumber"/>
        <w:numPr>
          <w:ilvl w:val="0"/>
          <w:numId w:val="0"/>
        </w:numPr>
        <w:spacing w:line="360" w:lineRule="auto"/>
        <w:ind w:firstLine="1440"/>
      </w:pPr>
      <w:r>
        <w:t xml:space="preserve">The Settlement requires Distribution to continue to represent the interests of its customers in proceedings before </w:t>
      </w:r>
      <w:r w:rsidR="00BE1108">
        <w:t xml:space="preserve">the </w:t>
      </w:r>
      <w:r>
        <w:t xml:space="preserve">FERC regarding ratemaking issues, including issues related to Supply’s gathering rates.  The firm gathering rates that the Company is charged to provide services to its customers connected to Supply’s gathering system are the subject of </w:t>
      </w:r>
      <w:r w:rsidR="00BE1108">
        <w:t xml:space="preserve">the </w:t>
      </w:r>
      <w:r>
        <w:t xml:space="preserve">FERC rate proceedings.  The FERC is required to establish just and reasonable rates for pipeline services.  The Settlement further requires the Company to continue to report on its actions before the FERC as required by the PUC regulations and as presented in PGC Exhibit No. 6.  Settlement, p. 14. </w:t>
      </w:r>
    </w:p>
    <w:p w:rsidR="00BE1108" w:rsidRDefault="00BE1108" w:rsidP="00BE1108">
      <w:pPr>
        <w:pStyle w:val="ListNumber"/>
        <w:numPr>
          <w:ilvl w:val="0"/>
          <w:numId w:val="0"/>
        </w:numPr>
        <w:spacing w:line="360" w:lineRule="auto"/>
      </w:pPr>
    </w:p>
    <w:p w:rsidR="00BE1108" w:rsidRDefault="00BE1108" w:rsidP="00B12D3B">
      <w:pPr>
        <w:pStyle w:val="ListNumber"/>
        <w:numPr>
          <w:ilvl w:val="0"/>
          <w:numId w:val="28"/>
        </w:numPr>
        <w:spacing w:line="360" w:lineRule="auto"/>
      </w:pPr>
      <w:r>
        <w:rPr>
          <w:u w:val="single"/>
        </w:rPr>
        <w:t>Tariff Changes</w:t>
      </w:r>
    </w:p>
    <w:p w:rsidR="00BE1108" w:rsidRDefault="00BE1108" w:rsidP="00BE1108">
      <w:pPr>
        <w:pStyle w:val="ListNumber"/>
        <w:numPr>
          <w:ilvl w:val="0"/>
          <w:numId w:val="0"/>
        </w:numPr>
        <w:spacing w:line="360" w:lineRule="auto"/>
      </w:pPr>
    </w:p>
    <w:p w:rsidR="00BE1108" w:rsidRDefault="00BE1108" w:rsidP="00BE1108">
      <w:pPr>
        <w:pStyle w:val="ListNumber"/>
        <w:numPr>
          <w:ilvl w:val="0"/>
          <w:numId w:val="0"/>
        </w:numPr>
        <w:spacing w:line="360" w:lineRule="auto"/>
        <w:ind w:firstLine="1440"/>
      </w:pPr>
      <w:r>
        <w:t>The Settlement Parties request that the Commission approve the tariff changes set forth in the form of tariff supplement provided as Attachment A to the Settlement.  The tariff changes are identified in the List of Changes that is included at pages 2-3 of Attachment A.  Settlement, p. 14.</w:t>
      </w:r>
    </w:p>
    <w:p w:rsidR="00BE1108" w:rsidRDefault="00BE1108" w:rsidP="00BE1108">
      <w:pPr>
        <w:pStyle w:val="ListNumber"/>
        <w:numPr>
          <w:ilvl w:val="0"/>
          <w:numId w:val="0"/>
        </w:numPr>
        <w:spacing w:line="360" w:lineRule="auto"/>
      </w:pPr>
    </w:p>
    <w:p w:rsidR="00BE1108" w:rsidRDefault="00BE1108" w:rsidP="00B12D3B">
      <w:pPr>
        <w:pStyle w:val="ListNumber"/>
        <w:numPr>
          <w:ilvl w:val="0"/>
          <w:numId w:val="28"/>
        </w:numPr>
        <w:spacing w:line="360" w:lineRule="auto"/>
      </w:pPr>
      <w:r>
        <w:rPr>
          <w:u w:val="single"/>
        </w:rPr>
        <w:t>Gas Management Plan</w:t>
      </w:r>
    </w:p>
    <w:p w:rsidR="00BE1108" w:rsidRDefault="00BE1108" w:rsidP="00BE1108">
      <w:pPr>
        <w:pStyle w:val="ListNumber"/>
        <w:numPr>
          <w:ilvl w:val="0"/>
          <w:numId w:val="0"/>
        </w:numPr>
        <w:spacing w:line="360" w:lineRule="auto"/>
      </w:pPr>
    </w:p>
    <w:p w:rsidR="00687D79" w:rsidRPr="00AF6DF8" w:rsidRDefault="00BE1108" w:rsidP="00B12D3B">
      <w:pPr>
        <w:pStyle w:val="ListNumber"/>
        <w:numPr>
          <w:ilvl w:val="0"/>
          <w:numId w:val="0"/>
        </w:numPr>
        <w:spacing w:line="360" w:lineRule="auto"/>
        <w:ind w:firstLine="1440"/>
      </w:pPr>
      <w:r>
        <w:t xml:space="preserve">The Settlement Parties agree that Distribution’s proposed gas management or hedging plan as set forth in PGC Exhibit POL-1 should be approved.  Settlement, p. 14.  </w:t>
      </w:r>
      <w:r w:rsidR="00687D79">
        <w:t xml:space="preserve">      </w:t>
      </w:r>
    </w:p>
    <w:p w:rsidR="00687D79" w:rsidRPr="00D319B9" w:rsidRDefault="00687D79" w:rsidP="00AF6DF8">
      <w:pPr>
        <w:spacing w:line="360" w:lineRule="auto"/>
        <w:rPr>
          <w:sz w:val="24"/>
          <w:szCs w:val="24"/>
        </w:rPr>
      </w:pPr>
    </w:p>
    <w:p w:rsidR="00687D79" w:rsidRPr="00CF3BA0" w:rsidRDefault="00687D79" w:rsidP="00CD31A1">
      <w:pPr>
        <w:jc w:val="center"/>
        <w:rPr>
          <w:sz w:val="24"/>
          <w:szCs w:val="24"/>
          <w:u w:val="single"/>
        </w:rPr>
      </w:pPr>
      <w:r w:rsidRPr="00CF3BA0">
        <w:rPr>
          <w:sz w:val="24"/>
          <w:szCs w:val="24"/>
        </w:rPr>
        <w:t>IV.</w:t>
      </w:r>
      <w:r w:rsidRPr="00CF3BA0">
        <w:rPr>
          <w:sz w:val="24"/>
          <w:szCs w:val="24"/>
        </w:rPr>
        <w:tab/>
      </w:r>
      <w:r w:rsidRPr="00CF3BA0">
        <w:rPr>
          <w:sz w:val="24"/>
          <w:szCs w:val="24"/>
          <w:u w:val="single"/>
        </w:rPr>
        <w:t>DISCUSSION</w:t>
      </w:r>
    </w:p>
    <w:p w:rsidR="00687D79" w:rsidRPr="00CF3BA0" w:rsidRDefault="00687D79" w:rsidP="002C02DC">
      <w:pPr>
        <w:spacing w:line="360" w:lineRule="auto"/>
        <w:jc w:val="left"/>
        <w:rPr>
          <w:sz w:val="24"/>
          <w:szCs w:val="24"/>
        </w:rPr>
      </w:pPr>
    </w:p>
    <w:p w:rsidR="00687D79" w:rsidRPr="00CF3BA0" w:rsidRDefault="00687D79" w:rsidP="002C02DC">
      <w:pPr>
        <w:spacing w:line="360" w:lineRule="auto"/>
        <w:jc w:val="left"/>
        <w:rPr>
          <w:sz w:val="24"/>
          <w:szCs w:val="24"/>
        </w:rPr>
      </w:pPr>
      <w:r w:rsidRPr="00CF3BA0">
        <w:rPr>
          <w:sz w:val="24"/>
          <w:szCs w:val="24"/>
        </w:rPr>
        <w:t>A.</w:t>
      </w:r>
      <w:r w:rsidRPr="00CF3BA0">
        <w:rPr>
          <w:sz w:val="24"/>
          <w:szCs w:val="24"/>
        </w:rPr>
        <w:tab/>
      </w:r>
      <w:r w:rsidRPr="00CF3BA0">
        <w:rPr>
          <w:sz w:val="24"/>
          <w:szCs w:val="24"/>
          <w:u w:val="single"/>
        </w:rPr>
        <w:t>Stipulation in Settlement</w:t>
      </w:r>
    </w:p>
    <w:p w:rsidR="00687D79" w:rsidRPr="00CF3BA0" w:rsidRDefault="00687D79" w:rsidP="009742D3">
      <w:pPr>
        <w:spacing w:line="360" w:lineRule="auto"/>
        <w:jc w:val="left"/>
        <w:rPr>
          <w:sz w:val="24"/>
          <w:szCs w:val="24"/>
        </w:rPr>
      </w:pPr>
    </w:p>
    <w:p w:rsidR="00687D79" w:rsidRDefault="00687D79" w:rsidP="00CF3BA0">
      <w:pPr>
        <w:spacing w:line="360" w:lineRule="auto"/>
        <w:ind w:firstLine="1440"/>
        <w:jc w:val="left"/>
        <w:rPr>
          <w:sz w:val="24"/>
          <w:szCs w:val="24"/>
        </w:rPr>
      </w:pPr>
      <w:r w:rsidRPr="00CF3BA0">
        <w:rPr>
          <w:sz w:val="24"/>
          <w:szCs w:val="24"/>
        </w:rPr>
        <w:t xml:space="preserve">It is the policy of the Commission to encourage parties to contested on-the-record proceedings to settle the dispute.  </w:t>
      </w:r>
      <w:r w:rsidRPr="00CF3BA0">
        <w:rPr>
          <w:sz w:val="24"/>
          <w:szCs w:val="24"/>
          <w:u w:val="single"/>
        </w:rPr>
        <w:t>See</w:t>
      </w:r>
      <w:r w:rsidRPr="00CF3BA0">
        <w:rPr>
          <w:sz w:val="24"/>
          <w:szCs w:val="24"/>
        </w:rPr>
        <w:t>, 52 Pa. Code §5.231(a).  Settlements eliminate the time, effort and expense of litigating a matter to its ultimate conclusion, which may include review of the Commission’s decision by the appellate courts of Pennsylvania.  Such savings not only benefit the individual parties, but also the Commission and all other ratepayers of the respondent utility.</w:t>
      </w:r>
      <w:r>
        <w:rPr>
          <w:sz w:val="24"/>
          <w:szCs w:val="24"/>
        </w:rPr>
        <w:t xml:space="preserve">  </w:t>
      </w:r>
      <w:r w:rsidR="000D244A">
        <w:rPr>
          <w:sz w:val="24"/>
          <w:szCs w:val="24"/>
        </w:rPr>
        <w:t>In this proceeding</w:t>
      </w:r>
      <w:r w:rsidRPr="00CF3BA0">
        <w:rPr>
          <w:sz w:val="24"/>
          <w:szCs w:val="24"/>
        </w:rPr>
        <w:t xml:space="preserve">, the </w:t>
      </w:r>
      <w:r w:rsidR="00C9527D">
        <w:rPr>
          <w:sz w:val="24"/>
          <w:szCs w:val="24"/>
        </w:rPr>
        <w:t xml:space="preserve">Settlement </w:t>
      </w:r>
      <w:r w:rsidR="000D244A">
        <w:rPr>
          <w:sz w:val="24"/>
          <w:szCs w:val="24"/>
        </w:rPr>
        <w:t>P</w:t>
      </w:r>
      <w:r w:rsidRPr="00CF3BA0">
        <w:rPr>
          <w:sz w:val="24"/>
          <w:szCs w:val="24"/>
        </w:rPr>
        <w:t xml:space="preserve">arties have submitted separate Statements in Support of </w:t>
      </w:r>
      <w:r w:rsidR="004A438F">
        <w:rPr>
          <w:sz w:val="24"/>
          <w:szCs w:val="24"/>
        </w:rPr>
        <w:t xml:space="preserve">the </w:t>
      </w:r>
      <w:r w:rsidRPr="00CF3BA0">
        <w:rPr>
          <w:sz w:val="24"/>
          <w:szCs w:val="24"/>
        </w:rPr>
        <w:t>Stipulation in Settlement</w:t>
      </w:r>
      <w:r w:rsidR="004A438F">
        <w:rPr>
          <w:sz w:val="24"/>
          <w:szCs w:val="24"/>
        </w:rPr>
        <w:t>.</w:t>
      </w:r>
    </w:p>
    <w:p w:rsidR="004A438F" w:rsidRPr="00CF3BA0" w:rsidRDefault="004A438F" w:rsidP="00CF3BA0">
      <w:pPr>
        <w:spacing w:line="360" w:lineRule="auto"/>
        <w:ind w:firstLine="1440"/>
        <w:jc w:val="left"/>
        <w:rPr>
          <w:sz w:val="24"/>
          <w:szCs w:val="24"/>
        </w:rPr>
      </w:pPr>
    </w:p>
    <w:p w:rsidR="00687D79" w:rsidRDefault="00687D79" w:rsidP="009742D3">
      <w:pPr>
        <w:spacing w:line="360" w:lineRule="auto"/>
        <w:jc w:val="left"/>
        <w:rPr>
          <w:sz w:val="24"/>
          <w:szCs w:val="24"/>
        </w:rPr>
      </w:pPr>
    </w:p>
    <w:p w:rsidR="00687D79" w:rsidRDefault="00687D79" w:rsidP="006D2C4D">
      <w:pPr>
        <w:spacing w:line="360" w:lineRule="auto"/>
        <w:ind w:firstLine="720"/>
        <w:jc w:val="left"/>
        <w:rPr>
          <w:sz w:val="24"/>
          <w:szCs w:val="24"/>
          <w:u w:val="single"/>
        </w:rPr>
      </w:pPr>
      <w:r>
        <w:rPr>
          <w:sz w:val="24"/>
          <w:szCs w:val="24"/>
        </w:rPr>
        <w:t>1.</w:t>
      </w:r>
      <w:r>
        <w:rPr>
          <w:sz w:val="24"/>
          <w:szCs w:val="24"/>
        </w:rPr>
        <w:tab/>
      </w:r>
      <w:r w:rsidR="00C9527D">
        <w:rPr>
          <w:sz w:val="24"/>
          <w:szCs w:val="24"/>
          <w:u w:val="single"/>
        </w:rPr>
        <w:t>Distribution’</w:t>
      </w:r>
      <w:r w:rsidRPr="0060129A">
        <w:rPr>
          <w:sz w:val="24"/>
          <w:szCs w:val="24"/>
          <w:u w:val="single"/>
        </w:rPr>
        <w:t>s Position</w:t>
      </w:r>
    </w:p>
    <w:p w:rsidR="00687D79" w:rsidRDefault="00687D79" w:rsidP="009742D3">
      <w:pPr>
        <w:spacing w:line="360" w:lineRule="auto"/>
        <w:jc w:val="left"/>
        <w:rPr>
          <w:sz w:val="24"/>
          <w:szCs w:val="24"/>
        </w:rPr>
      </w:pPr>
    </w:p>
    <w:p w:rsidR="006F1942" w:rsidRDefault="009C4B23" w:rsidP="006F1942">
      <w:pPr>
        <w:pStyle w:val="BodyText2"/>
        <w:spacing w:after="0" w:line="360" w:lineRule="auto"/>
        <w:ind w:firstLine="1440"/>
        <w:jc w:val="left"/>
        <w:rPr>
          <w:sz w:val="24"/>
          <w:szCs w:val="24"/>
        </w:rPr>
      </w:pPr>
      <w:r w:rsidRPr="006F1942">
        <w:rPr>
          <w:sz w:val="24"/>
          <w:szCs w:val="24"/>
        </w:rPr>
        <w:t>According to Distribution, t</w:t>
      </w:r>
      <w:r w:rsidR="00E6733A" w:rsidRPr="006F1942">
        <w:rPr>
          <w:sz w:val="24"/>
          <w:szCs w:val="24"/>
        </w:rPr>
        <w:t xml:space="preserve">he Settlement accomplishes the resolution of issues which could have been difficult for the parties, the ALJ and the Commission to resolve if the issues had been fully litigated.  The Settlement reflects the efforts of Distribution, </w:t>
      </w:r>
      <w:r w:rsidRPr="006F1942">
        <w:rPr>
          <w:sz w:val="24"/>
          <w:szCs w:val="24"/>
        </w:rPr>
        <w:t xml:space="preserve">OCA, BI&amp;E and OSBA </w:t>
      </w:r>
      <w:r w:rsidR="00E6733A" w:rsidRPr="006F1942">
        <w:rPr>
          <w:sz w:val="24"/>
          <w:szCs w:val="24"/>
        </w:rPr>
        <w:t>to address and resolve these issues</w:t>
      </w:r>
      <w:r w:rsidR="00D1237D">
        <w:rPr>
          <w:sz w:val="24"/>
          <w:szCs w:val="24"/>
        </w:rPr>
        <w:t xml:space="preserve"> and Distribution requests that it be approved</w:t>
      </w:r>
      <w:r w:rsidR="00E6733A" w:rsidRPr="006F1942">
        <w:rPr>
          <w:sz w:val="24"/>
          <w:szCs w:val="24"/>
        </w:rPr>
        <w:t xml:space="preserve">.  </w:t>
      </w:r>
      <w:r w:rsidR="006F1942" w:rsidRPr="006F1942">
        <w:rPr>
          <w:sz w:val="24"/>
          <w:szCs w:val="24"/>
        </w:rPr>
        <w:t>Distribution claims that the Settlement resolves all issues in this proceeding and thus would reduce the need for the parties and the Commission</w:t>
      </w:r>
      <w:r w:rsidR="00687D79" w:rsidRPr="006F1942">
        <w:rPr>
          <w:sz w:val="24"/>
          <w:szCs w:val="24"/>
        </w:rPr>
        <w:t xml:space="preserve">, including its various bureaus and offices, to expend substantial resources for the resolution of this litigation.  </w:t>
      </w:r>
      <w:r w:rsidR="006F1942">
        <w:rPr>
          <w:sz w:val="24"/>
          <w:szCs w:val="24"/>
        </w:rPr>
        <w:t>Distribution</w:t>
      </w:r>
      <w:r w:rsidR="00687D79" w:rsidRPr="006F1942">
        <w:rPr>
          <w:sz w:val="24"/>
          <w:szCs w:val="24"/>
        </w:rPr>
        <w:t xml:space="preserve"> also claims that the Settlement avoids the uncertainty and expense related to possible appeals from decisions i</w:t>
      </w:r>
      <w:r w:rsidR="006F1942">
        <w:rPr>
          <w:sz w:val="24"/>
          <w:szCs w:val="24"/>
        </w:rPr>
        <w:t>n a fully litigated proceeding.  Distribution then goes on to briefly discuss seven issues resolved by the Settlement.  Distribution Statement in Support, pp. 1-2, 4-5.</w:t>
      </w:r>
    </w:p>
    <w:p w:rsidR="006F1942" w:rsidRDefault="006F1942" w:rsidP="006F1942">
      <w:pPr>
        <w:pStyle w:val="BodyText2"/>
        <w:spacing w:after="0" w:line="360" w:lineRule="auto"/>
        <w:jc w:val="left"/>
        <w:rPr>
          <w:sz w:val="24"/>
          <w:szCs w:val="24"/>
        </w:rPr>
      </w:pPr>
    </w:p>
    <w:p w:rsidR="006F1942" w:rsidRDefault="000C1FA3" w:rsidP="006F1942">
      <w:pPr>
        <w:pStyle w:val="BodyText2"/>
        <w:numPr>
          <w:ilvl w:val="0"/>
          <w:numId w:val="29"/>
        </w:numPr>
        <w:spacing w:after="0" w:line="360" w:lineRule="auto"/>
        <w:jc w:val="left"/>
        <w:rPr>
          <w:sz w:val="24"/>
          <w:szCs w:val="24"/>
          <w:u w:val="single"/>
        </w:rPr>
      </w:pPr>
      <w:r>
        <w:rPr>
          <w:sz w:val="24"/>
          <w:szCs w:val="24"/>
          <w:u w:val="single"/>
        </w:rPr>
        <w:t>Retainage</w:t>
      </w:r>
      <w:r w:rsidR="00976876">
        <w:rPr>
          <w:sz w:val="24"/>
          <w:szCs w:val="24"/>
          <w:u w:val="single"/>
        </w:rPr>
        <w:t xml:space="preserve"> and the MMT (“Monthly Metered Transmission”) Rate</w:t>
      </w:r>
    </w:p>
    <w:p w:rsidR="000C1FA3" w:rsidRDefault="000C1FA3" w:rsidP="000C1FA3">
      <w:pPr>
        <w:pStyle w:val="BodyText2"/>
        <w:spacing w:after="0" w:line="360" w:lineRule="auto"/>
        <w:jc w:val="left"/>
        <w:rPr>
          <w:sz w:val="24"/>
          <w:szCs w:val="24"/>
          <w:u w:val="single"/>
        </w:rPr>
      </w:pPr>
    </w:p>
    <w:p w:rsidR="000C1FA3" w:rsidRDefault="000C1FA3" w:rsidP="000C1FA3">
      <w:pPr>
        <w:pStyle w:val="ListNumber"/>
        <w:numPr>
          <w:ilvl w:val="0"/>
          <w:numId w:val="0"/>
        </w:numPr>
        <w:spacing w:line="360" w:lineRule="auto"/>
        <w:ind w:firstLine="1440"/>
      </w:pPr>
      <w:r>
        <w:t>According to Distribution, one major benefit of the Settlement is that it resolves issues related to the level of retainage that Distribution will charge to transportation customers.  Under the Settlement, the present level of retainage, which is 0.46 percent will be reduced to 0.31 percent.  This level will remain in effect through July 31, 2013.  The retainage percentage reflects a company-use percentage of 0.02 percent and 0.29 percent for lost and unaccounted for gas.  The lost and unaccounted for gas percentage is the median of the lost and unaccounted for gas percentages for the 12-month periods ended July 30, 2007 through 2011.  Distribution claims this low retainage percentage reflects its success in controlling lost and unaccounted for gas.  Distribution also claims that the resolution of issues related to retainage is important because such issues can be difficult and have potential consequences in the marketplace.  Distribution St. in Support, p. 2.</w:t>
      </w:r>
    </w:p>
    <w:p w:rsidR="000C1FA3" w:rsidRDefault="000C1FA3" w:rsidP="000C1FA3">
      <w:pPr>
        <w:pStyle w:val="ListNumber"/>
        <w:numPr>
          <w:ilvl w:val="0"/>
          <w:numId w:val="0"/>
        </w:numPr>
        <w:spacing w:line="360" w:lineRule="auto"/>
      </w:pPr>
    </w:p>
    <w:p w:rsidR="000C1FA3" w:rsidRDefault="000C1FA3" w:rsidP="000C1FA3">
      <w:pPr>
        <w:pStyle w:val="ListNumber"/>
        <w:numPr>
          <w:ilvl w:val="0"/>
          <w:numId w:val="29"/>
        </w:numPr>
        <w:spacing w:line="360" w:lineRule="auto"/>
      </w:pPr>
      <w:r>
        <w:rPr>
          <w:u w:val="single"/>
        </w:rPr>
        <w:t>Design Day Requirements</w:t>
      </w:r>
    </w:p>
    <w:p w:rsidR="000C1FA3" w:rsidRDefault="000C1FA3" w:rsidP="000C1FA3">
      <w:pPr>
        <w:pStyle w:val="ListNumber"/>
        <w:numPr>
          <w:ilvl w:val="0"/>
          <w:numId w:val="0"/>
        </w:numPr>
        <w:spacing w:line="360" w:lineRule="auto"/>
      </w:pPr>
    </w:p>
    <w:p w:rsidR="00770A6C" w:rsidRDefault="00770A6C" w:rsidP="00770A6C">
      <w:pPr>
        <w:pStyle w:val="ListNumber"/>
        <w:numPr>
          <w:ilvl w:val="0"/>
          <w:numId w:val="0"/>
        </w:numPr>
        <w:spacing w:line="360" w:lineRule="auto"/>
        <w:ind w:firstLine="1440"/>
      </w:pPr>
      <w:r>
        <w:t>The rates set in this proceeding will be based on a contracted-for level of pipeline and storage capacity of 309,715 Dth/day for the 2012-13 winter.  This level of contracted-for capacity reflects a reduction of 10,000 Dth/day from the level for the 2011-2012 winter.  According to Distribution, this reduction reflects the Company’s efforts to adjust design day capacity in a conservative manner to reflect changes in customers’ projected design day demand.  Distribution claims the reduced level of capacity and the expenses related thereto are reflected in rates set forth in the Settlement.  Distribution St. in Support, p. 2.</w:t>
      </w:r>
    </w:p>
    <w:p w:rsidR="00770A6C" w:rsidRDefault="00770A6C" w:rsidP="00770A6C">
      <w:pPr>
        <w:pStyle w:val="ListNumber"/>
        <w:numPr>
          <w:ilvl w:val="0"/>
          <w:numId w:val="0"/>
        </w:numPr>
        <w:spacing w:line="360" w:lineRule="auto"/>
        <w:ind w:firstLine="1440"/>
      </w:pPr>
    </w:p>
    <w:p w:rsidR="00770A6C" w:rsidRDefault="00770A6C" w:rsidP="00770A6C">
      <w:pPr>
        <w:pStyle w:val="ListNumber"/>
        <w:numPr>
          <w:ilvl w:val="0"/>
          <w:numId w:val="0"/>
        </w:numPr>
        <w:spacing w:line="360" w:lineRule="auto"/>
        <w:ind w:firstLine="1440"/>
      </w:pPr>
      <w:r>
        <w:t xml:space="preserve">The Settlement provides that approval of the Settlement and the rates set forth therein will not constitute approval of the specific methodologies used by Distribution to calculate design peak day requirements.  Although the </w:t>
      </w:r>
      <w:r w:rsidR="00327613">
        <w:t xml:space="preserve">Settlement </w:t>
      </w:r>
      <w:r>
        <w:t xml:space="preserve">Parties have again been unable to agree on a specific method for calculating design day capacity requirements for Distribution’s customers, the </w:t>
      </w:r>
      <w:r w:rsidR="00327613">
        <w:t xml:space="preserve">Settlement Parties </w:t>
      </w:r>
      <w:r>
        <w:t xml:space="preserve">have agreed to the level of design day capacity set forth above.  </w:t>
      </w:r>
      <w:r w:rsidR="00327613">
        <w:t>Distribution asserts that, d</w:t>
      </w:r>
      <w:r>
        <w:t>espite disagreements regarding the methodology that should be used to estimate design day demand, the</w:t>
      </w:r>
      <w:r w:rsidR="00327613">
        <w:t xml:space="preserve"> Settlement Parties</w:t>
      </w:r>
      <w:r>
        <w:t xml:space="preserve"> have been able to agree that the results of Distribution’s methodology are reasonable.  Distribution St. in Support, pp. 2-3.</w:t>
      </w:r>
    </w:p>
    <w:p w:rsidR="00327613" w:rsidRDefault="00327613" w:rsidP="00327613">
      <w:pPr>
        <w:pStyle w:val="ListNumber"/>
        <w:numPr>
          <w:ilvl w:val="0"/>
          <w:numId w:val="0"/>
        </w:numPr>
        <w:spacing w:line="360" w:lineRule="auto"/>
      </w:pPr>
    </w:p>
    <w:p w:rsidR="00327613" w:rsidRDefault="00327613" w:rsidP="00327613">
      <w:pPr>
        <w:pStyle w:val="ListNumber"/>
        <w:numPr>
          <w:ilvl w:val="0"/>
          <w:numId w:val="29"/>
        </w:numPr>
        <w:spacing w:line="360" w:lineRule="auto"/>
      </w:pPr>
      <w:r>
        <w:rPr>
          <w:u w:val="single"/>
        </w:rPr>
        <w:t>Least Cost Gas Procurement Policy</w:t>
      </w:r>
    </w:p>
    <w:p w:rsidR="00327613" w:rsidRDefault="00327613" w:rsidP="00327613">
      <w:pPr>
        <w:pStyle w:val="ListNumber"/>
        <w:numPr>
          <w:ilvl w:val="0"/>
          <w:numId w:val="0"/>
        </w:numPr>
        <w:spacing w:line="360" w:lineRule="auto"/>
      </w:pPr>
    </w:p>
    <w:p w:rsidR="0051734C" w:rsidRDefault="00327613" w:rsidP="0051734C">
      <w:pPr>
        <w:pStyle w:val="ListNumber"/>
        <w:numPr>
          <w:ilvl w:val="0"/>
          <w:numId w:val="0"/>
        </w:numPr>
        <w:spacing w:line="360" w:lineRule="auto"/>
        <w:ind w:firstLine="1440"/>
      </w:pPr>
      <w:r>
        <w:t>Under the Settlement, the Settlement Parties recommend that the undersigned ALJ and the Commission make specific findings on certain matters which the Commission is required to address in order to determine whether Distribution is following a “least cost” gas procurement program, consistent with its obligation to provide safe, adequate and reliable service, as required under Section 1318(a) of the Public Utility Code, 66 Pa.</w:t>
      </w:r>
      <w:r w:rsidR="00EE1AF1">
        <w:t xml:space="preserve"> </w:t>
      </w:r>
      <w:r>
        <w:t>C.S. §1318(a).</w:t>
      </w:r>
      <w:r w:rsidR="0051734C">
        <w:t xml:space="preserve">  Distribution St. in Support, p. 3.</w:t>
      </w:r>
    </w:p>
    <w:p w:rsidR="0051734C" w:rsidRDefault="0051734C" w:rsidP="0051734C">
      <w:pPr>
        <w:pStyle w:val="ListNumber"/>
        <w:numPr>
          <w:ilvl w:val="0"/>
          <w:numId w:val="0"/>
        </w:numPr>
        <w:spacing w:line="360" w:lineRule="auto"/>
      </w:pPr>
    </w:p>
    <w:p w:rsidR="0051734C" w:rsidRPr="0051734C" w:rsidRDefault="0051734C" w:rsidP="0051734C">
      <w:pPr>
        <w:pStyle w:val="ListNumber"/>
        <w:numPr>
          <w:ilvl w:val="0"/>
          <w:numId w:val="29"/>
        </w:numPr>
        <w:spacing w:line="360" w:lineRule="auto"/>
        <w:rPr>
          <w:u w:val="single"/>
        </w:rPr>
      </w:pPr>
      <w:r>
        <w:rPr>
          <w:u w:val="single"/>
        </w:rPr>
        <w:t>Changes in Pipeline and Storage Capacity Contracts and Renewals</w:t>
      </w:r>
    </w:p>
    <w:p w:rsidR="0051734C" w:rsidRDefault="0051734C" w:rsidP="0051734C">
      <w:pPr>
        <w:pStyle w:val="ListNumber"/>
        <w:numPr>
          <w:ilvl w:val="0"/>
          <w:numId w:val="0"/>
        </w:numPr>
        <w:spacing w:line="360" w:lineRule="auto"/>
      </w:pPr>
    </w:p>
    <w:p w:rsidR="0051734C" w:rsidRDefault="0051734C" w:rsidP="0051734C">
      <w:pPr>
        <w:pStyle w:val="ListNumber"/>
        <w:numPr>
          <w:ilvl w:val="0"/>
          <w:numId w:val="0"/>
        </w:numPr>
        <w:spacing w:line="360" w:lineRule="auto"/>
        <w:ind w:firstLine="1440"/>
      </w:pPr>
      <w:r>
        <w:t>The Settlement requests that the Commission approve the changes in pipeline and storage capacity contracts and renewals</w:t>
      </w:r>
      <w:r w:rsidR="00117A1B">
        <w:t xml:space="preserve">.  Distribution points out that these changes </w:t>
      </w:r>
      <w:r>
        <w:t>are explained in Distribution’s PGC Statements 1, 5 and 6 and in Distribution’s PGC Exhibits 4 and 8.  Distribution St. in Support, p. 3.</w:t>
      </w:r>
    </w:p>
    <w:p w:rsidR="0051734C" w:rsidRDefault="0051734C" w:rsidP="0051734C">
      <w:pPr>
        <w:pStyle w:val="ListNumber"/>
        <w:numPr>
          <w:ilvl w:val="0"/>
          <w:numId w:val="0"/>
        </w:numPr>
        <w:spacing w:line="360" w:lineRule="auto"/>
      </w:pPr>
    </w:p>
    <w:p w:rsidR="0051734C" w:rsidRDefault="0051734C" w:rsidP="0051734C">
      <w:pPr>
        <w:pStyle w:val="ListNumber"/>
        <w:numPr>
          <w:ilvl w:val="0"/>
          <w:numId w:val="29"/>
        </w:numPr>
        <w:spacing w:line="360" w:lineRule="auto"/>
      </w:pPr>
      <w:r>
        <w:rPr>
          <w:u w:val="single"/>
        </w:rPr>
        <w:t>Gas Cost Management Plan</w:t>
      </w:r>
    </w:p>
    <w:p w:rsidR="0051734C" w:rsidRDefault="0051734C" w:rsidP="0051734C">
      <w:pPr>
        <w:pStyle w:val="ListNumber"/>
        <w:numPr>
          <w:ilvl w:val="0"/>
          <w:numId w:val="0"/>
        </w:numPr>
        <w:spacing w:line="360" w:lineRule="auto"/>
      </w:pPr>
    </w:p>
    <w:p w:rsidR="0051734C" w:rsidRDefault="0051734C" w:rsidP="0051734C">
      <w:pPr>
        <w:pStyle w:val="ListNumber"/>
        <w:numPr>
          <w:ilvl w:val="0"/>
          <w:numId w:val="0"/>
        </w:numPr>
        <w:spacing w:line="360" w:lineRule="auto"/>
        <w:ind w:firstLine="1440"/>
      </w:pPr>
      <w:r>
        <w:t xml:space="preserve">The Settlement provides that Distribution’s revised gas management or hedging plan, that is set forth in Distribution’s PGC Exhibit POL-1 and explained in Distribution’s PGC Statement 6 at pages 13-15, should be approved.  According to Distribution, under the revised plan, the amount of forward pricing for the forthcoming winter will be reduced from 33 percent to 20 percent.  This reduction in forward-priced gas is appropriate, according to Distribution, because gas supplies from more geographically diverse gas producing basins are available, so that the risk of a sudden and substantial spike in gas prices is much less likely than in prior periods, when a greater percentage of gas supplies were obtained from the Southwest and Gulf Coast regions, where supplies are subject to disruption due to hurricanes.  Further, Distribution believes that forward-priced gas supplies require a price premium based on the risk assumed by the supplier that gas prices will increase before gas is delivered.  </w:t>
      </w:r>
      <w:r w:rsidR="00D77E3B">
        <w:t>Distribution contends that s</w:t>
      </w:r>
      <w:r>
        <w:t>uch price premiums make such forward-priced supplies more expensive.</w:t>
      </w:r>
      <w:r w:rsidR="00D77E3B">
        <w:t xml:space="preserve">  Distribution St. in Support, pp. 3-4.</w:t>
      </w:r>
    </w:p>
    <w:p w:rsidR="0051734C" w:rsidRDefault="0051734C" w:rsidP="0051734C">
      <w:pPr>
        <w:pStyle w:val="ListNumber"/>
        <w:numPr>
          <w:ilvl w:val="0"/>
          <w:numId w:val="0"/>
        </w:numPr>
        <w:spacing w:line="360" w:lineRule="auto"/>
        <w:ind w:firstLine="1440"/>
      </w:pPr>
    </w:p>
    <w:p w:rsidR="00D77E3B" w:rsidRDefault="00D77E3B" w:rsidP="00D77E3B">
      <w:pPr>
        <w:pStyle w:val="ListNumber"/>
        <w:numPr>
          <w:ilvl w:val="0"/>
          <w:numId w:val="0"/>
        </w:numPr>
        <w:spacing w:line="360" w:lineRule="auto"/>
        <w:ind w:firstLine="1440"/>
      </w:pPr>
      <w:r>
        <w:t>According to Distribution, e</w:t>
      </w:r>
      <w:r w:rsidR="0051734C">
        <w:t xml:space="preserve">ven under the revised gas management plan, approximately 53 percent of Distribution’s gas supplies for the 2012-2013 winter will be hedged, which is slightly greater than the average percentage of hedged winter gas supplies of Pennsylvania gas distribution companies.  PGC Statement No. 106, p. 2. </w:t>
      </w:r>
      <w:r>
        <w:t xml:space="preserve"> Distribution St. in Support, pp. 3-4.</w:t>
      </w:r>
    </w:p>
    <w:p w:rsidR="00803B56" w:rsidRDefault="00803B56" w:rsidP="00803B56">
      <w:pPr>
        <w:pStyle w:val="ListNumber"/>
        <w:numPr>
          <w:ilvl w:val="0"/>
          <w:numId w:val="0"/>
        </w:numPr>
        <w:spacing w:line="360" w:lineRule="auto"/>
      </w:pPr>
    </w:p>
    <w:p w:rsidR="00803B56" w:rsidRDefault="00803B56" w:rsidP="00803B56">
      <w:pPr>
        <w:pStyle w:val="ListNumber"/>
        <w:numPr>
          <w:ilvl w:val="0"/>
          <w:numId w:val="29"/>
        </w:numPr>
        <w:spacing w:line="360" w:lineRule="auto"/>
      </w:pPr>
      <w:r>
        <w:rPr>
          <w:u w:val="single"/>
        </w:rPr>
        <w:t>Tennessee Pipeline Refunds</w:t>
      </w:r>
    </w:p>
    <w:p w:rsidR="00803B56" w:rsidRDefault="00803B56" w:rsidP="00803B56">
      <w:pPr>
        <w:pStyle w:val="ListNumber"/>
        <w:numPr>
          <w:ilvl w:val="0"/>
          <w:numId w:val="0"/>
        </w:numPr>
        <w:spacing w:line="360" w:lineRule="auto"/>
      </w:pPr>
    </w:p>
    <w:p w:rsidR="005E1FDB" w:rsidRDefault="00803B56" w:rsidP="005E1FDB">
      <w:pPr>
        <w:pStyle w:val="ListNumber"/>
        <w:numPr>
          <w:ilvl w:val="0"/>
          <w:numId w:val="0"/>
        </w:numPr>
        <w:spacing w:line="360" w:lineRule="auto"/>
        <w:ind w:firstLine="1440"/>
      </w:pPr>
      <w:r>
        <w:t xml:space="preserve">Under the Settlement, refunds from Tennessee Gas Pipeline will be included in rates effective August 1, 2012.  </w:t>
      </w:r>
      <w:r w:rsidR="00117A1B">
        <w:t>Distribution points out that t</w:t>
      </w:r>
      <w:r>
        <w:t xml:space="preserve">he demand portion of the refund will be included in the delivery charge rates charged to sales and SATC customers, and the commodity portion of the refund will be included in the Gas Adjustment Charge billed to sales customers.  Distribution St. in Support, p. 4. </w:t>
      </w:r>
    </w:p>
    <w:p w:rsidR="005E1FDB" w:rsidRDefault="005E1FDB" w:rsidP="005E1FDB">
      <w:pPr>
        <w:pStyle w:val="ListNumber"/>
        <w:numPr>
          <w:ilvl w:val="0"/>
          <w:numId w:val="0"/>
        </w:numPr>
        <w:spacing w:line="360" w:lineRule="auto"/>
      </w:pPr>
    </w:p>
    <w:p w:rsidR="00031CE6" w:rsidRDefault="00031CE6" w:rsidP="005E1FDB">
      <w:pPr>
        <w:pStyle w:val="ListNumber"/>
        <w:numPr>
          <w:ilvl w:val="0"/>
          <w:numId w:val="0"/>
        </w:numPr>
        <w:spacing w:line="360" w:lineRule="auto"/>
      </w:pPr>
    </w:p>
    <w:p w:rsidR="005E1FDB" w:rsidRDefault="005E1FDB" w:rsidP="005E1FDB">
      <w:pPr>
        <w:pStyle w:val="ListNumber"/>
        <w:numPr>
          <w:ilvl w:val="0"/>
          <w:numId w:val="29"/>
        </w:numPr>
        <w:spacing w:line="360" w:lineRule="auto"/>
      </w:pPr>
      <w:r>
        <w:rPr>
          <w:u w:val="single"/>
        </w:rPr>
        <w:t>Allocation of Contingency Capacity</w:t>
      </w:r>
    </w:p>
    <w:p w:rsidR="005E1FDB" w:rsidRDefault="005E1FDB" w:rsidP="005E1FDB">
      <w:pPr>
        <w:pStyle w:val="ListNumber"/>
        <w:numPr>
          <w:ilvl w:val="0"/>
          <w:numId w:val="0"/>
        </w:numPr>
        <w:spacing w:line="360" w:lineRule="auto"/>
      </w:pPr>
    </w:p>
    <w:p w:rsidR="00063BEB" w:rsidRDefault="00117A1B" w:rsidP="00117A1B">
      <w:pPr>
        <w:pStyle w:val="ListNumber"/>
        <w:numPr>
          <w:ilvl w:val="0"/>
          <w:numId w:val="0"/>
        </w:numPr>
        <w:spacing w:line="360" w:lineRule="auto"/>
        <w:ind w:firstLine="1440"/>
      </w:pPr>
      <w:r>
        <w:t>Distribution points out that its</w:t>
      </w:r>
      <w:r w:rsidR="005E1FDB">
        <w:t xml:space="preserve"> purchased gas cost rates include an allocation of contingency capacity in rates, including the SATC delivery rates.  The contingency capacity will permit Distribution to continue to provide service to firm, essential needs customers in the event of a loss of supply.  </w:t>
      </w:r>
      <w:r w:rsidR="00BD701D">
        <w:t>Distribution agrees that b</w:t>
      </w:r>
      <w:r w:rsidR="005E1FDB">
        <w:t xml:space="preserve">ecause the contingency capacity is held for the benefit of, among others, SATC customers, it is appropriate for a portion of the associated costs to be allocated to them.  Distribution St. in Support, p. 4. </w:t>
      </w:r>
    </w:p>
    <w:p w:rsidR="00117A1B" w:rsidRDefault="00117A1B" w:rsidP="00117A1B">
      <w:pPr>
        <w:pStyle w:val="ListNumber"/>
        <w:numPr>
          <w:ilvl w:val="0"/>
          <w:numId w:val="0"/>
        </w:numPr>
        <w:spacing w:line="360" w:lineRule="auto"/>
        <w:ind w:firstLine="1440"/>
        <w:rPr>
          <w:u w:val="single"/>
        </w:rPr>
      </w:pPr>
    </w:p>
    <w:p w:rsidR="00687D79" w:rsidRDefault="00117A1B" w:rsidP="00AB3609">
      <w:pPr>
        <w:pStyle w:val="ListNumber"/>
        <w:numPr>
          <w:ilvl w:val="0"/>
          <w:numId w:val="24"/>
        </w:numPr>
        <w:spacing w:line="360" w:lineRule="auto"/>
      </w:pPr>
      <w:r>
        <w:rPr>
          <w:u w:val="single"/>
        </w:rPr>
        <w:t>BI&amp;E</w:t>
      </w:r>
      <w:r w:rsidR="00687D79">
        <w:rPr>
          <w:u w:val="single"/>
        </w:rPr>
        <w:t>’s Position</w:t>
      </w:r>
    </w:p>
    <w:p w:rsidR="00687D79" w:rsidRDefault="00687D79" w:rsidP="00DD1C2D">
      <w:pPr>
        <w:pStyle w:val="ListNumber"/>
        <w:numPr>
          <w:ilvl w:val="0"/>
          <w:numId w:val="0"/>
        </w:numPr>
        <w:spacing w:line="360" w:lineRule="auto"/>
      </w:pPr>
    </w:p>
    <w:p w:rsidR="00346AAE" w:rsidRDefault="00346AAE" w:rsidP="00A65469">
      <w:pPr>
        <w:pStyle w:val="FootnoteText"/>
        <w:spacing w:line="360" w:lineRule="auto"/>
        <w:ind w:firstLine="1440"/>
        <w:rPr>
          <w:sz w:val="24"/>
          <w:szCs w:val="24"/>
        </w:rPr>
      </w:pPr>
      <w:r w:rsidRPr="00A65469">
        <w:rPr>
          <w:sz w:val="24"/>
          <w:szCs w:val="24"/>
        </w:rPr>
        <w:t>According to BI&amp;E, the Settlement satisfies the legal standard for approval thereby supporting its adoption.</w:t>
      </w:r>
      <w:r w:rsidR="00A65469" w:rsidRPr="00A65469">
        <w:rPr>
          <w:sz w:val="24"/>
          <w:szCs w:val="24"/>
        </w:rPr>
        <w:t xml:space="preserve">  </w:t>
      </w:r>
      <w:r w:rsidR="00A65469" w:rsidRPr="00A65469">
        <w:rPr>
          <w:i/>
          <w:sz w:val="24"/>
          <w:szCs w:val="24"/>
        </w:rPr>
        <w:t>Pennsylvania Public Utility Commission v. Philadelphia Electric Company</w:t>
      </w:r>
      <w:r w:rsidR="00A65469" w:rsidRPr="00A65469">
        <w:rPr>
          <w:sz w:val="24"/>
          <w:szCs w:val="24"/>
        </w:rPr>
        <w:t>, 60 PA PUC 1, 22 (1985).  BI&amp;E points out that t</w:t>
      </w:r>
      <w:r w:rsidRPr="00A65469">
        <w:rPr>
          <w:sz w:val="24"/>
          <w:szCs w:val="24"/>
        </w:rPr>
        <w:t xml:space="preserve">he Commission has recognized that a settlement “reflects a compromise of the positions held by the parties of interest, which, arguably fosters and promotes the public interest.”  </w:t>
      </w:r>
      <w:r w:rsidR="00A65469" w:rsidRPr="00A65469">
        <w:rPr>
          <w:i/>
          <w:sz w:val="24"/>
          <w:szCs w:val="24"/>
        </w:rPr>
        <w:t>Pennsylvania Public Utility Commission v. C</w:t>
      </w:r>
      <w:r w:rsidR="00914164">
        <w:rPr>
          <w:i/>
          <w:sz w:val="24"/>
          <w:szCs w:val="24"/>
        </w:rPr>
        <w:t>.</w:t>
      </w:r>
      <w:r w:rsidR="00A65469" w:rsidRPr="00A65469">
        <w:rPr>
          <w:i/>
          <w:sz w:val="24"/>
          <w:szCs w:val="24"/>
        </w:rPr>
        <w:t xml:space="preserve"> S</w:t>
      </w:r>
      <w:r w:rsidR="00914164">
        <w:rPr>
          <w:i/>
          <w:sz w:val="24"/>
          <w:szCs w:val="24"/>
        </w:rPr>
        <w:t>.</w:t>
      </w:r>
      <w:r w:rsidR="00A65469" w:rsidRPr="00A65469">
        <w:rPr>
          <w:i/>
          <w:sz w:val="24"/>
          <w:szCs w:val="24"/>
        </w:rPr>
        <w:t xml:space="preserve"> Water and Sewer Associates</w:t>
      </w:r>
      <w:r w:rsidR="00A65469" w:rsidRPr="00A65469">
        <w:rPr>
          <w:sz w:val="24"/>
          <w:szCs w:val="24"/>
        </w:rPr>
        <w:t xml:space="preserve">, 74 PA PUC 767, 771 (1991).  </w:t>
      </w:r>
      <w:r w:rsidRPr="00A65469">
        <w:rPr>
          <w:sz w:val="24"/>
          <w:szCs w:val="24"/>
        </w:rPr>
        <w:t>BI&amp;E ultimately concludes that the Settlement in the instant proceeding protects the public interest in that a review of the testimony submitted in this proceeding shows that compromises are evident throughout the Agreement.  BI&amp;E maintains that the record evidence supports the adoption of each provision.  BI&amp;E St. in Support, p. 3.</w:t>
      </w:r>
      <w:r w:rsidR="009D3A40">
        <w:rPr>
          <w:sz w:val="24"/>
          <w:szCs w:val="24"/>
        </w:rPr>
        <w:t xml:space="preserve">  </w:t>
      </w:r>
    </w:p>
    <w:p w:rsidR="000F5684" w:rsidRDefault="000F5684" w:rsidP="00A65469">
      <w:pPr>
        <w:pStyle w:val="FootnoteText"/>
        <w:spacing w:line="360" w:lineRule="auto"/>
        <w:ind w:firstLine="1440"/>
        <w:rPr>
          <w:sz w:val="24"/>
          <w:szCs w:val="24"/>
        </w:rPr>
      </w:pPr>
    </w:p>
    <w:p w:rsidR="000F5684" w:rsidRDefault="000F5684" w:rsidP="00C3566C">
      <w:pPr>
        <w:pStyle w:val="BodyTextIndent"/>
        <w:spacing w:line="360" w:lineRule="auto"/>
        <w:ind w:left="0" w:firstLine="1440"/>
        <w:jc w:val="left"/>
        <w:rPr>
          <w:sz w:val="24"/>
          <w:szCs w:val="24"/>
        </w:rPr>
      </w:pPr>
      <w:r>
        <w:rPr>
          <w:sz w:val="24"/>
          <w:szCs w:val="24"/>
        </w:rPr>
        <w:t>BI&amp;E submits that r</w:t>
      </w:r>
      <w:r w:rsidRPr="000F5684">
        <w:rPr>
          <w:sz w:val="24"/>
          <w:szCs w:val="24"/>
        </w:rPr>
        <w:t xml:space="preserve">esolution of this case by settlement rather than complex litigation has avoided the substantial time and expense involved in continuing to formally pursue all issues in this proceeding.  </w:t>
      </w:r>
      <w:r>
        <w:rPr>
          <w:sz w:val="24"/>
          <w:szCs w:val="24"/>
        </w:rPr>
        <w:t>B</w:t>
      </w:r>
      <w:r w:rsidRPr="000F5684">
        <w:rPr>
          <w:sz w:val="24"/>
          <w:szCs w:val="24"/>
        </w:rPr>
        <w:t xml:space="preserve">I&amp;E further submits that acceptance of the Settlement will negate the need for the preparation of </w:t>
      </w:r>
      <w:r w:rsidR="00C3566C">
        <w:rPr>
          <w:sz w:val="24"/>
          <w:szCs w:val="24"/>
        </w:rPr>
        <w:t>m</w:t>
      </w:r>
      <w:r w:rsidRPr="000F5684">
        <w:rPr>
          <w:sz w:val="24"/>
          <w:szCs w:val="24"/>
        </w:rPr>
        <w:t xml:space="preserve">ain </w:t>
      </w:r>
      <w:r w:rsidR="00C3566C">
        <w:rPr>
          <w:sz w:val="24"/>
          <w:szCs w:val="24"/>
        </w:rPr>
        <w:t>b</w:t>
      </w:r>
      <w:r w:rsidRPr="000F5684">
        <w:rPr>
          <w:sz w:val="24"/>
          <w:szCs w:val="24"/>
        </w:rPr>
        <w:t xml:space="preserve">riefs, </w:t>
      </w:r>
      <w:r w:rsidR="00C3566C">
        <w:rPr>
          <w:sz w:val="24"/>
          <w:szCs w:val="24"/>
        </w:rPr>
        <w:t>r</w:t>
      </w:r>
      <w:r w:rsidRPr="000F5684">
        <w:rPr>
          <w:sz w:val="24"/>
          <w:szCs w:val="24"/>
        </w:rPr>
        <w:t xml:space="preserve">eply </w:t>
      </w:r>
      <w:r w:rsidR="00C3566C">
        <w:rPr>
          <w:sz w:val="24"/>
          <w:szCs w:val="24"/>
        </w:rPr>
        <w:t>briefs, exceptions and reply e</w:t>
      </w:r>
      <w:r w:rsidRPr="000F5684">
        <w:rPr>
          <w:sz w:val="24"/>
          <w:szCs w:val="24"/>
        </w:rPr>
        <w:t xml:space="preserve">xceptions, and the filing of possible appeals.  Expenses associated with this proceeding are recoverable from ratepayers.  The avoidance of further rate case expense by settlement of this PGC proceeding best serves the interests of </w:t>
      </w:r>
      <w:r w:rsidR="00C3566C">
        <w:rPr>
          <w:sz w:val="24"/>
          <w:szCs w:val="24"/>
        </w:rPr>
        <w:t>Distribution</w:t>
      </w:r>
      <w:r w:rsidRPr="000F5684">
        <w:rPr>
          <w:sz w:val="24"/>
          <w:szCs w:val="24"/>
        </w:rPr>
        <w:t xml:space="preserve">, the active parties and </w:t>
      </w:r>
      <w:r w:rsidR="00C3566C">
        <w:rPr>
          <w:sz w:val="24"/>
          <w:szCs w:val="24"/>
        </w:rPr>
        <w:t>Distribution’s</w:t>
      </w:r>
      <w:r w:rsidRPr="000F5684">
        <w:rPr>
          <w:sz w:val="24"/>
          <w:szCs w:val="24"/>
        </w:rPr>
        <w:t xml:space="preserve"> customers</w:t>
      </w:r>
      <w:r w:rsidR="00C3566C">
        <w:rPr>
          <w:sz w:val="24"/>
          <w:szCs w:val="24"/>
        </w:rPr>
        <w:t>, according to BI&amp;E.  BI&amp;E St. in Support, p. 7.</w:t>
      </w:r>
    </w:p>
    <w:p w:rsidR="003E5847" w:rsidRDefault="003E5847" w:rsidP="00A65469">
      <w:pPr>
        <w:pStyle w:val="FootnoteText"/>
        <w:spacing w:line="360" w:lineRule="auto"/>
        <w:ind w:firstLine="1440"/>
        <w:rPr>
          <w:sz w:val="24"/>
          <w:szCs w:val="24"/>
        </w:rPr>
      </w:pPr>
    </w:p>
    <w:p w:rsidR="003E5847" w:rsidRDefault="003E5847" w:rsidP="003E5847">
      <w:pPr>
        <w:tabs>
          <w:tab w:val="left" w:pos="-720"/>
        </w:tabs>
        <w:suppressAutoHyphens/>
        <w:spacing w:line="360" w:lineRule="auto"/>
        <w:ind w:firstLine="1440"/>
        <w:jc w:val="left"/>
        <w:rPr>
          <w:spacing w:val="-3"/>
          <w:sz w:val="24"/>
          <w:szCs w:val="24"/>
        </w:rPr>
      </w:pPr>
      <w:r w:rsidRPr="003E5847">
        <w:rPr>
          <w:sz w:val="24"/>
          <w:szCs w:val="24"/>
        </w:rPr>
        <w:t xml:space="preserve">BI&amp;E points out that the Settlement </w:t>
      </w:r>
      <w:r w:rsidRPr="003E5847">
        <w:rPr>
          <w:spacing w:val="-3"/>
          <w:sz w:val="24"/>
          <w:szCs w:val="24"/>
        </w:rPr>
        <w:t xml:space="preserve">includes the agreement that the natural gas costs incurred by Distribution during the historic period were done so under adherence to a prudent least cost fuel procurement policy.  </w:t>
      </w:r>
      <w:r>
        <w:rPr>
          <w:spacing w:val="-3"/>
          <w:sz w:val="24"/>
          <w:szCs w:val="24"/>
        </w:rPr>
        <w:t>BI&amp;E also points out that t</w:t>
      </w:r>
      <w:r w:rsidRPr="003E5847">
        <w:rPr>
          <w:spacing w:val="-3"/>
          <w:sz w:val="24"/>
          <w:szCs w:val="24"/>
        </w:rPr>
        <w:t xml:space="preserve">he Settlement provides that the natural gas costs that </w:t>
      </w:r>
      <w:r>
        <w:rPr>
          <w:spacing w:val="-3"/>
          <w:sz w:val="24"/>
          <w:szCs w:val="24"/>
        </w:rPr>
        <w:t>Distribution</w:t>
      </w:r>
      <w:r w:rsidRPr="003E5847">
        <w:rPr>
          <w:spacing w:val="-3"/>
          <w:sz w:val="24"/>
          <w:szCs w:val="24"/>
        </w:rPr>
        <w:t xml:space="preserve"> will incur in the upcoming period will be based on the Company’s adherence to its established least cost fuel procurement policy.  The Company’s diligence in adhering to a least cost procurement strategy benefits customers directly in their gas bills.  A least cost procurement policy, despite the quarterly fluctuations, benefits ratepayers on an annual basis as it ensures that the Company is diligently obtaining gas for its customers at the most advantageous prices possible.  This statutory policy must be adhered to and</w:t>
      </w:r>
      <w:r>
        <w:rPr>
          <w:spacing w:val="-3"/>
          <w:sz w:val="24"/>
          <w:szCs w:val="24"/>
        </w:rPr>
        <w:t xml:space="preserve"> B</w:t>
      </w:r>
      <w:r w:rsidRPr="003E5847">
        <w:rPr>
          <w:spacing w:val="-3"/>
          <w:sz w:val="24"/>
          <w:szCs w:val="24"/>
        </w:rPr>
        <w:t xml:space="preserve">I&amp;E is of the opinion that </w:t>
      </w:r>
      <w:r>
        <w:rPr>
          <w:spacing w:val="-3"/>
          <w:sz w:val="24"/>
          <w:szCs w:val="24"/>
        </w:rPr>
        <w:t>Distribution’s</w:t>
      </w:r>
      <w:r w:rsidRPr="003E5847">
        <w:rPr>
          <w:spacing w:val="-3"/>
          <w:sz w:val="24"/>
          <w:szCs w:val="24"/>
        </w:rPr>
        <w:t xml:space="preserve"> practices properly reflect this requirement.  </w:t>
      </w:r>
      <w:r>
        <w:rPr>
          <w:spacing w:val="-3"/>
          <w:sz w:val="24"/>
          <w:szCs w:val="24"/>
        </w:rPr>
        <w:t>BI&amp;E concludes t</w:t>
      </w:r>
      <w:r w:rsidRPr="003E5847">
        <w:rPr>
          <w:spacing w:val="-3"/>
          <w:sz w:val="24"/>
          <w:szCs w:val="24"/>
        </w:rPr>
        <w:t xml:space="preserve">he Company’s average costs reported to the Commission in its quarterly filings demonstrate the prudence of its purchasing practices.  </w:t>
      </w:r>
      <w:r>
        <w:rPr>
          <w:spacing w:val="-3"/>
          <w:sz w:val="24"/>
          <w:szCs w:val="24"/>
        </w:rPr>
        <w:t xml:space="preserve">BI&amp;E’s </w:t>
      </w:r>
      <w:r w:rsidRPr="003E5847">
        <w:rPr>
          <w:spacing w:val="-3"/>
          <w:sz w:val="24"/>
          <w:szCs w:val="24"/>
        </w:rPr>
        <w:t xml:space="preserve">affirmation of the Company’s projected costs is intended to address </w:t>
      </w:r>
      <w:r>
        <w:rPr>
          <w:spacing w:val="-3"/>
          <w:sz w:val="24"/>
          <w:szCs w:val="24"/>
        </w:rPr>
        <w:t>Distibution’s</w:t>
      </w:r>
      <w:r w:rsidRPr="003E5847">
        <w:rPr>
          <w:spacing w:val="-3"/>
          <w:sz w:val="24"/>
          <w:szCs w:val="24"/>
        </w:rPr>
        <w:t xml:space="preserve"> practice of procuring supplies and is not offered as an endorsement of their accounting methodology.</w:t>
      </w:r>
      <w:r w:rsidR="00811BD1">
        <w:rPr>
          <w:spacing w:val="-3"/>
          <w:sz w:val="24"/>
          <w:szCs w:val="24"/>
        </w:rPr>
        <w:t xml:space="preserve">  BI&amp;E St. in Support, pp. 3-4.</w:t>
      </w:r>
    </w:p>
    <w:p w:rsidR="00811BD1" w:rsidRDefault="00811BD1" w:rsidP="003E5847">
      <w:pPr>
        <w:tabs>
          <w:tab w:val="left" w:pos="-720"/>
        </w:tabs>
        <w:suppressAutoHyphens/>
        <w:spacing w:line="360" w:lineRule="auto"/>
        <w:ind w:firstLine="1440"/>
        <w:jc w:val="left"/>
        <w:rPr>
          <w:spacing w:val="-3"/>
          <w:sz w:val="24"/>
          <w:szCs w:val="24"/>
        </w:rPr>
      </w:pPr>
    </w:p>
    <w:p w:rsidR="00937F77" w:rsidRDefault="00937F77" w:rsidP="00937F77">
      <w:pPr>
        <w:tabs>
          <w:tab w:val="left" w:pos="-720"/>
        </w:tabs>
        <w:suppressAutoHyphens/>
        <w:spacing w:line="360" w:lineRule="auto"/>
        <w:ind w:firstLine="1440"/>
        <w:jc w:val="left"/>
        <w:rPr>
          <w:spacing w:val="-3"/>
          <w:sz w:val="24"/>
          <w:szCs w:val="24"/>
        </w:rPr>
      </w:pPr>
      <w:r>
        <w:rPr>
          <w:spacing w:val="-3"/>
          <w:sz w:val="24"/>
          <w:szCs w:val="24"/>
        </w:rPr>
        <w:t>B</w:t>
      </w:r>
      <w:r w:rsidRPr="00937F77">
        <w:rPr>
          <w:spacing w:val="-3"/>
          <w:sz w:val="24"/>
          <w:szCs w:val="24"/>
        </w:rPr>
        <w:t>I&amp;E</w:t>
      </w:r>
      <w:r>
        <w:rPr>
          <w:spacing w:val="-3"/>
          <w:sz w:val="24"/>
          <w:szCs w:val="24"/>
        </w:rPr>
        <w:t xml:space="preserve">’s </w:t>
      </w:r>
      <w:r w:rsidRPr="00937F77">
        <w:rPr>
          <w:spacing w:val="-3"/>
          <w:sz w:val="24"/>
          <w:szCs w:val="24"/>
        </w:rPr>
        <w:t>review of the Comp</w:t>
      </w:r>
      <w:r>
        <w:rPr>
          <w:spacing w:val="-3"/>
          <w:sz w:val="24"/>
          <w:szCs w:val="24"/>
        </w:rPr>
        <w:t>any’s annual PGC filing included</w:t>
      </w:r>
      <w:r w:rsidRPr="00937F77">
        <w:rPr>
          <w:spacing w:val="-3"/>
          <w:sz w:val="24"/>
          <w:szCs w:val="24"/>
        </w:rPr>
        <w:t xml:space="preserve"> an analysis of its claimed E-Factor to ensure that it was done in accordance with established Commission practices.  </w:t>
      </w:r>
      <w:r>
        <w:rPr>
          <w:spacing w:val="-3"/>
          <w:sz w:val="24"/>
          <w:szCs w:val="24"/>
        </w:rPr>
        <w:t>BI&amp;E explains that t</w:t>
      </w:r>
      <w:r w:rsidRPr="00937F77">
        <w:rPr>
          <w:spacing w:val="-3"/>
          <w:sz w:val="24"/>
          <w:szCs w:val="24"/>
        </w:rPr>
        <w:t xml:space="preserve">he E-Factor represents the claimed interest associated with the Company’s annual PGC filing.  Included in the E-Factor is the report of the over-collection or under-collection of revenue based on the fluctuating cost of purchased gas.  </w:t>
      </w:r>
      <w:r>
        <w:rPr>
          <w:spacing w:val="-3"/>
          <w:sz w:val="24"/>
          <w:szCs w:val="24"/>
        </w:rPr>
        <w:t>According to BI&amp;E, t</w:t>
      </w:r>
      <w:r w:rsidRPr="00937F77">
        <w:rPr>
          <w:spacing w:val="-3"/>
          <w:sz w:val="24"/>
          <w:szCs w:val="24"/>
        </w:rPr>
        <w:t xml:space="preserve">he proper calculation of the E-Factor protects ratepayers by ensuring that the rates are adjusted appropriately to reflect the impact that these interest charges have on purchased gas costs.  </w:t>
      </w:r>
      <w:r>
        <w:rPr>
          <w:spacing w:val="-3"/>
          <w:sz w:val="24"/>
          <w:szCs w:val="24"/>
        </w:rPr>
        <w:t>B</w:t>
      </w:r>
      <w:r w:rsidRPr="00937F77">
        <w:rPr>
          <w:spacing w:val="-3"/>
          <w:sz w:val="24"/>
          <w:szCs w:val="24"/>
        </w:rPr>
        <w:t>I&amp;E is satisfied that the Company’s calculations are appropriate and accurate and conform to proper regulatory practices.  BI&amp;E St. in Support, p. 4.</w:t>
      </w:r>
    </w:p>
    <w:p w:rsidR="00DE1BF4" w:rsidRDefault="00DE1BF4" w:rsidP="00937F77">
      <w:pPr>
        <w:tabs>
          <w:tab w:val="left" w:pos="-720"/>
        </w:tabs>
        <w:suppressAutoHyphens/>
        <w:spacing w:line="360" w:lineRule="auto"/>
        <w:ind w:firstLine="1440"/>
        <w:jc w:val="left"/>
        <w:rPr>
          <w:spacing w:val="-3"/>
          <w:sz w:val="24"/>
          <w:szCs w:val="24"/>
        </w:rPr>
      </w:pPr>
    </w:p>
    <w:p w:rsidR="00DE1BF4" w:rsidRDefault="00DE1BF4" w:rsidP="00DE1BF4">
      <w:pPr>
        <w:tabs>
          <w:tab w:val="left" w:pos="-720"/>
        </w:tabs>
        <w:suppressAutoHyphens/>
        <w:spacing w:line="360" w:lineRule="auto"/>
        <w:ind w:firstLine="1440"/>
        <w:jc w:val="left"/>
        <w:rPr>
          <w:spacing w:val="-3"/>
          <w:sz w:val="24"/>
          <w:szCs w:val="24"/>
        </w:rPr>
      </w:pPr>
      <w:r>
        <w:rPr>
          <w:spacing w:val="-3"/>
          <w:sz w:val="24"/>
          <w:szCs w:val="24"/>
        </w:rPr>
        <w:t>After review</w:t>
      </w:r>
      <w:r w:rsidRPr="00DE1BF4">
        <w:rPr>
          <w:spacing w:val="-3"/>
          <w:sz w:val="24"/>
          <w:szCs w:val="24"/>
        </w:rPr>
        <w:t xml:space="preserve">, </w:t>
      </w:r>
      <w:r>
        <w:rPr>
          <w:spacing w:val="-3"/>
          <w:sz w:val="24"/>
          <w:szCs w:val="24"/>
        </w:rPr>
        <w:t xml:space="preserve">BI&amp;E concludes </w:t>
      </w:r>
      <w:r w:rsidRPr="00DE1BF4">
        <w:rPr>
          <w:spacing w:val="-3"/>
          <w:sz w:val="24"/>
          <w:szCs w:val="24"/>
        </w:rPr>
        <w:t>the Company’s projected gas costs (“C-Factor”) are planned in accordance with approved Commission practices</w:t>
      </w:r>
      <w:r>
        <w:rPr>
          <w:spacing w:val="-3"/>
          <w:sz w:val="24"/>
          <w:szCs w:val="24"/>
        </w:rPr>
        <w:t>.  According to BI&amp;E, t</w:t>
      </w:r>
      <w:r w:rsidRPr="00DE1BF4">
        <w:rPr>
          <w:spacing w:val="-3"/>
          <w:sz w:val="24"/>
          <w:szCs w:val="24"/>
        </w:rPr>
        <w:t xml:space="preserve">his adherence to approved regulatory principles aids ratepayers in that the Company’s purchased gas practices are being accomplished with the balanced interests of the Company and its ratepayers being considered. </w:t>
      </w:r>
      <w:r>
        <w:rPr>
          <w:spacing w:val="-3"/>
          <w:sz w:val="24"/>
          <w:szCs w:val="24"/>
        </w:rPr>
        <w:t>BI&amp;E points out that t</w:t>
      </w:r>
      <w:r w:rsidRPr="00DE1BF4">
        <w:rPr>
          <w:spacing w:val="-3"/>
          <w:sz w:val="24"/>
          <w:szCs w:val="24"/>
        </w:rPr>
        <w:t xml:space="preserve">he actual implementation of the Company’s plan will be reviewed in next year’s PGC proceeding. </w:t>
      </w:r>
      <w:r w:rsidR="00B324F3">
        <w:rPr>
          <w:spacing w:val="-3"/>
          <w:sz w:val="24"/>
          <w:szCs w:val="24"/>
        </w:rPr>
        <w:t xml:space="preserve"> </w:t>
      </w:r>
      <w:r w:rsidRPr="00DE1BF4">
        <w:rPr>
          <w:spacing w:val="-3"/>
          <w:sz w:val="24"/>
          <w:szCs w:val="24"/>
        </w:rPr>
        <w:t xml:space="preserve">BI&amp;E opines that ratepayers are protected in that </w:t>
      </w:r>
      <w:r>
        <w:rPr>
          <w:spacing w:val="-3"/>
          <w:sz w:val="24"/>
          <w:szCs w:val="24"/>
        </w:rPr>
        <w:t>Distribution</w:t>
      </w:r>
      <w:r w:rsidRPr="00DE1BF4">
        <w:rPr>
          <w:spacing w:val="-3"/>
          <w:sz w:val="24"/>
          <w:szCs w:val="24"/>
        </w:rPr>
        <w:t xml:space="preserve"> gains no unwarranted financial advantage through its gas purchasing practices.  BI&amp;E St. in Support, p</w:t>
      </w:r>
      <w:r>
        <w:rPr>
          <w:spacing w:val="-3"/>
          <w:sz w:val="24"/>
          <w:szCs w:val="24"/>
        </w:rPr>
        <w:t>p. 4-5.</w:t>
      </w:r>
    </w:p>
    <w:p w:rsidR="00CD1FD8" w:rsidRDefault="00CD1FD8" w:rsidP="00DE1BF4">
      <w:pPr>
        <w:tabs>
          <w:tab w:val="left" w:pos="-720"/>
        </w:tabs>
        <w:suppressAutoHyphens/>
        <w:spacing w:line="360" w:lineRule="auto"/>
        <w:ind w:firstLine="1440"/>
        <w:jc w:val="left"/>
        <w:rPr>
          <w:spacing w:val="-3"/>
          <w:sz w:val="24"/>
          <w:szCs w:val="24"/>
        </w:rPr>
      </w:pPr>
    </w:p>
    <w:p w:rsidR="000F5684" w:rsidRDefault="00A9094F" w:rsidP="00CD1FD8">
      <w:pPr>
        <w:tabs>
          <w:tab w:val="left" w:pos="-720"/>
        </w:tabs>
        <w:suppressAutoHyphens/>
        <w:spacing w:line="360" w:lineRule="auto"/>
        <w:ind w:firstLine="1440"/>
        <w:jc w:val="left"/>
        <w:rPr>
          <w:spacing w:val="-3"/>
          <w:sz w:val="24"/>
          <w:szCs w:val="24"/>
        </w:rPr>
      </w:pPr>
      <w:r>
        <w:rPr>
          <w:spacing w:val="-3"/>
          <w:sz w:val="24"/>
          <w:szCs w:val="24"/>
        </w:rPr>
        <w:t>In the Settlement, t</w:t>
      </w:r>
      <w:r w:rsidR="00CD1FD8" w:rsidRPr="00CD1FD8">
        <w:rPr>
          <w:spacing w:val="-3"/>
          <w:sz w:val="24"/>
          <w:szCs w:val="24"/>
        </w:rPr>
        <w:t xml:space="preserve">he </w:t>
      </w:r>
      <w:r>
        <w:rPr>
          <w:spacing w:val="-3"/>
          <w:sz w:val="24"/>
          <w:szCs w:val="24"/>
        </w:rPr>
        <w:t>retainage percentage applied to transportation c</w:t>
      </w:r>
      <w:r w:rsidR="00CD1FD8" w:rsidRPr="00CD1FD8">
        <w:rPr>
          <w:spacing w:val="-3"/>
          <w:sz w:val="24"/>
          <w:szCs w:val="24"/>
        </w:rPr>
        <w:t xml:space="preserve">ustomers will be adjusted to a level of 0.31%.  </w:t>
      </w:r>
      <w:r>
        <w:rPr>
          <w:spacing w:val="-3"/>
          <w:sz w:val="24"/>
          <w:szCs w:val="24"/>
        </w:rPr>
        <w:t>According to BI&amp;E, t</w:t>
      </w:r>
      <w:r w:rsidR="00CD1FD8" w:rsidRPr="00CD1FD8">
        <w:rPr>
          <w:spacing w:val="-3"/>
          <w:sz w:val="24"/>
          <w:szCs w:val="24"/>
        </w:rPr>
        <w:t xml:space="preserve">his level adequately addresses the Company’s experienced LUFG and Company Use gas.   </w:t>
      </w:r>
      <w:r w:rsidR="000F5684" w:rsidRPr="00CD1FD8">
        <w:rPr>
          <w:spacing w:val="-3"/>
          <w:sz w:val="24"/>
          <w:szCs w:val="24"/>
        </w:rPr>
        <w:t xml:space="preserve">Proper </w:t>
      </w:r>
      <w:r w:rsidR="000F5684">
        <w:rPr>
          <w:spacing w:val="-3"/>
          <w:sz w:val="24"/>
          <w:szCs w:val="24"/>
        </w:rPr>
        <w:t>r</w:t>
      </w:r>
      <w:r w:rsidR="000F5684" w:rsidRPr="00CD1FD8">
        <w:rPr>
          <w:spacing w:val="-3"/>
          <w:sz w:val="24"/>
          <w:szCs w:val="24"/>
        </w:rPr>
        <w:t>eg</w:t>
      </w:r>
      <w:r w:rsidR="000F5684">
        <w:rPr>
          <w:spacing w:val="-3"/>
          <w:sz w:val="24"/>
          <w:szCs w:val="24"/>
        </w:rPr>
        <w:t>ulatory practice requires that C</w:t>
      </w:r>
      <w:r w:rsidR="000F5684" w:rsidRPr="00CD1FD8">
        <w:rPr>
          <w:spacing w:val="-3"/>
          <w:sz w:val="24"/>
          <w:szCs w:val="24"/>
        </w:rPr>
        <w:t>ompany Use gas be combined with LUFG when considering</w:t>
      </w:r>
      <w:r w:rsidR="000F5684">
        <w:rPr>
          <w:spacing w:val="-3"/>
          <w:sz w:val="24"/>
          <w:szCs w:val="24"/>
        </w:rPr>
        <w:t xml:space="preserve"> the appropriate r</w:t>
      </w:r>
      <w:r w:rsidR="000F5684" w:rsidRPr="00CD1FD8">
        <w:rPr>
          <w:spacing w:val="-3"/>
          <w:sz w:val="24"/>
          <w:szCs w:val="24"/>
        </w:rPr>
        <w:t xml:space="preserve">etainage rate.  </w:t>
      </w:r>
      <w:r w:rsidR="00BE168B">
        <w:rPr>
          <w:spacing w:val="-3"/>
          <w:sz w:val="24"/>
          <w:szCs w:val="24"/>
        </w:rPr>
        <w:t>BI&amp;E explains that t</w:t>
      </w:r>
      <w:r>
        <w:rPr>
          <w:spacing w:val="-3"/>
          <w:sz w:val="24"/>
          <w:szCs w:val="24"/>
        </w:rPr>
        <w:t>he establishment of the proper r</w:t>
      </w:r>
      <w:r w:rsidR="00CD1FD8" w:rsidRPr="00CD1FD8">
        <w:rPr>
          <w:spacing w:val="-3"/>
          <w:sz w:val="24"/>
          <w:szCs w:val="24"/>
        </w:rPr>
        <w:t>etainage levels is necessary to ensure that transportation customers contribute an adequate, but not excessive, amount in support of the expense associated with LUFG.  This practice of establishing pr</w:t>
      </w:r>
      <w:r>
        <w:rPr>
          <w:spacing w:val="-3"/>
          <w:sz w:val="24"/>
          <w:szCs w:val="24"/>
        </w:rPr>
        <w:t>oper r</w:t>
      </w:r>
      <w:r w:rsidR="00CD1FD8" w:rsidRPr="00CD1FD8">
        <w:rPr>
          <w:spacing w:val="-3"/>
          <w:sz w:val="24"/>
          <w:szCs w:val="24"/>
        </w:rPr>
        <w:t>etainage percentages eliminates the unwarranted shifting of responsibility for LUFG to other system customers</w:t>
      </w:r>
      <w:r w:rsidR="00BE168B">
        <w:rPr>
          <w:spacing w:val="-3"/>
          <w:sz w:val="24"/>
          <w:szCs w:val="24"/>
        </w:rPr>
        <w:t>, according to BI&amp;E</w:t>
      </w:r>
      <w:r w:rsidR="00CD1FD8" w:rsidRPr="00CD1FD8">
        <w:rPr>
          <w:spacing w:val="-3"/>
          <w:sz w:val="24"/>
          <w:szCs w:val="24"/>
        </w:rPr>
        <w:t xml:space="preserve">.  Proper </w:t>
      </w:r>
      <w:r>
        <w:rPr>
          <w:spacing w:val="-3"/>
          <w:sz w:val="24"/>
          <w:szCs w:val="24"/>
        </w:rPr>
        <w:t>r</w:t>
      </w:r>
      <w:r w:rsidR="00CD1FD8" w:rsidRPr="00CD1FD8">
        <w:rPr>
          <w:spacing w:val="-3"/>
          <w:sz w:val="24"/>
          <w:szCs w:val="24"/>
        </w:rPr>
        <w:t xml:space="preserve">etainage levels equalize the responsibilities of the rate classifications and protect all ratepayers by ensuring equitable contributions to LUFG.  </w:t>
      </w:r>
      <w:r>
        <w:rPr>
          <w:spacing w:val="-3"/>
          <w:sz w:val="24"/>
          <w:szCs w:val="24"/>
        </w:rPr>
        <w:t>BI&amp;E concludes t</w:t>
      </w:r>
      <w:r w:rsidR="00CD1FD8" w:rsidRPr="00CD1FD8">
        <w:rPr>
          <w:spacing w:val="-3"/>
          <w:sz w:val="24"/>
          <w:szCs w:val="24"/>
        </w:rPr>
        <w:t xml:space="preserve">he adjustment of the Company’s filed </w:t>
      </w:r>
      <w:r>
        <w:rPr>
          <w:spacing w:val="-3"/>
          <w:sz w:val="24"/>
          <w:szCs w:val="24"/>
        </w:rPr>
        <w:t>r</w:t>
      </w:r>
      <w:r w:rsidR="00CD1FD8" w:rsidRPr="00CD1FD8">
        <w:rPr>
          <w:spacing w:val="-3"/>
          <w:sz w:val="24"/>
          <w:szCs w:val="24"/>
        </w:rPr>
        <w:t xml:space="preserve">etainage percentage to the agreed upon rate in this proceeding is reasonable as it is based on the Company’s actual historical experience and subsequently protects this class of customers from overpaying and providing a subsidy to other rate classifications.  </w:t>
      </w:r>
      <w:r w:rsidR="00BE168B">
        <w:rPr>
          <w:spacing w:val="-3"/>
          <w:sz w:val="24"/>
          <w:szCs w:val="24"/>
        </w:rPr>
        <w:t>BI&amp;E explains that t</w:t>
      </w:r>
      <w:r w:rsidR="00CD1FD8" w:rsidRPr="00CD1FD8">
        <w:rPr>
          <w:spacing w:val="-3"/>
          <w:sz w:val="24"/>
          <w:szCs w:val="24"/>
        </w:rPr>
        <w:t xml:space="preserve">he application of 0.31% was based on negotiations and compromise and does not endorse any particular methodology in its determination.  BI&amp;E has reviewed the Company’s PGC filing and notes that </w:t>
      </w:r>
      <w:r w:rsidR="00BE168B">
        <w:rPr>
          <w:spacing w:val="-3"/>
          <w:sz w:val="24"/>
          <w:szCs w:val="24"/>
        </w:rPr>
        <w:t xml:space="preserve">Distribution’s </w:t>
      </w:r>
      <w:r w:rsidR="00CD1FD8" w:rsidRPr="00CD1FD8">
        <w:rPr>
          <w:spacing w:val="-3"/>
          <w:sz w:val="24"/>
          <w:szCs w:val="24"/>
        </w:rPr>
        <w:t>LUFG</w:t>
      </w:r>
      <w:r w:rsidR="00BE168B">
        <w:rPr>
          <w:spacing w:val="-3"/>
          <w:sz w:val="24"/>
          <w:szCs w:val="24"/>
        </w:rPr>
        <w:t xml:space="preserve"> </w:t>
      </w:r>
      <w:r w:rsidR="00CD1FD8" w:rsidRPr="00CD1FD8">
        <w:rPr>
          <w:spacing w:val="-3"/>
          <w:sz w:val="24"/>
          <w:szCs w:val="24"/>
        </w:rPr>
        <w:t xml:space="preserve"> is extremely low when compared to other Natural Gas Distribution Companies (“NGDC”) in Pennsylvania</w:t>
      </w:r>
      <w:r w:rsidR="00BE168B">
        <w:rPr>
          <w:spacing w:val="-3"/>
          <w:sz w:val="24"/>
          <w:szCs w:val="24"/>
        </w:rPr>
        <w:t>.</w:t>
      </w:r>
      <w:r w:rsidR="00CD1FD8" w:rsidRPr="00CD1FD8">
        <w:rPr>
          <w:spacing w:val="-3"/>
          <w:sz w:val="24"/>
          <w:szCs w:val="24"/>
        </w:rPr>
        <w:t xml:space="preserve">  </w:t>
      </w:r>
      <w:r w:rsidR="00BE168B">
        <w:rPr>
          <w:spacing w:val="-3"/>
          <w:sz w:val="24"/>
          <w:szCs w:val="24"/>
        </w:rPr>
        <w:t>BI&amp;E opines that t</w:t>
      </w:r>
      <w:r w:rsidR="00CD1FD8" w:rsidRPr="00CD1FD8">
        <w:rPr>
          <w:spacing w:val="-3"/>
          <w:sz w:val="24"/>
          <w:szCs w:val="24"/>
        </w:rPr>
        <w:t xml:space="preserve">he levels incurred by </w:t>
      </w:r>
      <w:r w:rsidR="00BE168B">
        <w:rPr>
          <w:spacing w:val="-3"/>
          <w:sz w:val="24"/>
          <w:szCs w:val="24"/>
        </w:rPr>
        <w:t>Distribution</w:t>
      </w:r>
      <w:r w:rsidR="00CD1FD8" w:rsidRPr="00CD1FD8">
        <w:rPr>
          <w:spacing w:val="-3"/>
          <w:sz w:val="24"/>
          <w:szCs w:val="24"/>
        </w:rPr>
        <w:t xml:space="preserve"> indicate no cause for concern with respect to any adjustments due to LUFG.  </w:t>
      </w:r>
      <w:r w:rsidR="00BE168B">
        <w:rPr>
          <w:spacing w:val="-3"/>
          <w:sz w:val="24"/>
          <w:szCs w:val="24"/>
        </w:rPr>
        <w:t>Distribution</w:t>
      </w:r>
      <w:r w:rsidR="00CD1FD8" w:rsidRPr="00CD1FD8">
        <w:rPr>
          <w:spacing w:val="-3"/>
          <w:sz w:val="24"/>
          <w:szCs w:val="24"/>
        </w:rPr>
        <w:t xml:space="preserve"> has claimed its Company Use gas to be 0.02%.  </w:t>
      </w:r>
      <w:r w:rsidR="00BE168B">
        <w:rPr>
          <w:spacing w:val="-3"/>
          <w:sz w:val="24"/>
          <w:szCs w:val="24"/>
        </w:rPr>
        <w:t>B</w:t>
      </w:r>
      <w:r w:rsidR="00CD1FD8" w:rsidRPr="00CD1FD8">
        <w:rPr>
          <w:spacing w:val="-3"/>
          <w:sz w:val="24"/>
          <w:szCs w:val="24"/>
        </w:rPr>
        <w:t>I&amp;E maintains that the Company’s claimed usage is extremely limited and does not require further investigation.</w:t>
      </w:r>
      <w:r w:rsidR="000F5684">
        <w:rPr>
          <w:spacing w:val="-3"/>
          <w:sz w:val="24"/>
          <w:szCs w:val="24"/>
        </w:rPr>
        <w:t xml:space="preserve">  BI&amp;E St. in Support, pp. 5-6.</w:t>
      </w:r>
    </w:p>
    <w:p w:rsidR="000F5684" w:rsidRDefault="000F5684" w:rsidP="00CD1FD8">
      <w:pPr>
        <w:tabs>
          <w:tab w:val="left" w:pos="-720"/>
        </w:tabs>
        <w:suppressAutoHyphens/>
        <w:spacing w:line="360" w:lineRule="auto"/>
        <w:ind w:firstLine="1440"/>
        <w:jc w:val="left"/>
        <w:rPr>
          <w:spacing w:val="-3"/>
          <w:sz w:val="24"/>
          <w:szCs w:val="24"/>
        </w:rPr>
      </w:pPr>
    </w:p>
    <w:p w:rsidR="00CD1FD8" w:rsidRDefault="000F5684" w:rsidP="00CD1FD8">
      <w:pPr>
        <w:tabs>
          <w:tab w:val="left" w:pos="-720"/>
        </w:tabs>
        <w:suppressAutoHyphens/>
        <w:spacing w:line="360" w:lineRule="auto"/>
        <w:ind w:firstLine="1440"/>
        <w:jc w:val="left"/>
        <w:rPr>
          <w:spacing w:val="-3"/>
          <w:sz w:val="24"/>
          <w:szCs w:val="24"/>
        </w:rPr>
      </w:pPr>
      <w:r>
        <w:rPr>
          <w:spacing w:val="-3"/>
          <w:sz w:val="24"/>
          <w:szCs w:val="24"/>
        </w:rPr>
        <w:t>BI&amp;E concludes t</w:t>
      </w:r>
      <w:r w:rsidRPr="000F5684">
        <w:rPr>
          <w:sz w:val="24"/>
          <w:szCs w:val="24"/>
        </w:rPr>
        <w:t xml:space="preserve">he Company’s PGC practices adequately protect its ratepayers as its annual filings include provisions deemed appropriate in protecting the public interest.  </w:t>
      </w:r>
      <w:r>
        <w:rPr>
          <w:sz w:val="24"/>
          <w:szCs w:val="24"/>
        </w:rPr>
        <w:t>BI&amp;E claims p</w:t>
      </w:r>
      <w:r w:rsidRPr="000F5684">
        <w:rPr>
          <w:sz w:val="24"/>
          <w:szCs w:val="24"/>
        </w:rPr>
        <w:t>rovisions agreed to in last year’s proceeding have been implemented and policies are in place to protect the Company’s ratepayers from the impact of purchased gas</w:t>
      </w:r>
      <w:r>
        <w:rPr>
          <w:sz w:val="24"/>
          <w:szCs w:val="24"/>
        </w:rPr>
        <w:t xml:space="preserve"> costs</w:t>
      </w:r>
      <w:r w:rsidRPr="000F5684">
        <w:rPr>
          <w:sz w:val="24"/>
          <w:szCs w:val="24"/>
        </w:rPr>
        <w:t xml:space="preserve"> on rates borne by the consumer.  </w:t>
      </w:r>
      <w:r w:rsidRPr="000F5684">
        <w:rPr>
          <w:spacing w:val="-3"/>
          <w:sz w:val="24"/>
          <w:szCs w:val="24"/>
        </w:rPr>
        <w:t xml:space="preserve">The remaining issues raised in </w:t>
      </w:r>
      <w:r>
        <w:rPr>
          <w:spacing w:val="-3"/>
          <w:sz w:val="24"/>
          <w:szCs w:val="24"/>
        </w:rPr>
        <w:t>B</w:t>
      </w:r>
      <w:r w:rsidRPr="000F5684">
        <w:rPr>
          <w:spacing w:val="-3"/>
          <w:sz w:val="24"/>
          <w:szCs w:val="24"/>
        </w:rPr>
        <w:t>I&amp;E</w:t>
      </w:r>
      <w:r>
        <w:rPr>
          <w:spacing w:val="-3"/>
          <w:sz w:val="24"/>
          <w:szCs w:val="24"/>
        </w:rPr>
        <w:t>’s</w:t>
      </w:r>
      <w:r w:rsidRPr="000F5684">
        <w:rPr>
          <w:spacing w:val="-3"/>
          <w:sz w:val="24"/>
          <w:szCs w:val="24"/>
        </w:rPr>
        <w:t xml:space="preserve"> Prehearing Memo</w:t>
      </w:r>
      <w:r>
        <w:rPr>
          <w:spacing w:val="-3"/>
          <w:sz w:val="24"/>
          <w:szCs w:val="24"/>
        </w:rPr>
        <w:t>randum</w:t>
      </w:r>
      <w:r w:rsidRPr="000F5684">
        <w:rPr>
          <w:spacing w:val="-3"/>
          <w:sz w:val="24"/>
          <w:szCs w:val="24"/>
        </w:rPr>
        <w:t xml:space="preserve"> have been s</w:t>
      </w:r>
      <w:r>
        <w:rPr>
          <w:spacing w:val="-3"/>
          <w:sz w:val="24"/>
          <w:szCs w:val="24"/>
        </w:rPr>
        <w:t>atisfactorily resolved through d</w:t>
      </w:r>
      <w:r w:rsidRPr="000F5684">
        <w:rPr>
          <w:spacing w:val="-3"/>
          <w:sz w:val="24"/>
          <w:szCs w:val="24"/>
        </w:rPr>
        <w:t>iscovery and settlement discussions with the Company and other interested parties</w:t>
      </w:r>
      <w:r>
        <w:rPr>
          <w:spacing w:val="-3"/>
          <w:sz w:val="24"/>
          <w:szCs w:val="24"/>
        </w:rPr>
        <w:t>, according to BI&amp;E.  BI&amp;E St. in Support, p. 6.</w:t>
      </w:r>
      <w:r w:rsidRPr="000F5684">
        <w:rPr>
          <w:spacing w:val="-3"/>
          <w:sz w:val="24"/>
          <w:szCs w:val="24"/>
        </w:rPr>
        <w:t xml:space="preserve">  </w:t>
      </w:r>
      <w:r w:rsidR="00CD1FD8" w:rsidRPr="000F5684">
        <w:rPr>
          <w:spacing w:val="-3"/>
          <w:sz w:val="24"/>
          <w:szCs w:val="24"/>
        </w:rPr>
        <w:t xml:space="preserve">  </w:t>
      </w:r>
    </w:p>
    <w:p w:rsidR="00C3566C" w:rsidRDefault="00C3566C" w:rsidP="00C3566C">
      <w:pPr>
        <w:spacing w:line="360" w:lineRule="auto"/>
        <w:ind w:firstLine="1440"/>
        <w:jc w:val="left"/>
        <w:rPr>
          <w:sz w:val="24"/>
          <w:szCs w:val="24"/>
        </w:rPr>
      </w:pPr>
      <w:r>
        <w:rPr>
          <w:sz w:val="24"/>
          <w:szCs w:val="24"/>
        </w:rPr>
        <w:t xml:space="preserve">BI&amp;E points out that the </w:t>
      </w:r>
      <w:r w:rsidRPr="00C3566C">
        <w:rPr>
          <w:sz w:val="24"/>
          <w:szCs w:val="24"/>
        </w:rPr>
        <w:t xml:space="preserve">Settlement is conditioned upon the Commission’s approval of all terms and conditions contained therein.  </w:t>
      </w:r>
      <w:r>
        <w:rPr>
          <w:sz w:val="24"/>
          <w:szCs w:val="24"/>
        </w:rPr>
        <w:t>BI&amp;E St. in Support, p. 7.</w:t>
      </w:r>
    </w:p>
    <w:p w:rsidR="00C3566C" w:rsidRDefault="00C3566C" w:rsidP="00C3566C">
      <w:pPr>
        <w:spacing w:line="360" w:lineRule="auto"/>
        <w:jc w:val="left"/>
        <w:rPr>
          <w:sz w:val="24"/>
          <w:szCs w:val="24"/>
        </w:rPr>
      </w:pPr>
    </w:p>
    <w:p w:rsidR="00C3566C" w:rsidRDefault="00C3566C" w:rsidP="00C3566C">
      <w:pPr>
        <w:spacing w:line="360" w:lineRule="auto"/>
        <w:ind w:firstLine="720"/>
        <w:jc w:val="left"/>
        <w:rPr>
          <w:sz w:val="24"/>
          <w:szCs w:val="24"/>
        </w:rPr>
      </w:pPr>
      <w:r>
        <w:rPr>
          <w:sz w:val="24"/>
          <w:szCs w:val="24"/>
        </w:rPr>
        <w:t>3.</w:t>
      </w:r>
      <w:r>
        <w:rPr>
          <w:sz w:val="24"/>
          <w:szCs w:val="24"/>
        </w:rPr>
        <w:tab/>
      </w:r>
      <w:r w:rsidRPr="00C3566C">
        <w:rPr>
          <w:sz w:val="24"/>
          <w:szCs w:val="24"/>
          <w:u w:val="single"/>
        </w:rPr>
        <w:t>OCA’s Position</w:t>
      </w:r>
    </w:p>
    <w:p w:rsidR="00C3566C" w:rsidRDefault="00C3566C" w:rsidP="00C3566C">
      <w:pPr>
        <w:spacing w:line="360" w:lineRule="auto"/>
        <w:ind w:firstLine="720"/>
        <w:jc w:val="left"/>
        <w:rPr>
          <w:sz w:val="24"/>
          <w:szCs w:val="24"/>
        </w:rPr>
      </w:pPr>
    </w:p>
    <w:p w:rsidR="007F44C7" w:rsidRDefault="007F44C7" w:rsidP="007F44C7">
      <w:pPr>
        <w:spacing w:line="360" w:lineRule="auto"/>
        <w:ind w:firstLine="1440"/>
        <w:jc w:val="left"/>
        <w:rPr>
          <w:sz w:val="24"/>
          <w:szCs w:val="24"/>
        </w:rPr>
      </w:pPr>
      <w:r w:rsidRPr="007F44C7">
        <w:rPr>
          <w:sz w:val="24"/>
          <w:szCs w:val="24"/>
        </w:rPr>
        <w:t>The OCA submits that the proposed Settlement is in the public i</w:t>
      </w:r>
      <w:r>
        <w:rPr>
          <w:sz w:val="24"/>
          <w:szCs w:val="24"/>
        </w:rPr>
        <w:t xml:space="preserve">nterest and in the interest of Distribution’s </w:t>
      </w:r>
      <w:r w:rsidRPr="007F44C7">
        <w:rPr>
          <w:sz w:val="24"/>
          <w:szCs w:val="24"/>
        </w:rPr>
        <w:t>ratepayers.  The Settlement consists of several key terms</w:t>
      </w:r>
      <w:r w:rsidR="004B263A">
        <w:rPr>
          <w:sz w:val="24"/>
          <w:szCs w:val="24"/>
        </w:rPr>
        <w:t xml:space="preserve"> which the OCA highlights</w:t>
      </w:r>
      <w:r>
        <w:rPr>
          <w:sz w:val="24"/>
          <w:szCs w:val="24"/>
        </w:rPr>
        <w:t xml:space="preserve">.  </w:t>
      </w:r>
      <w:r w:rsidRPr="007F44C7">
        <w:rPr>
          <w:sz w:val="24"/>
          <w:szCs w:val="24"/>
        </w:rPr>
        <w:t xml:space="preserve">The Settlement establishes </w:t>
      </w:r>
      <w:r>
        <w:rPr>
          <w:sz w:val="24"/>
          <w:szCs w:val="24"/>
        </w:rPr>
        <w:t xml:space="preserve">a </w:t>
      </w:r>
      <w:r w:rsidRPr="007F44C7">
        <w:rPr>
          <w:sz w:val="24"/>
          <w:szCs w:val="24"/>
        </w:rPr>
        <w:t>design day requirement for the contracted level of pipeline and storage capacity of 309,</w:t>
      </w:r>
      <w:r>
        <w:rPr>
          <w:sz w:val="24"/>
          <w:szCs w:val="24"/>
        </w:rPr>
        <w:t xml:space="preserve">715 Dth/day.  Settlement, p. 12.  </w:t>
      </w:r>
      <w:r w:rsidR="00BD3318">
        <w:rPr>
          <w:sz w:val="24"/>
          <w:szCs w:val="24"/>
        </w:rPr>
        <w:t>According to the OCA, d</w:t>
      </w:r>
      <w:r w:rsidRPr="007F44C7">
        <w:rPr>
          <w:sz w:val="24"/>
          <w:szCs w:val="24"/>
        </w:rPr>
        <w:t xml:space="preserve">etermination of a reasonable design day requirement ensures that </w:t>
      </w:r>
      <w:r>
        <w:rPr>
          <w:sz w:val="24"/>
          <w:szCs w:val="24"/>
        </w:rPr>
        <w:t>Distribution</w:t>
      </w:r>
      <w:r w:rsidRPr="007F44C7">
        <w:rPr>
          <w:sz w:val="24"/>
          <w:szCs w:val="24"/>
        </w:rPr>
        <w:t xml:space="preserve"> does not obtain unnecessary capacity which the Company’s customers then would have to pay for through the purchased gas costs (PGC) rates.  Further, pursuant to the Settlement, the Company will allocate a portion of the Contingency Capacity to Choice </w:t>
      </w:r>
      <w:r w:rsidR="00B60FC6" w:rsidRPr="007B7684">
        <w:rPr>
          <w:sz w:val="24"/>
          <w:szCs w:val="24"/>
        </w:rPr>
        <w:t xml:space="preserve">(SATC delivery rates) </w:t>
      </w:r>
      <w:r w:rsidRPr="007F44C7">
        <w:rPr>
          <w:sz w:val="24"/>
          <w:szCs w:val="24"/>
        </w:rPr>
        <w:t>customers.  Settlement</w:t>
      </w:r>
      <w:r>
        <w:rPr>
          <w:sz w:val="24"/>
          <w:szCs w:val="24"/>
        </w:rPr>
        <w:t>, p. 13.</w:t>
      </w:r>
      <w:r w:rsidRPr="007F44C7">
        <w:rPr>
          <w:sz w:val="24"/>
          <w:szCs w:val="24"/>
        </w:rPr>
        <w:t xml:space="preserve">  Choice customers receive a benefit from this capacity, which is reserved to serve them, and therefore, </w:t>
      </w:r>
      <w:r w:rsidR="00BD3318">
        <w:rPr>
          <w:sz w:val="24"/>
          <w:szCs w:val="24"/>
        </w:rPr>
        <w:t xml:space="preserve">the OCA believes they </w:t>
      </w:r>
      <w:r w:rsidRPr="007F44C7">
        <w:rPr>
          <w:sz w:val="24"/>
          <w:szCs w:val="24"/>
        </w:rPr>
        <w:t xml:space="preserve">should be allocated a portion of the costs.  The Company also agreed to remove from PGC rates overrun charges incurred due to </w:t>
      </w:r>
      <w:r>
        <w:rPr>
          <w:sz w:val="24"/>
          <w:szCs w:val="24"/>
        </w:rPr>
        <w:t xml:space="preserve">Distribution </w:t>
      </w:r>
      <w:r w:rsidRPr="007F44C7">
        <w:rPr>
          <w:sz w:val="24"/>
          <w:szCs w:val="24"/>
        </w:rPr>
        <w:t xml:space="preserve">exceeding its permissible maximum monthly storage injection quantities.   </w:t>
      </w:r>
      <w:r w:rsidRPr="007F44C7">
        <w:rPr>
          <w:i/>
          <w:sz w:val="24"/>
          <w:szCs w:val="24"/>
          <w:u w:val="single"/>
        </w:rPr>
        <w:t>Id.</w:t>
      </w:r>
      <w:r w:rsidRPr="007F44C7">
        <w:rPr>
          <w:sz w:val="24"/>
          <w:szCs w:val="24"/>
        </w:rPr>
        <w:t xml:space="preserve"> </w:t>
      </w:r>
      <w:r>
        <w:rPr>
          <w:sz w:val="24"/>
          <w:szCs w:val="24"/>
        </w:rPr>
        <w:t xml:space="preserve">  </w:t>
      </w:r>
      <w:r w:rsidRPr="007F44C7">
        <w:rPr>
          <w:sz w:val="24"/>
          <w:szCs w:val="24"/>
        </w:rPr>
        <w:t xml:space="preserve">Under the Settlement, PGC customers will be allocated a $1.8 million refund resulting from the Tennessee Gas pipeline proceeding at </w:t>
      </w:r>
      <w:r>
        <w:rPr>
          <w:sz w:val="24"/>
          <w:szCs w:val="24"/>
        </w:rPr>
        <w:t xml:space="preserve">the </w:t>
      </w:r>
      <w:r w:rsidRPr="007F44C7">
        <w:rPr>
          <w:sz w:val="24"/>
          <w:szCs w:val="24"/>
        </w:rPr>
        <w:t xml:space="preserve">FERC.   </w:t>
      </w:r>
      <w:r w:rsidRPr="007F44C7">
        <w:rPr>
          <w:i/>
          <w:sz w:val="24"/>
          <w:szCs w:val="24"/>
          <w:u w:val="single"/>
        </w:rPr>
        <w:t>Id.</w:t>
      </w:r>
      <w:r w:rsidRPr="007F44C7">
        <w:rPr>
          <w:sz w:val="24"/>
          <w:szCs w:val="24"/>
        </w:rPr>
        <w:t xml:space="preserve">   Finally, </w:t>
      </w:r>
      <w:r>
        <w:rPr>
          <w:sz w:val="24"/>
          <w:szCs w:val="24"/>
        </w:rPr>
        <w:t>Distribution</w:t>
      </w:r>
      <w:r w:rsidRPr="007F44C7">
        <w:rPr>
          <w:sz w:val="24"/>
          <w:szCs w:val="24"/>
        </w:rPr>
        <w:t xml:space="preserve"> will continue to report on its actions before </w:t>
      </w:r>
      <w:r>
        <w:rPr>
          <w:sz w:val="24"/>
          <w:szCs w:val="24"/>
        </w:rPr>
        <w:t xml:space="preserve">the </w:t>
      </w:r>
      <w:r w:rsidRPr="007F44C7">
        <w:rPr>
          <w:sz w:val="24"/>
          <w:szCs w:val="24"/>
        </w:rPr>
        <w:t>FERC in PGC Exhibit No. 6 and will continue to represent the interests of its customers before the FERC, including gathering system issues related to Supply’s base rate proce</w:t>
      </w:r>
      <w:r>
        <w:rPr>
          <w:sz w:val="24"/>
          <w:szCs w:val="24"/>
        </w:rPr>
        <w:t>eding at Docket No. RP12-88-000.  Settlement, p. 14</w:t>
      </w:r>
      <w:r w:rsidR="004B263A">
        <w:rPr>
          <w:sz w:val="24"/>
          <w:szCs w:val="24"/>
        </w:rPr>
        <w:t>; OCA St. in Support, pp. 2-3.</w:t>
      </w:r>
    </w:p>
    <w:p w:rsidR="00BD3318" w:rsidRDefault="00BD3318" w:rsidP="00BD3318">
      <w:pPr>
        <w:spacing w:line="360" w:lineRule="auto"/>
        <w:jc w:val="left"/>
        <w:rPr>
          <w:sz w:val="24"/>
          <w:szCs w:val="24"/>
        </w:rPr>
      </w:pPr>
    </w:p>
    <w:p w:rsidR="00BD3318" w:rsidRDefault="00BD3318" w:rsidP="00BD3318">
      <w:pPr>
        <w:spacing w:line="360" w:lineRule="auto"/>
        <w:rPr>
          <w:sz w:val="24"/>
          <w:szCs w:val="24"/>
        </w:rPr>
      </w:pPr>
      <w:r w:rsidRPr="00BD3318">
        <w:rPr>
          <w:sz w:val="24"/>
          <w:szCs w:val="24"/>
        </w:rPr>
        <w:tab/>
        <w:t>a</w:t>
      </w:r>
      <w:r>
        <w:rPr>
          <w:sz w:val="24"/>
          <w:szCs w:val="24"/>
        </w:rPr>
        <w:t>.</w:t>
      </w:r>
      <w:r>
        <w:rPr>
          <w:sz w:val="24"/>
          <w:szCs w:val="24"/>
        </w:rPr>
        <w:tab/>
      </w:r>
      <w:r>
        <w:rPr>
          <w:sz w:val="24"/>
          <w:szCs w:val="24"/>
          <w:u w:val="single"/>
        </w:rPr>
        <w:t>Design Day Requirements</w:t>
      </w:r>
    </w:p>
    <w:p w:rsidR="00BD3318" w:rsidRDefault="00BD3318" w:rsidP="00BD3318">
      <w:pPr>
        <w:spacing w:line="360" w:lineRule="auto"/>
        <w:rPr>
          <w:sz w:val="24"/>
          <w:szCs w:val="24"/>
        </w:rPr>
      </w:pPr>
    </w:p>
    <w:p w:rsidR="00BD3318" w:rsidRDefault="00BD3318" w:rsidP="00BD3318">
      <w:pPr>
        <w:spacing w:line="360" w:lineRule="auto"/>
        <w:ind w:firstLine="1440"/>
        <w:jc w:val="left"/>
        <w:rPr>
          <w:sz w:val="24"/>
          <w:szCs w:val="24"/>
        </w:rPr>
      </w:pPr>
      <w:r w:rsidRPr="00BD3318">
        <w:rPr>
          <w:sz w:val="24"/>
          <w:szCs w:val="24"/>
        </w:rPr>
        <w:t xml:space="preserve">The </w:t>
      </w:r>
      <w:r>
        <w:rPr>
          <w:sz w:val="24"/>
          <w:szCs w:val="24"/>
        </w:rPr>
        <w:t xml:space="preserve">Settlement Parties </w:t>
      </w:r>
      <w:r w:rsidRPr="00BD3318">
        <w:rPr>
          <w:sz w:val="24"/>
          <w:szCs w:val="24"/>
        </w:rPr>
        <w:t>accepted the total system design day peak requirement forecast for the twelve months ending July 2012, of 309,715 Dth/day for the contracted level of pipeline and storage capacity, as shown on PGC Exhibit No. 30.  Settlement</w:t>
      </w:r>
      <w:r>
        <w:rPr>
          <w:sz w:val="24"/>
          <w:szCs w:val="24"/>
        </w:rPr>
        <w:t>, p. 12;</w:t>
      </w:r>
      <w:r w:rsidRPr="00BD3318">
        <w:rPr>
          <w:sz w:val="24"/>
          <w:szCs w:val="24"/>
        </w:rPr>
        <w:t xml:space="preserve"> PGC Ex. No.</w:t>
      </w:r>
      <w:r w:rsidR="00820108">
        <w:rPr>
          <w:sz w:val="24"/>
          <w:szCs w:val="24"/>
        </w:rPr>
        <w:t> </w:t>
      </w:r>
      <w:r w:rsidRPr="00BD3318">
        <w:rPr>
          <w:sz w:val="24"/>
          <w:szCs w:val="24"/>
        </w:rPr>
        <w:t>30; OCA St. No. 1</w:t>
      </w:r>
      <w:r>
        <w:rPr>
          <w:sz w:val="24"/>
          <w:szCs w:val="24"/>
        </w:rPr>
        <w:t xml:space="preserve">, pp. </w:t>
      </w:r>
      <w:r w:rsidRPr="00BD3318">
        <w:rPr>
          <w:sz w:val="24"/>
          <w:szCs w:val="24"/>
        </w:rPr>
        <w:t xml:space="preserve">5-10.  </w:t>
      </w:r>
      <w:r>
        <w:rPr>
          <w:sz w:val="24"/>
          <w:szCs w:val="24"/>
        </w:rPr>
        <w:t>According to the Settlement, however, t</w:t>
      </w:r>
      <w:r w:rsidRPr="00BD3318">
        <w:rPr>
          <w:sz w:val="24"/>
          <w:szCs w:val="24"/>
        </w:rPr>
        <w:t xml:space="preserve">he </w:t>
      </w:r>
      <w:r>
        <w:rPr>
          <w:sz w:val="24"/>
          <w:szCs w:val="24"/>
        </w:rPr>
        <w:t>Settlement Parties’</w:t>
      </w:r>
      <w:r w:rsidRPr="00BD3318">
        <w:rPr>
          <w:sz w:val="24"/>
          <w:szCs w:val="24"/>
        </w:rPr>
        <w:t xml:space="preserve"> acceptance of this level of design day requirements for this period does not indicate an acceptance or approval of the procedures or methodologies used to calculate the design day requirement for future periods.  Settlement</w:t>
      </w:r>
      <w:r>
        <w:rPr>
          <w:sz w:val="24"/>
          <w:szCs w:val="24"/>
        </w:rPr>
        <w:t>, p. 12.  According to the OCA, d</w:t>
      </w:r>
      <w:r w:rsidRPr="00BD3318">
        <w:rPr>
          <w:sz w:val="24"/>
          <w:szCs w:val="24"/>
        </w:rPr>
        <w:t xml:space="preserve">etermination of a reasonable design day requirement ensures that </w:t>
      </w:r>
      <w:r>
        <w:rPr>
          <w:sz w:val="24"/>
          <w:szCs w:val="24"/>
        </w:rPr>
        <w:t xml:space="preserve">Distribution </w:t>
      </w:r>
      <w:r w:rsidRPr="00BD3318">
        <w:rPr>
          <w:sz w:val="24"/>
          <w:szCs w:val="24"/>
        </w:rPr>
        <w:t>does not obtain an unnecessary excess of supply which the Company’s customers would then have to pay for through PGC rates.</w:t>
      </w:r>
      <w:r w:rsidR="007B7684">
        <w:rPr>
          <w:sz w:val="24"/>
          <w:szCs w:val="24"/>
        </w:rPr>
        <w:t xml:space="preserve">  OCA St. in Support, p. 3.</w:t>
      </w:r>
    </w:p>
    <w:p w:rsidR="007B7684" w:rsidRDefault="007B7684" w:rsidP="007B7684">
      <w:pPr>
        <w:spacing w:line="360" w:lineRule="auto"/>
        <w:jc w:val="left"/>
        <w:rPr>
          <w:sz w:val="24"/>
          <w:szCs w:val="24"/>
        </w:rPr>
      </w:pPr>
    </w:p>
    <w:p w:rsidR="007B7684" w:rsidRDefault="007B7684" w:rsidP="007B7684">
      <w:pPr>
        <w:spacing w:line="360" w:lineRule="auto"/>
        <w:jc w:val="left"/>
        <w:rPr>
          <w:sz w:val="24"/>
          <w:szCs w:val="24"/>
        </w:rPr>
      </w:pPr>
      <w:r>
        <w:rPr>
          <w:sz w:val="24"/>
          <w:szCs w:val="24"/>
        </w:rPr>
        <w:tab/>
        <w:t>b.</w:t>
      </w:r>
      <w:r>
        <w:rPr>
          <w:sz w:val="24"/>
          <w:szCs w:val="24"/>
        </w:rPr>
        <w:tab/>
      </w:r>
      <w:r>
        <w:rPr>
          <w:sz w:val="24"/>
          <w:szCs w:val="24"/>
          <w:u w:val="single"/>
        </w:rPr>
        <w:t>Contingency Capacity Allocation</w:t>
      </w:r>
    </w:p>
    <w:p w:rsidR="007B7684" w:rsidRDefault="007B7684" w:rsidP="007B7684">
      <w:pPr>
        <w:spacing w:line="360" w:lineRule="auto"/>
        <w:jc w:val="left"/>
        <w:rPr>
          <w:sz w:val="24"/>
          <w:szCs w:val="24"/>
        </w:rPr>
      </w:pPr>
    </w:p>
    <w:p w:rsidR="007B7684" w:rsidRDefault="007B7684" w:rsidP="007B7684">
      <w:pPr>
        <w:spacing w:line="360" w:lineRule="auto"/>
        <w:ind w:firstLine="1440"/>
        <w:jc w:val="left"/>
        <w:rPr>
          <w:sz w:val="24"/>
          <w:szCs w:val="24"/>
        </w:rPr>
      </w:pPr>
      <w:r w:rsidRPr="007B7684">
        <w:rPr>
          <w:sz w:val="24"/>
          <w:szCs w:val="24"/>
        </w:rPr>
        <w:t xml:space="preserve">The Settlement allocates a portion of the Contingency Capacity costs to PGC customers, MMT customers and Choice (SATC delivery rates) customers.  </w:t>
      </w:r>
      <w:r w:rsidR="00B60FC6">
        <w:rPr>
          <w:sz w:val="24"/>
          <w:szCs w:val="24"/>
        </w:rPr>
        <w:t>Settlement, p. 13.</w:t>
      </w:r>
      <w:r w:rsidRPr="007B7684">
        <w:rPr>
          <w:sz w:val="24"/>
          <w:szCs w:val="24"/>
        </w:rPr>
        <w:t xml:space="preserve">  The Company’s filing did not allocate any portion of the Contingency Capacity costs to Choice customers.  OCA St. No. 1</w:t>
      </w:r>
      <w:r w:rsidR="00B60FC6">
        <w:rPr>
          <w:sz w:val="24"/>
          <w:szCs w:val="24"/>
        </w:rPr>
        <w:t xml:space="preserve">, p. </w:t>
      </w:r>
      <w:r w:rsidRPr="007B7684">
        <w:rPr>
          <w:sz w:val="24"/>
          <w:szCs w:val="24"/>
        </w:rPr>
        <w:t xml:space="preserve">11.  </w:t>
      </w:r>
      <w:r w:rsidR="00B60FC6">
        <w:rPr>
          <w:sz w:val="24"/>
          <w:szCs w:val="24"/>
        </w:rPr>
        <w:t xml:space="preserve">The OCA submits that </w:t>
      </w:r>
      <w:r w:rsidRPr="007B7684">
        <w:rPr>
          <w:sz w:val="24"/>
          <w:szCs w:val="24"/>
        </w:rPr>
        <w:t xml:space="preserve">Contingency Capacity is available to serve and to benefit Choice customers, as well as PGC and MMT customers.  Therefore, </w:t>
      </w:r>
      <w:r w:rsidR="00B60FC6">
        <w:rPr>
          <w:sz w:val="24"/>
          <w:szCs w:val="24"/>
        </w:rPr>
        <w:t xml:space="preserve">the OCA believes </w:t>
      </w:r>
      <w:r w:rsidRPr="007B7684">
        <w:rPr>
          <w:sz w:val="24"/>
          <w:szCs w:val="24"/>
        </w:rPr>
        <w:t>it is appropriate for Choice customers to receive an allocation of the Contingency Capacity using the same approach used for MMT and PGC customers.  PGC rates will be reduced by $329,357 due to removal of the Choice customers’ Contingency Capacity allocation from PGC rates.  OCA St. No. 1</w:t>
      </w:r>
      <w:r w:rsidR="00B60FC6">
        <w:rPr>
          <w:sz w:val="24"/>
          <w:szCs w:val="24"/>
        </w:rPr>
        <w:t>, p. 12</w:t>
      </w:r>
      <w:r w:rsidRPr="007B7684">
        <w:rPr>
          <w:sz w:val="24"/>
          <w:szCs w:val="24"/>
        </w:rPr>
        <w:t>, Ex</w:t>
      </w:r>
      <w:r w:rsidR="00B60FC6">
        <w:rPr>
          <w:sz w:val="24"/>
          <w:szCs w:val="24"/>
        </w:rPr>
        <w:t>. JDM-2; OCA St. in Support, p. 4.</w:t>
      </w:r>
      <w:r w:rsidRPr="007B7684">
        <w:rPr>
          <w:sz w:val="24"/>
          <w:szCs w:val="24"/>
        </w:rPr>
        <w:t xml:space="preserve">  </w:t>
      </w:r>
      <w:r w:rsidRPr="007B7684">
        <w:rPr>
          <w:sz w:val="24"/>
          <w:szCs w:val="24"/>
        </w:rPr>
        <w:tab/>
      </w:r>
    </w:p>
    <w:p w:rsidR="00311B88" w:rsidRDefault="00311B88" w:rsidP="00311B88">
      <w:pPr>
        <w:spacing w:line="360" w:lineRule="auto"/>
        <w:jc w:val="left"/>
        <w:rPr>
          <w:sz w:val="24"/>
          <w:szCs w:val="24"/>
        </w:rPr>
      </w:pPr>
    </w:p>
    <w:p w:rsidR="00311B88" w:rsidRDefault="00311B88" w:rsidP="00311B88">
      <w:pPr>
        <w:spacing w:line="360" w:lineRule="auto"/>
        <w:jc w:val="left"/>
        <w:rPr>
          <w:sz w:val="24"/>
          <w:szCs w:val="24"/>
        </w:rPr>
      </w:pPr>
      <w:r>
        <w:rPr>
          <w:sz w:val="24"/>
          <w:szCs w:val="24"/>
        </w:rPr>
        <w:tab/>
        <w:t>c.</w:t>
      </w:r>
      <w:r>
        <w:rPr>
          <w:sz w:val="24"/>
          <w:szCs w:val="24"/>
        </w:rPr>
        <w:tab/>
      </w:r>
      <w:r>
        <w:rPr>
          <w:sz w:val="24"/>
          <w:szCs w:val="24"/>
          <w:u w:val="single"/>
        </w:rPr>
        <w:t>Tennessee Pipeline Refunds</w:t>
      </w:r>
    </w:p>
    <w:p w:rsidR="00311B88" w:rsidRDefault="00311B88" w:rsidP="00311B88">
      <w:pPr>
        <w:spacing w:line="360" w:lineRule="auto"/>
        <w:jc w:val="left"/>
        <w:rPr>
          <w:sz w:val="24"/>
          <w:szCs w:val="24"/>
        </w:rPr>
      </w:pPr>
    </w:p>
    <w:p w:rsidR="00311B88" w:rsidRDefault="00311B88" w:rsidP="00311B88">
      <w:pPr>
        <w:spacing w:line="360" w:lineRule="auto"/>
        <w:ind w:firstLine="1440"/>
        <w:jc w:val="left"/>
        <w:rPr>
          <w:sz w:val="24"/>
          <w:szCs w:val="24"/>
        </w:rPr>
      </w:pPr>
      <w:r w:rsidRPr="00311B88">
        <w:rPr>
          <w:sz w:val="24"/>
          <w:szCs w:val="24"/>
        </w:rPr>
        <w:t>The Settlement provides that the Tennessee Gas Pipeline refund in the amount of $1.8 million will be included in rates effective August 1, 2012.  Settlement</w:t>
      </w:r>
      <w:r>
        <w:rPr>
          <w:sz w:val="24"/>
          <w:szCs w:val="24"/>
        </w:rPr>
        <w:t>, p. 13;</w:t>
      </w:r>
      <w:r w:rsidR="00BA64F4">
        <w:rPr>
          <w:sz w:val="24"/>
          <w:szCs w:val="24"/>
        </w:rPr>
        <w:t xml:space="preserve"> </w:t>
      </w:r>
      <w:r w:rsidRPr="00311B88">
        <w:rPr>
          <w:sz w:val="24"/>
          <w:szCs w:val="24"/>
        </w:rPr>
        <w:t>OCA St. No.</w:t>
      </w:r>
      <w:r w:rsidR="001F3268">
        <w:rPr>
          <w:sz w:val="24"/>
          <w:szCs w:val="24"/>
        </w:rPr>
        <w:t> </w:t>
      </w:r>
      <w:r w:rsidRPr="00311B88">
        <w:rPr>
          <w:sz w:val="24"/>
          <w:szCs w:val="24"/>
        </w:rPr>
        <w:t>1</w:t>
      </w:r>
      <w:r>
        <w:rPr>
          <w:sz w:val="24"/>
          <w:szCs w:val="24"/>
        </w:rPr>
        <w:t>, p. 14.</w:t>
      </w:r>
      <w:r w:rsidRPr="00311B88">
        <w:rPr>
          <w:sz w:val="24"/>
          <w:szCs w:val="24"/>
        </w:rPr>
        <w:t xml:space="preserve">  As a result of the Tennessee Gas Pipeline rate proceeding (Docket No. RP11-1566) at the FERC</w:t>
      </w:r>
      <w:r>
        <w:rPr>
          <w:sz w:val="24"/>
          <w:szCs w:val="24"/>
        </w:rPr>
        <w:t>, Distribution</w:t>
      </w:r>
      <w:r w:rsidRPr="00311B88">
        <w:rPr>
          <w:sz w:val="24"/>
          <w:szCs w:val="24"/>
        </w:rPr>
        <w:t xml:space="preserve"> received a $1.8 million refund in March 2012.  This refund was not previously included in </w:t>
      </w:r>
      <w:r>
        <w:rPr>
          <w:sz w:val="24"/>
          <w:szCs w:val="24"/>
        </w:rPr>
        <w:t xml:space="preserve">Distribution’s </w:t>
      </w:r>
      <w:r w:rsidRPr="00311B88">
        <w:rPr>
          <w:sz w:val="24"/>
          <w:szCs w:val="24"/>
        </w:rPr>
        <w:t xml:space="preserve">2012 definitive filing.  </w:t>
      </w:r>
      <w:r w:rsidRPr="00311B88">
        <w:rPr>
          <w:i/>
          <w:sz w:val="24"/>
          <w:szCs w:val="24"/>
          <w:u w:val="single"/>
        </w:rPr>
        <w:t>Id.</w:t>
      </w:r>
      <w:r w:rsidRPr="00311B88">
        <w:rPr>
          <w:sz w:val="24"/>
          <w:szCs w:val="24"/>
        </w:rPr>
        <w:t>; OCA St. No. 1</w:t>
      </w:r>
      <w:r>
        <w:rPr>
          <w:sz w:val="24"/>
          <w:szCs w:val="24"/>
        </w:rPr>
        <w:t xml:space="preserve">, </w:t>
      </w:r>
      <w:r w:rsidRPr="00311B88">
        <w:rPr>
          <w:sz w:val="24"/>
          <w:szCs w:val="24"/>
        </w:rPr>
        <w:t xml:space="preserve">Ex. JDM-4.  </w:t>
      </w:r>
      <w:r w:rsidR="00105250">
        <w:rPr>
          <w:sz w:val="24"/>
          <w:szCs w:val="24"/>
        </w:rPr>
        <w:t>According to the OCA, t</w:t>
      </w:r>
      <w:r w:rsidRPr="00311B88">
        <w:rPr>
          <w:sz w:val="24"/>
          <w:szCs w:val="24"/>
        </w:rPr>
        <w:t>he $1.8 million should be refunded to PGC customers because PGC customers were charged Tennessee’s higher proposed rates during the period of the rate proceeding.  The OCA submits that this refund will provide a significant benefit to PGC customers and will reduce the rates of PGC customers by $1.8 million. OCA St. No. 1</w:t>
      </w:r>
      <w:r w:rsidR="00BA64F4">
        <w:rPr>
          <w:sz w:val="24"/>
          <w:szCs w:val="24"/>
        </w:rPr>
        <w:t xml:space="preserve">, </w:t>
      </w:r>
      <w:r w:rsidRPr="00311B88">
        <w:rPr>
          <w:sz w:val="24"/>
          <w:szCs w:val="24"/>
        </w:rPr>
        <w:t>Ex. JDM</w:t>
      </w:r>
      <w:r w:rsidR="00AB7264">
        <w:rPr>
          <w:sz w:val="24"/>
          <w:szCs w:val="24"/>
        </w:rPr>
        <w:noBreakHyphen/>
      </w:r>
      <w:r w:rsidRPr="00311B88">
        <w:rPr>
          <w:sz w:val="24"/>
          <w:szCs w:val="24"/>
        </w:rPr>
        <w:t xml:space="preserve">1; OCA St. in Support, p. 4.  </w:t>
      </w:r>
    </w:p>
    <w:p w:rsidR="003631FD" w:rsidRDefault="003631FD" w:rsidP="003631FD">
      <w:pPr>
        <w:spacing w:line="360" w:lineRule="auto"/>
        <w:jc w:val="left"/>
        <w:rPr>
          <w:sz w:val="24"/>
          <w:szCs w:val="24"/>
        </w:rPr>
      </w:pPr>
    </w:p>
    <w:p w:rsidR="00AB7264" w:rsidRDefault="00AB7264" w:rsidP="003631FD">
      <w:pPr>
        <w:spacing w:line="360" w:lineRule="auto"/>
        <w:jc w:val="left"/>
        <w:rPr>
          <w:sz w:val="24"/>
          <w:szCs w:val="24"/>
        </w:rPr>
      </w:pPr>
    </w:p>
    <w:p w:rsidR="003631FD" w:rsidRDefault="003631FD" w:rsidP="003631FD">
      <w:pPr>
        <w:spacing w:line="360" w:lineRule="auto"/>
        <w:jc w:val="left"/>
        <w:rPr>
          <w:sz w:val="24"/>
          <w:szCs w:val="24"/>
        </w:rPr>
      </w:pPr>
      <w:r>
        <w:rPr>
          <w:sz w:val="24"/>
          <w:szCs w:val="24"/>
        </w:rPr>
        <w:tab/>
        <w:t>d.</w:t>
      </w:r>
      <w:r>
        <w:rPr>
          <w:sz w:val="24"/>
          <w:szCs w:val="24"/>
        </w:rPr>
        <w:tab/>
      </w:r>
      <w:r>
        <w:rPr>
          <w:sz w:val="24"/>
          <w:szCs w:val="24"/>
          <w:u w:val="single"/>
        </w:rPr>
        <w:t>Overrun Charges from Columbia Transmission</w:t>
      </w:r>
    </w:p>
    <w:p w:rsidR="003631FD" w:rsidRDefault="003631FD" w:rsidP="003631FD">
      <w:pPr>
        <w:spacing w:line="360" w:lineRule="auto"/>
        <w:jc w:val="left"/>
        <w:rPr>
          <w:sz w:val="24"/>
          <w:szCs w:val="24"/>
        </w:rPr>
      </w:pPr>
    </w:p>
    <w:p w:rsidR="003631FD" w:rsidRDefault="003631FD" w:rsidP="003631FD">
      <w:pPr>
        <w:spacing w:line="360" w:lineRule="auto"/>
        <w:ind w:firstLine="1440"/>
        <w:jc w:val="left"/>
        <w:rPr>
          <w:sz w:val="24"/>
          <w:szCs w:val="24"/>
        </w:rPr>
      </w:pPr>
      <w:r w:rsidRPr="003631FD">
        <w:rPr>
          <w:sz w:val="24"/>
          <w:szCs w:val="24"/>
        </w:rPr>
        <w:t>The Settlement provides that</w:t>
      </w:r>
      <w:r>
        <w:rPr>
          <w:sz w:val="24"/>
          <w:szCs w:val="24"/>
        </w:rPr>
        <w:t xml:space="preserve"> Distribution</w:t>
      </w:r>
      <w:r w:rsidRPr="003631FD">
        <w:rPr>
          <w:sz w:val="24"/>
          <w:szCs w:val="24"/>
        </w:rPr>
        <w:t xml:space="preserve"> will reduce the level of purchased gas costs that it proposes to recover in this proceeding by $36,175 related to overrun charges impos</w:t>
      </w:r>
      <w:r>
        <w:rPr>
          <w:sz w:val="24"/>
          <w:szCs w:val="24"/>
        </w:rPr>
        <w:t xml:space="preserve">ed by Columbia Gas Transmission (“TCO”) </w:t>
      </w:r>
      <w:r w:rsidRPr="003631FD">
        <w:rPr>
          <w:sz w:val="24"/>
          <w:szCs w:val="24"/>
        </w:rPr>
        <w:t>for an October 2011 overrun charge.  Settlement</w:t>
      </w:r>
      <w:r>
        <w:rPr>
          <w:sz w:val="24"/>
          <w:szCs w:val="24"/>
        </w:rPr>
        <w:t xml:space="preserve">, pp. 13-14; </w:t>
      </w:r>
      <w:r w:rsidRPr="003631FD">
        <w:rPr>
          <w:sz w:val="24"/>
          <w:szCs w:val="24"/>
        </w:rPr>
        <w:t>OCA St. No. 1</w:t>
      </w:r>
      <w:r>
        <w:rPr>
          <w:sz w:val="24"/>
          <w:szCs w:val="24"/>
        </w:rPr>
        <w:t>, p. 13,</w:t>
      </w:r>
      <w:r w:rsidRPr="003631FD">
        <w:rPr>
          <w:sz w:val="24"/>
          <w:szCs w:val="24"/>
        </w:rPr>
        <w:t xml:space="preserve"> Ex. JDM-3.  TCO provided </w:t>
      </w:r>
      <w:r>
        <w:rPr>
          <w:sz w:val="24"/>
          <w:szCs w:val="24"/>
        </w:rPr>
        <w:t>Distribution</w:t>
      </w:r>
      <w:r w:rsidRPr="003631FD">
        <w:rPr>
          <w:sz w:val="24"/>
          <w:szCs w:val="24"/>
        </w:rPr>
        <w:t xml:space="preserve"> with notice on October 14, 2011 that penalty charges would be assessed against customers exceeding their maximum monthly storage injection quantities.  The overrun charge was incurred because </w:t>
      </w:r>
      <w:r>
        <w:rPr>
          <w:sz w:val="24"/>
          <w:szCs w:val="24"/>
        </w:rPr>
        <w:t>Distribution</w:t>
      </w:r>
      <w:r w:rsidRPr="003631FD">
        <w:rPr>
          <w:sz w:val="24"/>
          <w:szCs w:val="24"/>
        </w:rPr>
        <w:t xml:space="preserve"> thereafter exceeded its monthly storage injection quantity provided for under TCO’s FERC-approved tariff.  OCA St. No. 1</w:t>
      </w:r>
      <w:r>
        <w:rPr>
          <w:sz w:val="24"/>
          <w:szCs w:val="24"/>
        </w:rPr>
        <w:t xml:space="preserve">, p. 13.  </w:t>
      </w:r>
      <w:r w:rsidRPr="003631FD">
        <w:rPr>
          <w:sz w:val="24"/>
          <w:szCs w:val="24"/>
        </w:rPr>
        <w:t>The Settlement provides that this overrun charge will be removed from PGC rates.  OCA St. in Support, p. 5.</w:t>
      </w:r>
    </w:p>
    <w:p w:rsidR="00C26756" w:rsidRDefault="00C26756" w:rsidP="00C26756">
      <w:pPr>
        <w:spacing w:line="360" w:lineRule="auto"/>
        <w:jc w:val="left"/>
        <w:rPr>
          <w:sz w:val="24"/>
          <w:szCs w:val="24"/>
        </w:rPr>
      </w:pPr>
    </w:p>
    <w:p w:rsidR="00C26756" w:rsidRDefault="00C26756" w:rsidP="00C26756">
      <w:pPr>
        <w:spacing w:line="360" w:lineRule="auto"/>
        <w:jc w:val="left"/>
        <w:rPr>
          <w:sz w:val="24"/>
          <w:szCs w:val="24"/>
        </w:rPr>
      </w:pPr>
      <w:r>
        <w:rPr>
          <w:sz w:val="24"/>
          <w:szCs w:val="24"/>
        </w:rPr>
        <w:tab/>
        <w:t>e.</w:t>
      </w:r>
      <w:r>
        <w:rPr>
          <w:sz w:val="24"/>
          <w:szCs w:val="24"/>
        </w:rPr>
        <w:tab/>
      </w:r>
      <w:r>
        <w:rPr>
          <w:sz w:val="24"/>
          <w:szCs w:val="24"/>
          <w:u w:val="single"/>
        </w:rPr>
        <w:t>Rates for Firm Gathering Service from Supply</w:t>
      </w:r>
    </w:p>
    <w:p w:rsidR="00C26756" w:rsidRDefault="00C26756" w:rsidP="00C26756">
      <w:pPr>
        <w:spacing w:line="360" w:lineRule="auto"/>
        <w:jc w:val="left"/>
        <w:rPr>
          <w:sz w:val="24"/>
          <w:szCs w:val="24"/>
        </w:rPr>
      </w:pPr>
    </w:p>
    <w:p w:rsidR="00C26756" w:rsidRDefault="00C26756" w:rsidP="00C26756">
      <w:pPr>
        <w:spacing w:line="360" w:lineRule="auto"/>
        <w:ind w:firstLine="1440"/>
        <w:jc w:val="left"/>
        <w:rPr>
          <w:sz w:val="24"/>
          <w:szCs w:val="24"/>
        </w:rPr>
      </w:pPr>
      <w:r w:rsidRPr="00C26756">
        <w:rPr>
          <w:sz w:val="24"/>
          <w:szCs w:val="24"/>
        </w:rPr>
        <w:t xml:space="preserve">The Settlement provides that </w:t>
      </w:r>
      <w:r>
        <w:rPr>
          <w:sz w:val="24"/>
          <w:szCs w:val="24"/>
        </w:rPr>
        <w:t xml:space="preserve">Distribution </w:t>
      </w:r>
      <w:r w:rsidRPr="00C26756">
        <w:rPr>
          <w:sz w:val="24"/>
          <w:szCs w:val="24"/>
        </w:rPr>
        <w:t xml:space="preserve">will continue to represent the interests of customers before </w:t>
      </w:r>
      <w:r>
        <w:rPr>
          <w:sz w:val="24"/>
          <w:szCs w:val="24"/>
        </w:rPr>
        <w:t xml:space="preserve">the </w:t>
      </w:r>
      <w:r w:rsidRPr="00C26756">
        <w:rPr>
          <w:sz w:val="24"/>
          <w:szCs w:val="24"/>
        </w:rPr>
        <w:t>FERC regarding ratemaking issues, including issues related to Supply’s base rate proceeding at Docket No. RP12-88-000, and will continue to report on its actions before the FERC as required by the PUC regulations and presented in PGC Exhibit No. 6.  Settlement</w:t>
      </w:r>
      <w:r>
        <w:rPr>
          <w:sz w:val="24"/>
          <w:szCs w:val="24"/>
        </w:rPr>
        <w:t>, p. 14</w:t>
      </w:r>
      <w:r w:rsidRPr="00C26756">
        <w:rPr>
          <w:sz w:val="24"/>
          <w:szCs w:val="24"/>
        </w:rPr>
        <w:t>; OCA St. No. 1</w:t>
      </w:r>
      <w:r w:rsidR="00F500ED">
        <w:rPr>
          <w:sz w:val="24"/>
          <w:szCs w:val="24"/>
        </w:rPr>
        <w:t>, pp.</w:t>
      </w:r>
      <w:r w:rsidR="0038271A">
        <w:rPr>
          <w:sz w:val="24"/>
          <w:szCs w:val="24"/>
        </w:rPr>
        <w:t xml:space="preserve"> </w:t>
      </w:r>
      <w:r w:rsidR="00F500ED">
        <w:rPr>
          <w:sz w:val="24"/>
          <w:szCs w:val="24"/>
        </w:rPr>
        <w:t>15-19.</w:t>
      </w:r>
      <w:r w:rsidRPr="00C26756">
        <w:rPr>
          <w:sz w:val="24"/>
          <w:szCs w:val="24"/>
        </w:rPr>
        <w:t xml:space="preserve">  The OCA raised a concern in its Direct Testimony regarding the proposed significant increase to firm gathering (FG) reservation charges in the Supply base rate proceeding.  OCA St. No. 1</w:t>
      </w:r>
      <w:r w:rsidR="00F500ED">
        <w:rPr>
          <w:sz w:val="24"/>
          <w:szCs w:val="24"/>
        </w:rPr>
        <w:t>, pp. 15-19.</w:t>
      </w:r>
      <w:r w:rsidRPr="00C26756">
        <w:rPr>
          <w:sz w:val="24"/>
          <w:szCs w:val="24"/>
        </w:rPr>
        <w:t xml:space="preserve">  OCA witness Mierzwa requested that the Company specifically report on its eff</w:t>
      </w:r>
      <w:r w:rsidR="00F500ED">
        <w:rPr>
          <w:sz w:val="24"/>
          <w:szCs w:val="24"/>
        </w:rPr>
        <w:t>orts to reduce the FG costs in Distribution’s</w:t>
      </w:r>
      <w:r w:rsidRPr="00C26756">
        <w:rPr>
          <w:sz w:val="24"/>
          <w:szCs w:val="24"/>
        </w:rPr>
        <w:t xml:space="preserve"> 2013 1307(f) proceeding.  </w:t>
      </w:r>
      <w:r w:rsidRPr="00F500ED">
        <w:rPr>
          <w:i/>
          <w:sz w:val="24"/>
          <w:szCs w:val="24"/>
          <w:u w:val="single"/>
        </w:rPr>
        <w:t>Id.</w:t>
      </w:r>
      <w:r w:rsidRPr="00C26756">
        <w:rPr>
          <w:sz w:val="24"/>
          <w:szCs w:val="24"/>
        </w:rPr>
        <w:t xml:space="preserve"> at 19.  The OCA is satisfied that </w:t>
      </w:r>
      <w:r w:rsidR="00F500ED">
        <w:rPr>
          <w:sz w:val="24"/>
          <w:szCs w:val="24"/>
        </w:rPr>
        <w:t xml:space="preserve">Distribution’s </w:t>
      </w:r>
      <w:r w:rsidRPr="00C26756">
        <w:rPr>
          <w:sz w:val="24"/>
          <w:szCs w:val="24"/>
        </w:rPr>
        <w:t>participation in the FERC Supply case, the OCA’s participation in the proceeding, and the proposed inclusion of the activities in next year’s PGC Exhibit No. 6 will address the OCA’s concerns for the instant case.  OCA St. in Support, p. 5.</w:t>
      </w:r>
    </w:p>
    <w:p w:rsidR="006F231F" w:rsidRDefault="006F231F" w:rsidP="00C26756">
      <w:pPr>
        <w:spacing w:line="360" w:lineRule="auto"/>
        <w:ind w:firstLine="1440"/>
        <w:jc w:val="left"/>
        <w:rPr>
          <w:sz w:val="24"/>
          <w:szCs w:val="24"/>
        </w:rPr>
      </w:pPr>
    </w:p>
    <w:p w:rsidR="006F231F" w:rsidRDefault="006F231F" w:rsidP="00C26756">
      <w:pPr>
        <w:spacing w:line="360" w:lineRule="auto"/>
        <w:ind w:firstLine="1440"/>
        <w:jc w:val="left"/>
        <w:rPr>
          <w:sz w:val="24"/>
          <w:szCs w:val="24"/>
        </w:rPr>
      </w:pPr>
      <w:r w:rsidRPr="006F231F">
        <w:rPr>
          <w:sz w:val="24"/>
          <w:szCs w:val="24"/>
        </w:rPr>
        <w:t xml:space="preserve">The OCA submits that the terms of the Settlement are in the public interest and in the interest of </w:t>
      </w:r>
      <w:r>
        <w:rPr>
          <w:sz w:val="24"/>
          <w:szCs w:val="24"/>
        </w:rPr>
        <w:t xml:space="preserve">Distribution’s </w:t>
      </w:r>
      <w:r w:rsidRPr="006F231F">
        <w:rPr>
          <w:sz w:val="24"/>
          <w:szCs w:val="24"/>
        </w:rPr>
        <w:t xml:space="preserve">ratepayers.  Based on the above reasons, the </w:t>
      </w:r>
      <w:r>
        <w:rPr>
          <w:sz w:val="24"/>
          <w:szCs w:val="24"/>
        </w:rPr>
        <w:t>OCA</w:t>
      </w:r>
      <w:r w:rsidRPr="006F231F">
        <w:rPr>
          <w:sz w:val="24"/>
          <w:szCs w:val="24"/>
        </w:rPr>
        <w:t xml:space="preserve"> submits that the proposed Settlement should be approved.</w:t>
      </w:r>
      <w:r>
        <w:rPr>
          <w:sz w:val="24"/>
          <w:szCs w:val="24"/>
        </w:rPr>
        <w:t xml:space="preserve">  OCA St. in Support, p. 6.</w:t>
      </w:r>
    </w:p>
    <w:p w:rsidR="006F231F" w:rsidRDefault="006F231F" w:rsidP="006F231F">
      <w:pPr>
        <w:spacing w:line="360" w:lineRule="auto"/>
        <w:jc w:val="left"/>
        <w:rPr>
          <w:sz w:val="24"/>
          <w:szCs w:val="24"/>
        </w:rPr>
      </w:pPr>
    </w:p>
    <w:p w:rsidR="006F231F" w:rsidRDefault="006F231F" w:rsidP="006F231F">
      <w:pPr>
        <w:spacing w:line="360" w:lineRule="auto"/>
        <w:rPr>
          <w:sz w:val="24"/>
          <w:szCs w:val="24"/>
        </w:rPr>
      </w:pPr>
      <w:r>
        <w:rPr>
          <w:sz w:val="24"/>
          <w:szCs w:val="24"/>
        </w:rPr>
        <w:tab/>
        <w:t>4.</w:t>
      </w:r>
      <w:r>
        <w:rPr>
          <w:sz w:val="24"/>
          <w:szCs w:val="24"/>
        </w:rPr>
        <w:tab/>
      </w:r>
      <w:r>
        <w:rPr>
          <w:sz w:val="24"/>
          <w:szCs w:val="24"/>
          <w:u w:val="single"/>
        </w:rPr>
        <w:t>OSBA’s Position</w:t>
      </w:r>
    </w:p>
    <w:p w:rsidR="006F231F" w:rsidRPr="006F231F" w:rsidRDefault="006F231F" w:rsidP="006F231F">
      <w:pPr>
        <w:spacing w:line="360" w:lineRule="auto"/>
        <w:rPr>
          <w:sz w:val="24"/>
          <w:szCs w:val="24"/>
        </w:rPr>
      </w:pPr>
      <w:r>
        <w:rPr>
          <w:sz w:val="24"/>
          <w:szCs w:val="24"/>
        </w:rPr>
        <w:tab/>
      </w:r>
      <w:r>
        <w:rPr>
          <w:sz w:val="24"/>
          <w:szCs w:val="24"/>
        </w:rPr>
        <w:tab/>
      </w:r>
    </w:p>
    <w:p w:rsidR="00C26756" w:rsidRDefault="006F231F" w:rsidP="00C26756">
      <w:pPr>
        <w:spacing w:line="360" w:lineRule="auto"/>
        <w:jc w:val="left"/>
        <w:rPr>
          <w:sz w:val="24"/>
          <w:szCs w:val="24"/>
        </w:rPr>
      </w:pPr>
      <w:r>
        <w:rPr>
          <w:sz w:val="24"/>
          <w:szCs w:val="24"/>
        </w:rPr>
        <w:tab/>
      </w:r>
      <w:r>
        <w:rPr>
          <w:sz w:val="24"/>
          <w:szCs w:val="24"/>
        </w:rPr>
        <w:tab/>
      </w:r>
      <w:r w:rsidR="007A6C06">
        <w:rPr>
          <w:sz w:val="24"/>
          <w:szCs w:val="24"/>
        </w:rPr>
        <w:t>There were two issues addresse</w:t>
      </w:r>
      <w:r w:rsidR="00C03ED7">
        <w:rPr>
          <w:sz w:val="24"/>
          <w:szCs w:val="24"/>
        </w:rPr>
        <w:t>d</w:t>
      </w:r>
      <w:r w:rsidR="00925819">
        <w:rPr>
          <w:sz w:val="24"/>
          <w:szCs w:val="24"/>
        </w:rPr>
        <w:t xml:space="preserve"> by the OSBA </w:t>
      </w:r>
      <w:r w:rsidR="00C03ED7">
        <w:rPr>
          <w:sz w:val="24"/>
          <w:szCs w:val="24"/>
        </w:rPr>
        <w:t>in its Statement in Support</w:t>
      </w:r>
      <w:r w:rsidR="00925819">
        <w:rPr>
          <w:sz w:val="24"/>
          <w:szCs w:val="24"/>
        </w:rPr>
        <w:t xml:space="preserve"> of the Settlement</w:t>
      </w:r>
      <w:r w:rsidR="00C03ED7">
        <w:rPr>
          <w:sz w:val="24"/>
          <w:szCs w:val="24"/>
        </w:rPr>
        <w:t>, the</w:t>
      </w:r>
      <w:r w:rsidR="007A6C06">
        <w:rPr>
          <w:sz w:val="24"/>
          <w:szCs w:val="24"/>
        </w:rPr>
        <w:t xml:space="preserve"> retainage rate and </w:t>
      </w:r>
      <w:r w:rsidR="00C03ED7">
        <w:rPr>
          <w:sz w:val="24"/>
          <w:szCs w:val="24"/>
        </w:rPr>
        <w:t>Distribution’s proposed gas cost management plan.  OSBA St. in Support, pp. 2-8.</w:t>
      </w:r>
    </w:p>
    <w:p w:rsidR="00C03ED7" w:rsidRDefault="00C03ED7" w:rsidP="00C26756">
      <w:pPr>
        <w:spacing w:line="360" w:lineRule="auto"/>
        <w:jc w:val="left"/>
        <w:rPr>
          <w:sz w:val="24"/>
          <w:szCs w:val="24"/>
        </w:rPr>
      </w:pPr>
    </w:p>
    <w:p w:rsidR="00C03ED7" w:rsidRDefault="00C03ED7" w:rsidP="00C03ED7">
      <w:pPr>
        <w:spacing w:line="360" w:lineRule="auto"/>
        <w:ind w:left="720"/>
        <w:rPr>
          <w:sz w:val="24"/>
          <w:szCs w:val="24"/>
        </w:rPr>
      </w:pPr>
      <w:r>
        <w:rPr>
          <w:sz w:val="24"/>
          <w:szCs w:val="24"/>
        </w:rPr>
        <w:t>a.</w:t>
      </w:r>
      <w:r>
        <w:rPr>
          <w:sz w:val="24"/>
          <w:szCs w:val="24"/>
        </w:rPr>
        <w:tab/>
      </w:r>
      <w:r w:rsidRPr="00C03ED7">
        <w:rPr>
          <w:sz w:val="24"/>
          <w:szCs w:val="24"/>
          <w:u w:val="single"/>
        </w:rPr>
        <w:t>Retainage Rate</w:t>
      </w:r>
    </w:p>
    <w:p w:rsidR="00C03ED7" w:rsidRDefault="00C03ED7" w:rsidP="00C03ED7">
      <w:pPr>
        <w:spacing w:line="360" w:lineRule="auto"/>
        <w:ind w:left="720"/>
        <w:rPr>
          <w:sz w:val="24"/>
          <w:szCs w:val="24"/>
        </w:rPr>
      </w:pPr>
    </w:p>
    <w:p w:rsidR="00C03ED7" w:rsidRDefault="00C03ED7" w:rsidP="00C03ED7">
      <w:pPr>
        <w:spacing w:line="360" w:lineRule="auto"/>
        <w:ind w:firstLine="1440"/>
        <w:jc w:val="left"/>
        <w:rPr>
          <w:sz w:val="24"/>
          <w:szCs w:val="24"/>
        </w:rPr>
      </w:pPr>
      <w:r>
        <w:rPr>
          <w:sz w:val="24"/>
          <w:szCs w:val="24"/>
        </w:rPr>
        <w:t>The OSBA’s witness, Robert D. K</w:t>
      </w:r>
      <w:r w:rsidRPr="00C03ED7">
        <w:rPr>
          <w:sz w:val="24"/>
          <w:szCs w:val="24"/>
        </w:rPr>
        <w:t>necht</w:t>
      </w:r>
      <w:r w:rsidR="00D9402A">
        <w:rPr>
          <w:sz w:val="24"/>
          <w:szCs w:val="24"/>
        </w:rPr>
        <w:t>,</w:t>
      </w:r>
      <w:r w:rsidRPr="00C03ED7">
        <w:rPr>
          <w:sz w:val="24"/>
          <w:szCs w:val="24"/>
        </w:rPr>
        <w:t xml:space="preserve"> recommended that </w:t>
      </w:r>
      <w:r>
        <w:rPr>
          <w:sz w:val="24"/>
          <w:szCs w:val="24"/>
        </w:rPr>
        <w:t xml:space="preserve">Distribution’s </w:t>
      </w:r>
      <w:r w:rsidRPr="00C03ED7">
        <w:rPr>
          <w:sz w:val="24"/>
          <w:szCs w:val="24"/>
        </w:rPr>
        <w:t xml:space="preserve">retainage rate should be set “to a rolling historical average rate.”  </w:t>
      </w:r>
      <w:r>
        <w:rPr>
          <w:sz w:val="24"/>
          <w:szCs w:val="24"/>
        </w:rPr>
        <w:t>OSBA St. No. 1, p. 3</w:t>
      </w:r>
      <w:r w:rsidRPr="00C03ED7">
        <w:rPr>
          <w:sz w:val="24"/>
          <w:szCs w:val="24"/>
        </w:rPr>
        <w:t>.  For example, if a three</w:t>
      </w:r>
      <w:r w:rsidR="00D9402A">
        <w:rPr>
          <w:sz w:val="24"/>
          <w:szCs w:val="24"/>
        </w:rPr>
        <w:t>-</w:t>
      </w:r>
      <w:r w:rsidRPr="00C03ED7">
        <w:rPr>
          <w:sz w:val="24"/>
          <w:szCs w:val="24"/>
        </w:rPr>
        <w:t>year average is used, the retainage rate would be set to 0.05% as set forth in Table IEc-1</w:t>
      </w:r>
      <w:r w:rsidR="002D192E">
        <w:rPr>
          <w:sz w:val="24"/>
          <w:szCs w:val="24"/>
        </w:rPr>
        <w:t xml:space="preserve">.  </w:t>
      </w:r>
      <w:r w:rsidR="002D192E">
        <w:rPr>
          <w:i/>
          <w:sz w:val="24"/>
          <w:szCs w:val="24"/>
          <w:u w:val="single"/>
        </w:rPr>
        <w:t>Id.</w:t>
      </w:r>
      <w:r w:rsidR="002D192E">
        <w:rPr>
          <w:sz w:val="24"/>
          <w:szCs w:val="24"/>
        </w:rPr>
        <w:t xml:space="preserve">  </w:t>
      </w:r>
      <w:r w:rsidRPr="00C03ED7">
        <w:rPr>
          <w:sz w:val="24"/>
          <w:szCs w:val="24"/>
        </w:rPr>
        <w:t xml:space="preserve">If a five year average is used, Mr. Knecht calculated that the retainage rate would be set to 0.20%.  </w:t>
      </w:r>
      <w:r w:rsidRPr="00E13E06">
        <w:rPr>
          <w:i/>
          <w:sz w:val="24"/>
          <w:szCs w:val="24"/>
          <w:u w:val="single"/>
        </w:rPr>
        <w:t>Id</w:t>
      </w:r>
      <w:r w:rsidRPr="00E13E06">
        <w:rPr>
          <w:sz w:val="24"/>
          <w:szCs w:val="24"/>
          <w:u w:val="single"/>
        </w:rPr>
        <w:t>.</w:t>
      </w:r>
      <w:r w:rsidRPr="00C03ED7">
        <w:rPr>
          <w:sz w:val="24"/>
          <w:szCs w:val="24"/>
        </w:rPr>
        <w:t xml:space="preserve">  In contrast, </w:t>
      </w:r>
      <w:r w:rsidR="002D192E">
        <w:rPr>
          <w:sz w:val="24"/>
          <w:szCs w:val="24"/>
        </w:rPr>
        <w:t>Distribution o</w:t>
      </w:r>
      <w:r w:rsidRPr="00C03ED7">
        <w:rPr>
          <w:sz w:val="24"/>
          <w:szCs w:val="24"/>
        </w:rPr>
        <w:t xml:space="preserve">riginally proposed that the retainage rate be set at 0.46%.  </w:t>
      </w:r>
      <w:r w:rsidRPr="00C03ED7">
        <w:rPr>
          <w:i/>
          <w:sz w:val="24"/>
          <w:szCs w:val="24"/>
        </w:rPr>
        <w:t>See</w:t>
      </w:r>
      <w:r w:rsidRPr="00C03ED7">
        <w:rPr>
          <w:sz w:val="24"/>
          <w:szCs w:val="24"/>
        </w:rPr>
        <w:t xml:space="preserve"> </w:t>
      </w:r>
      <w:r>
        <w:rPr>
          <w:sz w:val="24"/>
          <w:szCs w:val="24"/>
        </w:rPr>
        <w:t>PGC</w:t>
      </w:r>
      <w:r w:rsidRPr="00C03ED7">
        <w:rPr>
          <w:sz w:val="24"/>
          <w:szCs w:val="24"/>
        </w:rPr>
        <w:t xml:space="preserve"> Statement No. 2, </w:t>
      </w:r>
      <w:r>
        <w:rPr>
          <w:sz w:val="24"/>
          <w:szCs w:val="24"/>
        </w:rPr>
        <w:t>p. 7; OSBA St. in Support, p.</w:t>
      </w:r>
      <w:r w:rsidR="00D9402A">
        <w:rPr>
          <w:sz w:val="24"/>
          <w:szCs w:val="24"/>
        </w:rPr>
        <w:t xml:space="preserve"> 3.</w:t>
      </w:r>
    </w:p>
    <w:p w:rsidR="002D192E" w:rsidRDefault="002D192E" w:rsidP="002D192E">
      <w:pPr>
        <w:spacing w:line="360" w:lineRule="auto"/>
        <w:jc w:val="left"/>
        <w:rPr>
          <w:sz w:val="24"/>
          <w:szCs w:val="24"/>
        </w:rPr>
      </w:pPr>
    </w:p>
    <w:p w:rsidR="002D192E" w:rsidRDefault="002D192E" w:rsidP="002D192E">
      <w:pPr>
        <w:spacing w:line="360" w:lineRule="auto"/>
        <w:ind w:firstLine="1440"/>
        <w:jc w:val="left"/>
        <w:rPr>
          <w:sz w:val="24"/>
          <w:szCs w:val="24"/>
        </w:rPr>
      </w:pPr>
      <w:r>
        <w:rPr>
          <w:sz w:val="24"/>
          <w:szCs w:val="24"/>
        </w:rPr>
        <w:t>The OSBA submits that t</w:t>
      </w:r>
      <w:r w:rsidR="00C03ED7" w:rsidRPr="002D192E">
        <w:rPr>
          <w:sz w:val="24"/>
          <w:szCs w:val="24"/>
        </w:rPr>
        <w:t xml:space="preserve">he </w:t>
      </w:r>
      <w:r>
        <w:rPr>
          <w:sz w:val="24"/>
          <w:szCs w:val="24"/>
        </w:rPr>
        <w:t xml:space="preserve">Settlement </w:t>
      </w:r>
      <w:r w:rsidR="00C03ED7" w:rsidRPr="002D192E">
        <w:rPr>
          <w:sz w:val="24"/>
          <w:szCs w:val="24"/>
        </w:rPr>
        <w:t>resolves this issue by setting the retainage rate to 0.31%.  The retainage rate is calculated by adding a LUFG rate of 0.29% to a C</w:t>
      </w:r>
      <w:r>
        <w:rPr>
          <w:sz w:val="24"/>
          <w:szCs w:val="24"/>
        </w:rPr>
        <w:t xml:space="preserve">ompany Use </w:t>
      </w:r>
      <w:r w:rsidR="00C03ED7" w:rsidRPr="002D192E">
        <w:rPr>
          <w:sz w:val="24"/>
          <w:szCs w:val="24"/>
        </w:rPr>
        <w:t xml:space="preserve">rate of 0.02%.  Furthermore, </w:t>
      </w:r>
      <w:r>
        <w:rPr>
          <w:sz w:val="24"/>
          <w:szCs w:val="24"/>
        </w:rPr>
        <w:t xml:space="preserve">the OSBA points out, </w:t>
      </w:r>
      <w:r w:rsidR="00C03ED7" w:rsidRPr="002D192E">
        <w:rPr>
          <w:sz w:val="24"/>
          <w:szCs w:val="24"/>
        </w:rPr>
        <w:t>the LUFG is itself calculated by taking the median of the LUFG percentages for the 12</w:t>
      </w:r>
      <w:r>
        <w:rPr>
          <w:sz w:val="24"/>
          <w:szCs w:val="24"/>
        </w:rPr>
        <w:t>-</w:t>
      </w:r>
      <w:r w:rsidR="00C03ED7" w:rsidRPr="002D192E">
        <w:rPr>
          <w:sz w:val="24"/>
          <w:szCs w:val="24"/>
        </w:rPr>
        <w:t xml:space="preserve">month periods ended July 2007-2011.  </w:t>
      </w:r>
      <w:r w:rsidR="00C03ED7" w:rsidRPr="002D192E">
        <w:rPr>
          <w:i/>
          <w:sz w:val="24"/>
          <w:szCs w:val="24"/>
        </w:rPr>
        <w:t>See</w:t>
      </w:r>
      <w:r w:rsidR="00C03ED7" w:rsidRPr="002D192E">
        <w:rPr>
          <w:sz w:val="24"/>
          <w:szCs w:val="24"/>
        </w:rPr>
        <w:t xml:space="preserve"> </w:t>
      </w:r>
      <w:r>
        <w:rPr>
          <w:sz w:val="24"/>
          <w:szCs w:val="24"/>
        </w:rPr>
        <w:t xml:space="preserve">PGC </w:t>
      </w:r>
      <w:r w:rsidR="00C03ED7" w:rsidRPr="002D192E">
        <w:rPr>
          <w:sz w:val="24"/>
          <w:szCs w:val="24"/>
        </w:rPr>
        <w:t xml:space="preserve">Statement No. 2, Table TJC-2.  </w:t>
      </w:r>
      <w:r>
        <w:rPr>
          <w:sz w:val="24"/>
          <w:szCs w:val="24"/>
        </w:rPr>
        <w:t>According to the OSBA, t</w:t>
      </w:r>
      <w:r w:rsidR="00C03ED7" w:rsidRPr="002D192E">
        <w:rPr>
          <w:sz w:val="24"/>
          <w:szCs w:val="24"/>
        </w:rPr>
        <w:t>he methodology used by the</w:t>
      </w:r>
      <w:r>
        <w:rPr>
          <w:sz w:val="24"/>
          <w:szCs w:val="24"/>
        </w:rPr>
        <w:t xml:space="preserve"> Settlement</w:t>
      </w:r>
      <w:r w:rsidR="00C03ED7" w:rsidRPr="002D192E">
        <w:rPr>
          <w:sz w:val="24"/>
          <w:szCs w:val="24"/>
        </w:rPr>
        <w:t>, namely the use of the median of the five years of data is similar to the five year “rolling historical average rate” approach deemed reasonable by Mr. Knecht.</w:t>
      </w:r>
      <w:r w:rsidRPr="002D192E">
        <w:rPr>
          <w:sz w:val="24"/>
          <w:szCs w:val="24"/>
        </w:rPr>
        <w:t xml:space="preserve">  OSBA St. in Support, pp. 3-4.</w:t>
      </w:r>
      <w:r>
        <w:rPr>
          <w:sz w:val="24"/>
          <w:szCs w:val="24"/>
        </w:rPr>
        <w:t xml:space="preserve">  </w:t>
      </w:r>
    </w:p>
    <w:p w:rsidR="002D192E" w:rsidRDefault="002D192E" w:rsidP="002D192E">
      <w:pPr>
        <w:spacing w:line="360" w:lineRule="auto"/>
        <w:jc w:val="left"/>
        <w:rPr>
          <w:sz w:val="24"/>
          <w:szCs w:val="24"/>
        </w:rPr>
      </w:pPr>
    </w:p>
    <w:p w:rsidR="00C03ED7" w:rsidRDefault="00C03ED7" w:rsidP="002D192E">
      <w:pPr>
        <w:spacing w:line="360" w:lineRule="auto"/>
        <w:ind w:firstLine="1440"/>
        <w:jc w:val="left"/>
        <w:rPr>
          <w:sz w:val="24"/>
          <w:szCs w:val="24"/>
        </w:rPr>
      </w:pPr>
      <w:r w:rsidRPr="002D192E">
        <w:rPr>
          <w:sz w:val="24"/>
          <w:szCs w:val="24"/>
        </w:rPr>
        <w:t xml:space="preserve">Therefore, the OSBA submits that the retainage rate methodology, as set forth in the </w:t>
      </w:r>
      <w:r w:rsidR="002D192E">
        <w:rPr>
          <w:sz w:val="24"/>
          <w:szCs w:val="24"/>
        </w:rPr>
        <w:t>Settlemenet</w:t>
      </w:r>
      <w:r w:rsidRPr="002D192E">
        <w:rPr>
          <w:sz w:val="24"/>
          <w:szCs w:val="24"/>
        </w:rPr>
        <w:t xml:space="preserve">, is a reasonable resolution to this issue and is consistent with the testimony of Mr. Knecht.  Although the </w:t>
      </w:r>
      <w:r w:rsidR="002D192E">
        <w:rPr>
          <w:sz w:val="24"/>
          <w:szCs w:val="24"/>
        </w:rPr>
        <w:t xml:space="preserve">Settlement </w:t>
      </w:r>
      <w:r w:rsidRPr="002D192E">
        <w:rPr>
          <w:sz w:val="24"/>
          <w:szCs w:val="24"/>
        </w:rPr>
        <w:t xml:space="preserve">does not adopt a permanent formula by which the retainage rate can be calculated in future Section 1307(f) proceedings, </w:t>
      </w:r>
      <w:r w:rsidR="002D192E">
        <w:rPr>
          <w:sz w:val="24"/>
          <w:szCs w:val="24"/>
        </w:rPr>
        <w:t xml:space="preserve">the OSBA concludes </w:t>
      </w:r>
      <w:r w:rsidRPr="002D192E">
        <w:rPr>
          <w:sz w:val="24"/>
          <w:szCs w:val="24"/>
        </w:rPr>
        <w:t xml:space="preserve">the methodology set forth in the </w:t>
      </w:r>
      <w:r w:rsidR="002D192E">
        <w:rPr>
          <w:sz w:val="24"/>
          <w:szCs w:val="24"/>
        </w:rPr>
        <w:t>Settlement</w:t>
      </w:r>
      <w:r w:rsidRPr="002D192E">
        <w:rPr>
          <w:sz w:val="24"/>
          <w:szCs w:val="24"/>
        </w:rPr>
        <w:t xml:space="preserve"> is a fair resolution for this proceeding.</w:t>
      </w:r>
    </w:p>
    <w:p w:rsidR="000A6659" w:rsidRDefault="000A6659" w:rsidP="000A6659">
      <w:pPr>
        <w:spacing w:line="360" w:lineRule="auto"/>
        <w:jc w:val="left"/>
        <w:rPr>
          <w:sz w:val="24"/>
          <w:szCs w:val="24"/>
        </w:rPr>
      </w:pPr>
    </w:p>
    <w:p w:rsidR="00FB5A34" w:rsidRDefault="00FB5A34" w:rsidP="000A6659">
      <w:pPr>
        <w:spacing w:line="360" w:lineRule="auto"/>
        <w:jc w:val="left"/>
        <w:rPr>
          <w:sz w:val="24"/>
          <w:szCs w:val="24"/>
        </w:rPr>
      </w:pPr>
    </w:p>
    <w:p w:rsidR="000A6659" w:rsidRDefault="000A6659" w:rsidP="000A6659">
      <w:pPr>
        <w:spacing w:line="360" w:lineRule="auto"/>
        <w:jc w:val="left"/>
        <w:rPr>
          <w:sz w:val="24"/>
          <w:szCs w:val="24"/>
        </w:rPr>
      </w:pPr>
      <w:r>
        <w:rPr>
          <w:sz w:val="24"/>
          <w:szCs w:val="24"/>
        </w:rPr>
        <w:tab/>
        <w:t>b.</w:t>
      </w:r>
      <w:r>
        <w:rPr>
          <w:sz w:val="24"/>
          <w:szCs w:val="24"/>
        </w:rPr>
        <w:tab/>
      </w:r>
      <w:r>
        <w:rPr>
          <w:sz w:val="24"/>
          <w:szCs w:val="24"/>
          <w:u w:val="single"/>
        </w:rPr>
        <w:t>Distribution’s Proposed Cost Management Plan</w:t>
      </w:r>
    </w:p>
    <w:p w:rsidR="000A6659" w:rsidRDefault="000A6659" w:rsidP="000A6659">
      <w:pPr>
        <w:spacing w:line="360" w:lineRule="auto"/>
        <w:jc w:val="left"/>
        <w:rPr>
          <w:sz w:val="24"/>
          <w:szCs w:val="24"/>
        </w:rPr>
      </w:pPr>
    </w:p>
    <w:p w:rsidR="00F53F0E" w:rsidRPr="00F53F0E" w:rsidRDefault="00F53F0E" w:rsidP="00F53F0E">
      <w:pPr>
        <w:spacing w:line="360" w:lineRule="auto"/>
        <w:ind w:firstLine="1440"/>
        <w:jc w:val="left"/>
        <w:rPr>
          <w:sz w:val="24"/>
          <w:szCs w:val="24"/>
        </w:rPr>
      </w:pPr>
      <w:r w:rsidRPr="00F53F0E">
        <w:rPr>
          <w:sz w:val="24"/>
          <w:szCs w:val="24"/>
        </w:rPr>
        <w:t>The OSBA’s witness, Mr. Knecht, summarized the modification to the gas cost management plan proposed by</w:t>
      </w:r>
      <w:r w:rsidR="005B14E6">
        <w:rPr>
          <w:sz w:val="24"/>
          <w:szCs w:val="24"/>
        </w:rPr>
        <w:t xml:space="preserve"> the Company in this proceeding,</w:t>
      </w:r>
    </w:p>
    <w:p w:rsidR="00F53F0E" w:rsidRPr="00F53F0E" w:rsidRDefault="00F53F0E" w:rsidP="00F53F0E">
      <w:pPr>
        <w:ind w:left="1440" w:right="1440"/>
        <w:jc w:val="left"/>
        <w:rPr>
          <w:sz w:val="24"/>
          <w:szCs w:val="24"/>
        </w:rPr>
      </w:pPr>
      <w:r w:rsidRPr="00F53F0E">
        <w:rPr>
          <w:sz w:val="24"/>
          <w:szCs w:val="24"/>
        </w:rPr>
        <w:t>As explained at pages 13 to 15 of Mr. Polka’s testimony (NFGD PGC Statement No. 6), the Company proposes to modify its plan such that it will reduce the share of its winter gas supply requirements purchased through forward market contracts in the preceding summer from 33 percent to 20 percent.  Mr. Polka bases this proposal on the ready availability of gas due to the expansion of shale gas production and the relative stability of gas prices since January 2010.</w:t>
      </w:r>
    </w:p>
    <w:p w:rsidR="00F53F0E" w:rsidRDefault="00F53F0E" w:rsidP="00F53F0E">
      <w:pPr>
        <w:ind w:left="1440" w:right="1440"/>
      </w:pPr>
    </w:p>
    <w:p w:rsidR="00F53F0E" w:rsidRDefault="00F53F0E" w:rsidP="00F53F0E">
      <w:pPr>
        <w:spacing w:line="480" w:lineRule="auto"/>
        <w:rPr>
          <w:sz w:val="24"/>
          <w:szCs w:val="24"/>
        </w:rPr>
      </w:pPr>
      <w:r w:rsidRPr="00F53F0E">
        <w:rPr>
          <w:sz w:val="24"/>
          <w:szCs w:val="24"/>
        </w:rPr>
        <w:t>OSBA Statement No. 1, p. 4.</w:t>
      </w:r>
    </w:p>
    <w:p w:rsidR="00F53F0E" w:rsidRPr="00F53F0E" w:rsidRDefault="00F53F0E" w:rsidP="00F53F0E">
      <w:pPr>
        <w:spacing w:line="360" w:lineRule="auto"/>
        <w:ind w:firstLine="1440"/>
        <w:jc w:val="left"/>
        <w:rPr>
          <w:sz w:val="24"/>
          <w:szCs w:val="24"/>
        </w:rPr>
      </w:pPr>
      <w:r w:rsidRPr="00F53F0E">
        <w:rPr>
          <w:sz w:val="24"/>
          <w:szCs w:val="24"/>
        </w:rPr>
        <w:t xml:space="preserve">Mr. Knecht originally opposed the Company’s proposed reduction of forward market contracts.  </w:t>
      </w:r>
      <w:r w:rsidRPr="00F53F0E">
        <w:rPr>
          <w:i/>
          <w:sz w:val="24"/>
          <w:szCs w:val="24"/>
        </w:rPr>
        <w:t>See</w:t>
      </w:r>
      <w:r w:rsidRPr="00F53F0E">
        <w:rPr>
          <w:sz w:val="24"/>
          <w:szCs w:val="24"/>
        </w:rPr>
        <w:t xml:space="preserve"> OSBA St</w:t>
      </w:r>
      <w:r>
        <w:rPr>
          <w:sz w:val="24"/>
          <w:szCs w:val="24"/>
        </w:rPr>
        <w:t xml:space="preserve">. </w:t>
      </w:r>
      <w:r w:rsidRPr="00F53F0E">
        <w:rPr>
          <w:sz w:val="24"/>
          <w:szCs w:val="24"/>
        </w:rPr>
        <w:t xml:space="preserve">No. 1, </w:t>
      </w:r>
      <w:r>
        <w:rPr>
          <w:sz w:val="24"/>
          <w:szCs w:val="24"/>
        </w:rPr>
        <w:t>pp.</w:t>
      </w:r>
      <w:r w:rsidRPr="00F53F0E">
        <w:rPr>
          <w:sz w:val="24"/>
          <w:szCs w:val="24"/>
        </w:rPr>
        <w:t xml:space="preserve"> 4-7.  Mr. Knecht concluded</w:t>
      </w:r>
      <w:r>
        <w:rPr>
          <w:sz w:val="24"/>
          <w:szCs w:val="24"/>
        </w:rPr>
        <w:t>,</w:t>
      </w:r>
    </w:p>
    <w:p w:rsidR="00F53F0E" w:rsidRPr="00F53F0E" w:rsidRDefault="00F53F0E" w:rsidP="00F53F0E">
      <w:pPr>
        <w:ind w:left="1440" w:right="1440"/>
        <w:jc w:val="left"/>
        <w:rPr>
          <w:sz w:val="24"/>
          <w:szCs w:val="24"/>
        </w:rPr>
      </w:pPr>
      <w:r w:rsidRPr="00F53F0E">
        <w:rPr>
          <w:sz w:val="24"/>
          <w:szCs w:val="24"/>
        </w:rPr>
        <w:t>Without greater certainty that a price spike will not occur, or without a detailed economic analysis showing that the cost of hedging during the current period of extremely low natural gas prices is resulting in unreasonably high procurement costs, I conclude that the Company has not demonstrated a need to modify the existing gas supply hedging plan at this time.</w:t>
      </w:r>
    </w:p>
    <w:p w:rsidR="00F53F0E" w:rsidRDefault="00F53F0E" w:rsidP="00F53F0E">
      <w:pPr>
        <w:ind w:left="1440" w:right="1440"/>
      </w:pPr>
    </w:p>
    <w:p w:rsidR="00F53F0E" w:rsidRPr="00F53F0E" w:rsidRDefault="00F53F0E" w:rsidP="00F53F0E">
      <w:pPr>
        <w:spacing w:line="480" w:lineRule="auto"/>
        <w:rPr>
          <w:sz w:val="24"/>
          <w:szCs w:val="24"/>
        </w:rPr>
      </w:pPr>
      <w:r w:rsidRPr="00F53F0E">
        <w:rPr>
          <w:i/>
          <w:sz w:val="24"/>
          <w:szCs w:val="24"/>
          <w:u w:val="single"/>
        </w:rPr>
        <w:t>Id</w:t>
      </w:r>
      <w:r w:rsidRPr="00F53F0E">
        <w:rPr>
          <w:sz w:val="24"/>
          <w:szCs w:val="24"/>
          <w:u w:val="single"/>
        </w:rPr>
        <w:t>.</w:t>
      </w:r>
      <w:r w:rsidRPr="00F53F0E">
        <w:rPr>
          <w:sz w:val="24"/>
          <w:szCs w:val="24"/>
        </w:rPr>
        <w:t>, at 6-7.</w:t>
      </w:r>
    </w:p>
    <w:p w:rsidR="00F53F0E" w:rsidRPr="00F53F0E" w:rsidRDefault="00F53F0E" w:rsidP="00F53F0E">
      <w:pPr>
        <w:spacing w:line="360" w:lineRule="auto"/>
        <w:ind w:firstLine="1440"/>
        <w:jc w:val="left"/>
        <w:rPr>
          <w:sz w:val="24"/>
          <w:szCs w:val="24"/>
        </w:rPr>
      </w:pPr>
      <w:r>
        <w:rPr>
          <w:sz w:val="24"/>
          <w:szCs w:val="24"/>
        </w:rPr>
        <w:t>M</w:t>
      </w:r>
      <w:r w:rsidRPr="00F53F0E">
        <w:rPr>
          <w:sz w:val="24"/>
          <w:szCs w:val="24"/>
        </w:rPr>
        <w:t xml:space="preserve">r. Knecht conducted his own analysis </w:t>
      </w:r>
      <w:r>
        <w:rPr>
          <w:sz w:val="24"/>
          <w:szCs w:val="24"/>
        </w:rPr>
        <w:t xml:space="preserve">of the Company’s proposal </w:t>
      </w:r>
      <w:r w:rsidRPr="00F53F0E">
        <w:rPr>
          <w:sz w:val="24"/>
          <w:szCs w:val="24"/>
        </w:rPr>
        <w:t>and then withdrew his opposition to the Company’s proposal based upon that analysis.  OSBA St</w:t>
      </w:r>
      <w:r>
        <w:rPr>
          <w:sz w:val="24"/>
          <w:szCs w:val="24"/>
        </w:rPr>
        <w:t xml:space="preserve">. </w:t>
      </w:r>
      <w:r w:rsidRPr="00F53F0E">
        <w:rPr>
          <w:sz w:val="24"/>
          <w:szCs w:val="24"/>
        </w:rPr>
        <w:t>No. 2,</w:t>
      </w:r>
      <w:r>
        <w:rPr>
          <w:sz w:val="24"/>
          <w:szCs w:val="24"/>
        </w:rPr>
        <w:t xml:space="preserve"> p. </w:t>
      </w:r>
      <w:r w:rsidRPr="00F53F0E">
        <w:rPr>
          <w:sz w:val="24"/>
          <w:szCs w:val="24"/>
        </w:rPr>
        <w:t>3.  Mr. Knecht explained</w:t>
      </w:r>
      <w:r w:rsidR="005B14E6">
        <w:rPr>
          <w:sz w:val="24"/>
          <w:szCs w:val="24"/>
        </w:rPr>
        <w:t>,</w:t>
      </w:r>
      <w:r w:rsidRPr="00F53F0E">
        <w:rPr>
          <w:sz w:val="24"/>
          <w:szCs w:val="24"/>
        </w:rPr>
        <w:t xml:space="preserve"> as follows:</w:t>
      </w:r>
    </w:p>
    <w:p w:rsidR="00F53F0E" w:rsidRPr="00F53F0E" w:rsidRDefault="00F53F0E" w:rsidP="00F53F0E">
      <w:pPr>
        <w:ind w:left="1440" w:right="1440"/>
        <w:jc w:val="left"/>
        <w:rPr>
          <w:sz w:val="24"/>
          <w:szCs w:val="24"/>
        </w:rPr>
      </w:pPr>
      <w:r w:rsidRPr="00F53F0E">
        <w:rPr>
          <w:sz w:val="24"/>
          <w:szCs w:val="24"/>
        </w:rPr>
        <w:t>My analysis relates to two factors:  whether the Company’s forward purchases result in higher costs than unhedged purchases, and whether the Company needs to forward purchase 33 percent of its winter supplies in order to achieve reasonable temporal diversification.</w:t>
      </w:r>
    </w:p>
    <w:p w:rsidR="00F53F0E" w:rsidRDefault="00F53F0E" w:rsidP="00F53F0E">
      <w:pPr>
        <w:ind w:left="1440" w:right="1440"/>
      </w:pPr>
    </w:p>
    <w:p w:rsidR="00F53F0E" w:rsidRPr="00F53F0E" w:rsidRDefault="00F53F0E" w:rsidP="00F53F0E">
      <w:pPr>
        <w:spacing w:line="480" w:lineRule="auto"/>
        <w:rPr>
          <w:sz w:val="24"/>
          <w:szCs w:val="24"/>
        </w:rPr>
      </w:pPr>
      <w:r w:rsidRPr="00F53F0E">
        <w:rPr>
          <w:i/>
          <w:sz w:val="24"/>
          <w:szCs w:val="24"/>
          <w:u w:val="single"/>
        </w:rPr>
        <w:t>Id</w:t>
      </w:r>
      <w:r w:rsidRPr="00F53F0E">
        <w:rPr>
          <w:sz w:val="24"/>
          <w:szCs w:val="24"/>
          <w:u w:val="single"/>
        </w:rPr>
        <w:t>.</w:t>
      </w:r>
      <w:r w:rsidRPr="00F53F0E">
        <w:rPr>
          <w:sz w:val="24"/>
          <w:szCs w:val="24"/>
        </w:rPr>
        <w:t>, at 4.</w:t>
      </w:r>
    </w:p>
    <w:p w:rsidR="00F53F0E" w:rsidRPr="00F53F0E" w:rsidRDefault="00F53F0E" w:rsidP="00F53F0E">
      <w:pPr>
        <w:spacing w:line="360" w:lineRule="auto"/>
        <w:ind w:firstLine="1440"/>
        <w:jc w:val="left"/>
        <w:rPr>
          <w:sz w:val="24"/>
          <w:szCs w:val="24"/>
        </w:rPr>
      </w:pPr>
      <w:r w:rsidRPr="00F53F0E">
        <w:rPr>
          <w:sz w:val="24"/>
          <w:szCs w:val="24"/>
        </w:rPr>
        <w:t>In regard to the first factor, whether forward purchases cost more than unhedged purchases, Mr. Knecht explained</w:t>
      </w:r>
      <w:r w:rsidR="005B14E6">
        <w:rPr>
          <w:sz w:val="24"/>
          <w:szCs w:val="24"/>
        </w:rPr>
        <w:t>,</w:t>
      </w:r>
    </w:p>
    <w:p w:rsidR="00F53F0E" w:rsidRPr="005B14E6" w:rsidRDefault="00F53F0E" w:rsidP="005B14E6">
      <w:pPr>
        <w:ind w:left="1440" w:right="1440"/>
        <w:jc w:val="left"/>
        <w:rPr>
          <w:sz w:val="24"/>
          <w:szCs w:val="24"/>
        </w:rPr>
      </w:pPr>
      <w:r w:rsidRPr="005B14E6">
        <w:rPr>
          <w:sz w:val="24"/>
          <w:szCs w:val="24"/>
        </w:rPr>
        <w:t>From a theoretical standpoint, this is a question as to whether the forward market prices are biased upward.  That is, are actual spot market prices systematically below those that were implicitly predicted in the forward markets?</w:t>
      </w:r>
    </w:p>
    <w:p w:rsidR="00F53F0E" w:rsidRDefault="00F53F0E" w:rsidP="00F53F0E">
      <w:pPr>
        <w:ind w:left="1440" w:right="1440"/>
      </w:pPr>
    </w:p>
    <w:p w:rsidR="00F53F0E" w:rsidRPr="005B14E6" w:rsidRDefault="00F53F0E" w:rsidP="00F53F0E">
      <w:pPr>
        <w:spacing w:line="480" w:lineRule="auto"/>
        <w:rPr>
          <w:sz w:val="24"/>
          <w:szCs w:val="24"/>
        </w:rPr>
      </w:pPr>
      <w:r w:rsidRPr="005B14E6">
        <w:rPr>
          <w:sz w:val="24"/>
          <w:szCs w:val="24"/>
        </w:rPr>
        <w:t>OSBA St</w:t>
      </w:r>
      <w:r w:rsidR="005B14E6">
        <w:rPr>
          <w:sz w:val="24"/>
          <w:szCs w:val="24"/>
        </w:rPr>
        <w:t>.</w:t>
      </w:r>
      <w:r w:rsidRPr="005B14E6">
        <w:rPr>
          <w:sz w:val="24"/>
          <w:szCs w:val="24"/>
        </w:rPr>
        <w:t xml:space="preserve"> No. 2, </w:t>
      </w:r>
      <w:r w:rsidR="005B14E6">
        <w:rPr>
          <w:sz w:val="24"/>
          <w:szCs w:val="24"/>
        </w:rPr>
        <w:t xml:space="preserve">p. </w:t>
      </w:r>
      <w:r w:rsidRPr="005B14E6">
        <w:rPr>
          <w:sz w:val="24"/>
          <w:szCs w:val="24"/>
        </w:rPr>
        <w:t>4.</w:t>
      </w:r>
    </w:p>
    <w:p w:rsidR="00F53F0E" w:rsidRPr="005B14E6" w:rsidRDefault="00F53F0E" w:rsidP="005B14E6">
      <w:pPr>
        <w:spacing w:line="360" w:lineRule="auto"/>
        <w:ind w:firstLine="1440"/>
        <w:jc w:val="left"/>
        <w:rPr>
          <w:sz w:val="24"/>
          <w:szCs w:val="24"/>
        </w:rPr>
      </w:pPr>
      <w:r w:rsidRPr="005B14E6">
        <w:rPr>
          <w:sz w:val="24"/>
          <w:szCs w:val="24"/>
        </w:rPr>
        <w:t>Mr. Knecht observed</w:t>
      </w:r>
      <w:r w:rsidR="005B14E6">
        <w:rPr>
          <w:sz w:val="24"/>
          <w:szCs w:val="24"/>
        </w:rPr>
        <w:t>, as follows</w:t>
      </w:r>
      <w:r w:rsidRPr="005B14E6">
        <w:rPr>
          <w:sz w:val="24"/>
          <w:szCs w:val="24"/>
        </w:rPr>
        <w:t>:</w:t>
      </w:r>
    </w:p>
    <w:p w:rsidR="00F53F0E" w:rsidRPr="005B14E6" w:rsidRDefault="00F53F0E" w:rsidP="005B14E6">
      <w:pPr>
        <w:ind w:left="1440" w:right="1440"/>
        <w:jc w:val="left"/>
        <w:rPr>
          <w:sz w:val="24"/>
          <w:szCs w:val="24"/>
        </w:rPr>
      </w:pPr>
      <w:r w:rsidRPr="005B14E6">
        <w:rPr>
          <w:sz w:val="24"/>
          <w:szCs w:val="24"/>
        </w:rPr>
        <w:t>NFGD’s own recent experience indicates that, for the past three years, the forward market prices at which NFGD was able to lock in supplies exceeded the market prices at the time the gas was delivered.  Based on the monthly data provide in I&amp;E-37, I prepared a comparison of the hedged ‘forward’ market prices with the unhedged monthly and daily prices for each month.</w:t>
      </w:r>
    </w:p>
    <w:p w:rsidR="00F53F0E" w:rsidRDefault="00F53F0E" w:rsidP="00F53F0E">
      <w:pPr>
        <w:ind w:left="1440" w:right="1440"/>
      </w:pPr>
    </w:p>
    <w:p w:rsidR="00F53F0E" w:rsidRPr="005B14E6" w:rsidRDefault="00F53F0E" w:rsidP="005B14E6">
      <w:pPr>
        <w:ind w:left="1440" w:right="1440"/>
        <w:jc w:val="left"/>
        <w:rPr>
          <w:sz w:val="24"/>
          <w:szCs w:val="24"/>
        </w:rPr>
      </w:pPr>
      <w:r w:rsidRPr="005B14E6">
        <w:rPr>
          <w:sz w:val="24"/>
          <w:szCs w:val="24"/>
        </w:rPr>
        <w:t>For the entire period, the average monthly hedged prices exceeded the unhedged prices in every month except one.  During this three-year period, the premium associated with hedging amounted to over $44 million, or nearly 13 percent of purchased gas costs.  Of that, about $17 million was a winter (November to March) premium (10.5 percent) and $27 million was non-winter hedging premium (14.8 percent).  The hedging premiums were the highest in 2009 and have trended down since that time, but remain positive through 2011.</w:t>
      </w:r>
    </w:p>
    <w:p w:rsidR="00F53F0E" w:rsidRDefault="00F53F0E" w:rsidP="00F53F0E">
      <w:pPr>
        <w:ind w:left="1440" w:right="1440"/>
      </w:pPr>
    </w:p>
    <w:p w:rsidR="00F53F0E" w:rsidRPr="005B14E6" w:rsidRDefault="00F53F0E" w:rsidP="005B14E6">
      <w:pPr>
        <w:spacing w:line="360" w:lineRule="auto"/>
        <w:jc w:val="left"/>
        <w:rPr>
          <w:sz w:val="24"/>
          <w:szCs w:val="24"/>
        </w:rPr>
      </w:pPr>
      <w:r w:rsidRPr="005B14E6">
        <w:rPr>
          <w:sz w:val="24"/>
          <w:szCs w:val="24"/>
        </w:rPr>
        <w:t>OSBA St</w:t>
      </w:r>
      <w:r w:rsidR="005B14E6">
        <w:rPr>
          <w:sz w:val="24"/>
          <w:szCs w:val="24"/>
        </w:rPr>
        <w:t>.</w:t>
      </w:r>
      <w:r w:rsidR="00F3324B">
        <w:rPr>
          <w:sz w:val="24"/>
          <w:szCs w:val="24"/>
        </w:rPr>
        <w:t xml:space="preserve"> </w:t>
      </w:r>
      <w:r w:rsidRPr="005B14E6">
        <w:rPr>
          <w:sz w:val="24"/>
          <w:szCs w:val="24"/>
        </w:rPr>
        <w:t>No. 2,</w:t>
      </w:r>
      <w:r w:rsidR="005B14E6">
        <w:rPr>
          <w:sz w:val="24"/>
          <w:szCs w:val="24"/>
        </w:rPr>
        <w:t xml:space="preserve"> pp. </w:t>
      </w:r>
      <w:r w:rsidRPr="005B14E6">
        <w:rPr>
          <w:sz w:val="24"/>
          <w:szCs w:val="24"/>
        </w:rPr>
        <w:t>4-5.  This</w:t>
      </w:r>
      <w:r w:rsidR="005B14E6">
        <w:rPr>
          <w:sz w:val="24"/>
          <w:szCs w:val="24"/>
        </w:rPr>
        <w:t xml:space="preserve"> observation</w:t>
      </w:r>
      <w:r w:rsidRPr="005B14E6">
        <w:rPr>
          <w:sz w:val="24"/>
          <w:szCs w:val="24"/>
        </w:rPr>
        <w:t xml:space="preserve"> led Mr. Knecht to conclude, as follows:</w:t>
      </w:r>
    </w:p>
    <w:p w:rsidR="00F53F0E" w:rsidRPr="005B14E6" w:rsidRDefault="00F53F0E" w:rsidP="005B14E6">
      <w:pPr>
        <w:ind w:left="1440" w:right="1440"/>
        <w:jc w:val="left"/>
        <w:rPr>
          <w:sz w:val="24"/>
          <w:szCs w:val="24"/>
        </w:rPr>
      </w:pPr>
      <w:r w:rsidRPr="005B14E6">
        <w:rPr>
          <w:sz w:val="24"/>
          <w:szCs w:val="24"/>
        </w:rPr>
        <w:t>Thus, there is some evidence that forward market prices have been biased upward for the past few years.  Whether that pattern will continue is unknown.</w:t>
      </w:r>
    </w:p>
    <w:p w:rsidR="00F53F0E" w:rsidRDefault="00F53F0E" w:rsidP="00F53F0E">
      <w:pPr>
        <w:ind w:left="1440" w:right="1440"/>
      </w:pPr>
    </w:p>
    <w:p w:rsidR="00F53F0E" w:rsidRDefault="00F53F0E" w:rsidP="005B14E6">
      <w:pPr>
        <w:spacing w:line="360" w:lineRule="auto"/>
        <w:jc w:val="left"/>
        <w:rPr>
          <w:sz w:val="24"/>
          <w:szCs w:val="24"/>
        </w:rPr>
      </w:pPr>
      <w:r w:rsidRPr="00F94659">
        <w:rPr>
          <w:i/>
          <w:sz w:val="24"/>
          <w:szCs w:val="24"/>
          <w:u w:val="single"/>
        </w:rPr>
        <w:t>Id.</w:t>
      </w:r>
      <w:r w:rsidRPr="005B14E6">
        <w:rPr>
          <w:sz w:val="24"/>
          <w:szCs w:val="24"/>
        </w:rPr>
        <w:t xml:space="preserve">, at 5.  Therefore, in regards to Mr. Knecht’s first factor, </w:t>
      </w:r>
      <w:r w:rsidR="009F7DDF">
        <w:rPr>
          <w:sz w:val="24"/>
          <w:szCs w:val="24"/>
        </w:rPr>
        <w:t xml:space="preserve">the OSBA concludes </w:t>
      </w:r>
      <w:r w:rsidRPr="005B14E6">
        <w:rPr>
          <w:sz w:val="24"/>
          <w:szCs w:val="24"/>
        </w:rPr>
        <w:t xml:space="preserve">there is evidence which indicated that </w:t>
      </w:r>
      <w:r w:rsidR="009F7DDF">
        <w:rPr>
          <w:sz w:val="24"/>
          <w:szCs w:val="24"/>
        </w:rPr>
        <w:t xml:space="preserve">Distribution’s </w:t>
      </w:r>
      <w:r w:rsidRPr="005B14E6">
        <w:rPr>
          <w:sz w:val="24"/>
          <w:szCs w:val="24"/>
        </w:rPr>
        <w:t>forward purchases have resulted in higher costs than the Company’s unhedged purchases, at least for the past three years.</w:t>
      </w:r>
    </w:p>
    <w:p w:rsidR="009F7DDF" w:rsidRDefault="009F7DDF" w:rsidP="005B14E6">
      <w:pPr>
        <w:spacing w:line="360" w:lineRule="auto"/>
        <w:jc w:val="left"/>
        <w:rPr>
          <w:sz w:val="24"/>
          <w:szCs w:val="24"/>
        </w:rPr>
      </w:pPr>
    </w:p>
    <w:p w:rsidR="00F53F0E" w:rsidRPr="009F7DDF" w:rsidRDefault="00F53F0E" w:rsidP="009F7DDF">
      <w:pPr>
        <w:spacing w:line="360" w:lineRule="auto"/>
        <w:ind w:firstLine="1440"/>
        <w:jc w:val="left"/>
        <w:rPr>
          <w:sz w:val="24"/>
          <w:szCs w:val="24"/>
        </w:rPr>
      </w:pPr>
      <w:r w:rsidRPr="009F7DDF">
        <w:rPr>
          <w:sz w:val="24"/>
          <w:szCs w:val="24"/>
        </w:rPr>
        <w:t>In regard to Mr. Knecht’s second factor, the need for temporal diversification, Mr.</w:t>
      </w:r>
      <w:r w:rsidR="008077E3">
        <w:rPr>
          <w:sz w:val="24"/>
          <w:szCs w:val="24"/>
        </w:rPr>
        <w:t> </w:t>
      </w:r>
      <w:r w:rsidRPr="009F7DDF">
        <w:rPr>
          <w:sz w:val="24"/>
          <w:szCs w:val="24"/>
        </w:rPr>
        <w:t>Knecht summarized the issue, as follows:</w:t>
      </w:r>
    </w:p>
    <w:p w:rsidR="00F53F0E" w:rsidRPr="009F7DDF" w:rsidRDefault="00F53F0E" w:rsidP="009F7DDF">
      <w:pPr>
        <w:ind w:left="1440" w:right="1440"/>
        <w:jc w:val="left"/>
        <w:rPr>
          <w:sz w:val="24"/>
          <w:szCs w:val="24"/>
        </w:rPr>
      </w:pPr>
      <w:r w:rsidRPr="009F7DDF">
        <w:rPr>
          <w:sz w:val="24"/>
          <w:szCs w:val="24"/>
        </w:rPr>
        <w:t>Like other natural gas distribution companies, NFGD must supply gas to its PGC customers predominantly in winter months.  If NFGD had to purchase all of the gas in the specific months it was demanded, it would face substantial risks that prices would be extremely high in those months.  By purchasing gas throughout the year, NFGD can reduce the risk associated with being exposed to extreme prices at any one time.</w:t>
      </w:r>
    </w:p>
    <w:p w:rsidR="00F53F0E" w:rsidRPr="009F7DDF" w:rsidRDefault="00F53F0E" w:rsidP="009F7DDF">
      <w:pPr>
        <w:ind w:left="1440" w:right="1440"/>
        <w:jc w:val="left"/>
        <w:rPr>
          <w:sz w:val="24"/>
          <w:szCs w:val="24"/>
        </w:rPr>
      </w:pPr>
    </w:p>
    <w:p w:rsidR="00F53F0E" w:rsidRPr="009F7DDF" w:rsidRDefault="00F53F0E" w:rsidP="009F7DDF">
      <w:pPr>
        <w:ind w:left="1440" w:right="1440"/>
        <w:jc w:val="left"/>
        <w:rPr>
          <w:sz w:val="24"/>
          <w:szCs w:val="24"/>
        </w:rPr>
      </w:pPr>
      <w:r w:rsidRPr="009F7DDF">
        <w:rPr>
          <w:sz w:val="24"/>
          <w:szCs w:val="24"/>
        </w:rPr>
        <w:t>To a large extent, NFGD achieves this diversification by procuring gas in non-winter months for injection into storage.  This risk reduction benefit is achieved without the need for any hedging in the forward markets.  If NFGD were able to levelize its gas purchases throughout the year by using its storage capacity, there would be no need for forward market purchases to achieve temporal diversification.</w:t>
      </w:r>
    </w:p>
    <w:p w:rsidR="00F53F0E" w:rsidRPr="009F7DDF" w:rsidRDefault="00F53F0E" w:rsidP="009F7DDF">
      <w:pPr>
        <w:ind w:left="1440" w:right="1440"/>
        <w:jc w:val="left"/>
        <w:rPr>
          <w:sz w:val="24"/>
          <w:szCs w:val="24"/>
        </w:rPr>
      </w:pPr>
    </w:p>
    <w:p w:rsidR="00F53F0E" w:rsidRPr="009F7DDF" w:rsidRDefault="00F53F0E" w:rsidP="009F7DDF">
      <w:pPr>
        <w:ind w:left="1440" w:right="1440"/>
        <w:jc w:val="left"/>
        <w:rPr>
          <w:sz w:val="24"/>
          <w:szCs w:val="24"/>
        </w:rPr>
      </w:pPr>
      <w:r w:rsidRPr="009F7DDF">
        <w:rPr>
          <w:sz w:val="24"/>
          <w:szCs w:val="24"/>
        </w:rPr>
        <w:t xml:space="preserve">However, as I noted in my direct testimony, even with substantial storage capacity, NFGD still needs more flowing supplies during the winter months than during the non-winter months.  </w:t>
      </w:r>
      <w:r w:rsidRPr="009F7DDF">
        <w:rPr>
          <w:b/>
          <w:i/>
          <w:sz w:val="24"/>
          <w:szCs w:val="24"/>
        </w:rPr>
        <w:t>By locking in the price for some winter flowing requirements through the forward purchases made in the preceding summer, NFGD can improve its temporal diversification.</w:t>
      </w:r>
    </w:p>
    <w:p w:rsidR="00F53F0E" w:rsidRDefault="00F53F0E" w:rsidP="00F53F0E">
      <w:pPr>
        <w:ind w:left="1440" w:right="1440"/>
      </w:pPr>
    </w:p>
    <w:p w:rsidR="00F53F0E" w:rsidRPr="009F7DDF" w:rsidRDefault="00F53F0E" w:rsidP="00F53F0E">
      <w:pPr>
        <w:spacing w:line="480" w:lineRule="auto"/>
        <w:rPr>
          <w:sz w:val="24"/>
          <w:szCs w:val="24"/>
        </w:rPr>
      </w:pPr>
      <w:r w:rsidRPr="009F7DDF">
        <w:rPr>
          <w:sz w:val="24"/>
          <w:szCs w:val="24"/>
        </w:rPr>
        <w:t>OSBA St</w:t>
      </w:r>
      <w:r w:rsidR="009F7DDF">
        <w:rPr>
          <w:sz w:val="24"/>
          <w:szCs w:val="24"/>
        </w:rPr>
        <w:t xml:space="preserve">. </w:t>
      </w:r>
      <w:r w:rsidRPr="009F7DDF">
        <w:rPr>
          <w:sz w:val="24"/>
          <w:szCs w:val="24"/>
        </w:rPr>
        <w:t xml:space="preserve">No. 2, </w:t>
      </w:r>
      <w:r w:rsidR="009F7DDF">
        <w:rPr>
          <w:sz w:val="24"/>
          <w:szCs w:val="24"/>
        </w:rPr>
        <w:t xml:space="preserve">pp. </w:t>
      </w:r>
      <w:r w:rsidRPr="009F7DDF">
        <w:rPr>
          <w:sz w:val="24"/>
          <w:szCs w:val="24"/>
        </w:rPr>
        <w:t>5-6 (emphasis added).</w:t>
      </w:r>
    </w:p>
    <w:p w:rsidR="00F53F0E" w:rsidRPr="005A4835" w:rsidRDefault="00F53F0E" w:rsidP="005A4835">
      <w:pPr>
        <w:spacing w:line="360" w:lineRule="auto"/>
        <w:ind w:firstLine="1440"/>
        <w:jc w:val="left"/>
        <w:rPr>
          <w:sz w:val="24"/>
          <w:szCs w:val="24"/>
        </w:rPr>
      </w:pPr>
      <w:r w:rsidRPr="005A4835">
        <w:rPr>
          <w:sz w:val="24"/>
          <w:szCs w:val="24"/>
        </w:rPr>
        <w:t xml:space="preserve">Mr. Knecht then analyzed </w:t>
      </w:r>
      <w:r w:rsidR="005A4835">
        <w:rPr>
          <w:sz w:val="24"/>
          <w:szCs w:val="24"/>
        </w:rPr>
        <w:t>Distribution’s</w:t>
      </w:r>
      <w:r w:rsidRPr="005A4835">
        <w:rPr>
          <w:sz w:val="24"/>
          <w:szCs w:val="24"/>
        </w:rPr>
        <w:t xml:space="preserve"> monthly supply data to ascertain whether hedging 33 percent or proposed 20 percent of winter supplies would be more appropriate.  Mr.</w:t>
      </w:r>
      <w:r w:rsidR="0074314D">
        <w:rPr>
          <w:sz w:val="24"/>
          <w:szCs w:val="24"/>
        </w:rPr>
        <w:t> </w:t>
      </w:r>
      <w:r w:rsidRPr="005A4835">
        <w:rPr>
          <w:sz w:val="24"/>
          <w:szCs w:val="24"/>
        </w:rPr>
        <w:t>Knecht explained, as follows:</w:t>
      </w:r>
    </w:p>
    <w:p w:rsidR="00F53F0E" w:rsidRPr="005A4835" w:rsidRDefault="00F53F0E" w:rsidP="005A4835">
      <w:pPr>
        <w:ind w:left="1440" w:right="1440"/>
        <w:jc w:val="left"/>
        <w:rPr>
          <w:sz w:val="24"/>
          <w:szCs w:val="24"/>
        </w:rPr>
      </w:pPr>
      <w:r w:rsidRPr="005A4835">
        <w:rPr>
          <w:sz w:val="24"/>
          <w:szCs w:val="24"/>
        </w:rPr>
        <w:t>To estimate a reasonable magnitude for that diversification, I reviewed the Company’s monthly flowing supply data for the past three years.  Over that period, the average daily flowing supplies in the five winter months was 73,158 Dth/day, compared to 60,611 Dth/day in non-winter months, and 65,595 Dth/day overall.  In effect, the winter flowing supplies exceeded the average day flowing supplies by about 10 percent (measured as a percent of winter flowing supplies).  This figure varied from year to year, ranging from 6 percent to 15 percent.</w:t>
      </w:r>
    </w:p>
    <w:p w:rsidR="00F53F0E" w:rsidRDefault="00F53F0E" w:rsidP="00F53F0E">
      <w:pPr>
        <w:ind w:left="1440" w:right="1440"/>
      </w:pPr>
    </w:p>
    <w:p w:rsidR="00F53F0E" w:rsidRPr="005A4835" w:rsidRDefault="00F53F0E" w:rsidP="005A4835">
      <w:pPr>
        <w:spacing w:line="360" w:lineRule="auto"/>
        <w:jc w:val="left"/>
        <w:rPr>
          <w:sz w:val="24"/>
          <w:szCs w:val="24"/>
        </w:rPr>
      </w:pPr>
      <w:r w:rsidRPr="00E046DA">
        <w:rPr>
          <w:i/>
          <w:sz w:val="24"/>
          <w:szCs w:val="24"/>
          <w:u w:val="single"/>
        </w:rPr>
        <w:t>Id</w:t>
      </w:r>
      <w:r w:rsidRPr="00E046DA">
        <w:rPr>
          <w:sz w:val="24"/>
          <w:szCs w:val="24"/>
          <w:u w:val="single"/>
        </w:rPr>
        <w:t>.</w:t>
      </w:r>
      <w:r w:rsidRPr="005A4835">
        <w:rPr>
          <w:sz w:val="24"/>
          <w:szCs w:val="24"/>
        </w:rPr>
        <w:t>, at 6.  As a result of this analysis, Mr. Knecht concluded</w:t>
      </w:r>
      <w:r w:rsidR="005A4835">
        <w:rPr>
          <w:sz w:val="24"/>
          <w:szCs w:val="24"/>
        </w:rPr>
        <w:t>,</w:t>
      </w:r>
    </w:p>
    <w:p w:rsidR="00F53F0E" w:rsidRPr="005A4835" w:rsidRDefault="00F53F0E" w:rsidP="005A4835">
      <w:pPr>
        <w:ind w:left="1440" w:right="1440"/>
        <w:jc w:val="left"/>
        <w:rPr>
          <w:sz w:val="24"/>
          <w:szCs w:val="24"/>
        </w:rPr>
      </w:pPr>
      <w:r w:rsidRPr="005A4835">
        <w:rPr>
          <w:sz w:val="24"/>
          <w:szCs w:val="24"/>
        </w:rPr>
        <w:t>Based on this review, I conclude that NFGD should be able to evenly spread its purchases throughout the year and achieve reasonable temporal diversification at its proposed winter hedging rate of 20 percent of flowing supplies.  At the current rate of 33 percent of winter hedging supplies, NFGD essentially has excess exposure to market prices in the non-winter months.</w:t>
      </w:r>
    </w:p>
    <w:p w:rsidR="00F53F0E" w:rsidRDefault="00F53F0E" w:rsidP="00F53F0E">
      <w:pPr>
        <w:ind w:left="1440" w:right="1440"/>
      </w:pPr>
    </w:p>
    <w:p w:rsidR="00F53F0E" w:rsidRDefault="00F53F0E" w:rsidP="005A4835">
      <w:pPr>
        <w:spacing w:line="360" w:lineRule="auto"/>
        <w:jc w:val="left"/>
        <w:rPr>
          <w:sz w:val="24"/>
          <w:szCs w:val="24"/>
        </w:rPr>
      </w:pPr>
      <w:r w:rsidRPr="005A4835">
        <w:rPr>
          <w:sz w:val="24"/>
          <w:szCs w:val="24"/>
        </w:rPr>
        <w:t>OSBA St</w:t>
      </w:r>
      <w:r w:rsidR="005A4835">
        <w:rPr>
          <w:sz w:val="24"/>
          <w:szCs w:val="24"/>
        </w:rPr>
        <w:t xml:space="preserve">. </w:t>
      </w:r>
      <w:r w:rsidRPr="005A4835">
        <w:rPr>
          <w:sz w:val="24"/>
          <w:szCs w:val="24"/>
        </w:rPr>
        <w:t xml:space="preserve">No. 2, </w:t>
      </w:r>
      <w:r w:rsidR="005A4835">
        <w:rPr>
          <w:sz w:val="24"/>
          <w:szCs w:val="24"/>
        </w:rPr>
        <w:t>p.</w:t>
      </w:r>
      <w:r w:rsidRPr="005A4835">
        <w:rPr>
          <w:sz w:val="24"/>
          <w:szCs w:val="24"/>
        </w:rPr>
        <w:t xml:space="preserve"> 6.</w:t>
      </w:r>
    </w:p>
    <w:p w:rsidR="00283BEC" w:rsidRPr="005A4835" w:rsidRDefault="00283BEC" w:rsidP="005A4835">
      <w:pPr>
        <w:spacing w:line="360" w:lineRule="auto"/>
        <w:jc w:val="left"/>
        <w:rPr>
          <w:sz w:val="24"/>
          <w:szCs w:val="24"/>
        </w:rPr>
      </w:pPr>
    </w:p>
    <w:p w:rsidR="00F06E5D" w:rsidRDefault="00F53F0E" w:rsidP="00925819">
      <w:pPr>
        <w:spacing w:line="360" w:lineRule="auto"/>
        <w:ind w:firstLine="1440"/>
        <w:jc w:val="left"/>
        <w:rPr>
          <w:sz w:val="24"/>
          <w:szCs w:val="24"/>
        </w:rPr>
      </w:pPr>
      <w:r w:rsidRPr="00925819">
        <w:rPr>
          <w:sz w:val="24"/>
          <w:szCs w:val="24"/>
        </w:rPr>
        <w:t xml:space="preserve">Therefore, in light of Mr. Knecht’s analysis, the OSBA supports the change in the Company’s gas cost management plan as proposed by </w:t>
      </w:r>
      <w:r w:rsidR="00925819">
        <w:rPr>
          <w:sz w:val="24"/>
          <w:szCs w:val="24"/>
        </w:rPr>
        <w:t>Distribution</w:t>
      </w:r>
      <w:r w:rsidRPr="00925819">
        <w:rPr>
          <w:sz w:val="24"/>
          <w:szCs w:val="24"/>
        </w:rPr>
        <w:t xml:space="preserve">, and as embodied in the </w:t>
      </w:r>
      <w:r w:rsidR="00925819">
        <w:rPr>
          <w:sz w:val="24"/>
          <w:szCs w:val="24"/>
        </w:rPr>
        <w:t>Settlement.</w:t>
      </w:r>
    </w:p>
    <w:p w:rsidR="007777EA" w:rsidRDefault="007777EA" w:rsidP="00925819">
      <w:pPr>
        <w:spacing w:line="360" w:lineRule="auto"/>
        <w:ind w:firstLine="1440"/>
        <w:jc w:val="left"/>
        <w:rPr>
          <w:sz w:val="24"/>
          <w:szCs w:val="24"/>
        </w:rPr>
      </w:pPr>
    </w:p>
    <w:p w:rsidR="00687D79" w:rsidRPr="00492586" w:rsidRDefault="00687D79" w:rsidP="00492586">
      <w:pPr>
        <w:spacing w:line="360" w:lineRule="auto"/>
        <w:jc w:val="left"/>
        <w:rPr>
          <w:sz w:val="24"/>
          <w:szCs w:val="24"/>
          <w:u w:val="single"/>
        </w:rPr>
      </w:pPr>
      <w:r w:rsidRPr="00492586">
        <w:rPr>
          <w:sz w:val="24"/>
          <w:szCs w:val="24"/>
        </w:rPr>
        <w:t>B.</w:t>
      </w:r>
      <w:r w:rsidRPr="00492586">
        <w:rPr>
          <w:sz w:val="24"/>
          <w:szCs w:val="24"/>
        </w:rPr>
        <w:tab/>
      </w:r>
      <w:r w:rsidRPr="00492586">
        <w:rPr>
          <w:sz w:val="24"/>
          <w:szCs w:val="24"/>
          <w:u w:val="single"/>
        </w:rPr>
        <w:t>Recommendation - Settlement</w:t>
      </w:r>
    </w:p>
    <w:p w:rsidR="00687D79" w:rsidRPr="00492586" w:rsidRDefault="00687D79" w:rsidP="00492586">
      <w:pPr>
        <w:spacing w:line="360" w:lineRule="auto"/>
        <w:jc w:val="left"/>
        <w:rPr>
          <w:sz w:val="24"/>
          <w:szCs w:val="24"/>
          <w:u w:val="single"/>
        </w:rPr>
      </w:pPr>
    </w:p>
    <w:p w:rsidR="001C688C" w:rsidRDefault="00687D79" w:rsidP="00571513">
      <w:pPr>
        <w:spacing w:line="360" w:lineRule="auto"/>
        <w:ind w:firstLine="1440"/>
        <w:jc w:val="left"/>
        <w:rPr>
          <w:sz w:val="24"/>
          <w:szCs w:val="24"/>
        </w:rPr>
      </w:pPr>
      <w:r w:rsidRPr="00492586">
        <w:rPr>
          <w:sz w:val="24"/>
          <w:szCs w:val="24"/>
        </w:rPr>
        <w:t xml:space="preserve">The Settlement is the result of compromises.  The Commission encourages compromises between the parties.  Compromises dispense with costly litigation and promote judicial economy.  Upon due consideration of the terms and conditions of the Stipulation in Settlement of the Rate Investigation Pursuant to 66 Pa. C.S. §1307(f), including the supporting statements of </w:t>
      </w:r>
      <w:r w:rsidR="00F06E5D">
        <w:rPr>
          <w:sz w:val="24"/>
          <w:szCs w:val="24"/>
        </w:rPr>
        <w:t>Distribution, BI&amp;E, OCA and OSBA,</w:t>
      </w:r>
      <w:r w:rsidRPr="00492586">
        <w:rPr>
          <w:sz w:val="24"/>
          <w:szCs w:val="24"/>
        </w:rPr>
        <w:t xml:space="preserve"> this Settlement constitutes a fair, just and reasonable resolution of the Commission’s investigation for the reasons the </w:t>
      </w:r>
      <w:r w:rsidR="00F06E5D">
        <w:rPr>
          <w:sz w:val="24"/>
          <w:szCs w:val="24"/>
        </w:rPr>
        <w:t xml:space="preserve">Settlement </w:t>
      </w:r>
      <w:r w:rsidRPr="00492586">
        <w:rPr>
          <w:sz w:val="24"/>
          <w:szCs w:val="24"/>
        </w:rPr>
        <w:t xml:space="preserve">Parties identify </w:t>
      </w:r>
      <w:r w:rsidRPr="00492586">
        <w:rPr>
          <w:i/>
          <w:sz w:val="24"/>
          <w:szCs w:val="24"/>
        </w:rPr>
        <w:t>supra</w:t>
      </w:r>
      <w:r w:rsidRPr="00492586">
        <w:rPr>
          <w:sz w:val="24"/>
          <w:szCs w:val="24"/>
        </w:rPr>
        <w:t>.  Therefore, the Settlement is in the public interest and approval thereof is recommended.</w:t>
      </w:r>
      <w:r>
        <w:rPr>
          <w:sz w:val="24"/>
          <w:szCs w:val="24"/>
        </w:rPr>
        <w:t xml:space="preserve"> </w:t>
      </w:r>
      <w:r>
        <w:rPr>
          <w:sz w:val="24"/>
          <w:szCs w:val="24"/>
        </w:rPr>
        <w:tab/>
      </w:r>
    </w:p>
    <w:p w:rsidR="00571513" w:rsidRDefault="00687D79" w:rsidP="00571513">
      <w:pPr>
        <w:spacing w:line="360" w:lineRule="auto"/>
        <w:ind w:firstLine="1440"/>
        <w:jc w:val="left"/>
        <w:rPr>
          <w:sz w:val="24"/>
          <w:szCs w:val="24"/>
        </w:rPr>
      </w:pPr>
      <w:r>
        <w:rPr>
          <w:sz w:val="24"/>
          <w:szCs w:val="24"/>
        </w:rPr>
        <w:tab/>
      </w:r>
      <w:r>
        <w:rPr>
          <w:sz w:val="24"/>
          <w:szCs w:val="24"/>
        </w:rPr>
        <w:tab/>
      </w:r>
      <w:r>
        <w:rPr>
          <w:sz w:val="24"/>
          <w:szCs w:val="24"/>
        </w:rPr>
        <w:tab/>
      </w:r>
    </w:p>
    <w:p w:rsidR="00687D79" w:rsidRDefault="00687D79" w:rsidP="00571513">
      <w:pPr>
        <w:spacing w:line="360" w:lineRule="auto"/>
        <w:jc w:val="center"/>
        <w:rPr>
          <w:sz w:val="24"/>
          <w:szCs w:val="24"/>
        </w:rPr>
      </w:pPr>
      <w:r>
        <w:rPr>
          <w:sz w:val="24"/>
          <w:szCs w:val="24"/>
        </w:rPr>
        <w:t>V.</w:t>
      </w:r>
      <w:r>
        <w:rPr>
          <w:sz w:val="24"/>
          <w:szCs w:val="24"/>
        </w:rPr>
        <w:tab/>
      </w:r>
      <w:r w:rsidRPr="00421BBB">
        <w:rPr>
          <w:sz w:val="24"/>
          <w:szCs w:val="24"/>
          <w:u w:val="single"/>
        </w:rPr>
        <w:t>CONCLUSIONS OF LAW</w:t>
      </w:r>
    </w:p>
    <w:p w:rsidR="00687D79" w:rsidRDefault="00687D79" w:rsidP="00227CE8">
      <w:pPr>
        <w:spacing w:line="360" w:lineRule="auto"/>
        <w:jc w:val="left"/>
        <w:rPr>
          <w:sz w:val="24"/>
          <w:szCs w:val="24"/>
        </w:rPr>
      </w:pPr>
    </w:p>
    <w:p w:rsidR="00687D79" w:rsidRDefault="00687D79" w:rsidP="0000223F">
      <w:pPr>
        <w:numPr>
          <w:ilvl w:val="0"/>
          <w:numId w:val="21"/>
        </w:numPr>
        <w:tabs>
          <w:tab w:val="clear" w:pos="720"/>
          <w:tab w:val="num" w:pos="0"/>
        </w:tabs>
        <w:spacing w:line="360" w:lineRule="auto"/>
        <w:ind w:left="0" w:firstLine="1440"/>
        <w:jc w:val="left"/>
        <w:rPr>
          <w:sz w:val="24"/>
          <w:szCs w:val="24"/>
        </w:rPr>
      </w:pPr>
      <w:r w:rsidRPr="00A96B92">
        <w:rPr>
          <w:sz w:val="24"/>
          <w:szCs w:val="24"/>
        </w:rPr>
        <w:t xml:space="preserve">The Commission has jurisdiction over the subject matter and the parties to this proceeding.  66 Pa. C.S. §§501, </w:t>
      </w:r>
      <w:r w:rsidRPr="00A96B92">
        <w:rPr>
          <w:i/>
          <w:sz w:val="24"/>
          <w:szCs w:val="24"/>
        </w:rPr>
        <w:t>et seq</w:t>
      </w:r>
      <w:r w:rsidRPr="00A96B92">
        <w:rPr>
          <w:sz w:val="24"/>
          <w:szCs w:val="24"/>
        </w:rPr>
        <w:t>.</w:t>
      </w:r>
    </w:p>
    <w:p w:rsidR="00687D79" w:rsidRDefault="00687D79" w:rsidP="00227CE8">
      <w:pPr>
        <w:spacing w:line="360" w:lineRule="auto"/>
        <w:jc w:val="left"/>
        <w:rPr>
          <w:sz w:val="24"/>
          <w:szCs w:val="24"/>
        </w:rPr>
      </w:pPr>
    </w:p>
    <w:p w:rsidR="00687D79" w:rsidRDefault="00687D79" w:rsidP="0000223F">
      <w:pPr>
        <w:numPr>
          <w:ilvl w:val="0"/>
          <w:numId w:val="21"/>
        </w:numPr>
        <w:tabs>
          <w:tab w:val="clear" w:pos="720"/>
          <w:tab w:val="num" w:pos="0"/>
        </w:tabs>
        <w:spacing w:line="360" w:lineRule="auto"/>
        <w:ind w:left="0" w:firstLine="1440"/>
        <w:jc w:val="left"/>
        <w:rPr>
          <w:sz w:val="24"/>
          <w:szCs w:val="24"/>
        </w:rPr>
      </w:pPr>
      <w:r>
        <w:rPr>
          <w:sz w:val="24"/>
          <w:szCs w:val="24"/>
        </w:rPr>
        <w:t xml:space="preserve">National Fuel Gas Distribution Corporation </w:t>
      </w:r>
      <w:r w:rsidRPr="00A96B92">
        <w:rPr>
          <w:sz w:val="24"/>
          <w:szCs w:val="24"/>
        </w:rPr>
        <w:t>is pursuing a least cost fuel procurement policy during the relevant time period consistent with its obligation to provide safe, adequate and reliable service to its customers in compliance with Section 1318 of the Public Utility Code, 66 Pa. C.S. §1318.</w:t>
      </w:r>
    </w:p>
    <w:p w:rsidR="00687D79" w:rsidRDefault="00687D79" w:rsidP="00227CE8">
      <w:pPr>
        <w:spacing w:line="360" w:lineRule="auto"/>
        <w:jc w:val="left"/>
        <w:rPr>
          <w:sz w:val="24"/>
          <w:szCs w:val="24"/>
        </w:rPr>
      </w:pPr>
    </w:p>
    <w:p w:rsidR="00687D79" w:rsidRDefault="00687D79" w:rsidP="0000223F">
      <w:pPr>
        <w:numPr>
          <w:ilvl w:val="0"/>
          <w:numId w:val="21"/>
        </w:numPr>
        <w:tabs>
          <w:tab w:val="clear" w:pos="720"/>
          <w:tab w:val="num" w:pos="0"/>
        </w:tabs>
        <w:spacing w:line="360" w:lineRule="auto"/>
        <w:ind w:left="0" w:firstLine="1440"/>
        <w:jc w:val="left"/>
        <w:rPr>
          <w:sz w:val="24"/>
          <w:szCs w:val="24"/>
        </w:rPr>
      </w:pPr>
      <w:r>
        <w:rPr>
          <w:sz w:val="24"/>
          <w:szCs w:val="24"/>
        </w:rPr>
        <w:t>National Fuel Gas Distribution Corporation’s</w:t>
      </w:r>
      <w:r w:rsidRPr="00A60172">
        <w:rPr>
          <w:sz w:val="24"/>
          <w:szCs w:val="24"/>
        </w:rPr>
        <w:t xml:space="preserve"> rates for purchased gas costs, as the </w:t>
      </w:r>
      <w:r w:rsidR="00F06E5D">
        <w:rPr>
          <w:sz w:val="24"/>
          <w:szCs w:val="24"/>
        </w:rPr>
        <w:t>Settlement P</w:t>
      </w:r>
      <w:r w:rsidRPr="00A60172">
        <w:rPr>
          <w:sz w:val="24"/>
          <w:szCs w:val="24"/>
        </w:rPr>
        <w:t>arties have agreed upon in this proceeding, during the relevant time period are just and reasonable and in compliance with Section 1318 of the Public Utility Code, 66 Pa. C.S. §1318.</w:t>
      </w:r>
    </w:p>
    <w:p w:rsidR="00687D79" w:rsidRDefault="00687D79" w:rsidP="00227CE8">
      <w:pPr>
        <w:spacing w:line="360" w:lineRule="auto"/>
        <w:jc w:val="left"/>
        <w:rPr>
          <w:sz w:val="24"/>
          <w:szCs w:val="24"/>
        </w:rPr>
      </w:pPr>
    </w:p>
    <w:p w:rsidR="00687D79" w:rsidRDefault="00687D79" w:rsidP="0000223F">
      <w:pPr>
        <w:numPr>
          <w:ilvl w:val="0"/>
          <w:numId w:val="21"/>
        </w:numPr>
        <w:tabs>
          <w:tab w:val="clear" w:pos="720"/>
          <w:tab w:val="num" w:pos="0"/>
        </w:tabs>
        <w:spacing w:line="360" w:lineRule="auto"/>
        <w:ind w:left="0" w:firstLine="1440"/>
        <w:jc w:val="left"/>
        <w:rPr>
          <w:sz w:val="24"/>
          <w:szCs w:val="24"/>
        </w:rPr>
      </w:pPr>
      <w:r>
        <w:rPr>
          <w:sz w:val="24"/>
          <w:szCs w:val="24"/>
        </w:rPr>
        <w:t xml:space="preserve">National Fuel Gas Distribution Corporation </w:t>
      </w:r>
      <w:r w:rsidRPr="00A60172">
        <w:rPr>
          <w:sz w:val="24"/>
          <w:szCs w:val="24"/>
        </w:rPr>
        <w:t>has fully and vigorously represented the interests of its ratepayers in proceedings before the FERC and other relevant non-PUC proceedings during the relevant time period in compliance with Section 1318(a)(1) of the Public Utility Code, 66 Pa. C.S. §1318(a)(1).</w:t>
      </w:r>
    </w:p>
    <w:p w:rsidR="00687D79" w:rsidRDefault="00687D79" w:rsidP="00227CE8">
      <w:pPr>
        <w:spacing w:line="360" w:lineRule="auto"/>
        <w:jc w:val="left"/>
        <w:rPr>
          <w:sz w:val="24"/>
          <w:szCs w:val="24"/>
        </w:rPr>
      </w:pPr>
    </w:p>
    <w:p w:rsidR="00687D79" w:rsidRDefault="00687D79" w:rsidP="0000223F">
      <w:pPr>
        <w:numPr>
          <w:ilvl w:val="0"/>
          <w:numId w:val="21"/>
        </w:numPr>
        <w:tabs>
          <w:tab w:val="clear" w:pos="720"/>
          <w:tab w:val="num" w:pos="0"/>
        </w:tabs>
        <w:spacing w:line="360" w:lineRule="auto"/>
        <w:ind w:left="0" w:firstLine="1440"/>
        <w:jc w:val="left"/>
        <w:rPr>
          <w:sz w:val="24"/>
          <w:szCs w:val="24"/>
        </w:rPr>
      </w:pPr>
      <w:r>
        <w:rPr>
          <w:sz w:val="24"/>
          <w:szCs w:val="24"/>
        </w:rPr>
        <w:t xml:space="preserve">National Fuel Gas Distribution Corporation </w:t>
      </w:r>
      <w:r w:rsidRPr="00A60172">
        <w:rPr>
          <w:sz w:val="24"/>
          <w:szCs w:val="24"/>
        </w:rPr>
        <w:t>has taken all prudent steps necessary to negotiate favorable gas supply contracts and to relieve itself from terms in existing contracts with its gas suppliers, which are or may be adverse to the interests of its ratepayers, during the relevant time period in compliance with Section 1318(a)(2) of the Public Utility Code, 66 Pa. C.S. §1318(a)(2).</w:t>
      </w:r>
    </w:p>
    <w:p w:rsidR="00687D79" w:rsidRDefault="00687D79" w:rsidP="00227CE8">
      <w:pPr>
        <w:spacing w:line="360" w:lineRule="auto"/>
        <w:jc w:val="left"/>
        <w:rPr>
          <w:sz w:val="24"/>
          <w:szCs w:val="24"/>
        </w:rPr>
      </w:pPr>
    </w:p>
    <w:p w:rsidR="00687D79" w:rsidRDefault="00687D79" w:rsidP="0000223F">
      <w:pPr>
        <w:numPr>
          <w:ilvl w:val="0"/>
          <w:numId w:val="21"/>
        </w:numPr>
        <w:tabs>
          <w:tab w:val="clear" w:pos="720"/>
          <w:tab w:val="num" w:pos="0"/>
        </w:tabs>
        <w:spacing w:line="360" w:lineRule="auto"/>
        <w:ind w:left="0" w:firstLine="1440"/>
        <w:jc w:val="left"/>
        <w:rPr>
          <w:sz w:val="24"/>
          <w:szCs w:val="24"/>
        </w:rPr>
      </w:pPr>
      <w:r>
        <w:rPr>
          <w:sz w:val="24"/>
          <w:szCs w:val="24"/>
        </w:rPr>
        <w:t xml:space="preserve">National Fuel Gas Distribution Corporation </w:t>
      </w:r>
      <w:r w:rsidRPr="00A60172">
        <w:rPr>
          <w:sz w:val="24"/>
          <w:szCs w:val="24"/>
        </w:rPr>
        <w:t>has taken all prudent steps necessary during the relevant time period to obtain lower cost gas supplies on both short-term and long-term bases both within and outside the Commonwealth, including the use of gas transportation arrangements with pipelines and other distribution companies in compliance with Section 1318(a)(3) of the Public Utility Code, 66 Pa. C.S. §1318(a)(3).</w:t>
      </w:r>
    </w:p>
    <w:p w:rsidR="00687D79" w:rsidRDefault="00687D79" w:rsidP="00227CE8">
      <w:pPr>
        <w:spacing w:line="360" w:lineRule="auto"/>
        <w:jc w:val="left"/>
        <w:rPr>
          <w:sz w:val="24"/>
          <w:szCs w:val="24"/>
        </w:rPr>
      </w:pPr>
    </w:p>
    <w:p w:rsidR="00687D79" w:rsidRDefault="00687D79" w:rsidP="0000223F">
      <w:pPr>
        <w:numPr>
          <w:ilvl w:val="0"/>
          <w:numId w:val="21"/>
        </w:numPr>
        <w:tabs>
          <w:tab w:val="clear" w:pos="720"/>
          <w:tab w:val="num" w:pos="0"/>
        </w:tabs>
        <w:spacing w:line="360" w:lineRule="auto"/>
        <w:ind w:left="0" w:firstLine="1440"/>
        <w:jc w:val="left"/>
        <w:rPr>
          <w:sz w:val="24"/>
          <w:szCs w:val="24"/>
        </w:rPr>
      </w:pPr>
      <w:r>
        <w:rPr>
          <w:sz w:val="24"/>
          <w:szCs w:val="24"/>
        </w:rPr>
        <w:t xml:space="preserve">National Fuel Gas Distribution Corporation </w:t>
      </w:r>
      <w:r w:rsidRPr="00A60172">
        <w:rPr>
          <w:sz w:val="24"/>
          <w:szCs w:val="24"/>
        </w:rPr>
        <w:t>has not withheld from the market or caused to be withheld from the market during the relevant time period any gas supplies, which should have been used as part of a least cost fuel procurement policy in compliance with Section 1318(a)(4) of the Public Utility Code, 66 Pa. C.S. §1318(a)(4).</w:t>
      </w:r>
    </w:p>
    <w:p w:rsidR="00687D79" w:rsidRDefault="00687D79" w:rsidP="00227CE8">
      <w:pPr>
        <w:spacing w:line="360" w:lineRule="auto"/>
        <w:jc w:val="left"/>
        <w:rPr>
          <w:sz w:val="24"/>
          <w:szCs w:val="24"/>
        </w:rPr>
      </w:pPr>
    </w:p>
    <w:p w:rsidR="00687D79" w:rsidRDefault="00687D79" w:rsidP="0000223F">
      <w:pPr>
        <w:numPr>
          <w:ilvl w:val="0"/>
          <w:numId w:val="21"/>
        </w:numPr>
        <w:tabs>
          <w:tab w:val="clear" w:pos="720"/>
          <w:tab w:val="num" w:pos="0"/>
        </w:tabs>
        <w:spacing w:line="360" w:lineRule="auto"/>
        <w:ind w:left="0" w:firstLine="1440"/>
        <w:jc w:val="left"/>
        <w:rPr>
          <w:sz w:val="24"/>
          <w:szCs w:val="24"/>
        </w:rPr>
      </w:pPr>
      <w:r>
        <w:rPr>
          <w:sz w:val="24"/>
          <w:szCs w:val="24"/>
        </w:rPr>
        <w:t xml:space="preserve">National Fuel Gas Distribution Corporation </w:t>
      </w:r>
      <w:r w:rsidRPr="00A60172">
        <w:rPr>
          <w:sz w:val="24"/>
          <w:szCs w:val="24"/>
        </w:rPr>
        <w:t>has fully and vigorously attempted to obtain less costly gas supplies on both short-term and long-term bases from nonaffiliated interests during the relevant time period in compliance with Section 1318(b)(1) of the Public Utility Code, 66 Pa. C.S. §1318(b)(1).</w:t>
      </w:r>
    </w:p>
    <w:p w:rsidR="00687D79" w:rsidRDefault="00687D79" w:rsidP="00227CE8">
      <w:pPr>
        <w:spacing w:line="360" w:lineRule="auto"/>
        <w:jc w:val="left"/>
        <w:rPr>
          <w:sz w:val="24"/>
          <w:szCs w:val="24"/>
        </w:rPr>
      </w:pPr>
    </w:p>
    <w:p w:rsidR="00687D79" w:rsidRDefault="00687D79" w:rsidP="0000223F">
      <w:pPr>
        <w:numPr>
          <w:ilvl w:val="0"/>
          <w:numId w:val="21"/>
        </w:numPr>
        <w:tabs>
          <w:tab w:val="clear" w:pos="720"/>
          <w:tab w:val="num" w:pos="0"/>
        </w:tabs>
        <w:spacing w:line="360" w:lineRule="auto"/>
        <w:ind w:left="0" w:firstLine="1440"/>
        <w:jc w:val="left"/>
        <w:rPr>
          <w:sz w:val="24"/>
          <w:szCs w:val="24"/>
        </w:rPr>
      </w:pPr>
      <w:r>
        <w:rPr>
          <w:sz w:val="24"/>
          <w:szCs w:val="24"/>
        </w:rPr>
        <w:t>National Fuel Gas Distribution Corporation’s</w:t>
      </w:r>
      <w:r w:rsidRPr="00A60172">
        <w:rPr>
          <w:sz w:val="24"/>
          <w:szCs w:val="24"/>
        </w:rPr>
        <w:t xml:space="preserve"> contracts for the purchase of gas from any affiliated interest during the relevant time period are consistent with a least cost fuel procurement policy in compliance with Section 1318(b)(2) of the Public Utility Code, 66 Pa. C.S. §1318(b)(2).</w:t>
      </w:r>
    </w:p>
    <w:p w:rsidR="00687D79" w:rsidRDefault="00687D79" w:rsidP="0000223F">
      <w:pPr>
        <w:numPr>
          <w:ilvl w:val="0"/>
          <w:numId w:val="21"/>
        </w:numPr>
        <w:tabs>
          <w:tab w:val="clear" w:pos="720"/>
          <w:tab w:val="num" w:pos="0"/>
        </w:tabs>
        <w:spacing w:line="360" w:lineRule="auto"/>
        <w:ind w:left="0" w:firstLine="1440"/>
        <w:jc w:val="left"/>
        <w:rPr>
          <w:sz w:val="24"/>
          <w:szCs w:val="24"/>
        </w:rPr>
      </w:pPr>
      <w:r w:rsidRPr="00A60172">
        <w:rPr>
          <w:sz w:val="24"/>
          <w:szCs w:val="24"/>
        </w:rPr>
        <w:t xml:space="preserve">Neither </w:t>
      </w:r>
      <w:r>
        <w:rPr>
          <w:sz w:val="24"/>
          <w:szCs w:val="24"/>
        </w:rPr>
        <w:t xml:space="preserve">National Fuel Gas Distribution Corporation </w:t>
      </w:r>
      <w:r w:rsidRPr="00A60172">
        <w:rPr>
          <w:sz w:val="24"/>
          <w:szCs w:val="24"/>
        </w:rPr>
        <w:t>nor any affiliated interest during the relevant time period has withheld from the market any gas supplies, which should have been used as part of a least cost fuel procurement policy in compliance with Section 1318(b)(3) of the Public Utility Code, 66 Pa. C.S. §1318(b)(3).</w:t>
      </w:r>
    </w:p>
    <w:p w:rsidR="003E70D3" w:rsidRDefault="003E70D3" w:rsidP="003E70D3">
      <w:pPr>
        <w:spacing w:line="360" w:lineRule="auto"/>
        <w:ind w:left="1440"/>
        <w:jc w:val="left"/>
        <w:rPr>
          <w:sz w:val="24"/>
          <w:szCs w:val="24"/>
        </w:rPr>
      </w:pPr>
    </w:p>
    <w:p w:rsidR="00687D79" w:rsidRDefault="00687D79" w:rsidP="00465BAE">
      <w:pPr>
        <w:numPr>
          <w:ilvl w:val="0"/>
          <w:numId w:val="21"/>
        </w:numPr>
        <w:tabs>
          <w:tab w:val="clear" w:pos="720"/>
          <w:tab w:val="num" w:pos="0"/>
        </w:tabs>
        <w:spacing w:line="360" w:lineRule="auto"/>
        <w:ind w:left="0" w:firstLine="1440"/>
        <w:jc w:val="left"/>
        <w:rPr>
          <w:sz w:val="24"/>
          <w:szCs w:val="24"/>
        </w:rPr>
      </w:pPr>
      <w:r w:rsidRPr="00A60172">
        <w:rPr>
          <w:sz w:val="24"/>
          <w:szCs w:val="24"/>
        </w:rPr>
        <w:t xml:space="preserve">The </w:t>
      </w:r>
      <w:r>
        <w:rPr>
          <w:sz w:val="24"/>
          <w:szCs w:val="24"/>
        </w:rPr>
        <w:t>Stipulation in Settlement of the Rate Investigation pursuant to 66 Pa. C.S. §1307(f) that National Fuel Gas Distribution Corporation,</w:t>
      </w:r>
      <w:r w:rsidRPr="00A60172">
        <w:rPr>
          <w:sz w:val="24"/>
          <w:szCs w:val="24"/>
        </w:rPr>
        <w:t xml:space="preserve"> </w:t>
      </w:r>
      <w:r>
        <w:rPr>
          <w:sz w:val="24"/>
          <w:szCs w:val="24"/>
        </w:rPr>
        <w:t xml:space="preserve">the </w:t>
      </w:r>
      <w:r w:rsidR="00F06E5D">
        <w:rPr>
          <w:sz w:val="24"/>
          <w:szCs w:val="24"/>
        </w:rPr>
        <w:t xml:space="preserve">Commission’s Bureau of Investigation and Enforcement, the </w:t>
      </w:r>
      <w:r>
        <w:rPr>
          <w:sz w:val="24"/>
          <w:szCs w:val="24"/>
        </w:rPr>
        <w:t xml:space="preserve">Office of Consumer Advocate </w:t>
      </w:r>
      <w:r w:rsidR="00F06E5D">
        <w:rPr>
          <w:sz w:val="24"/>
          <w:szCs w:val="24"/>
        </w:rPr>
        <w:t xml:space="preserve">and the Office of Small Business Advocate </w:t>
      </w:r>
      <w:r w:rsidRPr="00A60172">
        <w:rPr>
          <w:sz w:val="24"/>
          <w:szCs w:val="24"/>
        </w:rPr>
        <w:t xml:space="preserve">have </w:t>
      </w:r>
      <w:r>
        <w:rPr>
          <w:sz w:val="24"/>
          <w:szCs w:val="24"/>
        </w:rPr>
        <w:t xml:space="preserve">executed and </w:t>
      </w:r>
      <w:r w:rsidRPr="00A60172">
        <w:rPr>
          <w:sz w:val="24"/>
          <w:szCs w:val="24"/>
        </w:rPr>
        <w:t xml:space="preserve">submitted at this docket </w:t>
      </w:r>
      <w:r>
        <w:rPr>
          <w:sz w:val="24"/>
          <w:szCs w:val="24"/>
        </w:rPr>
        <w:t>is</w:t>
      </w:r>
      <w:r w:rsidRPr="00A60172">
        <w:rPr>
          <w:sz w:val="24"/>
          <w:szCs w:val="24"/>
        </w:rPr>
        <w:t xml:space="preserve"> in the public interest</w:t>
      </w:r>
      <w:r w:rsidR="00E64FED">
        <w:rPr>
          <w:sz w:val="24"/>
          <w:szCs w:val="24"/>
        </w:rPr>
        <w:t>.</w:t>
      </w:r>
    </w:p>
    <w:p w:rsidR="00687D79" w:rsidRDefault="00687D79" w:rsidP="00227CE8">
      <w:pPr>
        <w:spacing w:line="360" w:lineRule="auto"/>
        <w:jc w:val="center"/>
        <w:rPr>
          <w:sz w:val="24"/>
          <w:szCs w:val="24"/>
        </w:rPr>
      </w:pPr>
    </w:p>
    <w:p w:rsidR="00687D79" w:rsidRDefault="00687D79" w:rsidP="00227CE8">
      <w:pPr>
        <w:spacing w:line="360" w:lineRule="auto"/>
        <w:jc w:val="center"/>
        <w:rPr>
          <w:sz w:val="24"/>
          <w:szCs w:val="24"/>
        </w:rPr>
      </w:pPr>
      <w:r>
        <w:rPr>
          <w:sz w:val="24"/>
          <w:szCs w:val="24"/>
        </w:rPr>
        <w:t>VI.</w:t>
      </w:r>
      <w:r>
        <w:rPr>
          <w:sz w:val="24"/>
          <w:szCs w:val="24"/>
        </w:rPr>
        <w:tab/>
      </w:r>
      <w:r w:rsidRPr="00421BBB">
        <w:rPr>
          <w:sz w:val="24"/>
          <w:szCs w:val="24"/>
          <w:u w:val="single"/>
        </w:rPr>
        <w:t>RECOMMENDED ORDER</w:t>
      </w:r>
    </w:p>
    <w:p w:rsidR="00687D79" w:rsidRDefault="00687D79" w:rsidP="00227CE8">
      <w:pPr>
        <w:spacing w:line="360" w:lineRule="auto"/>
        <w:rPr>
          <w:sz w:val="24"/>
          <w:szCs w:val="24"/>
        </w:rPr>
      </w:pPr>
    </w:p>
    <w:p w:rsidR="00006ABC" w:rsidRDefault="00006ABC" w:rsidP="00227CE8">
      <w:pPr>
        <w:spacing w:line="360" w:lineRule="auto"/>
        <w:rPr>
          <w:sz w:val="24"/>
          <w:szCs w:val="24"/>
        </w:rPr>
      </w:pPr>
    </w:p>
    <w:p w:rsidR="00687D79" w:rsidRDefault="00687D79" w:rsidP="00227CE8">
      <w:pPr>
        <w:spacing w:line="360" w:lineRule="auto"/>
        <w:rPr>
          <w:sz w:val="24"/>
          <w:szCs w:val="24"/>
        </w:rPr>
      </w:pPr>
      <w:r>
        <w:rPr>
          <w:sz w:val="24"/>
          <w:szCs w:val="24"/>
        </w:rPr>
        <w:tab/>
      </w:r>
      <w:r>
        <w:rPr>
          <w:sz w:val="24"/>
          <w:szCs w:val="24"/>
        </w:rPr>
        <w:tab/>
        <w:t>THEREFORE,</w:t>
      </w:r>
    </w:p>
    <w:p w:rsidR="00687D79" w:rsidRDefault="00687D79" w:rsidP="00227CE8">
      <w:pPr>
        <w:spacing w:line="360" w:lineRule="auto"/>
        <w:rPr>
          <w:sz w:val="24"/>
          <w:szCs w:val="24"/>
        </w:rPr>
      </w:pPr>
    </w:p>
    <w:p w:rsidR="00687D79" w:rsidRDefault="00687D79" w:rsidP="00227CE8">
      <w:pPr>
        <w:spacing w:line="360" w:lineRule="auto"/>
        <w:rPr>
          <w:sz w:val="24"/>
          <w:szCs w:val="24"/>
        </w:rPr>
      </w:pPr>
      <w:r>
        <w:rPr>
          <w:sz w:val="24"/>
          <w:szCs w:val="24"/>
        </w:rPr>
        <w:tab/>
      </w:r>
      <w:r>
        <w:rPr>
          <w:sz w:val="24"/>
          <w:szCs w:val="24"/>
        </w:rPr>
        <w:tab/>
        <w:t>IT IS RECOMMENDED:</w:t>
      </w:r>
    </w:p>
    <w:p w:rsidR="00687D79" w:rsidRDefault="00687D79" w:rsidP="00227CE8">
      <w:pPr>
        <w:spacing w:line="360" w:lineRule="auto"/>
        <w:rPr>
          <w:sz w:val="24"/>
          <w:szCs w:val="24"/>
        </w:rPr>
      </w:pPr>
    </w:p>
    <w:p w:rsidR="00687D79" w:rsidRDefault="00687D79" w:rsidP="00465BAE">
      <w:pPr>
        <w:numPr>
          <w:ilvl w:val="0"/>
          <w:numId w:val="22"/>
        </w:numPr>
        <w:tabs>
          <w:tab w:val="clear" w:pos="720"/>
          <w:tab w:val="num" w:pos="0"/>
        </w:tabs>
        <w:spacing w:line="360" w:lineRule="auto"/>
        <w:ind w:left="0" w:firstLine="1440"/>
        <w:jc w:val="left"/>
        <w:rPr>
          <w:sz w:val="24"/>
          <w:szCs w:val="24"/>
        </w:rPr>
      </w:pPr>
      <w:r w:rsidRPr="00A60172">
        <w:rPr>
          <w:sz w:val="24"/>
          <w:szCs w:val="24"/>
        </w:rPr>
        <w:t xml:space="preserve">That the </w:t>
      </w:r>
      <w:r>
        <w:rPr>
          <w:sz w:val="24"/>
          <w:szCs w:val="24"/>
        </w:rPr>
        <w:t>Stipulation in Settlement of the Rate Investigation pursuant to 66</w:t>
      </w:r>
      <w:r w:rsidR="0035476F">
        <w:rPr>
          <w:sz w:val="24"/>
          <w:szCs w:val="24"/>
        </w:rPr>
        <w:t> </w:t>
      </w:r>
      <w:r>
        <w:rPr>
          <w:sz w:val="24"/>
          <w:szCs w:val="24"/>
        </w:rPr>
        <w:t>Pa. C.S. §1307(f) that National Fuel Gas Distribution Corporation,</w:t>
      </w:r>
      <w:r w:rsidRPr="00A60172">
        <w:rPr>
          <w:sz w:val="24"/>
          <w:szCs w:val="24"/>
        </w:rPr>
        <w:t xml:space="preserve"> </w:t>
      </w:r>
      <w:r w:rsidR="00F06E5D">
        <w:rPr>
          <w:sz w:val="24"/>
          <w:szCs w:val="24"/>
        </w:rPr>
        <w:t xml:space="preserve">the Commission’s Bureau of Investigation and Enforcement, the Office of Consumer Advocate and the Office of Small Business Advocate </w:t>
      </w:r>
      <w:r w:rsidRPr="00A60172">
        <w:rPr>
          <w:sz w:val="24"/>
          <w:szCs w:val="24"/>
        </w:rPr>
        <w:t xml:space="preserve">have </w:t>
      </w:r>
      <w:r>
        <w:rPr>
          <w:sz w:val="24"/>
          <w:szCs w:val="24"/>
        </w:rPr>
        <w:t xml:space="preserve">executed and </w:t>
      </w:r>
      <w:r w:rsidR="00F06E5D">
        <w:rPr>
          <w:sz w:val="24"/>
          <w:szCs w:val="24"/>
        </w:rPr>
        <w:t>file</w:t>
      </w:r>
      <w:r>
        <w:rPr>
          <w:sz w:val="24"/>
          <w:szCs w:val="24"/>
        </w:rPr>
        <w:t>d at Docket No. R-20</w:t>
      </w:r>
      <w:r w:rsidR="00F06E5D">
        <w:rPr>
          <w:sz w:val="24"/>
          <w:szCs w:val="24"/>
        </w:rPr>
        <w:t>12</w:t>
      </w:r>
      <w:r w:rsidR="00EB470F">
        <w:rPr>
          <w:sz w:val="24"/>
          <w:szCs w:val="24"/>
        </w:rPr>
        <w:t>-</w:t>
      </w:r>
      <w:r w:rsidR="00F06E5D">
        <w:rPr>
          <w:sz w:val="24"/>
          <w:szCs w:val="24"/>
        </w:rPr>
        <w:t>2281465</w:t>
      </w:r>
      <w:r>
        <w:rPr>
          <w:sz w:val="24"/>
          <w:szCs w:val="24"/>
        </w:rPr>
        <w:t xml:space="preserve"> be approved.    </w:t>
      </w:r>
    </w:p>
    <w:p w:rsidR="00687D79" w:rsidRDefault="00687D79" w:rsidP="00227CE8">
      <w:pPr>
        <w:spacing w:line="360" w:lineRule="auto"/>
        <w:jc w:val="left"/>
        <w:rPr>
          <w:sz w:val="24"/>
          <w:szCs w:val="24"/>
        </w:rPr>
      </w:pPr>
    </w:p>
    <w:p w:rsidR="00687D79" w:rsidRDefault="00687D79" w:rsidP="0000223F">
      <w:pPr>
        <w:numPr>
          <w:ilvl w:val="0"/>
          <w:numId w:val="22"/>
        </w:numPr>
        <w:tabs>
          <w:tab w:val="clear" w:pos="720"/>
          <w:tab w:val="num" w:pos="0"/>
        </w:tabs>
        <w:spacing w:line="360" w:lineRule="auto"/>
        <w:ind w:left="0" w:firstLine="1440"/>
        <w:jc w:val="left"/>
        <w:rPr>
          <w:sz w:val="24"/>
          <w:szCs w:val="24"/>
        </w:rPr>
      </w:pPr>
      <w:r w:rsidRPr="00A60172">
        <w:rPr>
          <w:sz w:val="24"/>
          <w:szCs w:val="24"/>
        </w:rPr>
        <w:t xml:space="preserve">That </w:t>
      </w:r>
      <w:r>
        <w:rPr>
          <w:sz w:val="24"/>
          <w:szCs w:val="24"/>
        </w:rPr>
        <w:t xml:space="preserve">National Fuel Gas Distribution Corporation be permitted to </w:t>
      </w:r>
      <w:r w:rsidRPr="00A60172">
        <w:rPr>
          <w:sz w:val="24"/>
          <w:szCs w:val="24"/>
        </w:rPr>
        <w:t xml:space="preserve">file a tariff supplement, on one day’s notice to the Commission, containing changes in rates to provide for the recovery of its costs of purchased gas, consistent with the terms and conditions of the </w:t>
      </w:r>
      <w:r>
        <w:rPr>
          <w:sz w:val="24"/>
          <w:szCs w:val="24"/>
        </w:rPr>
        <w:t>Stipulation in Settlement of the Rate Investigation pursuant to 66 Pa. C.S. §1307(f).</w:t>
      </w:r>
    </w:p>
    <w:p w:rsidR="00687D79" w:rsidRDefault="00687D79" w:rsidP="00227CE8">
      <w:pPr>
        <w:spacing w:line="360" w:lineRule="auto"/>
        <w:jc w:val="left"/>
        <w:rPr>
          <w:sz w:val="24"/>
          <w:szCs w:val="24"/>
        </w:rPr>
      </w:pPr>
    </w:p>
    <w:p w:rsidR="00FF259D" w:rsidRDefault="00687D79" w:rsidP="00FF259D">
      <w:pPr>
        <w:numPr>
          <w:ilvl w:val="0"/>
          <w:numId w:val="22"/>
        </w:numPr>
        <w:tabs>
          <w:tab w:val="clear" w:pos="720"/>
          <w:tab w:val="num" w:pos="0"/>
        </w:tabs>
        <w:spacing w:line="360" w:lineRule="auto"/>
        <w:ind w:left="0" w:firstLine="1440"/>
        <w:jc w:val="left"/>
        <w:rPr>
          <w:sz w:val="24"/>
          <w:szCs w:val="24"/>
        </w:rPr>
      </w:pPr>
      <w:r w:rsidRPr="00A60172">
        <w:rPr>
          <w:sz w:val="24"/>
          <w:szCs w:val="24"/>
        </w:rPr>
        <w:t>That the</w:t>
      </w:r>
      <w:r>
        <w:rPr>
          <w:sz w:val="24"/>
          <w:szCs w:val="24"/>
        </w:rPr>
        <w:t xml:space="preserve"> formal complaints of the Office of Small Business Advocate at Docket No. </w:t>
      </w:r>
      <w:r w:rsidR="00CA0C8E">
        <w:rPr>
          <w:sz w:val="24"/>
          <w:szCs w:val="24"/>
        </w:rPr>
        <w:t>C-2012-2284611</w:t>
      </w:r>
      <w:r>
        <w:rPr>
          <w:sz w:val="24"/>
          <w:szCs w:val="24"/>
        </w:rPr>
        <w:t xml:space="preserve">, the </w:t>
      </w:r>
      <w:r w:rsidRPr="001C16D2">
        <w:rPr>
          <w:sz w:val="24"/>
          <w:szCs w:val="24"/>
        </w:rPr>
        <w:t xml:space="preserve">Office of Consumer Advocate at Docket No. </w:t>
      </w:r>
      <w:r w:rsidR="00CA0C8E">
        <w:rPr>
          <w:sz w:val="24"/>
          <w:szCs w:val="24"/>
        </w:rPr>
        <w:t>C-2012-2283065</w:t>
      </w:r>
      <w:r>
        <w:rPr>
          <w:sz w:val="24"/>
          <w:szCs w:val="24"/>
        </w:rPr>
        <w:t xml:space="preserve">, </w:t>
      </w:r>
      <w:r w:rsidR="00FF259D">
        <w:rPr>
          <w:sz w:val="24"/>
          <w:szCs w:val="24"/>
        </w:rPr>
        <w:t>and James L. Amitrone at Docket No. C-2012-2286737 be dismissed.</w:t>
      </w:r>
    </w:p>
    <w:p w:rsidR="00CA0C8E" w:rsidRDefault="00CA0C8E" w:rsidP="00CA0C8E">
      <w:pPr>
        <w:pStyle w:val="ListParagraph"/>
        <w:rPr>
          <w:sz w:val="24"/>
          <w:szCs w:val="24"/>
        </w:rPr>
      </w:pPr>
    </w:p>
    <w:p w:rsidR="00CA0C8E" w:rsidRPr="00CA0C8E" w:rsidRDefault="00687D79" w:rsidP="00CA0C8E">
      <w:pPr>
        <w:numPr>
          <w:ilvl w:val="0"/>
          <w:numId w:val="22"/>
        </w:numPr>
        <w:tabs>
          <w:tab w:val="clear" w:pos="720"/>
          <w:tab w:val="num" w:pos="0"/>
        </w:tabs>
        <w:spacing w:line="360" w:lineRule="auto"/>
        <w:ind w:left="0" w:firstLine="1440"/>
        <w:jc w:val="left"/>
        <w:rPr>
          <w:sz w:val="24"/>
          <w:szCs w:val="24"/>
        </w:rPr>
      </w:pPr>
      <w:r w:rsidRPr="00CA0C8E">
        <w:rPr>
          <w:sz w:val="24"/>
          <w:szCs w:val="24"/>
        </w:rPr>
        <w:t xml:space="preserve">That National Fuel Gas Distribution Corporation, </w:t>
      </w:r>
      <w:r w:rsidR="00CA0C8E" w:rsidRPr="00CA0C8E">
        <w:rPr>
          <w:sz w:val="24"/>
          <w:szCs w:val="24"/>
        </w:rPr>
        <w:t xml:space="preserve">the Commission’s Bureau of Investigation and Enforcement, the Office of Consumer Advocate and the Office of Small Business Advocate </w:t>
      </w:r>
      <w:r w:rsidRPr="00CA0C8E">
        <w:rPr>
          <w:sz w:val="24"/>
          <w:szCs w:val="24"/>
        </w:rPr>
        <w:t>be ordered to comply with the terms and conditions of the Stipulation in Settlement of the Rate Investigation pursuant to 66 Pa. C.S. §1307(f) executed and submitted in this proceeding as though each term and condition stated therein had been the subject of an individual ordering paragraph.</w:t>
      </w:r>
    </w:p>
    <w:p w:rsidR="00CA0C8E" w:rsidRDefault="00CA0C8E" w:rsidP="00CA0C8E">
      <w:pPr>
        <w:spacing w:line="360" w:lineRule="auto"/>
        <w:jc w:val="left"/>
        <w:rPr>
          <w:sz w:val="24"/>
          <w:szCs w:val="24"/>
        </w:rPr>
      </w:pPr>
    </w:p>
    <w:p w:rsidR="00687D79" w:rsidRDefault="00687D79" w:rsidP="0000223F">
      <w:pPr>
        <w:numPr>
          <w:ilvl w:val="0"/>
          <w:numId w:val="22"/>
        </w:numPr>
        <w:tabs>
          <w:tab w:val="clear" w:pos="720"/>
          <w:tab w:val="num" w:pos="0"/>
        </w:tabs>
        <w:spacing w:line="360" w:lineRule="auto"/>
        <w:ind w:left="0" w:firstLine="1440"/>
        <w:jc w:val="left"/>
        <w:rPr>
          <w:sz w:val="24"/>
          <w:szCs w:val="24"/>
        </w:rPr>
      </w:pPr>
      <w:r w:rsidRPr="003D0FC3">
        <w:rPr>
          <w:sz w:val="24"/>
          <w:szCs w:val="24"/>
        </w:rPr>
        <w:t xml:space="preserve">That upon the filing of a tariff supplement by </w:t>
      </w:r>
      <w:r>
        <w:rPr>
          <w:sz w:val="24"/>
          <w:szCs w:val="24"/>
        </w:rPr>
        <w:t xml:space="preserve">National Fuel Gas Distribution Corporation, </w:t>
      </w:r>
      <w:r w:rsidRPr="003D0FC3">
        <w:rPr>
          <w:sz w:val="24"/>
          <w:szCs w:val="24"/>
        </w:rPr>
        <w:t xml:space="preserve">acceptable to the Commission as conforming with this Order and </w:t>
      </w:r>
      <w:r>
        <w:rPr>
          <w:sz w:val="24"/>
          <w:szCs w:val="24"/>
        </w:rPr>
        <w:t>the Stipulation in Settlement of the Rate Investigation pursuant to 66 Pa. C.S. §1307(f),</w:t>
      </w:r>
      <w:r w:rsidRPr="003D0FC3">
        <w:rPr>
          <w:sz w:val="24"/>
          <w:szCs w:val="24"/>
        </w:rPr>
        <w:t xml:space="preserve"> and the Commission’s approval thereof, the purchased gas</w:t>
      </w:r>
      <w:r>
        <w:rPr>
          <w:sz w:val="24"/>
          <w:szCs w:val="24"/>
        </w:rPr>
        <w:t xml:space="preserve"> cost</w:t>
      </w:r>
      <w:r w:rsidRPr="003D0FC3">
        <w:rPr>
          <w:sz w:val="24"/>
          <w:szCs w:val="24"/>
        </w:rPr>
        <w:t xml:space="preserve"> rates established therein become effective for service rende</w:t>
      </w:r>
      <w:r>
        <w:rPr>
          <w:sz w:val="24"/>
          <w:szCs w:val="24"/>
        </w:rPr>
        <w:t>red on and after August 1, 201</w:t>
      </w:r>
      <w:r w:rsidR="00CA0C8E">
        <w:rPr>
          <w:sz w:val="24"/>
          <w:szCs w:val="24"/>
        </w:rPr>
        <w:t>2</w:t>
      </w:r>
      <w:r>
        <w:rPr>
          <w:sz w:val="24"/>
          <w:szCs w:val="24"/>
        </w:rPr>
        <w:t xml:space="preserve">. </w:t>
      </w:r>
    </w:p>
    <w:p w:rsidR="00687D79" w:rsidRDefault="00687D79" w:rsidP="00227CE8">
      <w:pPr>
        <w:spacing w:line="360" w:lineRule="auto"/>
        <w:jc w:val="left"/>
        <w:rPr>
          <w:sz w:val="24"/>
          <w:szCs w:val="24"/>
        </w:rPr>
      </w:pPr>
    </w:p>
    <w:p w:rsidR="00687D79" w:rsidRDefault="00687D79" w:rsidP="0000223F">
      <w:pPr>
        <w:numPr>
          <w:ilvl w:val="0"/>
          <w:numId w:val="22"/>
        </w:numPr>
        <w:tabs>
          <w:tab w:val="clear" w:pos="720"/>
          <w:tab w:val="num" w:pos="0"/>
        </w:tabs>
        <w:spacing w:line="360" w:lineRule="auto"/>
        <w:ind w:left="0" w:firstLine="1440"/>
        <w:jc w:val="left"/>
        <w:rPr>
          <w:sz w:val="24"/>
          <w:szCs w:val="24"/>
        </w:rPr>
      </w:pPr>
      <w:r w:rsidRPr="003D0FC3">
        <w:rPr>
          <w:sz w:val="24"/>
          <w:szCs w:val="24"/>
        </w:rPr>
        <w:t xml:space="preserve">That upon acceptance and approval by the Commission of the tariff supplement and supporting data filed by </w:t>
      </w:r>
      <w:r>
        <w:rPr>
          <w:sz w:val="24"/>
          <w:szCs w:val="24"/>
        </w:rPr>
        <w:t>National Fuel Gas Distribution Corporation,</w:t>
      </w:r>
      <w:r w:rsidRPr="003D0FC3">
        <w:rPr>
          <w:sz w:val="24"/>
          <w:szCs w:val="24"/>
        </w:rPr>
        <w:t xml:space="preserve"> as being consistent with this Order and the </w:t>
      </w:r>
      <w:r>
        <w:rPr>
          <w:sz w:val="24"/>
          <w:szCs w:val="24"/>
        </w:rPr>
        <w:t>Stipulation in Settlement of the Rate Investigation pursuant to 66 Pa. C.S. §1307(f)</w:t>
      </w:r>
      <w:r w:rsidRPr="008720E7">
        <w:rPr>
          <w:sz w:val="24"/>
          <w:szCs w:val="24"/>
        </w:rPr>
        <w:t>,</w:t>
      </w:r>
      <w:r w:rsidRPr="003D0FC3">
        <w:rPr>
          <w:sz w:val="24"/>
          <w:szCs w:val="24"/>
        </w:rPr>
        <w:t xml:space="preserve"> the inquiry and i</w:t>
      </w:r>
      <w:r>
        <w:rPr>
          <w:sz w:val="24"/>
          <w:szCs w:val="24"/>
        </w:rPr>
        <w:t>nvestigation at Docket No.</w:t>
      </w:r>
      <w:r w:rsidR="00CA0C8E">
        <w:rPr>
          <w:sz w:val="24"/>
          <w:szCs w:val="24"/>
        </w:rPr>
        <w:t xml:space="preserve"> R-2012</w:t>
      </w:r>
      <w:r w:rsidR="00C938C0">
        <w:rPr>
          <w:sz w:val="24"/>
          <w:szCs w:val="24"/>
        </w:rPr>
        <w:t>-</w:t>
      </w:r>
      <w:r w:rsidR="00CA0C8E">
        <w:rPr>
          <w:sz w:val="24"/>
          <w:szCs w:val="24"/>
        </w:rPr>
        <w:t>2281465</w:t>
      </w:r>
      <w:r w:rsidRPr="003D0FC3">
        <w:rPr>
          <w:sz w:val="24"/>
          <w:szCs w:val="24"/>
        </w:rPr>
        <w:t xml:space="preserve"> be terminat</w:t>
      </w:r>
      <w:r>
        <w:rPr>
          <w:sz w:val="24"/>
          <w:szCs w:val="24"/>
        </w:rPr>
        <w:t xml:space="preserve">ed and the docket marked closed; and that the dockets be marked closed at Docket No. </w:t>
      </w:r>
      <w:r w:rsidR="00CA0C8E">
        <w:rPr>
          <w:sz w:val="24"/>
          <w:szCs w:val="24"/>
        </w:rPr>
        <w:t>C-2012-2284611,</w:t>
      </w:r>
      <w:r>
        <w:rPr>
          <w:sz w:val="24"/>
          <w:szCs w:val="24"/>
        </w:rPr>
        <w:t xml:space="preserve"> </w:t>
      </w:r>
      <w:r w:rsidRPr="001C16D2">
        <w:rPr>
          <w:sz w:val="24"/>
          <w:szCs w:val="24"/>
        </w:rPr>
        <w:t xml:space="preserve">Docket No. </w:t>
      </w:r>
      <w:r w:rsidR="00CA0C8E">
        <w:rPr>
          <w:sz w:val="24"/>
          <w:szCs w:val="24"/>
        </w:rPr>
        <w:t>C-2012-2283065 and Docket No. C-2012-2286737</w:t>
      </w:r>
      <w:r>
        <w:rPr>
          <w:sz w:val="24"/>
          <w:szCs w:val="24"/>
        </w:rPr>
        <w:t xml:space="preserve">.  </w:t>
      </w:r>
    </w:p>
    <w:p w:rsidR="00687D79" w:rsidRDefault="00687D79" w:rsidP="00227CE8">
      <w:pPr>
        <w:spacing w:line="360" w:lineRule="auto"/>
        <w:jc w:val="left"/>
        <w:rPr>
          <w:sz w:val="24"/>
          <w:szCs w:val="24"/>
        </w:rPr>
      </w:pPr>
    </w:p>
    <w:p w:rsidR="006479D5" w:rsidRDefault="006479D5" w:rsidP="00227CE8">
      <w:pPr>
        <w:spacing w:line="360" w:lineRule="auto"/>
        <w:jc w:val="left"/>
        <w:rPr>
          <w:sz w:val="24"/>
          <w:szCs w:val="24"/>
        </w:rPr>
      </w:pPr>
    </w:p>
    <w:p w:rsidR="00E52649" w:rsidRDefault="00E52649" w:rsidP="00227CE8">
      <w:pPr>
        <w:spacing w:line="360" w:lineRule="auto"/>
        <w:jc w:val="left"/>
        <w:rPr>
          <w:sz w:val="24"/>
          <w:szCs w:val="24"/>
        </w:rPr>
      </w:pPr>
    </w:p>
    <w:p w:rsidR="00687D79" w:rsidRDefault="00687D79" w:rsidP="00227CE8">
      <w:pPr>
        <w:jc w:val="left"/>
        <w:rPr>
          <w:sz w:val="24"/>
          <w:szCs w:val="24"/>
        </w:rPr>
      </w:pPr>
      <w:r>
        <w:rPr>
          <w:sz w:val="24"/>
          <w:szCs w:val="24"/>
        </w:rPr>
        <w:t>Date:</w:t>
      </w:r>
      <w:r w:rsidR="008F3055">
        <w:rPr>
          <w:sz w:val="24"/>
          <w:szCs w:val="24"/>
        </w:rPr>
        <w:t xml:space="preserve"> </w:t>
      </w:r>
      <w:r>
        <w:rPr>
          <w:sz w:val="24"/>
          <w:szCs w:val="24"/>
        </w:rPr>
        <w:t xml:space="preserve"> </w:t>
      </w:r>
      <w:r>
        <w:rPr>
          <w:sz w:val="24"/>
          <w:szCs w:val="24"/>
          <w:u w:val="single"/>
        </w:rPr>
        <w:t>May 2</w:t>
      </w:r>
      <w:r w:rsidR="00CA0C8E">
        <w:rPr>
          <w:sz w:val="24"/>
          <w:szCs w:val="24"/>
          <w:u w:val="single"/>
        </w:rPr>
        <w:t>5</w:t>
      </w:r>
      <w:r w:rsidRPr="00DE4E23">
        <w:rPr>
          <w:sz w:val="24"/>
          <w:szCs w:val="24"/>
          <w:u w:val="single"/>
        </w:rPr>
        <w:t>, 201</w:t>
      </w:r>
      <w:r w:rsidR="00CA0C8E">
        <w:rPr>
          <w:sz w:val="24"/>
          <w:szCs w:val="24"/>
          <w:u w:val="single"/>
        </w:rPr>
        <w:t>2</w:t>
      </w:r>
      <w:r>
        <w:rPr>
          <w:sz w:val="24"/>
          <w:szCs w:val="24"/>
        </w:rPr>
        <w:tab/>
      </w:r>
      <w:r>
        <w:rPr>
          <w:sz w:val="24"/>
          <w:szCs w:val="24"/>
        </w:rPr>
        <w:tab/>
      </w:r>
      <w:r>
        <w:rPr>
          <w:sz w:val="24"/>
          <w:szCs w:val="24"/>
        </w:rPr>
        <w:tab/>
      </w:r>
      <w:r>
        <w:rPr>
          <w:sz w:val="24"/>
          <w:szCs w:val="24"/>
        </w:rPr>
        <w:tab/>
      </w:r>
      <w:r>
        <w:rPr>
          <w:sz w:val="24"/>
          <w:szCs w:val="24"/>
        </w:rPr>
        <w:tab/>
      </w:r>
      <w:r w:rsidR="008F3055">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687D79" w:rsidRDefault="00687D79" w:rsidP="00227CE8">
      <w:pPr>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F3055">
        <w:rPr>
          <w:sz w:val="24"/>
          <w:szCs w:val="24"/>
        </w:rPr>
        <w:tab/>
      </w:r>
      <w:r>
        <w:rPr>
          <w:sz w:val="24"/>
          <w:szCs w:val="24"/>
        </w:rPr>
        <w:t>Mark A. Hoyer</w:t>
      </w:r>
    </w:p>
    <w:p w:rsidR="00687D79" w:rsidRDefault="00687D79" w:rsidP="00227CE8">
      <w:pPr>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F3055">
        <w:rPr>
          <w:sz w:val="24"/>
          <w:szCs w:val="24"/>
        </w:rPr>
        <w:tab/>
      </w:r>
      <w:r>
        <w:rPr>
          <w:sz w:val="24"/>
          <w:szCs w:val="24"/>
        </w:rPr>
        <w:t>Administrative Law Judge</w:t>
      </w:r>
    </w:p>
    <w:sectPr w:rsidR="00687D79" w:rsidSect="00331792">
      <w:footerReference w:type="even" r:id="rId9"/>
      <w:footerReference w:type="default" r:id="rId10"/>
      <w:footerReference w:type="first" r:id="rId11"/>
      <w:pgSz w:w="12240" w:h="15840" w:code="1"/>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44" w:rsidRDefault="001F7744">
      <w:r>
        <w:separator/>
      </w:r>
    </w:p>
  </w:endnote>
  <w:endnote w:type="continuationSeparator" w:id="0">
    <w:p w:rsidR="001F7744" w:rsidRDefault="001F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1F" w:rsidRDefault="006F231F" w:rsidP="003F7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231F" w:rsidRDefault="006F23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370869"/>
      <w:docPartObj>
        <w:docPartGallery w:val="Page Numbers (Bottom of Page)"/>
        <w:docPartUnique/>
      </w:docPartObj>
    </w:sdtPr>
    <w:sdtEndPr>
      <w:rPr>
        <w:sz w:val="24"/>
        <w:szCs w:val="24"/>
      </w:rPr>
    </w:sdtEndPr>
    <w:sdtContent>
      <w:p w:rsidR="006F231F" w:rsidRDefault="006F231F">
        <w:pPr>
          <w:pStyle w:val="Footer"/>
          <w:jc w:val="center"/>
        </w:pPr>
        <w:r w:rsidRPr="004B5664">
          <w:rPr>
            <w:sz w:val="24"/>
            <w:szCs w:val="24"/>
          </w:rPr>
          <w:fldChar w:fldCharType="begin"/>
        </w:r>
        <w:r w:rsidRPr="004B5664">
          <w:rPr>
            <w:sz w:val="24"/>
            <w:szCs w:val="24"/>
          </w:rPr>
          <w:instrText xml:space="preserve"> PAGE   \* MERGEFORMAT </w:instrText>
        </w:r>
        <w:r w:rsidRPr="004B5664">
          <w:rPr>
            <w:sz w:val="24"/>
            <w:szCs w:val="24"/>
          </w:rPr>
          <w:fldChar w:fldCharType="separate"/>
        </w:r>
        <w:r w:rsidR="007E43F4">
          <w:rPr>
            <w:noProof/>
            <w:sz w:val="24"/>
            <w:szCs w:val="24"/>
          </w:rPr>
          <w:t>4</w:t>
        </w:r>
        <w:r w:rsidRPr="004B5664">
          <w:rPr>
            <w:sz w:val="24"/>
            <w:szCs w:val="24"/>
          </w:rPr>
          <w:fldChar w:fldCharType="end"/>
        </w:r>
      </w:p>
    </w:sdtContent>
  </w:sdt>
  <w:p w:rsidR="006F231F" w:rsidRPr="00DA157C" w:rsidRDefault="006F231F" w:rsidP="00DA15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1F" w:rsidRDefault="006F231F">
    <w:pPr>
      <w:pStyle w:val="Footer"/>
      <w:jc w:val="center"/>
    </w:pPr>
  </w:p>
  <w:p w:rsidR="006F231F" w:rsidRDefault="006F2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44" w:rsidRDefault="001F7744">
      <w:r>
        <w:separator/>
      </w:r>
    </w:p>
  </w:footnote>
  <w:footnote w:type="continuationSeparator" w:id="0">
    <w:p w:rsidR="001F7744" w:rsidRDefault="001F7744">
      <w:r>
        <w:continuationSeparator/>
      </w:r>
    </w:p>
  </w:footnote>
  <w:footnote w:id="1">
    <w:p w:rsidR="006F231F" w:rsidRPr="00B100E3" w:rsidRDefault="006F231F" w:rsidP="002569D9">
      <w:pPr>
        <w:pStyle w:val="FootnoteText"/>
      </w:pPr>
      <w:r w:rsidRPr="00807AF9">
        <w:rPr>
          <w:rStyle w:val="FootnoteReference"/>
        </w:rPr>
        <w:footnoteRef/>
      </w:r>
      <w:r w:rsidRPr="00B100E3">
        <w:t xml:space="preserve"> James Amitrone was the only individual who filed a complaint against </w:t>
      </w:r>
      <w:r w:rsidR="00CA31E7">
        <w:t>Distribution</w:t>
      </w:r>
      <w:r w:rsidRPr="00B100E3">
        <w:t xml:space="preserve">’s proposed increase in rates at Docket No. C-2012-2286737.  He has not otherwise participated in this proceeding.  He is the only party who did not join in the settlement.  </w:t>
      </w:r>
    </w:p>
  </w:footnote>
  <w:footnote w:id="2">
    <w:p w:rsidR="006F231F" w:rsidRDefault="006F231F">
      <w:pPr>
        <w:pStyle w:val="FootnoteText"/>
      </w:pPr>
      <w:r>
        <w:rPr>
          <w:rStyle w:val="FootnoteReference"/>
        </w:rPr>
        <w:footnoteRef/>
      </w:r>
      <w:r>
        <w:t xml:space="preserve"> The Stipulation in Settlement of the Rate Investigation and Attachments are not attached to this Recommended Decision.</w:t>
      </w:r>
    </w:p>
    <w:p w:rsidR="00B95A23" w:rsidRDefault="00B95A23">
      <w:pPr>
        <w:pStyle w:val="FootnoteText"/>
      </w:pPr>
    </w:p>
  </w:footnote>
  <w:footnote w:id="3">
    <w:p w:rsidR="006F231F" w:rsidRDefault="006F231F">
      <w:pPr>
        <w:pStyle w:val="FootnoteText"/>
      </w:pPr>
      <w:r>
        <w:rPr>
          <w:rStyle w:val="FootnoteReference"/>
        </w:rPr>
        <w:footnoteRef/>
      </w:r>
      <w:r>
        <w:t xml:space="preserve"> The Conditions of the Settlement are set forth in numbered paragraphs 58-65 on pages 14-16 of the Settlement.  </w:t>
      </w:r>
    </w:p>
  </w:footnote>
  <w:footnote w:id="4">
    <w:p w:rsidR="006F231F" w:rsidRDefault="006F231F" w:rsidP="004E44B8">
      <w:pPr>
        <w:pStyle w:val="FootnoteText"/>
      </w:pPr>
      <w:r>
        <w:rPr>
          <w:rStyle w:val="FootnoteReference"/>
        </w:rPr>
        <w:footnoteRef/>
      </w:r>
      <w:r>
        <w:t xml:space="preserve"> Tennessee filed such tariff changes in FERC Docket No. RP-12-514 on March 23, 2012.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E74145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F73C8452"/>
    <w:lvl w:ilvl="0">
      <w:start w:val="1"/>
      <w:numFmt w:val="decimal"/>
      <w:pStyle w:val="ListNumber"/>
      <w:lvlText w:val="%1."/>
      <w:lvlJc w:val="left"/>
      <w:pPr>
        <w:tabs>
          <w:tab w:val="num" w:pos="360"/>
        </w:tabs>
        <w:ind w:left="360" w:hanging="360"/>
      </w:pPr>
      <w:rPr>
        <w:rFonts w:cs="Times New Roman"/>
      </w:rPr>
    </w:lvl>
  </w:abstractNum>
  <w:abstractNum w:abstractNumId="2">
    <w:nsid w:val="0ACC6CA6"/>
    <w:multiLevelType w:val="hybridMultilevel"/>
    <w:tmpl w:val="F398A1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6C4011C"/>
    <w:multiLevelType w:val="hybridMultilevel"/>
    <w:tmpl w:val="779AAAAE"/>
    <w:lvl w:ilvl="0" w:tplc="0409000F">
      <w:start w:val="1"/>
      <w:numFmt w:val="decimal"/>
      <w:lvlText w:val="%1."/>
      <w:lvlJc w:val="left"/>
      <w:pPr>
        <w:tabs>
          <w:tab w:val="num" w:pos="3600"/>
        </w:tabs>
        <w:ind w:left="3600" w:hanging="360"/>
      </w:pPr>
      <w:rPr>
        <w:rFonts w:cs="Times New Roman"/>
      </w:rPr>
    </w:lvl>
    <w:lvl w:ilvl="1" w:tplc="04090019" w:tentative="1">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4">
    <w:nsid w:val="19E05E5F"/>
    <w:multiLevelType w:val="hybridMultilevel"/>
    <w:tmpl w:val="5B9A7F52"/>
    <w:lvl w:ilvl="0" w:tplc="D9900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C12A30"/>
    <w:multiLevelType w:val="hybridMultilevel"/>
    <w:tmpl w:val="D3309364"/>
    <w:lvl w:ilvl="0" w:tplc="EC0894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8721DD"/>
    <w:multiLevelType w:val="hybridMultilevel"/>
    <w:tmpl w:val="6AB409AC"/>
    <w:lvl w:ilvl="0" w:tplc="1756C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D44EAB"/>
    <w:multiLevelType w:val="hybridMultilevel"/>
    <w:tmpl w:val="51BE77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32E71ED"/>
    <w:multiLevelType w:val="hybridMultilevel"/>
    <w:tmpl w:val="82927EDC"/>
    <w:lvl w:ilvl="0" w:tplc="F426FCBC">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466966AE"/>
    <w:multiLevelType w:val="hybridMultilevel"/>
    <w:tmpl w:val="1786CA28"/>
    <w:lvl w:ilvl="0" w:tplc="A5568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0C7FF5"/>
    <w:multiLevelType w:val="hybridMultilevel"/>
    <w:tmpl w:val="2278D932"/>
    <w:lvl w:ilvl="0" w:tplc="199E0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4DE7D6D"/>
    <w:multiLevelType w:val="hybridMultilevel"/>
    <w:tmpl w:val="C906A246"/>
    <w:lvl w:ilvl="0" w:tplc="0409000F">
      <w:start w:val="1"/>
      <w:numFmt w:val="decimal"/>
      <w:lvlText w:val="%1."/>
      <w:lvlJc w:val="left"/>
      <w:pPr>
        <w:tabs>
          <w:tab w:val="num" w:pos="720"/>
        </w:tabs>
        <w:ind w:left="720" w:hanging="360"/>
      </w:pPr>
      <w:rPr>
        <w:rFonts w:cs="Times New Roman"/>
      </w:rPr>
    </w:lvl>
    <w:lvl w:ilvl="1" w:tplc="EDEAC2C2">
      <w:start w:val="16"/>
      <w:numFmt w:val="decimal"/>
      <w:lvlText w:val="%2."/>
      <w:lvlJc w:val="left"/>
      <w:pPr>
        <w:tabs>
          <w:tab w:val="num" w:pos="3240"/>
        </w:tabs>
        <w:ind w:left="3240" w:hanging="2160"/>
      </w:pPr>
      <w:rPr>
        <w:rFonts w:cs="Times New Roman" w:hint="default"/>
        <w:sz w:val="2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6FC4FBC"/>
    <w:multiLevelType w:val="hybridMultilevel"/>
    <w:tmpl w:val="6B203DB4"/>
    <w:lvl w:ilvl="0" w:tplc="F426FCBC">
      <w:start w:val="1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5ED0136C"/>
    <w:multiLevelType w:val="hybridMultilevel"/>
    <w:tmpl w:val="E5DEFD7E"/>
    <w:lvl w:ilvl="0" w:tplc="D8387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106FC3"/>
    <w:multiLevelType w:val="hybridMultilevel"/>
    <w:tmpl w:val="D34A66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8154488"/>
    <w:multiLevelType w:val="hybridMultilevel"/>
    <w:tmpl w:val="16AC098A"/>
    <w:lvl w:ilvl="0" w:tplc="8CFE808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15"/>
  </w:num>
  <w:num w:numId="20">
    <w:abstractNumId w:val="2"/>
  </w:num>
  <w:num w:numId="21">
    <w:abstractNumId w:val="7"/>
  </w:num>
  <w:num w:numId="22">
    <w:abstractNumId w:val="11"/>
  </w:num>
  <w:num w:numId="23">
    <w:abstractNumId w:val="3"/>
  </w:num>
  <w:num w:numId="24">
    <w:abstractNumId w:val="8"/>
  </w:num>
  <w:num w:numId="25">
    <w:abstractNumId w:val="13"/>
  </w:num>
  <w:num w:numId="26">
    <w:abstractNumId w:val="12"/>
  </w:num>
  <w:num w:numId="27">
    <w:abstractNumId w:val="4"/>
  </w:num>
  <w:num w:numId="28">
    <w:abstractNumId w:val="16"/>
  </w:num>
  <w:num w:numId="29">
    <w:abstractNumId w:val="14"/>
  </w:num>
  <w:num w:numId="30">
    <w:abstractNumId w:val="5"/>
  </w:num>
  <w:num w:numId="31">
    <w:abstractNumId w:val="10"/>
  </w:num>
  <w:num w:numId="32">
    <w:abstractNumId w:val="6"/>
  </w:num>
  <w:num w:numId="3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7C"/>
    <w:rsid w:val="000004E7"/>
    <w:rsid w:val="0000223F"/>
    <w:rsid w:val="00002E71"/>
    <w:rsid w:val="000041F1"/>
    <w:rsid w:val="000045D1"/>
    <w:rsid w:val="00006ABC"/>
    <w:rsid w:val="00007EC9"/>
    <w:rsid w:val="00011545"/>
    <w:rsid w:val="00011CAD"/>
    <w:rsid w:val="00013F1D"/>
    <w:rsid w:val="000140B0"/>
    <w:rsid w:val="0001444C"/>
    <w:rsid w:val="00015C87"/>
    <w:rsid w:val="00021AAB"/>
    <w:rsid w:val="00022031"/>
    <w:rsid w:val="00022664"/>
    <w:rsid w:val="00024AA5"/>
    <w:rsid w:val="00027E4C"/>
    <w:rsid w:val="00031CE6"/>
    <w:rsid w:val="00032954"/>
    <w:rsid w:val="00032B64"/>
    <w:rsid w:val="000338DC"/>
    <w:rsid w:val="000343CA"/>
    <w:rsid w:val="000373E6"/>
    <w:rsid w:val="000404B5"/>
    <w:rsid w:val="00041454"/>
    <w:rsid w:val="00041943"/>
    <w:rsid w:val="00042715"/>
    <w:rsid w:val="00042860"/>
    <w:rsid w:val="0004347A"/>
    <w:rsid w:val="00044944"/>
    <w:rsid w:val="000478A8"/>
    <w:rsid w:val="0005060B"/>
    <w:rsid w:val="000530AE"/>
    <w:rsid w:val="0005471E"/>
    <w:rsid w:val="00056513"/>
    <w:rsid w:val="00061BF5"/>
    <w:rsid w:val="00062983"/>
    <w:rsid w:val="00062FBD"/>
    <w:rsid w:val="00063BEB"/>
    <w:rsid w:val="00063FF4"/>
    <w:rsid w:val="0006554F"/>
    <w:rsid w:val="00070D98"/>
    <w:rsid w:val="000716B7"/>
    <w:rsid w:val="000766DE"/>
    <w:rsid w:val="000767FF"/>
    <w:rsid w:val="0007775B"/>
    <w:rsid w:val="0008097B"/>
    <w:rsid w:val="0008135A"/>
    <w:rsid w:val="00081B62"/>
    <w:rsid w:val="00083522"/>
    <w:rsid w:val="00087820"/>
    <w:rsid w:val="00087CC5"/>
    <w:rsid w:val="00087EE7"/>
    <w:rsid w:val="0009005C"/>
    <w:rsid w:val="000917F5"/>
    <w:rsid w:val="00096F74"/>
    <w:rsid w:val="000971D4"/>
    <w:rsid w:val="000A095B"/>
    <w:rsid w:val="000A1098"/>
    <w:rsid w:val="000A2C6F"/>
    <w:rsid w:val="000A37FF"/>
    <w:rsid w:val="000A3C44"/>
    <w:rsid w:val="000A510C"/>
    <w:rsid w:val="000A6659"/>
    <w:rsid w:val="000A6A1E"/>
    <w:rsid w:val="000B2ABD"/>
    <w:rsid w:val="000B2DC0"/>
    <w:rsid w:val="000B42B0"/>
    <w:rsid w:val="000B53F3"/>
    <w:rsid w:val="000B629F"/>
    <w:rsid w:val="000B6B3D"/>
    <w:rsid w:val="000C1259"/>
    <w:rsid w:val="000C1A6B"/>
    <w:rsid w:val="000C1FA3"/>
    <w:rsid w:val="000C269C"/>
    <w:rsid w:val="000C35CA"/>
    <w:rsid w:val="000C40AD"/>
    <w:rsid w:val="000C4BFA"/>
    <w:rsid w:val="000C5510"/>
    <w:rsid w:val="000C71B2"/>
    <w:rsid w:val="000D1336"/>
    <w:rsid w:val="000D244A"/>
    <w:rsid w:val="000D2AC2"/>
    <w:rsid w:val="000E0C64"/>
    <w:rsid w:val="000E35A2"/>
    <w:rsid w:val="000E5EC2"/>
    <w:rsid w:val="000E6C36"/>
    <w:rsid w:val="000F0CB0"/>
    <w:rsid w:val="000F1D81"/>
    <w:rsid w:val="000F1E2C"/>
    <w:rsid w:val="000F22AD"/>
    <w:rsid w:val="000F3B5D"/>
    <w:rsid w:val="000F5684"/>
    <w:rsid w:val="000F5C1E"/>
    <w:rsid w:val="0010167B"/>
    <w:rsid w:val="00103E12"/>
    <w:rsid w:val="0010510E"/>
    <w:rsid w:val="00105250"/>
    <w:rsid w:val="0010560A"/>
    <w:rsid w:val="001059C3"/>
    <w:rsid w:val="0010603B"/>
    <w:rsid w:val="001079E7"/>
    <w:rsid w:val="00110726"/>
    <w:rsid w:val="001133A4"/>
    <w:rsid w:val="00114A5C"/>
    <w:rsid w:val="00114D69"/>
    <w:rsid w:val="001162B7"/>
    <w:rsid w:val="001163B8"/>
    <w:rsid w:val="00116504"/>
    <w:rsid w:val="00117A1B"/>
    <w:rsid w:val="00120099"/>
    <w:rsid w:val="0012098B"/>
    <w:rsid w:val="0012121B"/>
    <w:rsid w:val="0012337D"/>
    <w:rsid w:val="001240EE"/>
    <w:rsid w:val="00124CE2"/>
    <w:rsid w:val="00126555"/>
    <w:rsid w:val="001300E3"/>
    <w:rsid w:val="00131038"/>
    <w:rsid w:val="001328C7"/>
    <w:rsid w:val="00132A1A"/>
    <w:rsid w:val="001336B2"/>
    <w:rsid w:val="00134996"/>
    <w:rsid w:val="00135197"/>
    <w:rsid w:val="0013690B"/>
    <w:rsid w:val="00140D71"/>
    <w:rsid w:val="00143642"/>
    <w:rsid w:val="00146884"/>
    <w:rsid w:val="0014695E"/>
    <w:rsid w:val="001473EE"/>
    <w:rsid w:val="00147A89"/>
    <w:rsid w:val="00150AA6"/>
    <w:rsid w:val="0015168A"/>
    <w:rsid w:val="001534FA"/>
    <w:rsid w:val="001551FE"/>
    <w:rsid w:val="00161ADD"/>
    <w:rsid w:val="001624AC"/>
    <w:rsid w:val="001711E7"/>
    <w:rsid w:val="00171BA7"/>
    <w:rsid w:val="00171D28"/>
    <w:rsid w:val="00173D8D"/>
    <w:rsid w:val="0017400D"/>
    <w:rsid w:val="00174C18"/>
    <w:rsid w:val="00177C22"/>
    <w:rsid w:val="00177E67"/>
    <w:rsid w:val="001854AF"/>
    <w:rsid w:val="0018554F"/>
    <w:rsid w:val="001857A6"/>
    <w:rsid w:val="00190037"/>
    <w:rsid w:val="00190B52"/>
    <w:rsid w:val="00190F21"/>
    <w:rsid w:val="00192F81"/>
    <w:rsid w:val="0019380F"/>
    <w:rsid w:val="00195889"/>
    <w:rsid w:val="00195AFE"/>
    <w:rsid w:val="00196B52"/>
    <w:rsid w:val="00197214"/>
    <w:rsid w:val="00197C0E"/>
    <w:rsid w:val="00197FE7"/>
    <w:rsid w:val="001A1D8C"/>
    <w:rsid w:val="001A2A85"/>
    <w:rsid w:val="001A517C"/>
    <w:rsid w:val="001A7BFB"/>
    <w:rsid w:val="001B0FE3"/>
    <w:rsid w:val="001B228D"/>
    <w:rsid w:val="001B33A9"/>
    <w:rsid w:val="001B37F9"/>
    <w:rsid w:val="001B389A"/>
    <w:rsid w:val="001B63EF"/>
    <w:rsid w:val="001B669F"/>
    <w:rsid w:val="001B7B44"/>
    <w:rsid w:val="001B7F8A"/>
    <w:rsid w:val="001C0AB0"/>
    <w:rsid w:val="001C16D2"/>
    <w:rsid w:val="001C1D07"/>
    <w:rsid w:val="001C1DA4"/>
    <w:rsid w:val="001C2245"/>
    <w:rsid w:val="001C352E"/>
    <w:rsid w:val="001C688C"/>
    <w:rsid w:val="001D0B0A"/>
    <w:rsid w:val="001D2370"/>
    <w:rsid w:val="001D4536"/>
    <w:rsid w:val="001D4E51"/>
    <w:rsid w:val="001D69F4"/>
    <w:rsid w:val="001E13F6"/>
    <w:rsid w:val="001E6948"/>
    <w:rsid w:val="001E79E9"/>
    <w:rsid w:val="001F2FD6"/>
    <w:rsid w:val="001F3017"/>
    <w:rsid w:val="001F3127"/>
    <w:rsid w:val="001F3268"/>
    <w:rsid w:val="001F5E84"/>
    <w:rsid w:val="001F6306"/>
    <w:rsid w:val="001F7744"/>
    <w:rsid w:val="002001D5"/>
    <w:rsid w:val="002002ED"/>
    <w:rsid w:val="00202271"/>
    <w:rsid w:val="00204E94"/>
    <w:rsid w:val="00204EE8"/>
    <w:rsid w:val="00205676"/>
    <w:rsid w:val="00205E4D"/>
    <w:rsid w:val="002070B2"/>
    <w:rsid w:val="00207420"/>
    <w:rsid w:val="0020746B"/>
    <w:rsid w:val="002107F3"/>
    <w:rsid w:val="00212F85"/>
    <w:rsid w:val="0021472B"/>
    <w:rsid w:val="00215F91"/>
    <w:rsid w:val="00216054"/>
    <w:rsid w:val="00217903"/>
    <w:rsid w:val="00217FD0"/>
    <w:rsid w:val="00221630"/>
    <w:rsid w:val="0022211D"/>
    <w:rsid w:val="0022623F"/>
    <w:rsid w:val="002270C7"/>
    <w:rsid w:val="00227CE8"/>
    <w:rsid w:val="002331C2"/>
    <w:rsid w:val="00234986"/>
    <w:rsid w:val="0023594C"/>
    <w:rsid w:val="00237129"/>
    <w:rsid w:val="00237F95"/>
    <w:rsid w:val="0024096B"/>
    <w:rsid w:val="00241ACF"/>
    <w:rsid w:val="00244DC3"/>
    <w:rsid w:val="00246323"/>
    <w:rsid w:val="002518CE"/>
    <w:rsid w:val="00253A75"/>
    <w:rsid w:val="00254101"/>
    <w:rsid w:val="002548B0"/>
    <w:rsid w:val="00254AC4"/>
    <w:rsid w:val="0025505D"/>
    <w:rsid w:val="0025568C"/>
    <w:rsid w:val="0025624A"/>
    <w:rsid w:val="002562BD"/>
    <w:rsid w:val="0025685A"/>
    <w:rsid w:val="002569D2"/>
    <w:rsid w:val="002569D9"/>
    <w:rsid w:val="00256A38"/>
    <w:rsid w:val="00256F15"/>
    <w:rsid w:val="002573A4"/>
    <w:rsid w:val="002574D7"/>
    <w:rsid w:val="00262866"/>
    <w:rsid w:val="002635DB"/>
    <w:rsid w:val="002659C1"/>
    <w:rsid w:val="00266CE9"/>
    <w:rsid w:val="00270DD4"/>
    <w:rsid w:val="0027186A"/>
    <w:rsid w:val="00271999"/>
    <w:rsid w:val="002749E4"/>
    <w:rsid w:val="00276F01"/>
    <w:rsid w:val="00277867"/>
    <w:rsid w:val="00280665"/>
    <w:rsid w:val="00283BEC"/>
    <w:rsid w:val="0028557C"/>
    <w:rsid w:val="00286013"/>
    <w:rsid w:val="00286E18"/>
    <w:rsid w:val="0028731F"/>
    <w:rsid w:val="00292413"/>
    <w:rsid w:val="002957CC"/>
    <w:rsid w:val="0029581F"/>
    <w:rsid w:val="002A066C"/>
    <w:rsid w:val="002A08AE"/>
    <w:rsid w:val="002A1B11"/>
    <w:rsid w:val="002A36CB"/>
    <w:rsid w:val="002A4252"/>
    <w:rsid w:val="002A445A"/>
    <w:rsid w:val="002A62F6"/>
    <w:rsid w:val="002A6D02"/>
    <w:rsid w:val="002A72EF"/>
    <w:rsid w:val="002B04E7"/>
    <w:rsid w:val="002B080D"/>
    <w:rsid w:val="002B14C8"/>
    <w:rsid w:val="002B1698"/>
    <w:rsid w:val="002B1936"/>
    <w:rsid w:val="002B43C8"/>
    <w:rsid w:val="002B6A3A"/>
    <w:rsid w:val="002B6CDC"/>
    <w:rsid w:val="002B7A74"/>
    <w:rsid w:val="002C02DC"/>
    <w:rsid w:val="002C0A83"/>
    <w:rsid w:val="002C0C25"/>
    <w:rsid w:val="002C1916"/>
    <w:rsid w:val="002C21B2"/>
    <w:rsid w:val="002C2BE7"/>
    <w:rsid w:val="002C455A"/>
    <w:rsid w:val="002C4CC8"/>
    <w:rsid w:val="002C4E9F"/>
    <w:rsid w:val="002C5195"/>
    <w:rsid w:val="002C6736"/>
    <w:rsid w:val="002C6AC8"/>
    <w:rsid w:val="002C6D43"/>
    <w:rsid w:val="002D192E"/>
    <w:rsid w:val="002D3212"/>
    <w:rsid w:val="002D50E8"/>
    <w:rsid w:val="002D6F88"/>
    <w:rsid w:val="002D774F"/>
    <w:rsid w:val="002D7E45"/>
    <w:rsid w:val="002E2B18"/>
    <w:rsid w:val="002E3450"/>
    <w:rsid w:val="002E4FF8"/>
    <w:rsid w:val="002E623B"/>
    <w:rsid w:val="002E62AE"/>
    <w:rsid w:val="002E62BE"/>
    <w:rsid w:val="002E6CA7"/>
    <w:rsid w:val="002E7312"/>
    <w:rsid w:val="002E7CBD"/>
    <w:rsid w:val="002F0988"/>
    <w:rsid w:val="002F14FA"/>
    <w:rsid w:val="002F1FFC"/>
    <w:rsid w:val="002F79CE"/>
    <w:rsid w:val="003009B5"/>
    <w:rsid w:val="00302BEC"/>
    <w:rsid w:val="00303E1A"/>
    <w:rsid w:val="003042E9"/>
    <w:rsid w:val="0030575D"/>
    <w:rsid w:val="003105EB"/>
    <w:rsid w:val="00311B88"/>
    <w:rsid w:val="00314634"/>
    <w:rsid w:val="003167F7"/>
    <w:rsid w:val="0032173D"/>
    <w:rsid w:val="0032184B"/>
    <w:rsid w:val="003227CB"/>
    <w:rsid w:val="00322AAB"/>
    <w:rsid w:val="00322C87"/>
    <w:rsid w:val="00323CE9"/>
    <w:rsid w:val="00325D88"/>
    <w:rsid w:val="00327613"/>
    <w:rsid w:val="00331792"/>
    <w:rsid w:val="0033551E"/>
    <w:rsid w:val="003367D1"/>
    <w:rsid w:val="003410D4"/>
    <w:rsid w:val="00343DF7"/>
    <w:rsid w:val="00344077"/>
    <w:rsid w:val="00344553"/>
    <w:rsid w:val="00344BBD"/>
    <w:rsid w:val="00346AAE"/>
    <w:rsid w:val="003476FE"/>
    <w:rsid w:val="003509B5"/>
    <w:rsid w:val="00350B78"/>
    <w:rsid w:val="003539D1"/>
    <w:rsid w:val="00353ACD"/>
    <w:rsid w:val="0035476F"/>
    <w:rsid w:val="003560A1"/>
    <w:rsid w:val="0036055F"/>
    <w:rsid w:val="003624E6"/>
    <w:rsid w:val="003631FD"/>
    <w:rsid w:val="0036379A"/>
    <w:rsid w:val="00363FC4"/>
    <w:rsid w:val="00364BCE"/>
    <w:rsid w:val="0037103B"/>
    <w:rsid w:val="003727E0"/>
    <w:rsid w:val="00372BCE"/>
    <w:rsid w:val="00375FC7"/>
    <w:rsid w:val="00376FD2"/>
    <w:rsid w:val="00380CB9"/>
    <w:rsid w:val="003821D4"/>
    <w:rsid w:val="0038271A"/>
    <w:rsid w:val="00382FE8"/>
    <w:rsid w:val="00383E9E"/>
    <w:rsid w:val="00385B98"/>
    <w:rsid w:val="00386EC2"/>
    <w:rsid w:val="003914A1"/>
    <w:rsid w:val="00391768"/>
    <w:rsid w:val="003928FD"/>
    <w:rsid w:val="00392E7B"/>
    <w:rsid w:val="00394638"/>
    <w:rsid w:val="00395422"/>
    <w:rsid w:val="003A323A"/>
    <w:rsid w:val="003A51FD"/>
    <w:rsid w:val="003A6F06"/>
    <w:rsid w:val="003A7731"/>
    <w:rsid w:val="003B0118"/>
    <w:rsid w:val="003B0EE9"/>
    <w:rsid w:val="003B0F7E"/>
    <w:rsid w:val="003B1AE9"/>
    <w:rsid w:val="003B3E93"/>
    <w:rsid w:val="003B4A89"/>
    <w:rsid w:val="003B5554"/>
    <w:rsid w:val="003B6F7D"/>
    <w:rsid w:val="003B70B4"/>
    <w:rsid w:val="003C15F3"/>
    <w:rsid w:val="003C4573"/>
    <w:rsid w:val="003C49C9"/>
    <w:rsid w:val="003D0FC3"/>
    <w:rsid w:val="003D15D0"/>
    <w:rsid w:val="003D1D4D"/>
    <w:rsid w:val="003D232D"/>
    <w:rsid w:val="003D29DC"/>
    <w:rsid w:val="003D2B01"/>
    <w:rsid w:val="003D38F7"/>
    <w:rsid w:val="003D6830"/>
    <w:rsid w:val="003D7624"/>
    <w:rsid w:val="003E0211"/>
    <w:rsid w:val="003E022F"/>
    <w:rsid w:val="003E2463"/>
    <w:rsid w:val="003E390E"/>
    <w:rsid w:val="003E44F4"/>
    <w:rsid w:val="003E5847"/>
    <w:rsid w:val="003E5D1E"/>
    <w:rsid w:val="003E5F98"/>
    <w:rsid w:val="003E70D3"/>
    <w:rsid w:val="003E7793"/>
    <w:rsid w:val="003E7A44"/>
    <w:rsid w:val="003E7B5E"/>
    <w:rsid w:val="003F347A"/>
    <w:rsid w:val="003F5ADC"/>
    <w:rsid w:val="003F683F"/>
    <w:rsid w:val="003F69C5"/>
    <w:rsid w:val="003F7581"/>
    <w:rsid w:val="00400ADD"/>
    <w:rsid w:val="0040464B"/>
    <w:rsid w:val="00407B87"/>
    <w:rsid w:val="00407CE9"/>
    <w:rsid w:val="004104D8"/>
    <w:rsid w:val="004135D4"/>
    <w:rsid w:val="0041747D"/>
    <w:rsid w:val="0041758B"/>
    <w:rsid w:val="00417A48"/>
    <w:rsid w:val="00421BBB"/>
    <w:rsid w:val="00426DC8"/>
    <w:rsid w:val="00427446"/>
    <w:rsid w:val="00427731"/>
    <w:rsid w:val="00431ACD"/>
    <w:rsid w:val="00431ED9"/>
    <w:rsid w:val="00434D89"/>
    <w:rsid w:val="00434E8E"/>
    <w:rsid w:val="004363BD"/>
    <w:rsid w:val="00440D0C"/>
    <w:rsid w:val="00441E8C"/>
    <w:rsid w:val="004427E8"/>
    <w:rsid w:val="00443FC3"/>
    <w:rsid w:val="004443D6"/>
    <w:rsid w:val="00444F84"/>
    <w:rsid w:val="004452A4"/>
    <w:rsid w:val="00446905"/>
    <w:rsid w:val="00446952"/>
    <w:rsid w:val="004470DF"/>
    <w:rsid w:val="00447DAD"/>
    <w:rsid w:val="00451944"/>
    <w:rsid w:val="00451A88"/>
    <w:rsid w:val="004539AB"/>
    <w:rsid w:val="0045660E"/>
    <w:rsid w:val="00457411"/>
    <w:rsid w:val="00460993"/>
    <w:rsid w:val="004610DD"/>
    <w:rsid w:val="00461DD8"/>
    <w:rsid w:val="00462A1C"/>
    <w:rsid w:val="00463AAB"/>
    <w:rsid w:val="0046506B"/>
    <w:rsid w:val="00465BAE"/>
    <w:rsid w:val="00465C14"/>
    <w:rsid w:val="004664DF"/>
    <w:rsid w:val="00466EEB"/>
    <w:rsid w:val="00471E8D"/>
    <w:rsid w:val="004724A0"/>
    <w:rsid w:val="0047501C"/>
    <w:rsid w:val="004763CF"/>
    <w:rsid w:val="00476406"/>
    <w:rsid w:val="00476983"/>
    <w:rsid w:val="004808AB"/>
    <w:rsid w:val="004813D4"/>
    <w:rsid w:val="00482F40"/>
    <w:rsid w:val="00486162"/>
    <w:rsid w:val="0048619E"/>
    <w:rsid w:val="0048621F"/>
    <w:rsid w:val="004872E5"/>
    <w:rsid w:val="00487A21"/>
    <w:rsid w:val="00490880"/>
    <w:rsid w:val="00490ABE"/>
    <w:rsid w:val="004919D3"/>
    <w:rsid w:val="00492586"/>
    <w:rsid w:val="00492707"/>
    <w:rsid w:val="00492902"/>
    <w:rsid w:val="00495DD8"/>
    <w:rsid w:val="004961D9"/>
    <w:rsid w:val="004A0D2F"/>
    <w:rsid w:val="004A125F"/>
    <w:rsid w:val="004A18E5"/>
    <w:rsid w:val="004A3A17"/>
    <w:rsid w:val="004A438F"/>
    <w:rsid w:val="004A4472"/>
    <w:rsid w:val="004A5E5E"/>
    <w:rsid w:val="004A5F2D"/>
    <w:rsid w:val="004A6EC6"/>
    <w:rsid w:val="004B0EF5"/>
    <w:rsid w:val="004B1125"/>
    <w:rsid w:val="004B1E4E"/>
    <w:rsid w:val="004B263A"/>
    <w:rsid w:val="004B4BB5"/>
    <w:rsid w:val="004B512D"/>
    <w:rsid w:val="004B5664"/>
    <w:rsid w:val="004B58A0"/>
    <w:rsid w:val="004C1ADF"/>
    <w:rsid w:val="004C3351"/>
    <w:rsid w:val="004C3E8A"/>
    <w:rsid w:val="004C5769"/>
    <w:rsid w:val="004C6ACC"/>
    <w:rsid w:val="004C6F86"/>
    <w:rsid w:val="004D1AF6"/>
    <w:rsid w:val="004D26B3"/>
    <w:rsid w:val="004D3CF4"/>
    <w:rsid w:val="004D4444"/>
    <w:rsid w:val="004D5571"/>
    <w:rsid w:val="004D6A84"/>
    <w:rsid w:val="004D701E"/>
    <w:rsid w:val="004D76E2"/>
    <w:rsid w:val="004E2DEE"/>
    <w:rsid w:val="004E3916"/>
    <w:rsid w:val="004E44B8"/>
    <w:rsid w:val="004E48B8"/>
    <w:rsid w:val="004E5167"/>
    <w:rsid w:val="004E5412"/>
    <w:rsid w:val="004E56E5"/>
    <w:rsid w:val="004E6723"/>
    <w:rsid w:val="004F0BF2"/>
    <w:rsid w:val="004F2EAA"/>
    <w:rsid w:val="004F3674"/>
    <w:rsid w:val="004F3F94"/>
    <w:rsid w:val="004F4A82"/>
    <w:rsid w:val="004F51B4"/>
    <w:rsid w:val="004F52CA"/>
    <w:rsid w:val="004F5B27"/>
    <w:rsid w:val="004F7623"/>
    <w:rsid w:val="00500766"/>
    <w:rsid w:val="00500E04"/>
    <w:rsid w:val="00501290"/>
    <w:rsid w:val="00501D09"/>
    <w:rsid w:val="00501E1C"/>
    <w:rsid w:val="005030ED"/>
    <w:rsid w:val="00503B65"/>
    <w:rsid w:val="00503B78"/>
    <w:rsid w:val="0050478C"/>
    <w:rsid w:val="00504EC7"/>
    <w:rsid w:val="005055FD"/>
    <w:rsid w:val="005059B6"/>
    <w:rsid w:val="00506FD5"/>
    <w:rsid w:val="00510BCD"/>
    <w:rsid w:val="00513A0D"/>
    <w:rsid w:val="00513E78"/>
    <w:rsid w:val="00515813"/>
    <w:rsid w:val="0051734C"/>
    <w:rsid w:val="005204BD"/>
    <w:rsid w:val="00520B4D"/>
    <w:rsid w:val="005235D3"/>
    <w:rsid w:val="005245B1"/>
    <w:rsid w:val="00526125"/>
    <w:rsid w:val="0052693F"/>
    <w:rsid w:val="005313A2"/>
    <w:rsid w:val="005319D7"/>
    <w:rsid w:val="0053202F"/>
    <w:rsid w:val="005335A4"/>
    <w:rsid w:val="00533E32"/>
    <w:rsid w:val="0053773C"/>
    <w:rsid w:val="00540DD1"/>
    <w:rsid w:val="005463A9"/>
    <w:rsid w:val="00546D14"/>
    <w:rsid w:val="00546F57"/>
    <w:rsid w:val="005474D6"/>
    <w:rsid w:val="00551362"/>
    <w:rsid w:val="00551840"/>
    <w:rsid w:val="00556EB7"/>
    <w:rsid w:val="00557F6E"/>
    <w:rsid w:val="00564B94"/>
    <w:rsid w:val="00567517"/>
    <w:rsid w:val="005701E1"/>
    <w:rsid w:val="00571513"/>
    <w:rsid w:val="00573D5F"/>
    <w:rsid w:val="00574893"/>
    <w:rsid w:val="00574D56"/>
    <w:rsid w:val="0057559F"/>
    <w:rsid w:val="005756F9"/>
    <w:rsid w:val="00575B38"/>
    <w:rsid w:val="0057666A"/>
    <w:rsid w:val="00576844"/>
    <w:rsid w:val="00576FCD"/>
    <w:rsid w:val="005773BD"/>
    <w:rsid w:val="00585289"/>
    <w:rsid w:val="00590615"/>
    <w:rsid w:val="00591190"/>
    <w:rsid w:val="005934E0"/>
    <w:rsid w:val="00593762"/>
    <w:rsid w:val="00593F15"/>
    <w:rsid w:val="0059449F"/>
    <w:rsid w:val="005945F6"/>
    <w:rsid w:val="005954D3"/>
    <w:rsid w:val="005954DC"/>
    <w:rsid w:val="00595B2A"/>
    <w:rsid w:val="00595C07"/>
    <w:rsid w:val="00595DD4"/>
    <w:rsid w:val="005963C4"/>
    <w:rsid w:val="00596C0D"/>
    <w:rsid w:val="005971D1"/>
    <w:rsid w:val="005976F5"/>
    <w:rsid w:val="005978C3"/>
    <w:rsid w:val="005A14DF"/>
    <w:rsid w:val="005A41CA"/>
    <w:rsid w:val="005A425A"/>
    <w:rsid w:val="005A4835"/>
    <w:rsid w:val="005A560D"/>
    <w:rsid w:val="005A5D32"/>
    <w:rsid w:val="005B048D"/>
    <w:rsid w:val="005B04D0"/>
    <w:rsid w:val="005B136F"/>
    <w:rsid w:val="005B14E6"/>
    <w:rsid w:val="005B2F0F"/>
    <w:rsid w:val="005B37D8"/>
    <w:rsid w:val="005B4EAA"/>
    <w:rsid w:val="005B642A"/>
    <w:rsid w:val="005B7399"/>
    <w:rsid w:val="005C13F3"/>
    <w:rsid w:val="005C27F6"/>
    <w:rsid w:val="005C45E6"/>
    <w:rsid w:val="005C5138"/>
    <w:rsid w:val="005C710F"/>
    <w:rsid w:val="005C7DF3"/>
    <w:rsid w:val="005D04D1"/>
    <w:rsid w:val="005D141F"/>
    <w:rsid w:val="005D1F6B"/>
    <w:rsid w:val="005D34AD"/>
    <w:rsid w:val="005D450F"/>
    <w:rsid w:val="005D45C9"/>
    <w:rsid w:val="005D4A2B"/>
    <w:rsid w:val="005D6222"/>
    <w:rsid w:val="005D63EF"/>
    <w:rsid w:val="005E16AB"/>
    <w:rsid w:val="005E1FDB"/>
    <w:rsid w:val="005E2D47"/>
    <w:rsid w:val="005E6B8B"/>
    <w:rsid w:val="005E6C7E"/>
    <w:rsid w:val="005F0D8F"/>
    <w:rsid w:val="005F58BE"/>
    <w:rsid w:val="0060129A"/>
    <w:rsid w:val="0060255E"/>
    <w:rsid w:val="006029AD"/>
    <w:rsid w:val="00603FCF"/>
    <w:rsid w:val="006145AC"/>
    <w:rsid w:val="00614B07"/>
    <w:rsid w:val="006152A5"/>
    <w:rsid w:val="00616143"/>
    <w:rsid w:val="00616EF1"/>
    <w:rsid w:val="00617456"/>
    <w:rsid w:val="0062040F"/>
    <w:rsid w:val="00620DFB"/>
    <w:rsid w:val="0062214C"/>
    <w:rsid w:val="006224DD"/>
    <w:rsid w:val="00622936"/>
    <w:rsid w:val="0062391C"/>
    <w:rsid w:val="00624FD8"/>
    <w:rsid w:val="00625A2C"/>
    <w:rsid w:val="006260DA"/>
    <w:rsid w:val="006270C7"/>
    <w:rsid w:val="00627176"/>
    <w:rsid w:val="00631C5D"/>
    <w:rsid w:val="00633A3F"/>
    <w:rsid w:val="00636172"/>
    <w:rsid w:val="0064016B"/>
    <w:rsid w:val="00640494"/>
    <w:rsid w:val="006479D5"/>
    <w:rsid w:val="006502A1"/>
    <w:rsid w:val="006503EB"/>
    <w:rsid w:val="006515AE"/>
    <w:rsid w:val="0065509C"/>
    <w:rsid w:val="00655580"/>
    <w:rsid w:val="0065674E"/>
    <w:rsid w:val="00657F07"/>
    <w:rsid w:val="00657FAE"/>
    <w:rsid w:val="00661580"/>
    <w:rsid w:val="006615F0"/>
    <w:rsid w:val="00661B4E"/>
    <w:rsid w:val="00661FFE"/>
    <w:rsid w:val="00662C19"/>
    <w:rsid w:val="0066530E"/>
    <w:rsid w:val="0067080A"/>
    <w:rsid w:val="00670B1B"/>
    <w:rsid w:val="00671D97"/>
    <w:rsid w:val="00672330"/>
    <w:rsid w:val="006729FF"/>
    <w:rsid w:val="006734EC"/>
    <w:rsid w:val="00675D0D"/>
    <w:rsid w:val="00675F41"/>
    <w:rsid w:val="00676400"/>
    <w:rsid w:val="006768EC"/>
    <w:rsid w:val="0067761D"/>
    <w:rsid w:val="0068098C"/>
    <w:rsid w:val="00683E74"/>
    <w:rsid w:val="0068448F"/>
    <w:rsid w:val="00685FB8"/>
    <w:rsid w:val="00687A7A"/>
    <w:rsid w:val="00687D79"/>
    <w:rsid w:val="006928DF"/>
    <w:rsid w:val="00692D9A"/>
    <w:rsid w:val="006935B1"/>
    <w:rsid w:val="006952B1"/>
    <w:rsid w:val="006A23C6"/>
    <w:rsid w:val="006A64F2"/>
    <w:rsid w:val="006B3EFB"/>
    <w:rsid w:val="006B5314"/>
    <w:rsid w:val="006B690F"/>
    <w:rsid w:val="006B6F00"/>
    <w:rsid w:val="006B783C"/>
    <w:rsid w:val="006C041B"/>
    <w:rsid w:val="006C0DB5"/>
    <w:rsid w:val="006C1E14"/>
    <w:rsid w:val="006C245B"/>
    <w:rsid w:val="006C3C70"/>
    <w:rsid w:val="006C4B3E"/>
    <w:rsid w:val="006C4CA7"/>
    <w:rsid w:val="006C5DA4"/>
    <w:rsid w:val="006C6F08"/>
    <w:rsid w:val="006C7836"/>
    <w:rsid w:val="006C7EE2"/>
    <w:rsid w:val="006D00DE"/>
    <w:rsid w:val="006D0BE2"/>
    <w:rsid w:val="006D14B7"/>
    <w:rsid w:val="006D2AF8"/>
    <w:rsid w:val="006D2C4D"/>
    <w:rsid w:val="006D35F9"/>
    <w:rsid w:val="006D3C0C"/>
    <w:rsid w:val="006D69F4"/>
    <w:rsid w:val="006D7D8D"/>
    <w:rsid w:val="006E19BA"/>
    <w:rsid w:val="006E1DF2"/>
    <w:rsid w:val="006E2D23"/>
    <w:rsid w:val="006E4BB1"/>
    <w:rsid w:val="006E4C21"/>
    <w:rsid w:val="006E57E8"/>
    <w:rsid w:val="006E5893"/>
    <w:rsid w:val="006E71B2"/>
    <w:rsid w:val="006F08AE"/>
    <w:rsid w:val="006F0CB8"/>
    <w:rsid w:val="006F1942"/>
    <w:rsid w:val="006F231F"/>
    <w:rsid w:val="006F2ACE"/>
    <w:rsid w:val="007000FB"/>
    <w:rsid w:val="007008E0"/>
    <w:rsid w:val="0070160E"/>
    <w:rsid w:val="0070181A"/>
    <w:rsid w:val="00701F49"/>
    <w:rsid w:val="00702515"/>
    <w:rsid w:val="00705235"/>
    <w:rsid w:val="00706E6D"/>
    <w:rsid w:val="0070791B"/>
    <w:rsid w:val="0071079A"/>
    <w:rsid w:val="007107AD"/>
    <w:rsid w:val="0071089B"/>
    <w:rsid w:val="0071125A"/>
    <w:rsid w:val="00711276"/>
    <w:rsid w:val="00716913"/>
    <w:rsid w:val="0071723C"/>
    <w:rsid w:val="007208D7"/>
    <w:rsid w:val="00720B9B"/>
    <w:rsid w:val="00721E9D"/>
    <w:rsid w:val="00723700"/>
    <w:rsid w:val="00727546"/>
    <w:rsid w:val="00731711"/>
    <w:rsid w:val="0073305D"/>
    <w:rsid w:val="007344C1"/>
    <w:rsid w:val="00734DC9"/>
    <w:rsid w:val="00735001"/>
    <w:rsid w:val="00735FEB"/>
    <w:rsid w:val="0074314D"/>
    <w:rsid w:val="00743300"/>
    <w:rsid w:val="00745364"/>
    <w:rsid w:val="007460F5"/>
    <w:rsid w:val="007467C3"/>
    <w:rsid w:val="00747A6F"/>
    <w:rsid w:val="007520AB"/>
    <w:rsid w:val="00752308"/>
    <w:rsid w:val="00752FAF"/>
    <w:rsid w:val="00753741"/>
    <w:rsid w:val="00753A5D"/>
    <w:rsid w:val="0075511A"/>
    <w:rsid w:val="00756988"/>
    <w:rsid w:val="00761134"/>
    <w:rsid w:val="00763887"/>
    <w:rsid w:val="00764E4C"/>
    <w:rsid w:val="00766C21"/>
    <w:rsid w:val="0077010C"/>
    <w:rsid w:val="00770A6C"/>
    <w:rsid w:val="00773C8B"/>
    <w:rsid w:val="007750B7"/>
    <w:rsid w:val="007769F3"/>
    <w:rsid w:val="007776EB"/>
    <w:rsid w:val="007777EA"/>
    <w:rsid w:val="00780359"/>
    <w:rsid w:val="007806EA"/>
    <w:rsid w:val="00781BAD"/>
    <w:rsid w:val="007820E0"/>
    <w:rsid w:val="007863A1"/>
    <w:rsid w:val="00787888"/>
    <w:rsid w:val="00787B82"/>
    <w:rsid w:val="00787EB2"/>
    <w:rsid w:val="00790BB3"/>
    <w:rsid w:val="0079168C"/>
    <w:rsid w:val="00796F08"/>
    <w:rsid w:val="007977A4"/>
    <w:rsid w:val="007A0940"/>
    <w:rsid w:val="007A11E6"/>
    <w:rsid w:val="007A1A4C"/>
    <w:rsid w:val="007A2055"/>
    <w:rsid w:val="007A4181"/>
    <w:rsid w:val="007A46A0"/>
    <w:rsid w:val="007A56A5"/>
    <w:rsid w:val="007A5A0C"/>
    <w:rsid w:val="007A6C06"/>
    <w:rsid w:val="007B0DB5"/>
    <w:rsid w:val="007B21DD"/>
    <w:rsid w:val="007B430A"/>
    <w:rsid w:val="007B4F3C"/>
    <w:rsid w:val="007B51F4"/>
    <w:rsid w:val="007B5630"/>
    <w:rsid w:val="007B7684"/>
    <w:rsid w:val="007C0BAC"/>
    <w:rsid w:val="007C3A84"/>
    <w:rsid w:val="007C3D92"/>
    <w:rsid w:val="007D2137"/>
    <w:rsid w:val="007D2758"/>
    <w:rsid w:val="007D5275"/>
    <w:rsid w:val="007D67D1"/>
    <w:rsid w:val="007D7824"/>
    <w:rsid w:val="007E2A88"/>
    <w:rsid w:val="007E43F4"/>
    <w:rsid w:val="007E681C"/>
    <w:rsid w:val="007F1E4B"/>
    <w:rsid w:val="007F42EA"/>
    <w:rsid w:val="007F44C7"/>
    <w:rsid w:val="007F4C52"/>
    <w:rsid w:val="008004E4"/>
    <w:rsid w:val="00802876"/>
    <w:rsid w:val="00803B56"/>
    <w:rsid w:val="008046A7"/>
    <w:rsid w:val="008077E3"/>
    <w:rsid w:val="00811BD1"/>
    <w:rsid w:val="0081229A"/>
    <w:rsid w:val="00814324"/>
    <w:rsid w:val="008147EE"/>
    <w:rsid w:val="00815D09"/>
    <w:rsid w:val="008165E2"/>
    <w:rsid w:val="008166FE"/>
    <w:rsid w:val="00817558"/>
    <w:rsid w:val="00820108"/>
    <w:rsid w:val="00820168"/>
    <w:rsid w:val="0082072C"/>
    <w:rsid w:val="008211B6"/>
    <w:rsid w:val="008215F2"/>
    <w:rsid w:val="00821E4F"/>
    <w:rsid w:val="008221B8"/>
    <w:rsid w:val="008223F7"/>
    <w:rsid w:val="00822AA3"/>
    <w:rsid w:val="008230A6"/>
    <w:rsid w:val="00823279"/>
    <w:rsid w:val="0082427A"/>
    <w:rsid w:val="00824428"/>
    <w:rsid w:val="00824CC3"/>
    <w:rsid w:val="00826B5D"/>
    <w:rsid w:val="00827AFD"/>
    <w:rsid w:val="00827BAB"/>
    <w:rsid w:val="00831EB2"/>
    <w:rsid w:val="00831EDA"/>
    <w:rsid w:val="0083365A"/>
    <w:rsid w:val="0083398C"/>
    <w:rsid w:val="008343FE"/>
    <w:rsid w:val="008352F7"/>
    <w:rsid w:val="008363BD"/>
    <w:rsid w:val="00837E58"/>
    <w:rsid w:val="0084116F"/>
    <w:rsid w:val="00841936"/>
    <w:rsid w:val="00842A9A"/>
    <w:rsid w:val="008433EA"/>
    <w:rsid w:val="0084539A"/>
    <w:rsid w:val="00846509"/>
    <w:rsid w:val="008504D8"/>
    <w:rsid w:val="008527AF"/>
    <w:rsid w:val="00852BB9"/>
    <w:rsid w:val="00852C5E"/>
    <w:rsid w:val="00853258"/>
    <w:rsid w:val="00853982"/>
    <w:rsid w:val="0085796E"/>
    <w:rsid w:val="00860EC6"/>
    <w:rsid w:val="00861E91"/>
    <w:rsid w:val="00863C5E"/>
    <w:rsid w:val="00865557"/>
    <w:rsid w:val="008709F6"/>
    <w:rsid w:val="008720E7"/>
    <w:rsid w:val="00872C57"/>
    <w:rsid w:val="008739F3"/>
    <w:rsid w:val="008746FB"/>
    <w:rsid w:val="00875888"/>
    <w:rsid w:val="00877335"/>
    <w:rsid w:val="008777E2"/>
    <w:rsid w:val="00880054"/>
    <w:rsid w:val="0088021E"/>
    <w:rsid w:val="00881A7C"/>
    <w:rsid w:val="008820D1"/>
    <w:rsid w:val="00885412"/>
    <w:rsid w:val="00886E68"/>
    <w:rsid w:val="00887F58"/>
    <w:rsid w:val="0089092B"/>
    <w:rsid w:val="00890FD6"/>
    <w:rsid w:val="0089104A"/>
    <w:rsid w:val="00895452"/>
    <w:rsid w:val="00895B38"/>
    <w:rsid w:val="0089790C"/>
    <w:rsid w:val="008A388B"/>
    <w:rsid w:val="008A388F"/>
    <w:rsid w:val="008A5224"/>
    <w:rsid w:val="008A53F1"/>
    <w:rsid w:val="008A7759"/>
    <w:rsid w:val="008A79B1"/>
    <w:rsid w:val="008B629C"/>
    <w:rsid w:val="008B7F72"/>
    <w:rsid w:val="008C0A8C"/>
    <w:rsid w:val="008C1CCC"/>
    <w:rsid w:val="008C2F5F"/>
    <w:rsid w:val="008C3B71"/>
    <w:rsid w:val="008C4B08"/>
    <w:rsid w:val="008C55B7"/>
    <w:rsid w:val="008C5862"/>
    <w:rsid w:val="008C6C90"/>
    <w:rsid w:val="008C6CD3"/>
    <w:rsid w:val="008D25CC"/>
    <w:rsid w:val="008D3E8B"/>
    <w:rsid w:val="008D4D7F"/>
    <w:rsid w:val="008D4D88"/>
    <w:rsid w:val="008D6E55"/>
    <w:rsid w:val="008E0DBF"/>
    <w:rsid w:val="008E2CBD"/>
    <w:rsid w:val="008E6134"/>
    <w:rsid w:val="008E67EA"/>
    <w:rsid w:val="008E690E"/>
    <w:rsid w:val="008E6CF7"/>
    <w:rsid w:val="008E7AD5"/>
    <w:rsid w:val="008F1F54"/>
    <w:rsid w:val="008F3055"/>
    <w:rsid w:val="008F3A68"/>
    <w:rsid w:val="008F3AA6"/>
    <w:rsid w:val="008F4712"/>
    <w:rsid w:val="008F601C"/>
    <w:rsid w:val="008F7157"/>
    <w:rsid w:val="008F7C5B"/>
    <w:rsid w:val="00902759"/>
    <w:rsid w:val="0090390C"/>
    <w:rsid w:val="00904091"/>
    <w:rsid w:val="009044B7"/>
    <w:rsid w:val="00905A07"/>
    <w:rsid w:val="00905D84"/>
    <w:rsid w:val="00906E26"/>
    <w:rsid w:val="00911954"/>
    <w:rsid w:val="00912360"/>
    <w:rsid w:val="00913203"/>
    <w:rsid w:val="00914164"/>
    <w:rsid w:val="009143E6"/>
    <w:rsid w:val="00914446"/>
    <w:rsid w:val="009148A0"/>
    <w:rsid w:val="00917D9A"/>
    <w:rsid w:val="009210A5"/>
    <w:rsid w:val="009210D6"/>
    <w:rsid w:val="009216F0"/>
    <w:rsid w:val="00921DA9"/>
    <w:rsid w:val="00925819"/>
    <w:rsid w:val="0093042F"/>
    <w:rsid w:val="00932D7A"/>
    <w:rsid w:val="00932DAE"/>
    <w:rsid w:val="00935E4C"/>
    <w:rsid w:val="00936E9F"/>
    <w:rsid w:val="00937469"/>
    <w:rsid w:val="00937F77"/>
    <w:rsid w:val="0094137F"/>
    <w:rsid w:val="00941BFF"/>
    <w:rsid w:val="00941E0A"/>
    <w:rsid w:val="00942B3C"/>
    <w:rsid w:val="009457A8"/>
    <w:rsid w:val="00945A1F"/>
    <w:rsid w:val="00951BC4"/>
    <w:rsid w:val="00953473"/>
    <w:rsid w:val="00956D7F"/>
    <w:rsid w:val="009603C9"/>
    <w:rsid w:val="00960B87"/>
    <w:rsid w:val="00961476"/>
    <w:rsid w:val="0096292E"/>
    <w:rsid w:val="00962AAD"/>
    <w:rsid w:val="009635AB"/>
    <w:rsid w:val="00964017"/>
    <w:rsid w:val="009641FD"/>
    <w:rsid w:val="009657B2"/>
    <w:rsid w:val="009664A9"/>
    <w:rsid w:val="00966A9F"/>
    <w:rsid w:val="009678B9"/>
    <w:rsid w:val="00971647"/>
    <w:rsid w:val="00971A09"/>
    <w:rsid w:val="00971EB2"/>
    <w:rsid w:val="00973568"/>
    <w:rsid w:val="00974198"/>
    <w:rsid w:val="009742D3"/>
    <w:rsid w:val="00975E03"/>
    <w:rsid w:val="00976876"/>
    <w:rsid w:val="00976C7C"/>
    <w:rsid w:val="00976D3F"/>
    <w:rsid w:val="0098046C"/>
    <w:rsid w:val="00980566"/>
    <w:rsid w:val="00983D96"/>
    <w:rsid w:val="00986732"/>
    <w:rsid w:val="00986C08"/>
    <w:rsid w:val="00986ECD"/>
    <w:rsid w:val="00990150"/>
    <w:rsid w:val="009903E3"/>
    <w:rsid w:val="0099176B"/>
    <w:rsid w:val="0099349E"/>
    <w:rsid w:val="0099459B"/>
    <w:rsid w:val="00994E0F"/>
    <w:rsid w:val="00995B94"/>
    <w:rsid w:val="009972E5"/>
    <w:rsid w:val="009A0F4B"/>
    <w:rsid w:val="009A1489"/>
    <w:rsid w:val="009A2A70"/>
    <w:rsid w:val="009A3D45"/>
    <w:rsid w:val="009A4D28"/>
    <w:rsid w:val="009A6310"/>
    <w:rsid w:val="009A7D1A"/>
    <w:rsid w:val="009B08CF"/>
    <w:rsid w:val="009B0D00"/>
    <w:rsid w:val="009B28E4"/>
    <w:rsid w:val="009B3268"/>
    <w:rsid w:val="009B5ABA"/>
    <w:rsid w:val="009B5FBB"/>
    <w:rsid w:val="009B64D2"/>
    <w:rsid w:val="009C0A73"/>
    <w:rsid w:val="009C253F"/>
    <w:rsid w:val="009C285A"/>
    <w:rsid w:val="009C4B0F"/>
    <w:rsid w:val="009C4B23"/>
    <w:rsid w:val="009C4FA4"/>
    <w:rsid w:val="009C5596"/>
    <w:rsid w:val="009C64C5"/>
    <w:rsid w:val="009D0659"/>
    <w:rsid w:val="009D119A"/>
    <w:rsid w:val="009D33D4"/>
    <w:rsid w:val="009D3A40"/>
    <w:rsid w:val="009D472F"/>
    <w:rsid w:val="009E0743"/>
    <w:rsid w:val="009E0762"/>
    <w:rsid w:val="009E1364"/>
    <w:rsid w:val="009E16BB"/>
    <w:rsid w:val="009E2E75"/>
    <w:rsid w:val="009E3575"/>
    <w:rsid w:val="009E5318"/>
    <w:rsid w:val="009E564F"/>
    <w:rsid w:val="009E75EB"/>
    <w:rsid w:val="009E7B72"/>
    <w:rsid w:val="009F068E"/>
    <w:rsid w:val="009F07ED"/>
    <w:rsid w:val="009F17FE"/>
    <w:rsid w:val="009F34A1"/>
    <w:rsid w:val="009F4617"/>
    <w:rsid w:val="009F4695"/>
    <w:rsid w:val="009F47A7"/>
    <w:rsid w:val="009F536B"/>
    <w:rsid w:val="009F5958"/>
    <w:rsid w:val="009F7990"/>
    <w:rsid w:val="009F7A6D"/>
    <w:rsid w:val="009F7DDF"/>
    <w:rsid w:val="00A00270"/>
    <w:rsid w:val="00A009D4"/>
    <w:rsid w:val="00A05C01"/>
    <w:rsid w:val="00A07686"/>
    <w:rsid w:val="00A07CA2"/>
    <w:rsid w:val="00A109DC"/>
    <w:rsid w:val="00A1323C"/>
    <w:rsid w:val="00A1549A"/>
    <w:rsid w:val="00A21153"/>
    <w:rsid w:val="00A2194E"/>
    <w:rsid w:val="00A22BE0"/>
    <w:rsid w:val="00A22F57"/>
    <w:rsid w:val="00A23C62"/>
    <w:rsid w:val="00A24C4F"/>
    <w:rsid w:val="00A24EBA"/>
    <w:rsid w:val="00A26FC1"/>
    <w:rsid w:val="00A312B8"/>
    <w:rsid w:val="00A319EB"/>
    <w:rsid w:val="00A32C82"/>
    <w:rsid w:val="00A33A9C"/>
    <w:rsid w:val="00A35A24"/>
    <w:rsid w:val="00A3635E"/>
    <w:rsid w:val="00A40170"/>
    <w:rsid w:val="00A4345F"/>
    <w:rsid w:val="00A442C3"/>
    <w:rsid w:val="00A44B97"/>
    <w:rsid w:val="00A57DD5"/>
    <w:rsid w:val="00A6007C"/>
    <w:rsid w:val="00A60172"/>
    <w:rsid w:val="00A60A78"/>
    <w:rsid w:val="00A61300"/>
    <w:rsid w:val="00A61425"/>
    <w:rsid w:val="00A6264E"/>
    <w:rsid w:val="00A64572"/>
    <w:rsid w:val="00A65469"/>
    <w:rsid w:val="00A7014D"/>
    <w:rsid w:val="00A708C7"/>
    <w:rsid w:val="00A71047"/>
    <w:rsid w:val="00A724CA"/>
    <w:rsid w:val="00A74AC9"/>
    <w:rsid w:val="00A7556B"/>
    <w:rsid w:val="00A835D7"/>
    <w:rsid w:val="00A835FF"/>
    <w:rsid w:val="00A83846"/>
    <w:rsid w:val="00A83E30"/>
    <w:rsid w:val="00A84E91"/>
    <w:rsid w:val="00A866C9"/>
    <w:rsid w:val="00A869CF"/>
    <w:rsid w:val="00A9094F"/>
    <w:rsid w:val="00A91639"/>
    <w:rsid w:val="00A91EBD"/>
    <w:rsid w:val="00A92349"/>
    <w:rsid w:val="00A944BC"/>
    <w:rsid w:val="00A962AE"/>
    <w:rsid w:val="00A96B92"/>
    <w:rsid w:val="00AA19B6"/>
    <w:rsid w:val="00AA1CCA"/>
    <w:rsid w:val="00AA479E"/>
    <w:rsid w:val="00AA5C17"/>
    <w:rsid w:val="00AB0481"/>
    <w:rsid w:val="00AB07B5"/>
    <w:rsid w:val="00AB0B25"/>
    <w:rsid w:val="00AB11A2"/>
    <w:rsid w:val="00AB22A5"/>
    <w:rsid w:val="00AB3281"/>
    <w:rsid w:val="00AB3609"/>
    <w:rsid w:val="00AB3F5B"/>
    <w:rsid w:val="00AB7264"/>
    <w:rsid w:val="00AB7EFF"/>
    <w:rsid w:val="00AC0B3C"/>
    <w:rsid w:val="00AC1B35"/>
    <w:rsid w:val="00AC2BBE"/>
    <w:rsid w:val="00AC5423"/>
    <w:rsid w:val="00AC54FF"/>
    <w:rsid w:val="00AC7958"/>
    <w:rsid w:val="00AC7B2A"/>
    <w:rsid w:val="00AD066A"/>
    <w:rsid w:val="00AD069F"/>
    <w:rsid w:val="00AD2C2C"/>
    <w:rsid w:val="00AD3249"/>
    <w:rsid w:val="00AD6B5A"/>
    <w:rsid w:val="00AD6EE3"/>
    <w:rsid w:val="00AE0E62"/>
    <w:rsid w:val="00AE28EB"/>
    <w:rsid w:val="00AE28FB"/>
    <w:rsid w:val="00AE32AD"/>
    <w:rsid w:val="00AE3450"/>
    <w:rsid w:val="00AE4966"/>
    <w:rsid w:val="00AE59C2"/>
    <w:rsid w:val="00AE699D"/>
    <w:rsid w:val="00AE7316"/>
    <w:rsid w:val="00AE7C4D"/>
    <w:rsid w:val="00AF1477"/>
    <w:rsid w:val="00AF1C4E"/>
    <w:rsid w:val="00AF33FC"/>
    <w:rsid w:val="00AF48C4"/>
    <w:rsid w:val="00AF4C7A"/>
    <w:rsid w:val="00AF6DF8"/>
    <w:rsid w:val="00AF6F77"/>
    <w:rsid w:val="00AF7C21"/>
    <w:rsid w:val="00B00AA3"/>
    <w:rsid w:val="00B01025"/>
    <w:rsid w:val="00B0272B"/>
    <w:rsid w:val="00B03F6A"/>
    <w:rsid w:val="00B04026"/>
    <w:rsid w:val="00B053BE"/>
    <w:rsid w:val="00B059B1"/>
    <w:rsid w:val="00B065D4"/>
    <w:rsid w:val="00B066CF"/>
    <w:rsid w:val="00B072ED"/>
    <w:rsid w:val="00B10F05"/>
    <w:rsid w:val="00B11A4F"/>
    <w:rsid w:val="00B12D3B"/>
    <w:rsid w:val="00B12F04"/>
    <w:rsid w:val="00B15030"/>
    <w:rsid w:val="00B150FA"/>
    <w:rsid w:val="00B15894"/>
    <w:rsid w:val="00B16C5E"/>
    <w:rsid w:val="00B17116"/>
    <w:rsid w:val="00B21B7C"/>
    <w:rsid w:val="00B22AC5"/>
    <w:rsid w:val="00B2480C"/>
    <w:rsid w:val="00B24C6D"/>
    <w:rsid w:val="00B259D8"/>
    <w:rsid w:val="00B26F84"/>
    <w:rsid w:val="00B30AF0"/>
    <w:rsid w:val="00B311F8"/>
    <w:rsid w:val="00B31C72"/>
    <w:rsid w:val="00B323F0"/>
    <w:rsid w:val="00B324F3"/>
    <w:rsid w:val="00B34A00"/>
    <w:rsid w:val="00B35D9C"/>
    <w:rsid w:val="00B36F87"/>
    <w:rsid w:val="00B37E41"/>
    <w:rsid w:val="00B4020E"/>
    <w:rsid w:val="00B41D91"/>
    <w:rsid w:val="00B43A12"/>
    <w:rsid w:val="00B45397"/>
    <w:rsid w:val="00B4583E"/>
    <w:rsid w:val="00B46DC4"/>
    <w:rsid w:val="00B47709"/>
    <w:rsid w:val="00B50794"/>
    <w:rsid w:val="00B5172E"/>
    <w:rsid w:val="00B52340"/>
    <w:rsid w:val="00B52C29"/>
    <w:rsid w:val="00B54467"/>
    <w:rsid w:val="00B56AD1"/>
    <w:rsid w:val="00B60FC6"/>
    <w:rsid w:val="00B61FA0"/>
    <w:rsid w:val="00B652A8"/>
    <w:rsid w:val="00B667C1"/>
    <w:rsid w:val="00B66AB8"/>
    <w:rsid w:val="00B71F1F"/>
    <w:rsid w:val="00B73265"/>
    <w:rsid w:val="00B763C7"/>
    <w:rsid w:val="00B77426"/>
    <w:rsid w:val="00B81A18"/>
    <w:rsid w:val="00B81D8F"/>
    <w:rsid w:val="00B82AC2"/>
    <w:rsid w:val="00B82E7A"/>
    <w:rsid w:val="00B8376B"/>
    <w:rsid w:val="00B83C4A"/>
    <w:rsid w:val="00B83F9A"/>
    <w:rsid w:val="00B8502E"/>
    <w:rsid w:val="00B85961"/>
    <w:rsid w:val="00B864A5"/>
    <w:rsid w:val="00B90122"/>
    <w:rsid w:val="00B91498"/>
    <w:rsid w:val="00B92A2A"/>
    <w:rsid w:val="00B95A23"/>
    <w:rsid w:val="00B95BFA"/>
    <w:rsid w:val="00B9776C"/>
    <w:rsid w:val="00B97AC8"/>
    <w:rsid w:val="00BA01C9"/>
    <w:rsid w:val="00BA0E8D"/>
    <w:rsid w:val="00BA248A"/>
    <w:rsid w:val="00BA3333"/>
    <w:rsid w:val="00BA36B3"/>
    <w:rsid w:val="00BA5B1F"/>
    <w:rsid w:val="00BA64F4"/>
    <w:rsid w:val="00BA66B1"/>
    <w:rsid w:val="00BB1392"/>
    <w:rsid w:val="00BB1638"/>
    <w:rsid w:val="00BB177F"/>
    <w:rsid w:val="00BB397B"/>
    <w:rsid w:val="00BB4BAF"/>
    <w:rsid w:val="00BB7E44"/>
    <w:rsid w:val="00BC1306"/>
    <w:rsid w:val="00BC1DCF"/>
    <w:rsid w:val="00BC2DF1"/>
    <w:rsid w:val="00BC2F7E"/>
    <w:rsid w:val="00BC346D"/>
    <w:rsid w:val="00BC35D4"/>
    <w:rsid w:val="00BC3D16"/>
    <w:rsid w:val="00BC4A2A"/>
    <w:rsid w:val="00BC6253"/>
    <w:rsid w:val="00BD311B"/>
    <w:rsid w:val="00BD3237"/>
    <w:rsid w:val="00BD3318"/>
    <w:rsid w:val="00BD701D"/>
    <w:rsid w:val="00BE1078"/>
    <w:rsid w:val="00BE1108"/>
    <w:rsid w:val="00BE168B"/>
    <w:rsid w:val="00BE3510"/>
    <w:rsid w:val="00BE3D80"/>
    <w:rsid w:val="00BE4214"/>
    <w:rsid w:val="00BE761E"/>
    <w:rsid w:val="00BE79F7"/>
    <w:rsid w:val="00BF0164"/>
    <w:rsid w:val="00BF0827"/>
    <w:rsid w:val="00BF09B7"/>
    <w:rsid w:val="00BF0CE3"/>
    <w:rsid w:val="00BF2F4A"/>
    <w:rsid w:val="00BF3093"/>
    <w:rsid w:val="00BF3C89"/>
    <w:rsid w:val="00BF4868"/>
    <w:rsid w:val="00BF5E0F"/>
    <w:rsid w:val="00BF6D3F"/>
    <w:rsid w:val="00BF70D9"/>
    <w:rsid w:val="00C034FE"/>
    <w:rsid w:val="00C03ED7"/>
    <w:rsid w:val="00C04531"/>
    <w:rsid w:val="00C04558"/>
    <w:rsid w:val="00C04CA7"/>
    <w:rsid w:val="00C04EA1"/>
    <w:rsid w:val="00C10A09"/>
    <w:rsid w:val="00C11AAF"/>
    <w:rsid w:val="00C11B96"/>
    <w:rsid w:val="00C11EFF"/>
    <w:rsid w:val="00C124E6"/>
    <w:rsid w:val="00C13F83"/>
    <w:rsid w:val="00C15ECA"/>
    <w:rsid w:val="00C163C6"/>
    <w:rsid w:val="00C16AAB"/>
    <w:rsid w:val="00C16E03"/>
    <w:rsid w:val="00C171AA"/>
    <w:rsid w:val="00C20AE3"/>
    <w:rsid w:val="00C20E93"/>
    <w:rsid w:val="00C21F09"/>
    <w:rsid w:val="00C222F3"/>
    <w:rsid w:val="00C23BF2"/>
    <w:rsid w:val="00C24004"/>
    <w:rsid w:val="00C24455"/>
    <w:rsid w:val="00C254F0"/>
    <w:rsid w:val="00C257B4"/>
    <w:rsid w:val="00C264A3"/>
    <w:rsid w:val="00C26756"/>
    <w:rsid w:val="00C32ED6"/>
    <w:rsid w:val="00C3566C"/>
    <w:rsid w:val="00C37CD0"/>
    <w:rsid w:val="00C43E59"/>
    <w:rsid w:val="00C44ABF"/>
    <w:rsid w:val="00C463CA"/>
    <w:rsid w:val="00C46557"/>
    <w:rsid w:val="00C46DC6"/>
    <w:rsid w:val="00C4789A"/>
    <w:rsid w:val="00C50C9E"/>
    <w:rsid w:val="00C522AA"/>
    <w:rsid w:val="00C55401"/>
    <w:rsid w:val="00C562AD"/>
    <w:rsid w:val="00C579A1"/>
    <w:rsid w:val="00C639A1"/>
    <w:rsid w:val="00C679CE"/>
    <w:rsid w:val="00C70267"/>
    <w:rsid w:val="00C71116"/>
    <w:rsid w:val="00C7168D"/>
    <w:rsid w:val="00C744C2"/>
    <w:rsid w:val="00C7510E"/>
    <w:rsid w:val="00C81090"/>
    <w:rsid w:val="00C81182"/>
    <w:rsid w:val="00C81B59"/>
    <w:rsid w:val="00C869F8"/>
    <w:rsid w:val="00C872B6"/>
    <w:rsid w:val="00C9035B"/>
    <w:rsid w:val="00C90FB5"/>
    <w:rsid w:val="00C93740"/>
    <w:rsid w:val="00C938BF"/>
    <w:rsid w:val="00C938C0"/>
    <w:rsid w:val="00C93F39"/>
    <w:rsid w:val="00C94164"/>
    <w:rsid w:val="00C9527D"/>
    <w:rsid w:val="00C954E2"/>
    <w:rsid w:val="00C95A96"/>
    <w:rsid w:val="00C975E3"/>
    <w:rsid w:val="00CA031C"/>
    <w:rsid w:val="00CA0C8E"/>
    <w:rsid w:val="00CA31E7"/>
    <w:rsid w:val="00CA4CE6"/>
    <w:rsid w:val="00CA6192"/>
    <w:rsid w:val="00CA7F99"/>
    <w:rsid w:val="00CB0206"/>
    <w:rsid w:val="00CB6073"/>
    <w:rsid w:val="00CB6DF7"/>
    <w:rsid w:val="00CB791A"/>
    <w:rsid w:val="00CB7B6B"/>
    <w:rsid w:val="00CC0BE8"/>
    <w:rsid w:val="00CC25B4"/>
    <w:rsid w:val="00CC3E11"/>
    <w:rsid w:val="00CC42A6"/>
    <w:rsid w:val="00CC515F"/>
    <w:rsid w:val="00CC5F49"/>
    <w:rsid w:val="00CC6700"/>
    <w:rsid w:val="00CC6D89"/>
    <w:rsid w:val="00CC74F9"/>
    <w:rsid w:val="00CD1FD8"/>
    <w:rsid w:val="00CD2093"/>
    <w:rsid w:val="00CD20F8"/>
    <w:rsid w:val="00CD31A1"/>
    <w:rsid w:val="00CD34E9"/>
    <w:rsid w:val="00CD5765"/>
    <w:rsid w:val="00CD5C1D"/>
    <w:rsid w:val="00CD7C6B"/>
    <w:rsid w:val="00CE116F"/>
    <w:rsid w:val="00CE1403"/>
    <w:rsid w:val="00CE19F9"/>
    <w:rsid w:val="00CE22C9"/>
    <w:rsid w:val="00CE2BD1"/>
    <w:rsid w:val="00CE2FD5"/>
    <w:rsid w:val="00CE3A99"/>
    <w:rsid w:val="00CE3B16"/>
    <w:rsid w:val="00CE523F"/>
    <w:rsid w:val="00CE6883"/>
    <w:rsid w:val="00CE78B8"/>
    <w:rsid w:val="00CE798D"/>
    <w:rsid w:val="00CF1A8C"/>
    <w:rsid w:val="00CF35E9"/>
    <w:rsid w:val="00CF3BA0"/>
    <w:rsid w:val="00CF6806"/>
    <w:rsid w:val="00CF78D0"/>
    <w:rsid w:val="00D01793"/>
    <w:rsid w:val="00D02312"/>
    <w:rsid w:val="00D06CF4"/>
    <w:rsid w:val="00D07BE8"/>
    <w:rsid w:val="00D07C75"/>
    <w:rsid w:val="00D1088E"/>
    <w:rsid w:val="00D10C02"/>
    <w:rsid w:val="00D11C77"/>
    <w:rsid w:val="00D1237D"/>
    <w:rsid w:val="00D13ED8"/>
    <w:rsid w:val="00D1408C"/>
    <w:rsid w:val="00D162BC"/>
    <w:rsid w:val="00D167BB"/>
    <w:rsid w:val="00D205BA"/>
    <w:rsid w:val="00D21D46"/>
    <w:rsid w:val="00D22A3C"/>
    <w:rsid w:val="00D25F59"/>
    <w:rsid w:val="00D275EF"/>
    <w:rsid w:val="00D30D40"/>
    <w:rsid w:val="00D318FE"/>
    <w:rsid w:val="00D319B9"/>
    <w:rsid w:val="00D3255C"/>
    <w:rsid w:val="00D3268F"/>
    <w:rsid w:val="00D334B0"/>
    <w:rsid w:val="00D3420E"/>
    <w:rsid w:val="00D356CF"/>
    <w:rsid w:val="00D36F52"/>
    <w:rsid w:val="00D4206A"/>
    <w:rsid w:val="00D42266"/>
    <w:rsid w:val="00D4247A"/>
    <w:rsid w:val="00D424A9"/>
    <w:rsid w:val="00D42604"/>
    <w:rsid w:val="00D448D9"/>
    <w:rsid w:val="00D46360"/>
    <w:rsid w:val="00D50C61"/>
    <w:rsid w:val="00D51C9B"/>
    <w:rsid w:val="00D5467C"/>
    <w:rsid w:val="00D54DEE"/>
    <w:rsid w:val="00D5541B"/>
    <w:rsid w:val="00D55CD3"/>
    <w:rsid w:val="00D627E4"/>
    <w:rsid w:val="00D63C17"/>
    <w:rsid w:val="00D65AC8"/>
    <w:rsid w:val="00D7008E"/>
    <w:rsid w:val="00D72F00"/>
    <w:rsid w:val="00D745D6"/>
    <w:rsid w:val="00D74693"/>
    <w:rsid w:val="00D765A3"/>
    <w:rsid w:val="00D76940"/>
    <w:rsid w:val="00D77E3B"/>
    <w:rsid w:val="00D807D1"/>
    <w:rsid w:val="00D82982"/>
    <w:rsid w:val="00D85CE5"/>
    <w:rsid w:val="00D905A4"/>
    <w:rsid w:val="00D91676"/>
    <w:rsid w:val="00D9219B"/>
    <w:rsid w:val="00D9281D"/>
    <w:rsid w:val="00D93389"/>
    <w:rsid w:val="00D93567"/>
    <w:rsid w:val="00D9392D"/>
    <w:rsid w:val="00D9402A"/>
    <w:rsid w:val="00D94485"/>
    <w:rsid w:val="00D94F07"/>
    <w:rsid w:val="00D96331"/>
    <w:rsid w:val="00DA06FC"/>
    <w:rsid w:val="00DA157C"/>
    <w:rsid w:val="00DA3A7C"/>
    <w:rsid w:val="00DA3CA2"/>
    <w:rsid w:val="00DA4D7D"/>
    <w:rsid w:val="00DA56F0"/>
    <w:rsid w:val="00DA5BFA"/>
    <w:rsid w:val="00DA5F0B"/>
    <w:rsid w:val="00DA68DA"/>
    <w:rsid w:val="00DA69A6"/>
    <w:rsid w:val="00DA6A30"/>
    <w:rsid w:val="00DB5E61"/>
    <w:rsid w:val="00DB5F13"/>
    <w:rsid w:val="00DB74CC"/>
    <w:rsid w:val="00DC20B0"/>
    <w:rsid w:val="00DC4D29"/>
    <w:rsid w:val="00DC5B32"/>
    <w:rsid w:val="00DC66B0"/>
    <w:rsid w:val="00DC74AE"/>
    <w:rsid w:val="00DC77E4"/>
    <w:rsid w:val="00DD07CB"/>
    <w:rsid w:val="00DD1C2D"/>
    <w:rsid w:val="00DD25BA"/>
    <w:rsid w:val="00DD3B3D"/>
    <w:rsid w:val="00DD46B8"/>
    <w:rsid w:val="00DD645A"/>
    <w:rsid w:val="00DE0CAE"/>
    <w:rsid w:val="00DE16C2"/>
    <w:rsid w:val="00DE1BF4"/>
    <w:rsid w:val="00DE2FEA"/>
    <w:rsid w:val="00DE4E23"/>
    <w:rsid w:val="00DE5630"/>
    <w:rsid w:val="00DE5FF0"/>
    <w:rsid w:val="00DE7DB3"/>
    <w:rsid w:val="00DF0EC6"/>
    <w:rsid w:val="00DF26E7"/>
    <w:rsid w:val="00DF2E73"/>
    <w:rsid w:val="00DF52E6"/>
    <w:rsid w:val="00DF643C"/>
    <w:rsid w:val="00DF6DBF"/>
    <w:rsid w:val="00E024F2"/>
    <w:rsid w:val="00E046DA"/>
    <w:rsid w:val="00E049A4"/>
    <w:rsid w:val="00E05AE1"/>
    <w:rsid w:val="00E07255"/>
    <w:rsid w:val="00E102FA"/>
    <w:rsid w:val="00E1035F"/>
    <w:rsid w:val="00E125AF"/>
    <w:rsid w:val="00E13256"/>
    <w:rsid w:val="00E1342A"/>
    <w:rsid w:val="00E13E06"/>
    <w:rsid w:val="00E14661"/>
    <w:rsid w:val="00E1687C"/>
    <w:rsid w:val="00E169A7"/>
    <w:rsid w:val="00E21788"/>
    <w:rsid w:val="00E21FA7"/>
    <w:rsid w:val="00E23CBB"/>
    <w:rsid w:val="00E242D3"/>
    <w:rsid w:val="00E25473"/>
    <w:rsid w:val="00E264F9"/>
    <w:rsid w:val="00E276BF"/>
    <w:rsid w:val="00E2774D"/>
    <w:rsid w:val="00E3199D"/>
    <w:rsid w:val="00E32842"/>
    <w:rsid w:val="00E34046"/>
    <w:rsid w:val="00E342DC"/>
    <w:rsid w:val="00E34DB7"/>
    <w:rsid w:val="00E36C6E"/>
    <w:rsid w:val="00E36CB1"/>
    <w:rsid w:val="00E423BF"/>
    <w:rsid w:val="00E43A15"/>
    <w:rsid w:val="00E4521E"/>
    <w:rsid w:val="00E47077"/>
    <w:rsid w:val="00E52101"/>
    <w:rsid w:val="00E52649"/>
    <w:rsid w:val="00E53C53"/>
    <w:rsid w:val="00E54C5C"/>
    <w:rsid w:val="00E56ADF"/>
    <w:rsid w:val="00E6013F"/>
    <w:rsid w:val="00E641A6"/>
    <w:rsid w:val="00E64FED"/>
    <w:rsid w:val="00E66D0D"/>
    <w:rsid w:val="00E6714F"/>
    <w:rsid w:val="00E6733A"/>
    <w:rsid w:val="00E705D3"/>
    <w:rsid w:val="00E73276"/>
    <w:rsid w:val="00E74BA2"/>
    <w:rsid w:val="00E75853"/>
    <w:rsid w:val="00E75A77"/>
    <w:rsid w:val="00E75FB1"/>
    <w:rsid w:val="00E76ACE"/>
    <w:rsid w:val="00E84012"/>
    <w:rsid w:val="00E861DA"/>
    <w:rsid w:val="00E86728"/>
    <w:rsid w:val="00E8734E"/>
    <w:rsid w:val="00E87E78"/>
    <w:rsid w:val="00E904E5"/>
    <w:rsid w:val="00E93511"/>
    <w:rsid w:val="00E962FD"/>
    <w:rsid w:val="00E9633F"/>
    <w:rsid w:val="00E96A0E"/>
    <w:rsid w:val="00EA2B8E"/>
    <w:rsid w:val="00EA34B6"/>
    <w:rsid w:val="00EA4F40"/>
    <w:rsid w:val="00EA7672"/>
    <w:rsid w:val="00EB1B66"/>
    <w:rsid w:val="00EB208A"/>
    <w:rsid w:val="00EB2FB3"/>
    <w:rsid w:val="00EB470F"/>
    <w:rsid w:val="00EB4B99"/>
    <w:rsid w:val="00EC11E4"/>
    <w:rsid w:val="00EC1AE7"/>
    <w:rsid w:val="00EC1DE1"/>
    <w:rsid w:val="00EC2414"/>
    <w:rsid w:val="00EC2B6A"/>
    <w:rsid w:val="00EC3182"/>
    <w:rsid w:val="00EC35B2"/>
    <w:rsid w:val="00EC5F56"/>
    <w:rsid w:val="00EC6A53"/>
    <w:rsid w:val="00EC7FD4"/>
    <w:rsid w:val="00ED1885"/>
    <w:rsid w:val="00ED1EC3"/>
    <w:rsid w:val="00ED2F45"/>
    <w:rsid w:val="00ED36AA"/>
    <w:rsid w:val="00ED3FFA"/>
    <w:rsid w:val="00ED4012"/>
    <w:rsid w:val="00ED55A2"/>
    <w:rsid w:val="00ED5DF3"/>
    <w:rsid w:val="00ED7102"/>
    <w:rsid w:val="00EE010A"/>
    <w:rsid w:val="00EE1AF1"/>
    <w:rsid w:val="00EE40D2"/>
    <w:rsid w:val="00EF04EE"/>
    <w:rsid w:val="00EF12CB"/>
    <w:rsid w:val="00EF3547"/>
    <w:rsid w:val="00EF3EDC"/>
    <w:rsid w:val="00EF4D42"/>
    <w:rsid w:val="00EF4F0C"/>
    <w:rsid w:val="00EF5984"/>
    <w:rsid w:val="00EF6702"/>
    <w:rsid w:val="00F0033E"/>
    <w:rsid w:val="00F01B34"/>
    <w:rsid w:val="00F02A7A"/>
    <w:rsid w:val="00F03624"/>
    <w:rsid w:val="00F052FE"/>
    <w:rsid w:val="00F06823"/>
    <w:rsid w:val="00F06E5D"/>
    <w:rsid w:val="00F1267B"/>
    <w:rsid w:val="00F14E40"/>
    <w:rsid w:val="00F17633"/>
    <w:rsid w:val="00F2295E"/>
    <w:rsid w:val="00F23036"/>
    <w:rsid w:val="00F2329F"/>
    <w:rsid w:val="00F24842"/>
    <w:rsid w:val="00F24E3C"/>
    <w:rsid w:val="00F27CB6"/>
    <w:rsid w:val="00F3014C"/>
    <w:rsid w:val="00F32380"/>
    <w:rsid w:val="00F3324B"/>
    <w:rsid w:val="00F33315"/>
    <w:rsid w:val="00F341F9"/>
    <w:rsid w:val="00F34365"/>
    <w:rsid w:val="00F3651B"/>
    <w:rsid w:val="00F37163"/>
    <w:rsid w:val="00F37B1A"/>
    <w:rsid w:val="00F4107C"/>
    <w:rsid w:val="00F4249C"/>
    <w:rsid w:val="00F435F1"/>
    <w:rsid w:val="00F45F9D"/>
    <w:rsid w:val="00F47958"/>
    <w:rsid w:val="00F500DC"/>
    <w:rsid w:val="00F500ED"/>
    <w:rsid w:val="00F50107"/>
    <w:rsid w:val="00F501B1"/>
    <w:rsid w:val="00F51224"/>
    <w:rsid w:val="00F53F0E"/>
    <w:rsid w:val="00F54147"/>
    <w:rsid w:val="00F60AC6"/>
    <w:rsid w:val="00F6218B"/>
    <w:rsid w:val="00F62412"/>
    <w:rsid w:val="00F630C0"/>
    <w:rsid w:val="00F63F15"/>
    <w:rsid w:val="00F64F63"/>
    <w:rsid w:val="00F65411"/>
    <w:rsid w:val="00F658E1"/>
    <w:rsid w:val="00F65BEC"/>
    <w:rsid w:val="00F65F57"/>
    <w:rsid w:val="00F702FB"/>
    <w:rsid w:val="00F710FC"/>
    <w:rsid w:val="00F737B4"/>
    <w:rsid w:val="00F73E58"/>
    <w:rsid w:val="00F740DD"/>
    <w:rsid w:val="00F74249"/>
    <w:rsid w:val="00F74884"/>
    <w:rsid w:val="00F75068"/>
    <w:rsid w:val="00F75473"/>
    <w:rsid w:val="00F76235"/>
    <w:rsid w:val="00F82195"/>
    <w:rsid w:val="00F838BA"/>
    <w:rsid w:val="00F84751"/>
    <w:rsid w:val="00F85075"/>
    <w:rsid w:val="00F90E0C"/>
    <w:rsid w:val="00F926CA"/>
    <w:rsid w:val="00F93B24"/>
    <w:rsid w:val="00F93EF3"/>
    <w:rsid w:val="00F94659"/>
    <w:rsid w:val="00F95BFB"/>
    <w:rsid w:val="00F96612"/>
    <w:rsid w:val="00FA1C5B"/>
    <w:rsid w:val="00FA475F"/>
    <w:rsid w:val="00FA521B"/>
    <w:rsid w:val="00FA6CAF"/>
    <w:rsid w:val="00FA7783"/>
    <w:rsid w:val="00FB0CB0"/>
    <w:rsid w:val="00FB0EE2"/>
    <w:rsid w:val="00FB1797"/>
    <w:rsid w:val="00FB26BF"/>
    <w:rsid w:val="00FB4E55"/>
    <w:rsid w:val="00FB5A34"/>
    <w:rsid w:val="00FB5DC8"/>
    <w:rsid w:val="00FB611D"/>
    <w:rsid w:val="00FB79DC"/>
    <w:rsid w:val="00FC0346"/>
    <w:rsid w:val="00FC1EF5"/>
    <w:rsid w:val="00FC410A"/>
    <w:rsid w:val="00FC616D"/>
    <w:rsid w:val="00FD019D"/>
    <w:rsid w:val="00FD1937"/>
    <w:rsid w:val="00FD241B"/>
    <w:rsid w:val="00FD34F3"/>
    <w:rsid w:val="00FD381F"/>
    <w:rsid w:val="00FD63FF"/>
    <w:rsid w:val="00FD6663"/>
    <w:rsid w:val="00FE0A6D"/>
    <w:rsid w:val="00FE1180"/>
    <w:rsid w:val="00FE2F07"/>
    <w:rsid w:val="00FE3202"/>
    <w:rsid w:val="00FE3976"/>
    <w:rsid w:val="00FE4274"/>
    <w:rsid w:val="00FE5327"/>
    <w:rsid w:val="00FE55D6"/>
    <w:rsid w:val="00FE5CFC"/>
    <w:rsid w:val="00FE6FF7"/>
    <w:rsid w:val="00FE7282"/>
    <w:rsid w:val="00FF259D"/>
    <w:rsid w:val="00FF49E3"/>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A85"/>
    <w:pPr>
      <w:jc w:val="both"/>
    </w:pPr>
    <w:rPr>
      <w:sz w:val="26"/>
      <w:szCs w:val="20"/>
    </w:rPr>
  </w:style>
  <w:style w:type="paragraph" w:styleId="Heading1">
    <w:name w:val="heading 1"/>
    <w:basedOn w:val="Normal"/>
    <w:next w:val="Normal"/>
    <w:link w:val="Heading1Char"/>
    <w:qFormat/>
    <w:locked/>
    <w:rsid w:val="007112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9E564F"/>
    <w:pPr>
      <w:keepNext/>
      <w:widowControl w:val="0"/>
      <w:autoSpaceDE w:val="0"/>
      <w:autoSpaceDN w:val="0"/>
      <w:adjustRightInd w:val="0"/>
      <w:spacing w:before="240" w:after="60"/>
      <w:jc w:val="left"/>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E564F"/>
    <w:rPr>
      <w:rFonts w:ascii="Arial" w:hAnsi="Arial" w:cs="Arial"/>
      <w:b/>
      <w:bCs/>
      <w:i/>
      <w:iCs/>
      <w:sz w:val="28"/>
      <w:szCs w:val="28"/>
    </w:rPr>
  </w:style>
  <w:style w:type="paragraph" w:styleId="Title">
    <w:name w:val="Title"/>
    <w:basedOn w:val="Normal"/>
    <w:link w:val="TitleChar"/>
    <w:uiPriority w:val="99"/>
    <w:qFormat/>
    <w:rsid w:val="001A2A85"/>
    <w:pPr>
      <w:jc w:val="center"/>
    </w:pPr>
    <w:rPr>
      <w:b/>
    </w:rPr>
  </w:style>
  <w:style w:type="character" w:customStyle="1" w:styleId="TitleChar">
    <w:name w:val="Title Char"/>
    <w:basedOn w:val="DefaultParagraphFont"/>
    <w:link w:val="Title"/>
    <w:uiPriority w:val="99"/>
    <w:locked/>
    <w:rsid w:val="00964017"/>
    <w:rPr>
      <w:rFonts w:ascii="Cambria" w:hAnsi="Cambria" w:cs="Times New Roman"/>
      <w:b/>
      <w:bCs/>
      <w:kern w:val="28"/>
      <w:sz w:val="32"/>
      <w:szCs w:val="32"/>
    </w:rPr>
  </w:style>
  <w:style w:type="paragraph" w:styleId="Subtitle">
    <w:name w:val="Subtitle"/>
    <w:basedOn w:val="Normal"/>
    <w:link w:val="SubtitleChar"/>
    <w:uiPriority w:val="99"/>
    <w:qFormat/>
    <w:rsid w:val="001A2A85"/>
    <w:pPr>
      <w:jc w:val="center"/>
    </w:pPr>
    <w:rPr>
      <w:b/>
    </w:rPr>
  </w:style>
  <w:style w:type="character" w:customStyle="1" w:styleId="SubtitleChar">
    <w:name w:val="Subtitle Char"/>
    <w:basedOn w:val="DefaultParagraphFont"/>
    <w:link w:val="Subtitle"/>
    <w:uiPriority w:val="99"/>
    <w:locked/>
    <w:rsid w:val="00964017"/>
    <w:rPr>
      <w:rFonts w:ascii="Cambria" w:hAnsi="Cambria" w:cs="Times New Roman"/>
      <w:sz w:val="24"/>
      <w:szCs w:val="24"/>
    </w:rPr>
  </w:style>
  <w:style w:type="paragraph" w:styleId="Footer">
    <w:name w:val="footer"/>
    <w:basedOn w:val="Normal"/>
    <w:link w:val="FooterChar"/>
    <w:uiPriority w:val="99"/>
    <w:rsid w:val="001A2A85"/>
    <w:pPr>
      <w:tabs>
        <w:tab w:val="center" w:pos="4320"/>
        <w:tab w:val="right" w:pos="8640"/>
      </w:tabs>
    </w:pPr>
  </w:style>
  <w:style w:type="character" w:customStyle="1" w:styleId="FooterChar">
    <w:name w:val="Footer Char"/>
    <w:basedOn w:val="DefaultParagraphFont"/>
    <w:link w:val="Footer"/>
    <w:uiPriority w:val="99"/>
    <w:locked/>
    <w:rsid w:val="00964017"/>
    <w:rPr>
      <w:rFonts w:cs="Times New Roman"/>
      <w:sz w:val="20"/>
      <w:szCs w:val="20"/>
    </w:rPr>
  </w:style>
  <w:style w:type="character" w:styleId="PageNumber">
    <w:name w:val="page number"/>
    <w:basedOn w:val="DefaultParagraphFont"/>
    <w:uiPriority w:val="99"/>
    <w:rsid w:val="001A2A85"/>
    <w:rPr>
      <w:rFonts w:cs="Times New Roman"/>
    </w:rPr>
  </w:style>
  <w:style w:type="paragraph" w:styleId="FootnoteText">
    <w:name w:val="footnote text"/>
    <w:basedOn w:val="Normal"/>
    <w:link w:val="FootnoteTextChar"/>
    <w:semiHidden/>
    <w:rsid w:val="00D448D9"/>
    <w:pPr>
      <w:jc w:val="left"/>
    </w:pPr>
    <w:rPr>
      <w:sz w:val="20"/>
    </w:rPr>
  </w:style>
  <w:style w:type="character" w:customStyle="1" w:styleId="FootnoteTextChar">
    <w:name w:val="Footnote Text Char"/>
    <w:basedOn w:val="DefaultParagraphFont"/>
    <w:link w:val="FootnoteText"/>
    <w:uiPriority w:val="99"/>
    <w:semiHidden/>
    <w:locked/>
    <w:rsid w:val="00AF6DF8"/>
    <w:rPr>
      <w:rFonts w:cs="Times New Roman"/>
    </w:rPr>
  </w:style>
  <w:style w:type="character" w:styleId="FootnoteReference">
    <w:name w:val="footnote reference"/>
    <w:basedOn w:val="DefaultParagraphFont"/>
    <w:semiHidden/>
    <w:rsid w:val="00D448D9"/>
    <w:rPr>
      <w:rFonts w:cs="Times New Roman"/>
      <w:vertAlign w:val="superscript"/>
    </w:rPr>
  </w:style>
  <w:style w:type="paragraph" w:styleId="BodyText">
    <w:name w:val="Body Text"/>
    <w:basedOn w:val="Normal"/>
    <w:link w:val="BodyTextChar"/>
    <w:uiPriority w:val="99"/>
    <w:rsid w:val="00124CE2"/>
    <w:pPr>
      <w:spacing w:after="120"/>
      <w:jc w:val="left"/>
    </w:pPr>
    <w:rPr>
      <w:sz w:val="24"/>
    </w:rPr>
  </w:style>
  <w:style w:type="character" w:customStyle="1" w:styleId="BodyTextChar">
    <w:name w:val="Body Text Char"/>
    <w:basedOn w:val="DefaultParagraphFont"/>
    <w:link w:val="BodyText"/>
    <w:uiPriority w:val="99"/>
    <w:semiHidden/>
    <w:locked/>
    <w:rsid w:val="00964017"/>
    <w:rPr>
      <w:rFonts w:cs="Times New Roman"/>
      <w:sz w:val="20"/>
      <w:szCs w:val="20"/>
    </w:rPr>
  </w:style>
  <w:style w:type="paragraph" w:styleId="BodyTextIndent2">
    <w:name w:val="Body Text Indent 2"/>
    <w:basedOn w:val="Normal"/>
    <w:link w:val="BodyTextIndent2Char"/>
    <w:uiPriority w:val="99"/>
    <w:rsid w:val="003A323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964017"/>
    <w:rPr>
      <w:rFonts w:cs="Times New Roman"/>
      <w:sz w:val="20"/>
      <w:szCs w:val="20"/>
    </w:rPr>
  </w:style>
  <w:style w:type="paragraph" w:styleId="BalloonText">
    <w:name w:val="Balloon Text"/>
    <w:basedOn w:val="Normal"/>
    <w:link w:val="BalloonTextChar"/>
    <w:uiPriority w:val="99"/>
    <w:semiHidden/>
    <w:rsid w:val="00E74B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4017"/>
    <w:rPr>
      <w:rFonts w:cs="Times New Roman"/>
      <w:sz w:val="2"/>
    </w:rPr>
  </w:style>
  <w:style w:type="character" w:styleId="Hyperlink">
    <w:name w:val="Hyperlink"/>
    <w:basedOn w:val="DefaultParagraphFont"/>
    <w:uiPriority w:val="99"/>
    <w:rsid w:val="00F24842"/>
    <w:rPr>
      <w:rFonts w:cs="Times New Roman"/>
      <w:color w:val="0000FF"/>
      <w:u w:val="single"/>
    </w:rPr>
  </w:style>
  <w:style w:type="paragraph" w:styleId="BodyText2">
    <w:name w:val="Body Text 2"/>
    <w:basedOn w:val="Normal"/>
    <w:link w:val="BodyText2Char"/>
    <w:uiPriority w:val="99"/>
    <w:rsid w:val="00551362"/>
    <w:pPr>
      <w:spacing w:after="120" w:line="480" w:lineRule="auto"/>
    </w:pPr>
  </w:style>
  <w:style w:type="character" w:customStyle="1" w:styleId="BodyText2Char">
    <w:name w:val="Body Text 2 Char"/>
    <w:basedOn w:val="DefaultParagraphFont"/>
    <w:link w:val="BodyText2"/>
    <w:uiPriority w:val="99"/>
    <w:semiHidden/>
    <w:locked/>
    <w:rsid w:val="00964017"/>
    <w:rPr>
      <w:rFonts w:cs="Times New Roman"/>
      <w:sz w:val="20"/>
      <w:szCs w:val="20"/>
    </w:rPr>
  </w:style>
  <w:style w:type="paragraph" w:styleId="ListBullet3">
    <w:name w:val="List Bullet 3"/>
    <w:aliases w:val="b3"/>
    <w:basedOn w:val="Normal"/>
    <w:uiPriority w:val="99"/>
    <w:rsid w:val="00217903"/>
    <w:pPr>
      <w:numPr>
        <w:numId w:val="3"/>
      </w:numPr>
      <w:spacing w:after="240"/>
    </w:pPr>
    <w:rPr>
      <w:sz w:val="24"/>
    </w:rPr>
  </w:style>
  <w:style w:type="paragraph" w:styleId="ListParagraph">
    <w:name w:val="List Paragraph"/>
    <w:basedOn w:val="Normal"/>
    <w:uiPriority w:val="99"/>
    <w:qFormat/>
    <w:rsid w:val="009E564F"/>
    <w:pPr>
      <w:widowControl w:val="0"/>
      <w:autoSpaceDE w:val="0"/>
      <w:autoSpaceDN w:val="0"/>
      <w:adjustRightInd w:val="0"/>
      <w:ind w:left="720"/>
      <w:jc w:val="left"/>
    </w:pPr>
    <w:rPr>
      <w:rFonts w:ascii="Courier New" w:hAnsi="Courier New" w:cs="Courier New"/>
      <w:sz w:val="20"/>
    </w:rPr>
  </w:style>
  <w:style w:type="paragraph" w:styleId="ListNumber">
    <w:name w:val="List Number"/>
    <w:basedOn w:val="Normal"/>
    <w:uiPriority w:val="99"/>
    <w:rsid w:val="00AF6DF8"/>
    <w:pPr>
      <w:numPr>
        <w:numId w:val="4"/>
      </w:numPr>
      <w:tabs>
        <w:tab w:val="clear" w:pos="360"/>
      </w:tabs>
      <w:spacing w:line="480" w:lineRule="auto"/>
      <w:ind w:firstLine="720"/>
      <w:jc w:val="left"/>
    </w:pPr>
    <w:rPr>
      <w:sz w:val="24"/>
      <w:szCs w:val="24"/>
    </w:rPr>
  </w:style>
  <w:style w:type="paragraph" w:styleId="Header">
    <w:name w:val="header"/>
    <w:basedOn w:val="Normal"/>
    <w:link w:val="HeaderChar"/>
    <w:uiPriority w:val="99"/>
    <w:rsid w:val="00D93567"/>
    <w:pPr>
      <w:tabs>
        <w:tab w:val="center" w:pos="4680"/>
        <w:tab w:val="right" w:pos="9360"/>
      </w:tabs>
    </w:pPr>
  </w:style>
  <w:style w:type="character" w:customStyle="1" w:styleId="HeaderChar">
    <w:name w:val="Header Char"/>
    <w:basedOn w:val="DefaultParagraphFont"/>
    <w:link w:val="Header"/>
    <w:uiPriority w:val="99"/>
    <w:locked/>
    <w:rsid w:val="00D93567"/>
    <w:rPr>
      <w:rFonts w:cs="Times New Roman"/>
      <w:sz w:val="26"/>
    </w:rPr>
  </w:style>
  <w:style w:type="character" w:customStyle="1" w:styleId="Heading1Char">
    <w:name w:val="Heading 1 Char"/>
    <w:basedOn w:val="DefaultParagraphFont"/>
    <w:link w:val="Heading1"/>
    <w:rsid w:val="00711276"/>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unhideWhenUsed/>
    <w:rsid w:val="000F5684"/>
    <w:pPr>
      <w:spacing w:after="120"/>
      <w:ind w:left="360"/>
    </w:pPr>
  </w:style>
  <w:style w:type="character" w:customStyle="1" w:styleId="BodyTextIndentChar">
    <w:name w:val="Body Text Indent Char"/>
    <w:basedOn w:val="DefaultParagraphFont"/>
    <w:link w:val="BodyTextIndent"/>
    <w:uiPriority w:val="99"/>
    <w:rsid w:val="000F5684"/>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A85"/>
    <w:pPr>
      <w:jc w:val="both"/>
    </w:pPr>
    <w:rPr>
      <w:sz w:val="26"/>
      <w:szCs w:val="20"/>
    </w:rPr>
  </w:style>
  <w:style w:type="paragraph" w:styleId="Heading1">
    <w:name w:val="heading 1"/>
    <w:basedOn w:val="Normal"/>
    <w:next w:val="Normal"/>
    <w:link w:val="Heading1Char"/>
    <w:qFormat/>
    <w:locked/>
    <w:rsid w:val="007112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9E564F"/>
    <w:pPr>
      <w:keepNext/>
      <w:widowControl w:val="0"/>
      <w:autoSpaceDE w:val="0"/>
      <w:autoSpaceDN w:val="0"/>
      <w:adjustRightInd w:val="0"/>
      <w:spacing w:before="240" w:after="60"/>
      <w:jc w:val="left"/>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E564F"/>
    <w:rPr>
      <w:rFonts w:ascii="Arial" w:hAnsi="Arial" w:cs="Arial"/>
      <w:b/>
      <w:bCs/>
      <w:i/>
      <w:iCs/>
      <w:sz w:val="28"/>
      <w:szCs w:val="28"/>
    </w:rPr>
  </w:style>
  <w:style w:type="paragraph" w:styleId="Title">
    <w:name w:val="Title"/>
    <w:basedOn w:val="Normal"/>
    <w:link w:val="TitleChar"/>
    <w:uiPriority w:val="99"/>
    <w:qFormat/>
    <w:rsid w:val="001A2A85"/>
    <w:pPr>
      <w:jc w:val="center"/>
    </w:pPr>
    <w:rPr>
      <w:b/>
    </w:rPr>
  </w:style>
  <w:style w:type="character" w:customStyle="1" w:styleId="TitleChar">
    <w:name w:val="Title Char"/>
    <w:basedOn w:val="DefaultParagraphFont"/>
    <w:link w:val="Title"/>
    <w:uiPriority w:val="99"/>
    <w:locked/>
    <w:rsid w:val="00964017"/>
    <w:rPr>
      <w:rFonts w:ascii="Cambria" w:hAnsi="Cambria" w:cs="Times New Roman"/>
      <w:b/>
      <w:bCs/>
      <w:kern w:val="28"/>
      <w:sz w:val="32"/>
      <w:szCs w:val="32"/>
    </w:rPr>
  </w:style>
  <w:style w:type="paragraph" w:styleId="Subtitle">
    <w:name w:val="Subtitle"/>
    <w:basedOn w:val="Normal"/>
    <w:link w:val="SubtitleChar"/>
    <w:uiPriority w:val="99"/>
    <w:qFormat/>
    <w:rsid w:val="001A2A85"/>
    <w:pPr>
      <w:jc w:val="center"/>
    </w:pPr>
    <w:rPr>
      <w:b/>
    </w:rPr>
  </w:style>
  <w:style w:type="character" w:customStyle="1" w:styleId="SubtitleChar">
    <w:name w:val="Subtitle Char"/>
    <w:basedOn w:val="DefaultParagraphFont"/>
    <w:link w:val="Subtitle"/>
    <w:uiPriority w:val="99"/>
    <w:locked/>
    <w:rsid w:val="00964017"/>
    <w:rPr>
      <w:rFonts w:ascii="Cambria" w:hAnsi="Cambria" w:cs="Times New Roman"/>
      <w:sz w:val="24"/>
      <w:szCs w:val="24"/>
    </w:rPr>
  </w:style>
  <w:style w:type="paragraph" w:styleId="Footer">
    <w:name w:val="footer"/>
    <w:basedOn w:val="Normal"/>
    <w:link w:val="FooterChar"/>
    <w:uiPriority w:val="99"/>
    <w:rsid w:val="001A2A85"/>
    <w:pPr>
      <w:tabs>
        <w:tab w:val="center" w:pos="4320"/>
        <w:tab w:val="right" w:pos="8640"/>
      </w:tabs>
    </w:pPr>
  </w:style>
  <w:style w:type="character" w:customStyle="1" w:styleId="FooterChar">
    <w:name w:val="Footer Char"/>
    <w:basedOn w:val="DefaultParagraphFont"/>
    <w:link w:val="Footer"/>
    <w:uiPriority w:val="99"/>
    <w:locked/>
    <w:rsid w:val="00964017"/>
    <w:rPr>
      <w:rFonts w:cs="Times New Roman"/>
      <w:sz w:val="20"/>
      <w:szCs w:val="20"/>
    </w:rPr>
  </w:style>
  <w:style w:type="character" w:styleId="PageNumber">
    <w:name w:val="page number"/>
    <w:basedOn w:val="DefaultParagraphFont"/>
    <w:uiPriority w:val="99"/>
    <w:rsid w:val="001A2A85"/>
    <w:rPr>
      <w:rFonts w:cs="Times New Roman"/>
    </w:rPr>
  </w:style>
  <w:style w:type="paragraph" w:styleId="FootnoteText">
    <w:name w:val="footnote text"/>
    <w:basedOn w:val="Normal"/>
    <w:link w:val="FootnoteTextChar"/>
    <w:semiHidden/>
    <w:rsid w:val="00D448D9"/>
    <w:pPr>
      <w:jc w:val="left"/>
    </w:pPr>
    <w:rPr>
      <w:sz w:val="20"/>
    </w:rPr>
  </w:style>
  <w:style w:type="character" w:customStyle="1" w:styleId="FootnoteTextChar">
    <w:name w:val="Footnote Text Char"/>
    <w:basedOn w:val="DefaultParagraphFont"/>
    <w:link w:val="FootnoteText"/>
    <w:uiPriority w:val="99"/>
    <w:semiHidden/>
    <w:locked/>
    <w:rsid w:val="00AF6DF8"/>
    <w:rPr>
      <w:rFonts w:cs="Times New Roman"/>
    </w:rPr>
  </w:style>
  <w:style w:type="character" w:styleId="FootnoteReference">
    <w:name w:val="footnote reference"/>
    <w:basedOn w:val="DefaultParagraphFont"/>
    <w:semiHidden/>
    <w:rsid w:val="00D448D9"/>
    <w:rPr>
      <w:rFonts w:cs="Times New Roman"/>
      <w:vertAlign w:val="superscript"/>
    </w:rPr>
  </w:style>
  <w:style w:type="paragraph" w:styleId="BodyText">
    <w:name w:val="Body Text"/>
    <w:basedOn w:val="Normal"/>
    <w:link w:val="BodyTextChar"/>
    <w:uiPriority w:val="99"/>
    <w:rsid w:val="00124CE2"/>
    <w:pPr>
      <w:spacing w:after="120"/>
      <w:jc w:val="left"/>
    </w:pPr>
    <w:rPr>
      <w:sz w:val="24"/>
    </w:rPr>
  </w:style>
  <w:style w:type="character" w:customStyle="1" w:styleId="BodyTextChar">
    <w:name w:val="Body Text Char"/>
    <w:basedOn w:val="DefaultParagraphFont"/>
    <w:link w:val="BodyText"/>
    <w:uiPriority w:val="99"/>
    <w:semiHidden/>
    <w:locked/>
    <w:rsid w:val="00964017"/>
    <w:rPr>
      <w:rFonts w:cs="Times New Roman"/>
      <w:sz w:val="20"/>
      <w:szCs w:val="20"/>
    </w:rPr>
  </w:style>
  <w:style w:type="paragraph" w:styleId="BodyTextIndent2">
    <w:name w:val="Body Text Indent 2"/>
    <w:basedOn w:val="Normal"/>
    <w:link w:val="BodyTextIndent2Char"/>
    <w:uiPriority w:val="99"/>
    <w:rsid w:val="003A323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964017"/>
    <w:rPr>
      <w:rFonts w:cs="Times New Roman"/>
      <w:sz w:val="20"/>
      <w:szCs w:val="20"/>
    </w:rPr>
  </w:style>
  <w:style w:type="paragraph" w:styleId="BalloonText">
    <w:name w:val="Balloon Text"/>
    <w:basedOn w:val="Normal"/>
    <w:link w:val="BalloonTextChar"/>
    <w:uiPriority w:val="99"/>
    <w:semiHidden/>
    <w:rsid w:val="00E74B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4017"/>
    <w:rPr>
      <w:rFonts w:cs="Times New Roman"/>
      <w:sz w:val="2"/>
    </w:rPr>
  </w:style>
  <w:style w:type="character" w:styleId="Hyperlink">
    <w:name w:val="Hyperlink"/>
    <w:basedOn w:val="DefaultParagraphFont"/>
    <w:uiPriority w:val="99"/>
    <w:rsid w:val="00F24842"/>
    <w:rPr>
      <w:rFonts w:cs="Times New Roman"/>
      <w:color w:val="0000FF"/>
      <w:u w:val="single"/>
    </w:rPr>
  </w:style>
  <w:style w:type="paragraph" w:styleId="BodyText2">
    <w:name w:val="Body Text 2"/>
    <w:basedOn w:val="Normal"/>
    <w:link w:val="BodyText2Char"/>
    <w:uiPriority w:val="99"/>
    <w:rsid w:val="00551362"/>
    <w:pPr>
      <w:spacing w:after="120" w:line="480" w:lineRule="auto"/>
    </w:pPr>
  </w:style>
  <w:style w:type="character" w:customStyle="1" w:styleId="BodyText2Char">
    <w:name w:val="Body Text 2 Char"/>
    <w:basedOn w:val="DefaultParagraphFont"/>
    <w:link w:val="BodyText2"/>
    <w:uiPriority w:val="99"/>
    <w:semiHidden/>
    <w:locked/>
    <w:rsid w:val="00964017"/>
    <w:rPr>
      <w:rFonts w:cs="Times New Roman"/>
      <w:sz w:val="20"/>
      <w:szCs w:val="20"/>
    </w:rPr>
  </w:style>
  <w:style w:type="paragraph" w:styleId="ListBullet3">
    <w:name w:val="List Bullet 3"/>
    <w:aliases w:val="b3"/>
    <w:basedOn w:val="Normal"/>
    <w:uiPriority w:val="99"/>
    <w:rsid w:val="00217903"/>
    <w:pPr>
      <w:numPr>
        <w:numId w:val="3"/>
      </w:numPr>
      <w:spacing w:after="240"/>
    </w:pPr>
    <w:rPr>
      <w:sz w:val="24"/>
    </w:rPr>
  </w:style>
  <w:style w:type="paragraph" w:styleId="ListParagraph">
    <w:name w:val="List Paragraph"/>
    <w:basedOn w:val="Normal"/>
    <w:uiPriority w:val="99"/>
    <w:qFormat/>
    <w:rsid w:val="009E564F"/>
    <w:pPr>
      <w:widowControl w:val="0"/>
      <w:autoSpaceDE w:val="0"/>
      <w:autoSpaceDN w:val="0"/>
      <w:adjustRightInd w:val="0"/>
      <w:ind w:left="720"/>
      <w:jc w:val="left"/>
    </w:pPr>
    <w:rPr>
      <w:rFonts w:ascii="Courier New" w:hAnsi="Courier New" w:cs="Courier New"/>
      <w:sz w:val="20"/>
    </w:rPr>
  </w:style>
  <w:style w:type="paragraph" w:styleId="ListNumber">
    <w:name w:val="List Number"/>
    <w:basedOn w:val="Normal"/>
    <w:uiPriority w:val="99"/>
    <w:rsid w:val="00AF6DF8"/>
    <w:pPr>
      <w:numPr>
        <w:numId w:val="4"/>
      </w:numPr>
      <w:tabs>
        <w:tab w:val="clear" w:pos="360"/>
      </w:tabs>
      <w:spacing w:line="480" w:lineRule="auto"/>
      <w:ind w:firstLine="720"/>
      <w:jc w:val="left"/>
    </w:pPr>
    <w:rPr>
      <w:sz w:val="24"/>
      <w:szCs w:val="24"/>
    </w:rPr>
  </w:style>
  <w:style w:type="paragraph" w:styleId="Header">
    <w:name w:val="header"/>
    <w:basedOn w:val="Normal"/>
    <w:link w:val="HeaderChar"/>
    <w:uiPriority w:val="99"/>
    <w:rsid w:val="00D93567"/>
    <w:pPr>
      <w:tabs>
        <w:tab w:val="center" w:pos="4680"/>
        <w:tab w:val="right" w:pos="9360"/>
      </w:tabs>
    </w:pPr>
  </w:style>
  <w:style w:type="character" w:customStyle="1" w:styleId="HeaderChar">
    <w:name w:val="Header Char"/>
    <w:basedOn w:val="DefaultParagraphFont"/>
    <w:link w:val="Header"/>
    <w:uiPriority w:val="99"/>
    <w:locked/>
    <w:rsid w:val="00D93567"/>
    <w:rPr>
      <w:rFonts w:cs="Times New Roman"/>
      <w:sz w:val="26"/>
    </w:rPr>
  </w:style>
  <w:style w:type="character" w:customStyle="1" w:styleId="Heading1Char">
    <w:name w:val="Heading 1 Char"/>
    <w:basedOn w:val="DefaultParagraphFont"/>
    <w:link w:val="Heading1"/>
    <w:rsid w:val="00711276"/>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unhideWhenUsed/>
    <w:rsid w:val="000F5684"/>
    <w:pPr>
      <w:spacing w:after="120"/>
      <w:ind w:left="360"/>
    </w:pPr>
  </w:style>
  <w:style w:type="character" w:customStyle="1" w:styleId="BodyTextIndentChar">
    <w:name w:val="Body Text Indent Char"/>
    <w:basedOn w:val="DefaultParagraphFont"/>
    <w:link w:val="BodyTextIndent"/>
    <w:uiPriority w:val="99"/>
    <w:rsid w:val="000F5684"/>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454B6-778E-4774-B695-55C74EC0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9045</Words>
  <Characters>51560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shoffner</cp:lastModifiedBy>
  <cp:revision>2</cp:revision>
  <cp:lastPrinted>2012-06-05T17:20:00Z</cp:lastPrinted>
  <dcterms:created xsi:type="dcterms:W3CDTF">2012-06-05T17:21:00Z</dcterms:created>
  <dcterms:modified xsi:type="dcterms:W3CDTF">2012-06-05T17:21:00Z</dcterms:modified>
</cp:coreProperties>
</file>