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908E0" w:rsidRDefault="0066241C" w:rsidP="003908E0">
      <w:pPr>
        <w:jc w:val="center"/>
        <w:rPr>
          <w:rFonts w:ascii="Times New Roman" w:hAnsi="Times New Roman" w:cs="Times New Roman"/>
          <w:b/>
        </w:rPr>
      </w:pPr>
      <w:r w:rsidRPr="003908E0">
        <w:rPr>
          <w:rFonts w:ascii="Times New Roman" w:hAnsi="Times New Roman" w:cs="Times New Roman"/>
          <w:b/>
        </w:rPr>
        <w:t>BEFORE THE</w:t>
      </w:r>
    </w:p>
    <w:p w:rsidR="0066241C" w:rsidRPr="003908E0" w:rsidRDefault="0066241C" w:rsidP="003908E0">
      <w:pPr>
        <w:tabs>
          <w:tab w:val="center" w:pos="4680"/>
        </w:tabs>
        <w:suppressAutoHyphens/>
        <w:jc w:val="center"/>
        <w:rPr>
          <w:rFonts w:ascii="Times New Roman" w:hAnsi="Times New Roman" w:cs="Times New Roman"/>
          <w:b/>
          <w:bCs/>
          <w:spacing w:val="-3"/>
        </w:rPr>
      </w:pPr>
      <w:r w:rsidRPr="003908E0">
        <w:rPr>
          <w:rFonts w:ascii="Times New Roman" w:hAnsi="Times New Roman" w:cs="Times New Roman"/>
          <w:b/>
          <w:bCs/>
          <w:spacing w:val="-3"/>
        </w:rPr>
        <w:t>PENNSYLVANIA PUBLIC UTILITY COMMISSION</w:t>
      </w:r>
    </w:p>
    <w:p w:rsidR="0066241C" w:rsidRPr="003908E0" w:rsidRDefault="0066241C" w:rsidP="003908E0">
      <w:pPr>
        <w:tabs>
          <w:tab w:val="left" w:pos="-720"/>
        </w:tabs>
        <w:suppressAutoHyphens/>
        <w:ind w:firstLine="1440"/>
        <w:rPr>
          <w:rFonts w:ascii="Times New Roman" w:hAnsi="Times New Roman" w:cs="Times New Roman"/>
          <w:spacing w:val="-3"/>
        </w:rPr>
      </w:pPr>
    </w:p>
    <w:p w:rsidR="00D641C5" w:rsidRPr="003908E0" w:rsidRDefault="00D641C5" w:rsidP="003908E0">
      <w:pPr>
        <w:tabs>
          <w:tab w:val="left" w:pos="-720"/>
        </w:tabs>
        <w:suppressAutoHyphens/>
        <w:ind w:firstLine="1440"/>
        <w:rPr>
          <w:rFonts w:ascii="Times New Roman" w:hAnsi="Times New Roman" w:cs="Times New Roman"/>
          <w:spacing w:val="-3"/>
        </w:rPr>
      </w:pPr>
    </w:p>
    <w:p w:rsidR="00E4689F" w:rsidRPr="003908E0" w:rsidRDefault="00E4689F" w:rsidP="003908E0">
      <w:pPr>
        <w:rPr>
          <w:rFonts w:ascii="Times New Roman" w:hAnsi="Times New Roman" w:cs="Times New Roman"/>
        </w:rPr>
      </w:pPr>
    </w:p>
    <w:p w:rsidR="00E4689F" w:rsidRPr="003908E0" w:rsidRDefault="002B666B" w:rsidP="003908E0">
      <w:pPr>
        <w:rPr>
          <w:rFonts w:ascii="Times New Roman" w:hAnsi="Times New Roman" w:cs="Times New Roman"/>
          <w:b/>
        </w:rPr>
      </w:pPr>
      <w:r w:rsidRPr="003908E0">
        <w:rPr>
          <w:rFonts w:ascii="Times New Roman" w:hAnsi="Times New Roman" w:cs="Times New Roman"/>
        </w:rPr>
        <w:t>Kathleen Fortin</w:t>
      </w:r>
      <w:r w:rsidR="0059058D" w:rsidRPr="003908E0">
        <w:rPr>
          <w:rFonts w:ascii="Times New Roman" w:hAnsi="Times New Roman" w:cs="Times New Roman"/>
        </w:rPr>
        <w:tab/>
      </w:r>
      <w:r w:rsidR="0059058D" w:rsidRPr="003908E0">
        <w:rPr>
          <w:rFonts w:ascii="Times New Roman" w:hAnsi="Times New Roman" w:cs="Times New Roman"/>
        </w:rPr>
        <w:tab/>
      </w:r>
      <w:r w:rsidR="0059058D" w:rsidRPr="003908E0">
        <w:rPr>
          <w:rFonts w:ascii="Times New Roman" w:hAnsi="Times New Roman" w:cs="Times New Roman"/>
        </w:rPr>
        <w:tab/>
      </w:r>
      <w:r w:rsidR="00B03B4C" w:rsidRPr="003908E0">
        <w:rPr>
          <w:rFonts w:ascii="Times New Roman" w:hAnsi="Times New Roman" w:cs="Times New Roman"/>
        </w:rPr>
        <w:tab/>
      </w:r>
      <w:r w:rsidR="00B03B4C" w:rsidRPr="003908E0">
        <w:rPr>
          <w:rFonts w:ascii="Times New Roman" w:hAnsi="Times New Roman" w:cs="Times New Roman"/>
        </w:rPr>
        <w:tab/>
      </w:r>
      <w:r w:rsidR="00E4689F" w:rsidRPr="003908E0">
        <w:rPr>
          <w:rFonts w:ascii="Times New Roman" w:hAnsi="Times New Roman" w:cs="Times New Roman"/>
        </w:rPr>
        <w:t>:</w:t>
      </w:r>
    </w:p>
    <w:p w:rsidR="00E4689F" w:rsidRPr="003908E0" w:rsidRDefault="00E4689F" w:rsidP="003908E0">
      <w:pPr>
        <w:rPr>
          <w:rFonts w:ascii="Times New Roman" w:hAnsi="Times New Roman" w:cs="Times New Roman"/>
        </w:rPr>
      </w:pP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b/>
        </w:rPr>
        <w:tab/>
      </w:r>
      <w:bookmarkStart w:id="0" w:name="_GoBack"/>
      <w:bookmarkEnd w:id="0"/>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rPr>
        <w:t>:</w:t>
      </w:r>
    </w:p>
    <w:p w:rsidR="00E4689F" w:rsidRPr="003908E0" w:rsidRDefault="00E4689F" w:rsidP="003908E0">
      <w:pPr>
        <w:ind w:firstLine="720"/>
        <w:rPr>
          <w:rFonts w:ascii="Times New Roman" w:hAnsi="Times New Roman" w:cs="Times New Roman"/>
        </w:rPr>
      </w:pPr>
      <w:r w:rsidRPr="003908E0">
        <w:rPr>
          <w:rFonts w:ascii="Times New Roman" w:hAnsi="Times New Roman" w:cs="Times New Roman"/>
        </w:rPr>
        <w:t>v.</w:t>
      </w: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b/>
        </w:rPr>
        <w:tab/>
      </w:r>
      <w:r w:rsidRPr="003908E0">
        <w:rPr>
          <w:rFonts w:ascii="Times New Roman" w:hAnsi="Times New Roman" w:cs="Times New Roman"/>
        </w:rPr>
        <w:t>:</w:t>
      </w:r>
      <w:r w:rsidRPr="003908E0">
        <w:rPr>
          <w:rFonts w:ascii="Times New Roman" w:hAnsi="Times New Roman" w:cs="Times New Roman"/>
          <w:b/>
        </w:rPr>
        <w:tab/>
      </w:r>
      <w:r w:rsidRPr="003908E0">
        <w:rPr>
          <w:rFonts w:ascii="Times New Roman" w:hAnsi="Times New Roman" w:cs="Times New Roman"/>
          <w:b/>
        </w:rPr>
        <w:tab/>
      </w:r>
      <w:r w:rsidR="00EC286B" w:rsidRPr="003908E0">
        <w:rPr>
          <w:rFonts w:ascii="Times New Roman" w:hAnsi="Times New Roman" w:cs="Times New Roman"/>
        </w:rPr>
        <w:t>F</w:t>
      </w:r>
      <w:r w:rsidR="007F7B2A" w:rsidRPr="003908E0">
        <w:rPr>
          <w:rFonts w:ascii="Times New Roman" w:hAnsi="Times New Roman" w:cs="Times New Roman"/>
        </w:rPr>
        <w:t>-20</w:t>
      </w:r>
      <w:r w:rsidR="00535C96" w:rsidRPr="003908E0">
        <w:rPr>
          <w:rFonts w:ascii="Times New Roman" w:hAnsi="Times New Roman" w:cs="Times New Roman"/>
        </w:rPr>
        <w:t>1</w:t>
      </w:r>
      <w:r w:rsidR="002B666B" w:rsidRPr="003908E0">
        <w:rPr>
          <w:rFonts w:ascii="Times New Roman" w:hAnsi="Times New Roman" w:cs="Times New Roman"/>
        </w:rPr>
        <w:t>1</w:t>
      </w:r>
      <w:r w:rsidR="00B03B4C" w:rsidRPr="003908E0">
        <w:rPr>
          <w:rFonts w:ascii="Times New Roman" w:hAnsi="Times New Roman" w:cs="Times New Roman"/>
        </w:rPr>
        <w:t>-</w:t>
      </w:r>
      <w:r w:rsidR="002B666B" w:rsidRPr="003908E0">
        <w:rPr>
          <w:rFonts w:ascii="Times New Roman" w:hAnsi="Times New Roman" w:cs="Times New Roman"/>
        </w:rPr>
        <w:t>2274328</w:t>
      </w:r>
    </w:p>
    <w:p w:rsidR="00E4689F" w:rsidRPr="003908E0" w:rsidRDefault="00E4689F" w:rsidP="003908E0">
      <w:pPr>
        <w:rPr>
          <w:rFonts w:ascii="Times New Roman" w:hAnsi="Times New Roman" w:cs="Times New Roman"/>
        </w:rPr>
      </w:pPr>
      <w:r w:rsidRPr="003908E0">
        <w:rPr>
          <w:rFonts w:ascii="Times New Roman" w:hAnsi="Times New Roman" w:cs="Times New Roman"/>
        </w:rPr>
        <w:tab/>
      </w:r>
      <w:r w:rsidRPr="003908E0">
        <w:rPr>
          <w:rFonts w:ascii="Times New Roman" w:hAnsi="Times New Roman" w:cs="Times New Roman"/>
        </w:rPr>
        <w:tab/>
      </w:r>
      <w:r w:rsidRPr="003908E0">
        <w:rPr>
          <w:rFonts w:ascii="Times New Roman" w:hAnsi="Times New Roman" w:cs="Times New Roman"/>
        </w:rPr>
        <w:tab/>
      </w:r>
      <w:r w:rsidRPr="003908E0">
        <w:rPr>
          <w:rFonts w:ascii="Times New Roman" w:hAnsi="Times New Roman" w:cs="Times New Roman"/>
        </w:rPr>
        <w:tab/>
      </w:r>
      <w:r w:rsidRPr="003908E0">
        <w:rPr>
          <w:rFonts w:ascii="Times New Roman" w:hAnsi="Times New Roman" w:cs="Times New Roman"/>
        </w:rPr>
        <w:tab/>
      </w:r>
      <w:r w:rsidRPr="003908E0">
        <w:rPr>
          <w:rFonts w:ascii="Times New Roman" w:hAnsi="Times New Roman" w:cs="Times New Roman"/>
        </w:rPr>
        <w:tab/>
      </w:r>
      <w:r w:rsidRPr="003908E0">
        <w:rPr>
          <w:rFonts w:ascii="Times New Roman" w:hAnsi="Times New Roman" w:cs="Times New Roman"/>
        </w:rPr>
        <w:tab/>
        <w:t>:</w:t>
      </w:r>
    </w:p>
    <w:p w:rsidR="00422F13" w:rsidRPr="003908E0" w:rsidRDefault="002B666B" w:rsidP="003908E0">
      <w:pPr>
        <w:tabs>
          <w:tab w:val="left" w:pos="-720"/>
          <w:tab w:val="left" w:pos="5040"/>
        </w:tabs>
        <w:suppressAutoHyphens/>
        <w:jc w:val="both"/>
        <w:rPr>
          <w:rFonts w:ascii="Times New Roman" w:hAnsi="Times New Roman" w:cs="Times New Roman"/>
          <w:spacing w:val="-3"/>
        </w:rPr>
      </w:pPr>
      <w:r w:rsidRPr="003908E0">
        <w:rPr>
          <w:rFonts w:ascii="Times New Roman" w:hAnsi="Times New Roman" w:cs="Times New Roman"/>
          <w:spacing w:val="-3"/>
        </w:rPr>
        <w:t>PPL Electric Utilities Corp.</w:t>
      </w:r>
      <w:r w:rsidR="00DF7EE8" w:rsidRPr="003908E0">
        <w:rPr>
          <w:rFonts w:ascii="Times New Roman" w:hAnsi="Times New Roman" w:cs="Times New Roman"/>
          <w:spacing w:val="-3"/>
        </w:rPr>
        <w:tab/>
        <w:t>:</w:t>
      </w:r>
    </w:p>
    <w:p w:rsidR="00422F13" w:rsidRPr="003908E0" w:rsidRDefault="00422F13" w:rsidP="003908E0">
      <w:pPr>
        <w:tabs>
          <w:tab w:val="left" w:pos="-720"/>
          <w:tab w:val="left" w:pos="5040"/>
        </w:tabs>
        <w:suppressAutoHyphens/>
        <w:jc w:val="both"/>
        <w:rPr>
          <w:rFonts w:ascii="Times New Roman" w:hAnsi="Times New Roman" w:cs="Times New Roman"/>
          <w:spacing w:val="-3"/>
        </w:rPr>
      </w:pPr>
    </w:p>
    <w:p w:rsidR="000570B4" w:rsidRPr="003908E0" w:rsidRDefault="000570B4" w:rsidP="003908E0">
      <w:pPr>
        <w:tabs>
          <w:tab w:val="left" w:pos="-720"/>
        </w:tabs>
        <w:suppressAutoHyphens/>
        <w:rPr>
          <w:rFonts w:ascii="Times New Roman" w:hAnsi="Times New Roman" w:cs="Times New Roman"/>
          <w:spacing w:val="-3"/>
        </w:rPr>
      </w:pPr>
    </w:p>
    <w:p w:rsidR="000570B4" w:rsidRPr="003908E0" w:rsidRDefault="000570B4" w:rsidP="003908E0">
      <w:pPr>
        <w:tabs>
          <w:tab w:val="left" w:pos="-720"/>
          <w:tab w:val="left" w:pos="5040"/>
        </w:tabs>
        <w:suppressAutoHyphens/>
        <w:jc w:val="both"/>
        <w:rPr>
          <w:rFonts w:ascii="Times New Roman" w:hAnsi="Times New Roman" w:cs="Times New Roman"/>
          <w:spacing w:val="-3"/>
        </w:rPr>
      </w:pPr>
    </w:p>
    <w:p w:rsidR="000570B4" w:rsidRPr="003908E0" w:rsidRDefault="000570B4" w:rsidP="003908E0">
      <w:pPr>
        <w:tabs>
          <w:tab w:val="center" w:pos="4680"/>
        </w:tabs>
        <w:suppressAutoHyphens/>
        <w:jc w:val="center"/>
        <w:rPr>
          <w:rFonts w:ascii="Times New Roman" w:hAnsi="Times New Roman" w:cs="Times New Roman"/>
          <w:b/>
          <w:bCs/>
          <w:spacing w:val="-3"/>
          <w:u w:val="single"/>
        </w:rPr>
      </w:pPr>
      <w:r w:rsidRPr="003908E0">
        <w:rPr>
          <w:rFonts w:ascii="Times New Roman" w:hAnsi="Times New Roman" w:cs="Times New Roman"/>
          <w:b/>
          <w:bCs/>
          <w:spacing w:val="-3"/>
          <w:u w:val="single"/>
        </w:rPr>
        <w:t>INITIAL DECISION</w:t>
      </w:r>
    </w:p>
    <w:p w:rsidR="000570B4" w:rsidRPr="003908E0" w:rsidRDefault="000570B4" w:rsidP="003908E0">
      <w:pPr>
        <w:tabs>
          <w:tab w:val="center" w:pos="4680"/>
        </w:tabs>
        <w:suppressAutoHyphens/>
        <w:jc w:val="center"/>
        <w:rPr>
          <w:rFonts w:ascii="Times New Roman" w:hAnsi="Times New Roman" w:cs="Times New Roman"/>
          <w:b/>
          <w:bCs/>
          <w:spacing w:val="-3"/>
          <w:u w:val="single"/>
        </w:rPr>
      </w:pPr>
    </w:p>
    <w:p w:rsidR="005F269C" w:rsidRPr="003908E0" w:rsidRDefault="005F269C" w:rsidP="003908E0">
      <w:pPr>
        <w:tabs>
          <w:tab w:val="center" w:pos="4680"/>
        </w:tabs>
        <w:suppressAutoHyphens/>
        <w:jc w:val="center"/>
        <w:rPr>
          <w:rFonts w:ascii="Times New Roman" w:hAnsi="Times New Roman" w:cs="Times New Roman"/>
          <w:b/>
          <w:bCs/>
          <w:spacing w:val="-3"/>
          <w:u w:val="single"/>
        </w:rPr>
      </w:pPr>
    </w:p>
    <w:p w:rsidR="000570B4" w:rsidRPr="003908E0" w:rsidRDefault="000570B4" w:rsidP="003908E0">
      <w:pPr>
        <w:tabs>
          <w:tab w:val="center" w:pos="4680"/>
        </w:tabs>
        <w:suppressAutoHyphens/>
        <w:jc w:val="center"/>
        <w:rPr>
          <w:rFonts w:ascii="Times New Roman" w:hAnsi="Times New Roman" w:cs="Times New Roman"/>
          <w:bCs/>
          <w:spacing w:val="-3"/>
        </w:rPr>
      </w:pPr>
      <w:r w:rsidRPr="003908E0">
        <w:rPr>
          <w:rFonts w:ascii="Times New Roman" w:hAnsi="Times New Roman" w:cs="Times New Roman"/>
          <w:bCs/>
          <w:spacing w:val="-3"/>
        </w:rPr>
        <w:t>Before</w:t>
      </w:r>
    </w:p>
    <w:p w:rsidR="000570B4" w:rsidRPr="003908E0" w:rsidRDefault="000570B4" w:rsidP="003908E0">
      <w:pPr>
        <w:tabs>
          <w:tab w:val="center" w:pos="4680"/>
        </w:tabs>
        <w:suppressAutoHyphens/>
        <w:jc w:val="center"/>
        <w:rPr>
          <w:rFonts w:ascii="Times New Roman" w:hAnsi="Times New Roman" w:cs="Times New Roman"/>
          <w:bCs/>
          <w:spacing w:val="-3"/>
        </w:rPr>
      </w:pPr>
      <w:r w:rsidRPr="003908E0">
        <w:rPr>
          <w:rFonts w:ascii="Times New Roman" w:hAnsi="Times New Roman" w:cs="Times New Roman"/>
          <w:bCs/>
          <w:spacing w:val="-3"/>
        </w:rPr>
        <w:t>Elizabeth H. Barnes</w:t>
      </w:r>
    </w:p>
    <w:p w:rsidR="000570B4" w:rsidRPr="003908E0" w:rsidRDefault="000570B4" w:rsidP="003908E0">
      <w:pPr>
        <w:tabs>
          <w:tab w:val="center" w:pos="4680"/>
        </w:tabs>
        <w:suppressAutoHyphens/>
        <w:jc w:val="center"/>
        <w:rPr>
          <w:rFonts w:ascii="Times New Roman" w:hAnsi="Times New Roman" w:cs="Times New Roman"/>
          <w:bCs/>
          <w:spacing w:val="-3"/>
        </w:rPr>
      </w:pPr>
      <w:r w:rsidRPr="003908E0">
        <w:rPr>
          <w:rFonts w:ascii="Times New Roman" w:hAnsi="Times New Roman" w:cs="Times New Roman"/>
          <w:bCs/>
          <w:spacing w:val="-3"/>
        </w:rPr>
        <w:t>Administrative Law Judge</w:t>
      </w:r>
    </w:p>
    <w:p w:rsidR="000570B4" w:rsidRPr="003908E0" w:rsidRDefault="000570B4" w:rsidP="003908E0">
      <w:pPr>
        <w:tabs>
          <w:tab w:val="center" w:pos="4680"/>
        </w:tabs>
        <w:suppressAutoHyphens/>
        <w:jc w:val="center"/>
        <w:rPr>
          <w:rFonts w:ascii="Times New Roman" w:hAnsi="Times New Roman" w:cs="Times New Roman"/>
          <w:bCs/>
          <w:spacing w:val="-3"/>
        </w:rPr>
      </w:pPr>
    </w:p>
    <w:p w:rsidR="005F269C" w:rsidRPr="003908E0" w:rsidRDefault="005F269C" w:rsidP="003908E0">
      <w:pPr>
        <w:tabs>
          <w:tab w:val="center" w:pos="4680"/>
        </w:tabs>
        <w:suppressAutoHyphens/>
        <w:jc w:val="center"/>
        <w:rPr>
          <w:rFonts w:ascii="Times New Roman" w:hAnsi="Times New Roman" w:cs="Times New Roman"/>
          <w:bCs/>
          <w:spacing w:val="-3"/>
        </w:rPr>
      </w:pPr>
    </w:p>
    <w:p w:rsidR="000570B4" w:rsidRPr="003908E0" w:rsidRDefault="000570B4" w:rsidP="003908E0">
      <w:pPr>
        <w:tabs>
          <w:tab w:val="center" w:pos="4680"/>
        </w:tabs>
        <w:suppressAutoHyphens/>
        <w:jc w:val="center"/>
        <w:rPr>
          <w:rFonts w:ascii="Times New Roman" w:hAnsi="Times New Roman" w:cs="Times New Roman"/>
          <w:bCs/>
          <w:spacing w:val="-3"/>
        </w:rPr>
      </w:pPr>
      <w:r w:rsidRPr="003908E0">
        <w:rPr>
          <w:rFonts w:ascii="Times New Roman" w:hAnsi="Times New Roman" w:cs="Times New Roman"/>
          <w:bCs/>
          <w:spacing w:val="-3"/>
          <w:u w:val="single"/>
        </w:rPr>
        <w:t>HISTORY OF THE PROCEEDING</w:t>
      </w:r>
    </w:p>
    <w:p w:rsidR="000570B4" w:rsidRPr="003908E0" w:rsidRDefault="000570B4" w:rsidP="003908E0">
      <w:pPr>
        <w:tabs>
          <w:tab w:val="center" w:pos="4680"/>
        </w:tabs>
        <w:suppressAutoHyphens/>
        <w:jc w:val="center"/>
        <w:rPr>
          <w:rFonts w:ascii="Times New Roman" w:hAnsi="Times New Roman" w:cs="Times New Roman"/>
          <w:bCs/>
          <w:spacing w:val="-3"/>
        </w:rPr>
      </w:pPr>
    </w:p>
    <w:p w:rsidR="005F269C" w:rsidRPr="003908E0" w:rsidRDefault="005F269C" w:rsidP="003908E0">
      <w:pPr>
        <w:tabs>
          <w:tab w:val="center" w:pos="4680"/>
        </w:tabs>
        <w:suppressAutoHyphens/>
        <w:jc w:val="center"/>
        <w:rPr>
          <w:rFonts w:ascii="Times New Roman" w:hAnsi="Times New Roman" w:cs="Times New Roman"/>
          <w:bCs/>
          <w:spacing w:val="-3"/>
        </w:rPr>
      </w:pPr>
    </w:p>
    <w:p w:rsidR="00840B9C" w:rsidRPr="003908E0" w:rsidRDefault="000D204F" w:rsidP="003908E0">
      <w:pPr>
        <w:pStyle w:val="ParaTab1"/>
        <w:spacing w:line="360" w:lineRule="auto"/>
        <w:ind w:firstLine="0"/>
        <w:rPr>
          <w:rFonts w:ascii="Times New Roman" w:hAnsi="Times New Roman" w:cs="Times New Roman"/>
        </w:rPr>
      </w:pPr>
      <w:r w:rsidRPr="003908E0">
        <w:rPr>
          <w:rFonts w:ascii="Times New Roman" w:hAnsi="Times New Roman" w:cs="Times New Roman"/>
        </w:rPr>
        <w:tab/>
      </w:r>
      <w:r w:rsidR="003908E0" w:rsidRPr="003908E0">
        <w:rPr>
          <w:rFonts w:ascii="Times New Roman" w:hAnsi="Times New Roman" w:cs="Times New Roman"/>
        </w:rPr>
        <w:tab/>
      </w:r>
      <w:r w:rsidR="002B666B" w:rsidRPr="003908E0">
        <w:rPr>
          <w:rFonts w:ascii="Times New Roman" w:hAnsi="Times New Roman" w:cs="Times New Roman"/>
        </w:rPr>
        <w:t>On November 16, 2011, Kathleen Fortin</w:t>
      </w:r>
      <w:r w:rsidR="000C24DA" w:rsidRPr="003908E0">
        <w:rPr>
          <w:rFonts w:ascii="Times New Roman" w:hAnsi="Times New Roman" w:cs="Times New Roman"/>
        </w:rPr>
        <w:t xml:space="preserve"> (Complainant) filed a complaint against </w:t>
      </w:r>
      <w:r w:rsidR="002B666B" w:rsidRPr="003908E0">
        <w:rPr>
          <w:rFonts w:ascii="Times New Roman" w:hAnsi="Times New Roman" w:cs="Times New Roman"/>
        </w:rPr>
        <w:t>PPL Electric Utilities Corp</w:t>
      </w:r>
      <w:r w:rsidR="005F65B5" w:rsidRPr="003908E0">
        <w:rPr>
          <w:rFonts w:ascii="Times New Roman" w:hAnsi="Times New Roman" w:cs="Times New Roman"/>
        </w:rPr>
        <w:t>.</w:t>
      </w:r>
      <w:r w:rsidR="00C14ADD">
        <w:rPr>
          <w:rFonts w:ascii="Times New Roman" w:hAnsi="Times New Roman" w:cs="Times New Roman"/>
        </w:rPr>
        <w:t xml:space="preserve"> (PPL or Respondent).</w:t>
      </w:r>
      <w:r w:rsidR="002B666B" w:rsidRPr="003908E0">
        <w:rPr>
          <w:rStyle w:val="FootnoteReference"/>
          <w:rFonts w:ascii="Times New Roman" w:hAnsi="Times New Roman" w:cs="Times New Roman"/>
        </w:rPr>
        <w:footnoteReference w:id="1"/>
      </w:r>
      <w:r w:rsidR="005F65B5" w:rsidRPr="003908E0">
        <w:rPr>
          <w:rFonts w:ascii="Times New Roman" w:hAnsi="Times New Roman" w:cs="Times New Roman"/>
        </w:rPr>
        <w:t xml:space="preserve">  On </w:t>
      </w:r>
      <w:r w:rsidR="002B666B" w:rsidRPr="003908E0">
        <w:rPr>
          <w:rFonts w:ascii="Times New Roman" w:hAnsi="Times New Roman" w:cs="Times New Roman"/>
        </w:rPr>
        <w:t>November 23, 2011</w:t>
      </w:r>
      <w:r w:rsidR="005F65B5" w:rsidRPr="003908E0">
        <w:rPr>
          <w:rFonts w:ascii="Times New Roman" w:hAnsi="Times New Roman" w:cs="Times New Roman"/>
        </w:rPr>
        <w:t xml:space="preserve"> the complaint was served upon Respondent </w:t>
      </w:r>
      <w:r w:rsidR="004234E4" w:rsidRPr="003908E0">
        <w:rPr>
          <w:rFonts w:ascii="Times New Roman" w:hAnsi="Times New Roman" w:cs="Times New Roman"/>
        </w:rPr>
        <w:t>which</w:t>
      </w:r>
      <w:r w:rsidR="005F65B5" w:rsidRPr="003908E0">
        <w:rPr>
          <w:rFonts w:ascii="Times New Roman" w:hAnsi="Times New Roman" w:cs="Times New Roman"/>
        </w:rPr>
        <w:t xml:space="preserve"> timely filed an Answer on</w:t>
      </w:r>
      <w:r w:rsidR="00EE5088" w:rsidRPr="003908E0">
        <w:rPr>
          <w:rFonts w:ascii="Times New Roman" w:hAnsi="Times New Roman" w:cs="Times New Roman"/>
        </w:rPr>
        <w:t xml:space="preserve"> December 13, 2011</w:t>
      </w:r>
      <w:r w:rsidR="005F65B5" w:rsidRPr="003908E0">
        <w:rPr>
          <w:rFonts w:ascii="Times New Roman" w:hAnsi="Times New Roman" w:cs="Times New Roman"/>
        </w:rPr>
        <w:t xml:space="preserve">.  </w:t>
      </w:r>
    </w:p>
    <w:p w:rsidR="00840B9C" w:rsidRPr="003908E0" w:rsidRDefault="00840B9C" w:rsidP="005F269C">
      <w:pPr>
        <w:pStyle w:val="ParaTab1"/>
        <w:tabs>
          <w:tab w:val="left" w:pos="2070"/>
        </w:tabs>
        <w:spacing w:line="360" w:lineRule="auto"/>
        <w:ind w:firstLine="0"/>
        <w:rPr>
          <w:rFonts w:ascii="Times New Roman" w:hAnsi="Times New Roman" w:cs="Times New Roman"/>
        </w:rPr>
      </w:pPr>
    </w:p>
    <w:p w:rsidR="00EE5088" w:rsidRPr="003908E0" w:rsidRDefault="00840B9C" w:rsidP="003908E0">
      <w:pPr>
        <w:pStyle w:val="ParaTab1"/>
        <w:spacing w:line="360" w:lineRule="auto"/>
        <w:ind w:firstLine="0"/>
        <w:rPr>
          <w:rFonts w:ascii="Times New Roman" w:hAnsi="Times New Roman" w:cs="Times New Roman"/>
        </w:rPr>
      </w:pPr>
      <w:r w:rsidRPr="003908E0">
        <w:rPr>
          <w:rFonts w:ascii="Times New Roman" w:hAnsi="Times New Roman" w:cs="Times New Roman"/>
        </w:rPr>
        <w:tab/>
      </w:r>
      <w:r w:rsidR="003908E0" w:rsidRPr="003908E0">
        <w:rPr>
          <w:rFonts w:ascii="Times New Roman" w:hAnsi="Times New Roman" w:cs="Times New Roman"/>
        </w:rPr>
        <w:tab/>
      </w:r>
      <w:r w:rsidR="008153D0" w:rsidRPr="003908E0">
        <w:rPr>
          <w:rFonts w:ascii="Times New Roman" w:hAnsi="Times New Roman" w:cs="Times New Roman"/>
        </w:rPr>
        <w:t xml:space="preserve">Complainant </w:t>
      </w:r>
      <w:r w:rsidR="00644CED" w:rsidRPr="003908E0">
        <w:rPr>
          <w:rFonts w:ascii="Times New Roman" w:hAnsi="Times New Roman" w:cs="Times New Roman"/>
        </w:rPr>
        <w:t>contends there are incorrect charges on h</w:t>
      </w:r>
      <w:r w:rsidR="00EE5088" w:rsidRPr="003908E0">
        <w:rPr>
          <w:rFonts w:ascii="Times New Roman" w:hAnsi="Times New Roman" w:cs="Times New Roman"/>
        </w:rPr>
        <w:t>er</w:t>
      </w:r>
      <w:r w:rsidR="00644CED" w:rsidRPr="003908E0">
        <w:rPr>
          <w:rFonts w:ascii="Times New Roman" w:hAnsi="Times New Roman" w:cs="Times New Roman"/>
        </w:rPr>
        <w:t xml:space="preserve"> electric bill.  Specifically, </w:t>
      </w:r>
      <w:r w:rsidR="000516BF" w:rsidRPr="003908E0">
        <w:rPr>
          <w:rFonts w:ascii="Times New Roman" w:hAnsi="Times New Roman" w:cs="Times New Roman"/>
        </w:rPr>
        <w:t>Complainant claims PPL over charged her twice from September 2005 through September 2008 and from December 2010 through February 2011</w:t>
      </w:r>
      <w:r w:rsidR="006C18B7">
        <w:rPr>
          <w:rFonts w:ascii="Times New Roman" w:hAnsi="Times New Roman" w:cs="Times New Roman"/>
        </w:rPr>
        <w:t>.  During these two time periods, Complainant claims that</w:t>
      </w:r>
      <w:r w:rsidR="000516BF" w:rsidRPr="003908E0">
        <w:rPr>
          <w:rFonts w:ascii="Times New Roman" w:hAnsi="Times New Roman" w:cs="Times New Roman"/>
        </w:rPr>
        <w:t xml:space="preserve"> she was charged more than $1,700 in non-residential rates.  </w:t>
      </w:r>
      <w:r w:rsidR="00EE5088" w:rsidRPr="003908E0">
        <w:rPr>
          <w:rFonts w:ascii="Times New Roman" w:hAnsi="Times New Roman" w:cs="Times New Roman"/>
        </w:rPr>
        <w:t>She questions how her electric bill went from under $300 to $1,700 for a period of 30 days.  Complainant requests lower payments and reimbursement from PPL for the overcharges.</w:t>
      </w:r>
    </w:p>
    <w:p w:rsidR="00EE5088" w:rsidRPr="003908E0" w:rsidRDefault="00EE5088" w:rsidP="005F269C">
      <w:pPr>
        <w:pStyle w:val="ParaTab1"/>
        <w:tabs>
          <w:tab w:val="left" w:pos="2070"/>
        </w:tabs>
        <w:spacing w:line="360" w:lineRule="auto"/>
        <w:ind w:firstLine="0"/>
        <w:rPr>
          <w:rFonts w:ascii="Times New Roman" w:hAnsi="Times New Roman" w:cs="Times New Roman"/>
        </w:rPr>
      </w:pPr>
    </w:p>
    <w:p w:rsidR="00C02414" w:rsidRPr="003908E0" w:rsidRDefault="00EE5088" w:rsidP="003908E0">
      <w:pPr>
        <w:pStyle w:val="ParaTab1"/>
        <w:spacing w:line="360" w:lineRule="auto"/>
        <w:ind w:firstLine="0"/>
        <w:rPr>
          <w:rFonts w:ascii="Times New Roman" w:hAnsi="Times New Roman" w:cs="Times New Roman"/>
        </w:rPr>
      </w:pPr>
      <w:r w:rsidRPr="003908E0">
        <w:rPr>
          <w:rFonts w:ascii="Times New Roman" w:hAnsi="Times New Roman" w:cs="Times New Roman"/>
        </w:rPr>
        <w:tab/>
      </w:r>
      <w:r w:rsidR="003908E0" w:rsidRPr="003908E0">
        <w:rPr>
          <w:rFonts w:ascii="Times New Roman" w:hAnsi="Times New Roman" w:cs="Times New Roman"/>
        </w:rPr>
        <w:tab/>
      </w:r>
      <w:r w:rsidRPr="003908E0">
        <w:rPr>
          <w:rFonts w:ascii="Times New Roman" w:hAnsi="Times New Roman" w:cs="Times New Roman"/>
        </w:rPr>
        <w:t xml:space="preserve">PPL denies there are any incorrect charges currently on Complainant’s bill.  PPL admits that Complainant was billed on a GID-non-residential rate from September 2, 2005 through September 2008.  However, when this error was discovered, PPL rebilled Complainant </w:t>
      </w:r>
      <w:r w:rsidRPr="003908E0">
        <w:rPr>
          <w:rFonts w:ascii="Times New Roman" w:hAnsi="Times New Roman" w:cs="Times New Roman"/>
        </w:rPr>
        <w:lastRenderedPageBreak/>
        <w:t xml:space="preserve">on an RSO rate and credited her account in the amount of $1,043.52.  This credit was placed towards a past due balance of $351.33 and </w:t>
      </w:r>
      <w:r w:rsidR="00C02414" w:rsidRPr="003908E0">
        <w:rPr>
          <w:rFonts w:ascii="Times New Roman" w:hAnsi="Times New Roman" w:cs="Times New Roman"/>
        </w:rPr>
        <w:t xml:space="preserve">instead of giving the customer a reimbursement check, </w:t>
      </w:r>
      <w:r w:rsidRPr="003908E0">
        <w:rPr>
          <w:rFonts w:ascii="Times New Roman" w:hAnsi="Times New Roman" w:cs="Times New Roman"/>
        </w:rPr>
        <w:t>the remaining credit was applied to the customer’s budget billing balance</w:t>
      </w:r>
      <w:r w:rsidR="006C18B7">
        <w:rPr>
          <w:rFonts w:ascii="Times New Roman" w:hAnsi="Times New Roman" w:cs="Times New Roman"/>
        </w:rPr>
        <w:t>,</w:t>
      </w:r>
      <w:r w:rsidRPr="003908E0">
        <w:rPr>
          <w:rFonts w:ascii="Times New Roman" w:hAnsi="Times New Roman" w:cs="Times New Roman"/>
        </w:rPr>
        <w:t xml:space="preserve"> giving her a budget credit of $649.88.</w:t>
      </w:r>
      <w:r w:rsidR="00C02414" w:rsidRPr="003908E0">
        <w:rPr>
          <w:rFonts w:ascii="Times New Roman" w:hAnsi="Times New Roman" w:cs="Times New Roman"/>
        </w:rPr>
        <w:t xml:space="preserve">  Due to the credit, the customer</w:t>
      </w:r>
      <w:r w:rsidR="00EC0EE9" w:rsidRPr="003908E0">
        <w:rPr>
          <w:rFonts w:ascii="Times New Roman" w:hAnsi="Times New Roman" w:cs="Times New Roman"/>
        </w:rPr>
        <w:t>’s</w:t>
      </w:r>
      <w:r w:rsidR="00C02414" w:rsidRPr="003908E0">
        <w:rPr>
          <w:rFonts w:ascii="Times New Roman" w:hAnsi="Times New Roman" w:cs="Times New Roman"/>
        </w:rPr>
        <w:t xml:space="preserve"> budget amount was changed from $305 to $150.  On September 18, 2009, Complainant contacted PPL to discuss how her credit was applied and was concerned her budget bill amount could increase in the future.  On September 30, 2008, PPL removed Complainant from budget billing on her request.  After the budget credit was applied to her then balance of $147.74, the customer was refunded $475.25.  PPL denies Complainant’s current bills are inaccurate. </w:t>
      </w:r>
    </w:p>
    <w:p w:rsidR="00C02414" w:rsidRPr="003908E0" w:rsidRDefault="00C02414" w:rsidP="005F269C">
      <w:pPr>
        <w:pStyle w:val="ParaTab1"/>
        <w:tabs>
          <w:tab w:val="left" w:pos="2070"/>
        </w:tabs>
        <w:spacing w:line="360" w:lineRule="auto"/>
        <w:ind w:firstLine="0"/>
        <w:rPr>
          <w:rFonts w:ascii="Times New Roman" w:hAnsi="Times New Roman" w:cs="Times New Roman"/>
        </w:rPr>
      </w:pPr>
    </w:p>
    <w:p w:rsidR="000570B4" w:rsidRPr="003908E0" w:rsidRDefault="003908E0" w:rsidP="003908E0">
      <w:pPr>
        <w:pStyle w:val="ParaTab1"/>
        <w:spacing w:line="360" w:lineRule="auto"/>
        <w:ind w:firstLine="0"/>
        <w:rPr>
          <w:rFonts w:ascii="Times New Roman" w:hAnsi="Times New Roman" w:cs="Times New Roman"/>
        </w:rPr>
      </w:pPr>
      <w:r w:rsidRPr="003908E0">
        <w:rPr>
          <w:rFonts w:ascii="Times New Roman" w:hAnsi="Times New Roman" w:cs="Times New Roman"/>
        </w:rPr>
        <w:tab/>
      </w:r>
      <w:r w:rsidR="00C02414" w:rsidRPr="003908E0">
        <w:rPr>
          <w:rFonts w:ascii="Times New Roman" w:hAnsi="Times New Roman" w:cs="Times New Roman"/>
        </w:rPr>
        <w:tab/>
      </w:r>
      <w:r w:rsidR="004712BD" w:rsidRPr="003908E0">
        <w:rPr>
          <w:rFonts w:ascii="Times New Roman" w:hAnsi="Times New Roman" w:cs="Times New Roman"/>
        </w:rPr>
        <w:t>A h</w:t>
      </w:r>
      <w:r w:rsidR="008153D0" w:rsidRPr="003908E0">
        <w:rPr>
          <w:rFonts w:ascii="Times New Roman" w:hAnsi="Times New Roman" w:cs="Times New Roman"/>
        </w:rPr>
        <w:t>earing w</w:t>
      </w:r>
      <w:r w:rsidR="004712BD" w:rsidRPr="003908E0">
        <w:rPr>
          <w:rFonts w:ascii="Times New Roman" w:hAnsi="Times New Roman" w:cs="Times New Roman"/>
        </w:rPr>
        <w:t>as</w:t>
      </w:r>
      <w:r w:rsidR="008153D0" w:rsidRPr="003908E0">
        <w:rPr>
          <w:rFonts w:ascii="Times New Roman" w:hAnsi="Times New Roman" w:cs="Times New Roman"/>
        </w:rPr>
        <w:t xml:space="preserve"> held on March 1</w:t>
      </w:r>
      <w:r w:rsidR="004712BD" w:rsidRPr="003908E0">
        <w:rPr>
          <w:rFonts w:ascii="Times New Roman" w:hAnsi="Times New Roman" w:cs="Times New Roman"/>
        </w:rPr>
        <w:t>9</w:t>
      </w:r>
      <w:r w:rsidR="008153D0" w:rsidRPr="003908E0">
        <w:rPr>
          <w:rFonts w:ascii="Times New Roman" w:hAnsi="Times New Roman" w:cs="Times New Roman"/>
        </w:rPr>
        <w:t>, 201</w:t>
      </w:r>
      <w:r w:rsidR="004712BD" w:rsidRPr="003908E0">
        <w:rPr>
          <w:rFonts w:ascii="Times New Roman" w:hAnsi="Times New Roman" w:cs="Times New Roman"/>
        </w:rPr>
        <w:t>2</w:t>
      </w:r>
      <w:r w:rsidR="008153D0" w:rsidRPr="003908E0">
        <w:rPr>
          <w:rFonts w:ascii="Times New Roman" w:hAnsi="Times New Roman" w:cs="Times New Roman"/>
        </w:rPr>
        <w:t>.</w:t>
      </w:r>
      <w:r w:rsidR="004712BD" w:rsidRPr="003908E0">
        <w:rPr>
          <w:rFonts w:ascii="Times New Roman" w:hAnsi="Times New Roman" w:cs="Times New Roman"/>
        </w:rPr>
        <w:t xml:space="preserve">  Complainant testified on her own behalf and presented one exhibit.  Marybeth Kashuba and Bill Stoffregen testified for PPL.  PPL presented six exhibits that were admitted into the record.  The record closed on March 19, 2012.</w:t>
      </w:r>
      <w:r w:rsidR="008153D0" w:rsidRPr="003908E0">
        <w:rPr>
          <w:rFonts w:ascii="Times New Roman" w:hAnsi="Times New Roman" w:cs="Times New Roman"/>
        </w:rPr>
        <w:t xml:space="preserve">  This matter is ripe for a decision.</w:t>
      </w:r>
      <w:r w:rsidR="005F65B5" w:rsidRPr="003908E0">
        <w:rPr>
          <w:rFonts w:ascii="Times New Roman" w:hAnsi="Times New Roman" w:cs="Times New Roman"/>
        </w:rPr>
        <w:t xml:space="preserve"> </w:t>
      </w:r>
    </w:p>
    <w:p w:rsidR="000570B4" w:rsidRPr="003908E0" w:rsidRDefault="000570B4"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0"/>
        </w:tabs>
        <w:spacing w:line="360" w:lineRule="auto"/>
        <w:ind w:firstLine="0"/>
        <w:jc w:val="center"/>
        <w:rPr>
          <w:rFonts w:ascii="Times New Roman" w:hAnsi="Times New Roman" w:cs="Times New Roman"/>
        </w:rPr>
      </w:pPr>
      <w:r w:rsidRPr="003908E0">
        <w:rPr>
          <w:rFonts w:ascii="Times New Roman" w:hAnsi="Times New Roman" w:cs="Times New Roman"/>
          <w:u w:val="single"/>
        </w:rPr>
        <w:t>FINDINGS OF FACT</w:t>
      </w:r>
    </w:p>
    <w:p w:rsidR="000570B4" w:rsidRPr="003908E0" w:rsidRDefault="000570B4" w:rsidP="005F269C">
      <w:pPr>
        <w:pStyle w:val="ParaTab1"/>
        <w:tabs>
          <w:tab w:val="left" w:pos="2070"/>
        </w:tabs>
        <w:spacing w:line="360" w:lineRule="auto"/>
        <w:jc w:val="center"/>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w:t>
      </w:r>
      <w:r w:rsidRPr="003908E0">
        <w:rPr>
          <w:rFonts w:ascii="Times New Roman" w:hAnsi="Times New Roman" w:cs="Times New Roman"/>
        </w:rPr>
        <w:tab/>
      </w:r>
      <w:r w:rsidR="00840B9C" w:rsidRPr="003908E0">
        <w:rPr>
          <w:rFonts w:ascii="Times New Roman" w:hAnsi="Times New Roman" w:cs="Times New Roman"/>
        </w:rPr>
        <w:t xml:space="preserve">Complainant is </w:t>
      </w:r>
      <w:r w:rsidR="004712BD" w:rsidRPr="003908E0">
        <w:rPr>
          <w:rFonts w:ascii="Times New Roman" w:hAnsi="Times New Roman" w:cs="Times New Roman"/>
        </w:rPr>
        <w:t>Kathleen Fortin</w:t>
      </w:r>
      <w:r w:rsidR="00840B9C" w:rsidRPr="003908E0">
        <w:rPr>
          <w:rFonts w:ascii="Times New Roman" w:hAnsi="Times New Roman" w:cs="Times New Roman"/>
        </w:rPr>
        <w:t xml:space="preserve">, who resides </w:t>
      </w:r>
      <w:r w:rsidR="004712BD" w:rsidRPr="003908E0">
        <w:rPr>
          <w:rFonts w:ascii="Times New Roman" w:hAnsi="Times New Roman" w:cs="Times New Roman"/>
        </w:rPr>
        <w:t xml:space="preserve">with three adult relatives (2 sons and a grandson) at 114 Water Street, New Philadelphia, PA 17959 </w:t>
      </w:r>
      <w:r w:rsidR="00250B05" w:rsidRPr="003908E0">
        <w:rPr>
          <w:rFonts w:ascii="Times New Roman" w:hAnsi="Times New Roman" w:cs="Times New Roman"/>
        </w:rPr>
        <w:t>(service residence)</w:t>
      </w:r>
      <w:r w:rsidR="00840B9C" w:rsidRPr="003908E0">
        <w:rPr>
          <w:rFonts w:ascii="Times New Roman" w:hAnsi="Times New Roman" w:cs="Times New Roman"/>
        </w:rPr>
        <w:t>.</w:t>
      </w:r>
      <w:r w:rsidR="00D26FC9" w:rsidRPr="003908E0">
        <w:rPr>
          <w:rFonts w:ascii="Times New Roman" w:hAnsi="Times New Roman" w:cs="Times New Roman"/>
        </w:rPr>
        <w:t xml:space="preserve">  N.T.</w:t>
      </w:r>
      <w:r w:rsidR="003908E0" w:rsidRPr="003908E0">
        <w:rPr>
          <w:rFonts w:ascii="Times New Roman" w:hAnsi="Times New Roman" w:cs="Times New Roman"/>
        </w:rPr>
        <w:t> </w:t>
      </w:r>
      <w:r w:rsidR="004712BD" w:rsidRPr="003908E0">
        <w:rPr>
          <w:rFonts w:ascii="Times New Roman" w:hAnsi="Times New Roman" w:cs="Times New Roman"/>
        </w:rPr>
        <w:t>6-15</w:t>
      </w:r>
      <w:r w:rsidR="00D26FC9" w:rsidRPr="003908E0">
        <w:rPr>
          <w:rFonts w:ascii="Times New Roman" w:hAnsi="Times New Roman" w:cs="Times New Roman"/>
        </w:rPr>
        <w:t>.</w:t>
      </w:r>
      <w:r w:rsidR="00840B9C" w:rsidRPr="003908E0">
        <w:rPr>
          <w:rFonts w:ascii="Times New Roman" w:hAnsi="Times New Roman" w:cs="Times New Roman"/>
        </w:rPr>
        <w:t xml:space="preserve"> </w:t>
      </w:r>
    </w:p>
    <w:p w:rsidR="008D64C9" w:rsidRPr="003908E0" w:rsidRDefault="008D64C9" w:rsidP="005F269C">
      <w:pPr>
        <w:pStyle w:val="ParaTab1"/>
        <w:tabs>
          <w:tab w:val="left" w:pos="2070"/>
        </w:tabs>
        <w:spacing w:line="360" w:lineRule="auto"/>
        <w:rPr>
          <w:rFonts w:ascii="Times New Roman" w:hAnsi="Times New Roman" w:cs="Times New Roman"/>
        </w:rPr>
      </w:pPr>
    </w:p>
    <w:p w:rsidR="00620323" w:rsidRPr="003908E0" w:rsidRDefault="008D64C9"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2.</w:t>
      </w:r>
      <w:r w:rsidRPr="003908E0">
        <w:rPr>
          <w:rFonts w:ascii="Times New Roman" w:hAnsi="Times New Roman" w:cs="Times New Roman"/>
        </w:rPr>
        <w:tab/>
      </w:r>
      <w:r w:rsidR="00EC0EE9" w:rsidRPr="003908E0">
        <w:rPr>
          <w:rFonts w:ascii="Times New Roman" w:hAnsi="Times New Roman" w:cs="Times New Roman"/>
        </w:rPr>
        <w:t>Complainant began receiving service from PPL in September, 1995 and her bill seemed quite high.  N.T. 6.</w:t>
      </w:r>
    </w:p>
    <w:p w:rsidR="00EC0EE9" w:rsidRPr="003908E0" w:rsidRDefault="00EC0EE9" w:rsidP="00EC0EE9">
      <w:pPr>
        <w:pStyle w:val="ParaTab1"/>
        <w:tabs>
          <w:tab w:val="left" w:pos="2070"/>
        </w:tabs>
        <w:spacing w:line="360" w:lineRule="auto"/>
        <w:rPr>
          <w:rFonts w:ascii="Times New Roman" w:hAnsi="Times New Roman" w:cs="Times New Roman"/>
        </w:rPr>
      </w:pPr>
    </w:p>
    <w:p w:rsidR="00EC0EE9" w:rsidRPr="003908E0" w:rsidRDefault="00EC0EE9"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3.</w:t>
      </w:r>
      <w:r w:rsidRPr="003908E0">
        <w:rPr>
          <w:rFonts w:ascii="Times New Roman" w:hAnsi="Times New Roman" w:cs="Times New Roman"/>
        </w:rPr>
        <w:tab/>
        <w:t>Complainant called and complained to PPL about high bills approximately 100 times over the period of two years.  N.T. 7.</w:t>
      </w:r>
    </w:p>
    <w:p w:rsidR="00EC0EE9" w:rsidRPr="003908E0" w:rsidRDefault="00EC0EE9" w:rsidP="00EC0EE9">
      <w:pPr>
        <w:pStyle w:val="ParaTab1"/>
        <w:tabs>
          <w:tab w:val="left" w:pos="2070"/>
        </w:tabs>
        <w:spacing w:line="360" w:lineRule="auto"/>
        <w:rPr>
          <w:rFonts w:ascii="Times New Roman" w:hAnsi="Times New Roman" w:cs="Times New Roman"/>
        </w:rPr>
      </w:pPr>
    </w:p>
    <w:p w:rsidR="00EC0EE9" w:rsidRPr="003908E0" w:rsidRDefault="00EC0EE9"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4.</w:t>
      </w:r>
      <w:r w:rsidRPr="003908E0">
        <w:rPr>
          <w:rFonts w:ascii="Times New Roman" w:hAnsi="Times New Roman" w:cs="Times New Roman"/>
        </w:rPr>
        <w:tab/>
        <w:t>In 2008, a PPL representative walked through Complainant’s residence and remarked that PPL had been charging her commercial medi</w:t>
      </w:r>
      <w:r w:rsidR="006C18B7">
        <w:rPr>
          <w:rFonts w:ascii="Times New Roman" w:hAnsi="Times New Roman" w:cs="Times New Roman"/>
        </w:rPr>
        <w:t>c</w:t>
      </w:r>
      <w:r w:rsidRPr="003908E0">
        <w:rPr>
          <w:rFonts w:ascii="Times New Roman" w:hAnsi="Times New Roman" w:cs="Times New Roman"/>
        </w:rPr>
        <w:t>al rates because the service address had been an eye doctor’s office.  He stated he hoped she would receive some money back.  N.T.</w:t>
      </w:r>
      <w:r w:rsidR="003908E0" w:rsidRPr="003908E0">
        <w:rPr>
          <w:rFonts w:ascii="Times New Roman" w:hAnsi="Times New Roman" w:cs="Times New Roman"/>
        </w:rPr>
        <w:t> </w:t>
      </w:r>
      <w:r w:rsidRPr="003908E0">
        <w:rPr>
          <w:rFonts w:ascii="Times New Roman" w:hAnsi="Times New Roman" w:cs="Times New Roman"/>
        </w:rPr>
        <w:t>7.</w:t>
      </w:r>
    </w:p>
    <w:p w:rsidR="00A665BB" w:rsidRPr="003908E0" w:rsidRDefault="00EC0EE9"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5.</w:t>
      </w:r>
      <w:r w:rsidRPr="003908E0">
        <w:rPr>
          <w:rFonts w:ascii="Times New Roman" w:hAnsi="Times New Roman" w:cs="Times New Roman"/>
        </w:rPr>
        <w:tab/>
        <w:t xml:space="preserve">PPL sent Complainant a letter </w:t>
      </w:r>
      <w:r w:rsidR="00A665BB" w:rsidRPr="003908E0">
        <w:rPr>
          <w:rFonts w:ascii="Times New Roman" w:hAnsi="Times New Roman" w:cs="Times New Roman"/>
        </w:rPr>
        <w:t>o</w:t>
      </w:r>
      <w:r w:rsidRPr="003908E0">
        <w:rPr>
          <w:rFonts w:ascii="Times New Roman" w:hAnsi="Times New Roman" w:cs="Times New Roman"/>
        </w:rPr>
        <w:t>n</w:t>
      </w:r>
      <w:r w:rsidR="00A665BB" w:rsidRPr="003908E0">
        <w:rPr>
          <w:rFonts w:ascii="Times New Roman" w:hAnsi="Times New Roman" w:cs="Times New Roman"/>
        </w:rPr>
        <w:t xml:space="preserve"> September 16,</w:t>
      </w:r>
      <w:r w:rsidRPr="003908E0">
        <w:rPr>
          <w:rFonts w:ascii="Times New Roman" w:hAnsi="Times New Roman" w:cs="Times New Roman"/>
        </w:rPr>
        <w:t xml:space="preserve"> 2008 apologizing that </w:t>
      </w:r>
      <w:r w:rsidR="006C18B7">
        <w:rPr>
          <w:rFonts w:ascii="Times New Roman" w:hAnsi="Times New Roman" w:cs="Times New Roman"/>
        </w:rPr>
        <w:t>it</w:t>
      </w:r>
      <w:r w:rsidRPr="003908E0">
        <w:rPr>
          <w:rFonts w:ascii="Times New Roman" w:hAnsi="Times New Roman" w:cs="Times New Roman"/>
        </w:rPr>
        <w:t xml:space="preserve"> had been charging her the wrong rate.  </w:t>
      </w:r>
      <w:r w:rsidR="00A665BB" w:rsidRPr="003908E0">
        <w:rPr>
          <w:rFonts w:ascii="Times New Roman" w:hAnsi="Times New Roman" w:cs="Times New Roman"/>
        </w:rPr>
        <w:t>PPL credited Complainant’s account $1,043.52.  N.T. 7-8.  Complainant’s Exhibit 1.</w:t>
      </w:r>
    </w:p>
    <w:p w:rsidR="00A665BB" w:rsidRPr="003908E0" w:rsidRDefault="00A665BB" w:rsidP="00EC0EE9">
      <w:pPr>
        <w:pStyle w:val="ParaTab1"/>
        <w:tabs>
          <w:tab w:val="left" w:pos="2070"/>
        </w:tabs>
        <w:spacing w:line="360" w:lineRule="auto"/>
        <w:rPr>
          <w:rFonts w:ascii="Times New Roman" w:hAnsi="Times New Roman" w:cs="Times New Roman"/>
        </w:rPr>
      </w:pPr>
    </w:p>
    <w:p w:rsidR="00A665BB" w:rsidRPr="003908E0" w:rsidRDefault="00A665BB"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6.</w:t>
      </w:r>
      <w:r w:rsidRPr="003908E0">
        <w:rPr>
          <w:rFonts w:ascii="Times New Roman" w:hAnsi="Times New Roman" w:cs="Times New Roman"/>
        </w:rPr>
        <w:tab/>
        <w:t>Complainant told PPL in September, 2008 that she wanted to be taken off of budget billing because she could use the credit money.  N.T. 8.</w:t>
      </w:r>
    </w:p>
    <w:p w:rsidR="00A665BB" w:rsidRPr="003908E0" w:rsidRDefault="00A665BB" w:rsidP="00EC0EE9">
      <w:pPr>
        <w:pStyle w:val="ParaTab1"/>
        <w:tabs>
          <w:tab w:val="left" w:pos="2070"/>
        </w:tabs>
        <w:spacing w:line="360" w:lineRule="auto"/>
        <w:rPr>
          <w:rFonts w:ascii="Times New Roman" w:hAnsi="Times New Roman" w:cs="Times New Roman"/>
        </w:rPr>
      </w:pPr>
    </w:p>
    <w:p w:rsidR="00A665BB" w:rsidRPr="003908E0" w:rsidRDefault="008774B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7.</w:t>
      </w:r>
      <w:r w:rsidRPr="003908E0">
        <w:rPr>
          <w:rFonts w:ascii="Times New Roman" w:hAnsi="Times New Roman" w:cs="Times New Roman"/>
        </w:rPr>
        <w:tab/>
        <w:t xml:space="preserve">Complainant claims that in September, 2008, she </w:t>
      </w:r>
      <w:r w:rsidR="00AC12F1" w:rsidRPr="003908E0">
        <w:rPr>
          <w:rFonts w:ascii="Times New Roman" w:hAnsi="Times New Roman" w:cs="Times New Roman"/>
        </w:rPr>
        <w:t>over</w:t>
      </w:r>
      <w:r w:rsidR="00AC12F1">
        <w:rPr>
          <w:rFonts w:ascii="Times New Roman" w:hAnsi="Times New Roman" w:cs="Times New Roman"/>
        </w:rPr>
        <w:t>-</w:t>
      </w:r>
      <w:r w:rsidR="00AC12F1" w:rsidRPr="003908E0">
        <w:rPr>
          <w:rFonts w:ascii="Times New Roman" w:hAnsi="Times New Roman" w:cs="Times New Roman"/>
        </w:rPr>
        <w:t>drafted</w:t>
      </w:r>
      <w:r w:rsidRPr="003908E0">
        <w:rPr>
          <w:rFonts w:ascii="Times New Roman" w:hAnsi="Times New Roman" w:cs="Times New Roman"/>
        </w:rPr>
        <w:t xml:space="preserve"> from her checking account and incurred an overdraft fee of $35 because </w:t>
      </w:r>
      <w:r w:rsidR="0093256F" w:rsidRPr="003908E0">
        <w:rPr>
          <w:rFonts w:ascii="Times New Roman" w:hAnsi="Times New Roman" w:cs="Times New Roman"/>
        </w:rPr>
        <w:t>she did an electronic payment to PPL</w:t>
      </w:r>
      <w:r w:rsidR="00E3529B" w:rsidRPr="003908E0">
        <w:rPr>
          <w:rFonts w:ascii="Times New Roman" w:hAnsi="Times New Roman" w:cs="Times New Roman"/>
        </w:rPr>
        <w:t xml:space="preserve"> and </w:t>
      </w:r>
      <w:r w:rsidRPr="003908E0">
        <w:rPr>
          <w:rFonts w:ascii="Times New Roman" w:hAnsi="Times New Roman" w:cs="Times New Roman"/>
        </w:rPr>
        <w:t>PPL automatically withdrew an electronic payment from Complainant’s personal checking account in the amount of</w:t>
      </w:r>
      <w:r w:rsidR="00E3529B" w:rsidRPr="003908E0">
        <w:rPr>
          <w:rFonts w:ascii="Times New Roman" w:hAnsi="Times New Roman" w:cs="Times New Roman"/>
        </w:rPr>
        <w:t xml:space="preserve"> approximately</w:t>
      </w:r>
      <w:r w:rsidRPr="003908E0">
        <w:rPr>
          <w:rFonts w:ascii="Times New Roman" w:hAnsi="Times New Roman" w:cs="Times New Roman"/>
        </w:rPr>
        <w:t xml:space="preserve"> $37</w:t>
      </w:r>
      <w:r w:rsidR="00E3529B" w:rsidRPr="003908E0">
        <w:rPr>
          <w:rFonts w:ascii="Times New Roman" w:hAnsi="Times New Roman" w:cs="Times New Roman"/>
        </w:rPr>
        <w:t>8</w:t>
      </w:r>
      <w:r w:rsidRPr="003908E0">
        <w:rPr>
          <w:rFonts w:ascii="Times New Roman" w:hAnsi="Times New Roman" w:cs="Times New Roman"/>
        </w:rPr>
        <w:t xml:space="preserve"> when Complainant had also paid that amount by personal check.  N.T. 9-10</w:t>
      </w:r>
      <w:r w:rsidR="00E3529B" w:rsidRPr="003908E0">
        <w:rPr>
          <w:rFonts w:ascii="Times New Roman" w:hAnsi="Times New Roman" w:cs="Times New Roman"/>
        </w:rPr>
        <w:t>, 19-20</w:t>
      </w:r>
      <w:r w:rsidRPr="003908E0">
        <w:rPr>
          <w:rFonts w:ascii="Times New Roman" w:hAnsi="Times New Roman" w:cs="Times New Roman"/>
        </w:rPr>
        <w:t>.</w:t>
      </w:r>
    </w:p>
    <w:p w:rsidR="008774B0" w:rsidRPr="003908E0" w:rsidRDefault="008774B0" w:rsidP="00EC0EE9">
      <w:pPr>
        <w:pStyle w:val="ParaTab1"/>
        <w:tabs>
          <w:tab w:val="left" w:pos="2070"/>
        </w:tabs>
        <w:spacing w:line="360" w:lineRule="auto"/>
        <w:rPr>
          <w:rFonts w:ascii="Times New Roman" w:hAnsi="Times New Roman" w:cs="Times New Roman"/>
        </w:rPr>
      </w:pPr>
    </w:p>
    <w:p w:rsidR="008774B0" w:rsidRPr="003908E0" w:rsidRDefault="008774B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8.</w:t>
      </w:r>
      <w:r w:rsidRPr="003908E0">
        <w:rPr>
          <w:rFonts w:ascii="Times New Roman" w:hAnsi="Times New Roman" w:cs="Times New Roman"/>
        </w:rPr>
        <w:tab/>
        <w:t>Complainant seeks a Commission ordered payment arrangement less than the budget billing amount of $404 per month.   N.T. 11.</w:t>
      </w:r>
    </w:p>
    <w:p w:rsidR="008774B0" w:rsidRPr="003908E0" w:rsidRDefault="008774B0" w:rsidP="00EC0EE9">
      <w:pPr>
        <w:pStyle w:val="ParaTab1"/>
        <w:tabs>
          <w:tab w:val="left" w:pos="2070"/>
        </w:tabs>
        <w:spacing w:line="360" w:lineRule="auto"/>
        <w:rPr>
          <w:rFonts w:ascii="Times New Roman" w:hAnsi="Times New Roman" w:cs="Times New Roman"/>
        </w:rPr>
      </w:pPr>
    </w:p>
    <w:p w:rsidR="008774B0" w:rsidRPr="003908E0" w:rsidRDefault="008774B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9.</w:t>
      </w:r>
      <w:r w:rsidRPr="003908E0">
        <w:rPr>
          <w:rFonts w:ascii="Times New Roman" w:hAnsi="Times New Roman" w:cs="Times New Roman"/>
        </w:rPr>
        <w:tab/>
        <w:t>Complainant is unemployed and disabled.  She receives a widow pension in the gross amount of $978 per month.  N.T. 12</w:t>
      </w:r>
      <w:r w:rsidR="00E3529B" w:rsidRPr="003908E0">
        <w:rPr>
          <w:rFonts w:ascii="Times New Roman" w:hAnsi="Times New Roman" w:cs="Times New Roman"/>
        </w:rPr>
        <w:t>, 20</w:t>
      </w:r>
      <w:r w:rsidRPr="003908E0">
        <w:rPr>
          <w:rFonts w:ascii="Times New Roman" w:hAnsi="Times New Roman" w:cs="Times New Roman"/>
        </w:rPr>
        <w:t>.</w:t>
      </w:r>
    </w:p>
    <w:p w:rsidR="008774B0" w:rsidRPr="003908E0" w:rsidRDefault="008774B0" w:rsidP="00EC0EE9">
      <w:pPr>
        <w:pStyle w:val="ParaTab1"/>
        <w:tabs>
          <w:tab w:val="left" w:pos="2070"/>
        </w:tabs>
        <w:spacing w:line="360" w:lineRule="auto"/>
        <w:rPr>
          <w:rFonts w:ascii="Times New Roman" w:hAnsi="Times New Roman" w:cs="Times New Roman"/>
        </w:rPr>
      </w:pPr>
    </w:p>
    <w:p w:rsidR="008774B0" w:rsidRPr="003908E0" w:rsidRDefault="008774B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10.</w:t>
      </w:r>
      <w:r w:rsidRPr="003908E0">
        <w:rPr>
          <w:rFonts w:ascii="Times New Roman" w:hAnsi="Times New Roman" w:cs="Times New Roman"/>
        </w:rPr>
        <w:tab/>
        <w:t xml:space="preserve">Complainant’s youngest son resides with Complainant, is 44 years old, and receives $160 per month from the State for medical assistance.  </w:t>
      </w:r>
      <w:r w:rsidR="0093256F" w:rsidRPr="003908E0">
        <w:rPr>
          <w:rFonts w:ascii="Times New Roman" w:hAnsi="Times New Roman" w:cs="Times New Roman"/>
        </w:rPr>
        <w:t xml:space="preserve">Complainant’s son suffers from some health issues including lung, intestinal, and liver problems.  He uses a breathing machine while he sleeps.  </w:t>
      </w:r>
      <w:r w:rsidRPr="003908E0">
        <w:rPr>
          <w:rFonts w:ascii="Times New Roman" w:hAnsi="Times New Roman" w:cs="Times New Roman"/>
        </w:rPr>
        <w:t>N.T. 13.</w:t>
      </w:r>
    </w:p>
    <w:p w:rsidR="008774B0" w:rsidRPr="003908E0" w:rsidRDefault="008774B0" w:rsidP="00EC0EE9">
      <w:pPr>
        <w:pStyle w:val="ParaTab1"/>
        <w:tabs>
          <w:tab w:val="left" w:pos="2070"/>
        </w:tabs>
        <w:spacing w:line="360" w:lineRule="auto"/>
        <w:rPr>
          <w:rFonts w:ascii="Times New Roman" w:hAnsi="Times New Roman" w:cs="Times New Roman"/>
        </w:rPr>
      </w:pPr>
    </w:p>
    <w:p w:rsidR="008774B0" w:rsidRPr="003908E0" w:rsidRDefault="008774B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11.</w:t>
      </w:r>
      <w:r w:rsidRPr="003908E0">
        <w:rPr>
          <w:rFonts w:ascii="Times New Roman" w:hAnsi="Times New Roman" w:cs="Times New Roman"/>
        </w:rPr>
        <w:tab/>
        <w:t xml:space="preserve">Complainant’s older son is 50 years old, resides with Complainant and earns </w:t>
      </w:r>
      <w:r w:rsidR="0093256F" w:rsidRPr="003908E0">
        <w:rPr>
          <w:rFonts w:ascii="Times New Roman" w:hAnsi="Times New Roman" w:cs="Times New Roman"/>
        </w:rPr>
        <w:t>$1,472 per month in gross income.  N.T. 14.  This son also suffers from some medical issues and requires the use of a breathing machine at nighttime.  N.T. 14.</w:t>
      </w:r>
    </w:p>
    <w:p w:rsidR="00EC0EE9" w:rsidRPr="003908E0" w:rsidRDefault="00EC0EE9" w:rsidP="00EC0EE9">
      <w:pPr>
        <w:pStyle w:val="ParaTab1"/>
        <w:tabs>
          <w:tab w:val="left" w:pos="2070"/>
        </w:tabs>
        <w:spacing w:line="360" w:lineRule="auto"/>
        <w:rPr>
          <w:rFonts w:ascii="Times New Roman" w:hAnsi="Times New Roman" w:cs="Times New Roman"/>
        </w:rPr>
      </w:pPr>
    </w:p>
    <w:p w:rsidR="0093256F" w:rsidRPr="003908E0" w:rsidRDefault="0093256F"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12.</w:t>
      </w:r>
      <w:r w:rsidRPr="003908E0">
        <w:rPr>
          <w:rFonts w:ascii="Times New Roman" w:hAnsi="Times New Roman" w:cs="Times New Roman"/>
        </w:rPr>
        <w:tab/>
        <w:t>Complainant’s 22 year old grandson lives at the service residence, and works part time earning approximately $1,000 per month.  N.T. 15</w:t>
      </w:r>
      <w:r w:rsidR="00E3529B" w:rsidRPr="003908E0">
        <w:rPr>
          <w:rFonts w:ascii="Times New Roman" w:hAnsi="Times New Roman" w:cs="Times New Roman"/>
        </w:rPr>
        <w:t>, 21</w:t>
      </w:r>
      <w:r w:rsidRPr="003908E0">
        <w:rPr>
          <w:rFonts w:ascii="Times New Roman" w:hAnsi="Times New Roman" w:cs="Times New Roman"/>
        </w:rPr>
        <w:t xml:space="preserve">. </w:t>
      </w:r>
    </w:p>
    <w:p w:rsidR="0093256F" w:rsidRPr="003908E0" w:rsidRDefault="0093256F" w:rsidP="00EC0EE9">
      <w:pPr>
        <w:pStyle w:val="ParaTab1"/>
        <w:tabs>
          <w:tab w:val="left" w:pos="2070"/>
        </w:tabs>
        <w:spacing w:line="360" w:lineRule="auto"/>
        <w:rPr>
          <w:rFonts w:ascii="Times New Roman" w:hAnsi="Times New Roman" w:cs="Times New Roman"/>
        </w:rPr>
      </w:pPr>
    </w:p>
    <w:p w:rsidR="0093256F" w:rsidRPr="003908E0" w:rsidRDefault="0093256F"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13.</w:t>
      </w:r>
      <w:r w:rsidRPr="003908E0">
        <w:rPr>
          <w:rFonts w:ascii="Times New Roman" w:hAnsi="Times New Roman" w:cs="Times New Roman"/>
        </w:rPr>
        <w:tab/>
        <w:t xml:space="preserve"> A medical certification was filed in June, 2011.  N.T. 15-16.</w:t>
      </w:r>
    </w:p>
    <w:p w:rsidR="003872E9" w:rsidRPr="003908E0" w:rsidRDefault="003872E9" w:rsidP="00EC0EE9">
      <w:pPr>
        <w:pStyle w:val="ParaTab1"/>
        <w:tabs>
          <w:tab w:val="left" w:pos="2070"/>
        </w:tabs>
        <w:spacing w:line="360" w:lineRule="auto"/>
        <w:rPr>
          <w:rFonts w:ascii="Times New Roman" w:hAnsi="Times New Roman" w:cs="Times New Roman"/>
        </w:rPr>
      </w:pPr>
    </w:p>
    <w:p w:rsidR="0093256F" w:rsidRPr="003908E0" w:rsidRDefault="0093256F"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14.</w:t>
      </w:r>
      <w:r w:rsidRPr="003908E0">
        <w:rPr>
          <w:rFonts w:ascii="Times New Roman" w:hAnsi="Times New Roman" w:cs="Times New Roman"/>
        </w:rPr>
        <w:tab/>
        <w:t>Complainant claims that although she has electric heat, she does not use it.  N.T. 16-17.  She claims her youngest son found an electric heating unit under a cabinet in the cellar and shut it off several years ago.  N.T. 17.</w:t>
      </w:r>
    </w:p>
    <w:p w:rsidR="0093256F" w:rsidRPr="003908E0" w:rsidRDefault="0093256F" w:rsidP="00EC0EE9">
      <w:pPr>
        <w:pStyle w:val="ParaTab1"/>
        <w:tabs>
          <w:tab w:val="left" w:pos="2070"/>
        </w:tabs>
        <w:spacing w:line="360" w:lineRule="auto"/>
        <w:rPr>
          <w:rFonts w:ascii="Times New Roman" w:hAnsi="Times New Roman" w:cs="Times New Roman"/>
        </w:rPr>
      </w:pPr>
    </w:p>
    <w:p w:rsidR="0093256F" w:rsidRPr="003908E0" w:rsidRDefault="0093256F"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15.</w:t>
      </w:r>
      <w:r w:rsidRPr="003908E0">
        <w:rPr>
          <w:rFonts w:ascii="Times New Roman" w:hAnsi="Times New Roman" w:cs="Times New Roman"/>
        </w:rPr>
        <w:tab/>
        <w:t>Complainant claims PPL conducted an investigation into her high bill claim but she disputes that her bills are high because of electric heat, as she claims she turned off electric heat and does not use it other than for her electric hot water heater.  N.T. 18.</w:t>
      </w:r>
    </w:p>
    <w:p w:rsidR="0093256F" w:rsidRPr="003908E0" w:rsidRDefault="0093256F" w:rsidP="00EC0EE9">
      <w:pPr>
        <w:pStyle w:val="ParaTab1"/>
        <w:tabs>
          <w:tab w:val="left" w:pos="2070"/>
        </w:tabs>
        <w:spacing w:line="360" w:lineRule="auto"/>
        <w:rPr>
          <w:rFonts w:ascii="Times New Roman" w:hAnsi="Times New Roman" w:cs="Times New Roman"/>
        </w:rPr>
      </w:pPr>
    </w:p>
    <w:p w:rsidR="00E3529B" w:rsidRPr="003908E0" w:rsidRDefault="00E3529B"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16.</w:t>
      </w:r>
      <w:r w:rsidRPr="003908E0">
        <w:rPr>
          <w:rFonts w:ascii="Times New Roman" w:hAnsi="Times New Roman" w:cs="Times New Roman"/>
        </w:rPr>
        <w:tab/>
      </w:r>
      <w:r w:rsidR="00EC5A2D" w:rsidRPr="003908E0">
        <w:rPr>
          <w:rFonts w:ascii="Times New Roman" w:hAnsi="Times New Roman" w:cs="Times New Roman"/>
        </w:rPr>
        <w:t>On September 11, 2008, PPL’s representative verified that the service address does not qualify for a non-residential rate.  Accordingly, PPL issued the letter dated September 16, 2008 to Complainant explaining that a credit adjustment of $1,043.52 would be applied to her account.  Part of the credit adjustment was used to pay off her previous account balance of $351.33.  The leftover credit was applied to her budget balance so her budget amount could be reduced to $150.  The letter explained that if Complainant preferred to have the credit adjustment amount refunded, her budget amount monthly would be approximately $265.  Respondent’s Exhibit 5</w:t>
      </w:r>
      <w:r w:rsidR="00117AD5" w:rsidRPr="003908E0">
        <w:rPr>
          <w:rFonts w:ascii="Times New Roman" w:hAnsi="Times New Roman" w:cs="Times New Roman"/>
        </w:rPr>
        <w:t>; N.T. 25-30</w:t>
      </w:r>
      <w:r w:rsidR="00EC5A2D" w:rsidRPr="003908E0">
        <w:rPr>
          <w:rFonts w:ascii="Times New Roman" w:hAnsi="Times New Roman" w:cs="Times New Roman"/>
        </w:rPr>
        <w:t>.</w:t>
      </w:r>
    </w:p>
    <w:p w:rsidR="00117AD5" w:rsidRPr="003908E0" w:rsidRDefault="00117AD5" w:rsidP="00EC0EE9">
      <w:pPr>
        <w:pStyle w:val="ParaTab1"/>
        <w:tabs>
          <w:tab w:val="left" w:pos="2070"/>
        </w:tabs>
        <w:spacing w:line="360" w:lineRule="auto"/>
        <w:rPr>
          <w:rFonts w:ascii="Times New Roman" w:hAnsi="Times New Roman" w:cs="Times New Roman"/>
        </w:rPr>
      </w:pPr>
    </w:p>
    <w:p w:rsidR="00117AD5" w:rsidRPr="003908E0" w:rsidRDefault="00117AD5"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17.</w:t>
      </w:r>
      <w:r w:rsidRPr="003908E0">
        <w:rPr>
          <w:rFonts w:ascii="Times New Roman" w:hAnsi="Times New Roman" w:cs="Times New Roman"/>
        </w:rPr>
        <w:tab/>
        <w:t>On September 30, 2008, Complainant contacted PPL and requested removal from the budget so her credit would be refunded to her.  N.T. 31.</w:t>
      </w:r>
    </w:p>
    <w:p w:rsidR="00117AD5" w:rsidRPr="003908E0" w:rsidRDefault="00117AD5" w:rsidP="00EC0EE9">
      <w:pPr>
        <w:pStyle w:val="ParaTab1"/>
        <w:tabs>
          <w:tab w:val="left" w:pos="2070"/>
        </w:tabs>
        <w:spacing w:line="360" w:lineRule="auto"/>
        <w:rPr>
          <w:rFonts w:ascii="Times New Roman" w:hAnsi="Times New Roman" w:cs="Times New Roman"/>
        </w:rPr>
      </w:pPr>
    </w:p>
    <w:p w:rsidR="00117AD5" w:rsidRPr="003908E0" w:rsidRDefault="00117AD5"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18.</w:t>
      </w:r>
      <w:r w:rsidRPr="003908E0">
        <w:rPr>
          <w:rFonts w:ascii="Times New Roman" w:hAnsi="Times New Roman" w:cs="Times New Roman"/>
        </w:rPr>
        <w:tab/>
        <w:t xml:space="preserve">PPL took $221.89 from the $694.88 credit and applied it to an outstanding bill of $221.89 first before issuing a refund check to Complainant in the amount of $475.25 on or about September 30, 2008.  </w:t>
      </w:r>
      <w:r w:rsidR="00851C26" w:rsidRPr="003908E0">
        <w:rPr>
          <w:rFonts w:ascii="Times New Roman" w:hAnsi="Times New Roman" w:cs="Times New Roman"/>
        </w:rPr>
        <w:t>Respondent’s Exhibit 1; N.T. 31</w:t>
      </w:r>
      <w:r w:rsidRPr="003908E0">
        <w:rPr>
          <w:rFonts w:ascii="Times New Roman" w:hAnsi="Times New Roman" w:cs="Times New Roman"/>
        </w:rPr>
        <w:t>.</w:t>
      </w:r>
    </w:p>
    <w:p w:rsidR="00117AD5" w:rsidRPr="003908E0" w:rsidRDefault="00117AD5" w:rsidP="00EC0EE9">
      <w:pPr>
        <w:pStyle w:val="ParaTab1"/>
        <w:tabs>
          <w:tab w:val="left" w:pos="2070"/>
        </w:tabs>
        <w:spacing w:line="360" w:lineRule="auto"/>
        <w:rPr>
          <w:rFonts w:ascii="Times New Roman" w:hAnsi="Times New Roman" w:cs="Times New Roman"/>
        </w:rPr>
      </w:pPr>
    </w:p>
    <w:p w:rsidR="00117AD5" w:rsidRPr="003908E0" w:rsidRDefault="00117AD5"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19.</w:t>
      </w:r>
      <w:r w:rsidRPr="003908E0">
        <w:rPr>
          <w:rFonts w:ascii="Times New Roman" w:hAnsi="Times New Roman" w:cs="Times New Roman"/>
        </w:rPr>
        <w:tab/>
      </w:r>
      <w:r w:rsidR="00F47CC0" w:rsidRPr="003908E0">
        <w:rPr>
          <w:rFonts w:ascii="Times New Roman" w:hAnsi="Times New Roman" w:cs="Times New Roman"/>
        </w:rPr>
        <w:t>Bill Stoffregen, a customer contact representative with PPL, testified</w:t>
      </w:r>
      <w:r w:rsidR="009B5C63" w:rsidRPr="003908E0">
        <w:rPr>
          <w:rFonts w:ascii="Times New Roman" w:hAnsi="Times New Roman" w:cs="Times New Roman"/>
        </w:rPr>
        <w:t xml:space="preserve"> that</w:t>
      </w:r>
      <w:r w:rsidR="00F47CC0" w:rsidRPr="003908E0">
        <w:rPr>
          <w:rFonts w:ascii="Times New Roman" w:hAnsi="Times New Roman" w:cs="Times New Roman"/>
        </w:rPr>
        <w:t xml:space="preserve">  he performed a high bill investigation regarding Complainant’s claim on February 7, 2011.  N.T.</w:t>
      </w:r>
      <w:r w:rsidR="003908E0" w:rsidRPr="003908E0">
        <w:rPr>
          <w:rFonts w:ascii="Times New Roman" w:hAnsi="Times New Roman" w:cs="Times New Roman"/>
        </w:rPr>
        <w:t> </w:t>
      </w:r>
      <w:r w:rsidR="00F47CC0" w:rsidRPr="003908E0">
        <w:rPr>
          <w:rFonts w:ascii="Times New Roman" w:hAnsi="Times New Roman" w:cs="Times New Roman"/>
        </w:rPr>
        <w:t>38.</w:t>
      </w:r>
    </w:p>
    <w:p w:rsidR="00F47CC0" w:rsidRPr="003908E0" w:rsidRDefault="00F47CC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20.</w:t>
      </w:r>
      <w:r w:rsidRPr="003908E0">
        <w:rPr>
          <w:rFonts w:ascii="Times New Roman" w:hAnsi="Times New Roman" w:cs="Times New Roman"/>
        </w:rPr>
        <w:tab/>
        <w:t>Before Mr. Stoffregen arrived on February 7, 2011, he spoke with Complainant on January 31, 2011, and asked her to turn off everything electric in the house including the refrigerator, appliances, lights, etc.  N.T. 39.</w:t>
      </w:r>
    </w:p>
    <w:p w:rsidR="009B5C63" w:rsidRPr="003908E0" w:rsidRDefault="009B5C63" w:rsidP="00EC0EE9">
      <w:pPr>
        <w:pStyle w:val="ParaTab1"/>
        <w:tabs>
          <w:tab w:val="left" w:pos="2070"/>
        </w:tabs>
        <w:spacing w:line="360" w:lineRule="auto"/>
        <w:rPr>
          <w:rFonts w:ascii="Times New Roman" w:hAnsi="Times New Roman" w:cs="Times New Roman"/>
        </w:rPr>
      </w:pPr>
    </w:p>
    <w:p w:rsidR="00F47CC0" w:rsidRPr="003908E0" w:rsidRDefault="00F47CC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21.</w:t>
      </w:r>
      <w:r w:rsidRPr="003908E0">
        <w:rPr>
          <w:rFonts w:ascii="Times New Roman" w:hAnsi="Times New Roman" w:cs="Times New Roman"/>
        </w:rPr>
        <w:tab/>
        <w:t xml:space="preserve">Mr. Stoffregen’s report is fairly accurate in that he did not know about </w:t>
      </w:r>
      <w:r w:rsidR="009B5C63" w:rsidRPr="003908E0">
        <w:rPr>
          <w:rFonts w:ascii="Times New Roman" w:hAnsi="Times New Roman" w:cs="Times New Roman"/>
        </w:rPr>
        <w:t xml:space="preserve">or account for </w:t>
      </w:r>
      <w:r w:rsidRPr="003908E0">
        <w:rPr>
          <w:rFonts w:ascii="Times New Roman" w:hAnsi="Times New Roman" w:cs="Times New Roman"/>
        </w:rPr>
        <w:t>medical machinery in the house, and now knows there was an oxygen concentrator in the house.  N.T. 39.</w:t>
      </w:r>
    </w:p>
    <w:p w:rsidR="00F47CC0" w:rsidRPr="003908E0" w:rsidRDefault="00F47CC0" w:rsidP="00EC0EE9">
      <w:pPr>
        <w:pStyle w:val="ParaTab1"/>
        <w:tabs>
          <w:tab w:val="left" w:pos="2070"/>
        </w:tabs>
        <w:spacing w:line="360" w:lineRule="auto"/>
        <w:rPr>
          <w:rFonts w:ascii="Times New Roman" w:hAnsi="Times New Roman" w:cs="Times New Roman"/>
        </w:rPr>
      </w:pPr>
    </w:p>
    <w:p w:rsidR="00F47CC0" w:rsidRPr="003908E0" w:rsidRDefault="00F47CC0"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22.</w:t>
      </w:r>
      <w:r w:rsidRPr="003908E0">
        <w:rPr>
          <w:rFonts w:ascii="Times New Roman" w:hAnsi="Times New Roman" w:cs="Times New Roman"/>
        </w:rPr>
        <w:tab/>
        <w:t>Mr. Stoffregen estimated the domestic use of electricity in the house was about 93 kilowatt hours per day without any heat or air conditioning or fans on.   He estimated with furnaces on in the house usage would rise to 188 kilowatt hours per day depending on how much the two furnaces were run.  N.T. 39-40.</w:t>
      </w:r>
    </w:p>
    <w:p w:rsidR="00D9364A" w:rsidRPr="003908E0" w:rsidRDefault="00D9364A" w:rsidP="00EC0EE9">
      <w:pPr>
        <w:pStyle w:val="ParaTab1"/>
        <w:tabs>
          <w:tab w:val="left" w:pos="2070"/>
        </w:tabs>
        <w:spacing w:line="360" w:lineRule="auto"/>
        <w:rPr>
          <w:rFonts w:ascii="Times New Roman" w:hAnsi="Times New Roman" w:cs="Times New Roman"/>
        </w:rPr>
      </w:pPr>
    </w:p>
    <w:p w:rsidR="00EC5A2D" w:rsidRPr="003908E0" w:rsidRDefault="00D9364A" w:rsidP="00EC0EE9">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23.</w:t>
      </w:r>
      <w:r w:rsidRPr="003908E0">
        <w:rPr>
          <w:rFonts w:ascii="Times New Roman" w:hAnsi="Times New Roman" w:cs="Times New Roman"/>
        </w:rPr>
        <w:tab/>
        <w:t>Complainant’s meter was tested on March 16, 2012, and it tested at 99.9 percent average accuracy.  N.T. 42.</w:t>
      </w:r>
    </w:p>
    <w:p w:rsidR="0093256F" w:rsidRPr="003908E0" w:rsidRDefault="0093256F" w:rsidP="00EC0EE9">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2070"/>
        </w:tabs>
        <w:spacing w:line="360" w:lineRule="auto"/>
        <w:ind w:firstLine="0"/>
        <w:jc w:val="center"/>
        <w:rPr>
          <w:rFonts w:ascii="Times New Roman" w:hAnsi="Times New Roman" w:cs="Times New Roman"/>
        </w:rPr>
      </w:pPr>
      <w:r w:rsidRPr="003908E0">
        <w:rPr>
          <w:rFonts w:ascii="Times New Roman" w:hAnsi="Times New Roman" w:cs="Times New Roman"/>
          <w:u w:val="single"/>
        </w:rPr>
        <w:t>DISCUSSION</w:t>
      </w:r>
    </w:p>
    <w:p w:rsidR="000570B4" w:rsidRPr="003908E0" w:rsidRDefault="000570B4" w:rsidP="005F269C">
      <w:pPr>
        <w:pStyle w:val="ParaTab1"/>
        <w:tabs>
          <w:tab w:val="left" w:pos="2070"/>
        </w:tabs>
        <w:spacing w:line="360" w:lineRule="auto"/>
        <w:jc w:val="center"/>
        <w:rPr>
          <w:rFonts w:ascii="Times New Roman" w:hAnsi="Times New Roman" w:cs="Times New Roman"/>
        </w:rPr>
      </w:pPr>
    </w:p>
    <w:p w:rsidR="000570B4" w:rsidRPr="003908E0" w:rsidRDefault="000570B4" w:rsidP="003908E0">
      <w:pPr>
        <w:pStyle w:val="ParaTab1"/>
        <w:spacing w:line="360" w:lineRule="auto"/>
        <w:rPr>
          <w:rFonts w:ascii="Times New Roman" w:hAnsi="Times New Roman" w:cs="Times New Roman"/>
        </w:rPr>
      </w:pPr>
      <w:r w:rsidRPr="003908E0">
        <w:rPr>
          <w:rFonts w:ascii="Times New Roman" w:hAnsi="Times New Roman" w:cs="Times New Roman"/>
        </w:rPr>
        <w:t xml:space="preserve">As the proponent of a rule or order, Complainant has the burden of proof in this matter pursuant to 66 Pa. C.S.A. § 332(a).  To establish a sufficient case and satisfy the burden of proof, Complainant must show that the respondent public utility is responsible or accountable for the problem described in the Complaint.  </w:t>
      </w:r>
      <w:r w:rsidRPr="003908E0">
        <w:rPr>
          <w:rFonts w:ascii="Times New Roman" w:hAnsi="Times New Roman" w:cs="Times New Roman"/>
          <w:i/>
        </w:rPr>
        <w:t xml:space="preserve">Patterson v. Bell Telephone Company of Pennsylvania, </w:t>
      </w:r>
      <w:r w:rsidRPr="003908E0">
        <w:rPr>
          <w:rFonts w:ascii="Times New Roman" w:hAnsi="Times New Roman" w:cs="Times New Roman"/>
        </w:rPr>
        <w:t>72 Pa. PUC 196 (1990</w:t>
      </w:r>
      <w:r w:rsidR="0041082D" w:rsidRPr="003908E0">
        <w:rPr>
          <w:rFonts w:ascii="Times New Roman" w:hAnsi="Times New Roman" w:cs="Times New Roman"/>
        </w:rPr>
        <w:t>).</w:t>
      </w:r>
    </w:p>
    <w:p w:rsidR="000570B4" w:rsidRPr="003908E0" w:rsidRDefault="000570B4" w:rsidP="005F269C">
      <w:pPr>
        <w:spacing w:line="360" w:lineRule="auto"/>
        <w:rPr>
          <w:rFonts w:ascii="Times New Roman" w:hAnsi="Times New Roman" w:cs="Times New Roman"/>
        </w:rPr>
      </w:pPr>
    </w:p>
    <w:p w:rsidR="000570B4" w:rsidRPr="003908E0" w:rsidRDefault="00C6518C" w:rsidP="005F269C">
      <w:pPr>
        <w:spacing w:line="360" w:lineRule="auto"/>
        <w:rPr>
          <w:rFonts w:ascii="Times New Roman" w:hAnsi="Times New Roman" w:cs="Times New Roman"/>
          <w:spacing w:val="-3"/>
        </w:rPr>
      </w:pPr>
      <w:r w:rsidRPr="003908E0">
        <w:rPr>
          <w:rFonts w:ascii="Times New Roman" w:hAnsi="Times New Roman" w:cs="Times New Roman"/>
        </w:rPr>
        <w:tab/>
      </w:r>
      <w:r w:rsidR="005F269C" w:rsidRPr="003908E0">
        <w:rPr>
          <w:rFonts w:ascii="Times New Roman" w:hAnsi="Times New Roman" w:cs="Times New Roman"/>
        </w:rPr>
        <w:tab/>
      </w:r>
      <w:r w:rsidR="000570B4" w:rsidRPr="003908E0">
        <w:rPr>
          <w:rFonts w:ascii="Times New Roman" w:hAnsi="Times New Roman" w:cs="Times New Roman"/>
        </w:rPr>
        <w:t>The C</w:t>
      </w:r>
      <w:r w:rsidR="000570B4" w:rsidRPr="003908E0">
        <w:rPr>
          <w:rFonts w:ascii="Times New Roman" w:hAnsi="Times New Roman" w:cs="Times New Roman"/>
          <w:spacing w:val="-3"/>
        </w:rPr>
        <w:t xml:space="preserve">omplainant carries the burden of showing that the named utility is responsible or accountable for the problem described in the Complaint in order to prevail.  </w:t>
      </w:r>
      <w:r w:rsidR="000570B4" w:rsidRPr="003908E0">
        <w:rPr>
          <w:rFonts w:ascii="Times New Roman" w:hAnsi="Times New Roman" w:cs="Times New Roman"/>
          <w:i/>
          <w:spacing w:val="-3"/>
        </w:rPr>
        <w:t>Patterson v. Bell Telephone Company of Pennsylvania</w:t>
      </w:r>
      <w:r w:rsidR="000570B4" w:rsidRPr="003908E0">
        <w:rPr>
          <w:rFonts w:ascii="Times New Roman" w:hAnsi="Times New Roman" w:cs="Times New Roman"/>
          <w:spacing w:val="-3"/>
        </w:rPr>
        <w:t>, 72 Pa. PUC 196 (1990);</w:t>
      </w:r>
      <w:r w:rsidR="005D2A98" w:rsidRPr="003908E0">
        <w:rPr>
          <w:rFonts w:ascii="Times New Roman" w:hAnsi="Times New Roman" w:cs="Times New Roman"/>
          <w:i/>
          <w:spacing w:val="-3"/>
        </w:rPr>
        <w:t xml:space="preserve"> Feinstein v. Philadelphia Suburban Water Company</w:t>
      </w:r>
      <w:r w:rsidR="005D2A98" w:rsidRPr="003908E0">
        <w:rPr>
          <w:rFonts w:ascii="Times New Roman" w:hAnsi="Times New Roman" w:cs="Times New Roman"/>
          <w:spacing w:val="-3"/>
        </w:rPr>
        <w:t>, 50 Pa. PUC 300 (1976).</w:t>
      </w:r>
      <w:r w:rsidR="000570B4" w:rsidRPr="003908E0">
        <w:rPr>
          <w:rFonts w:ascii="Times New Roman" w:hAnsi="Times New Roman" w:cs="Times New Roman"/>
          <w:spacing w:val="-3"/>
        </w:rPr>
        <w:t xml:space="preserve">  This must be shown by a preponderance of the evidence.  </w:t>
      </w:r>
      <w:r w:rsidR="00A05D66" w:rsidRPr="003908E0">
        <w:rPr>
          <w:rFonts w:ascii="Times New Roman" w:hAnsi="Times New Roman" w:cs="Times New Roman"/>
          <w:i/>
          <w:spacing w:val="-3"/>
        </w:rPr>
        <w:t>Samuel J. Lansberry, Inc. v. PA Public Utility Comm’n</w:t>
      </w:r>
      <w:r w:rsidR="00A05D66" w:rsidRPr="003908E0">
        <w:rPr>
          <w:rFonts w:ascii="Times New Roman" w:hAnsi="Times New Roman" w:cs="Times New Roman"/>
          <w:spacing w:val="-3"/>
        </w:rPr>
        <w:t xml:space="preserve">, 578 A.2d 600 (1990), </w:t>
      </w:r>
      <w:r w:rsidR="00A05D66" w:rsidRPr="003908E0">
        <w:rPr>
          <w:rFonts w:ascii="Times New Roman" w:hAnsi="Times New Roman" w:cs="Times New Roman"/>
          <w:i/>
          <w:spacing w:val="-3"/>
        </w:rPr>
        <w:t>alloc. den.</w:t>
      </w:r>
      <w:r w:rsidR="00A05D66" w:rsidRPr="003908E0">
        <w:rPr>
          <w:rFonts w:ascii="Times New Roman" w:hAnsi="Times New Roman" w:cs="Times New Roman"/>
          <w:spacing w:val="-3"/>
        </w:rPr>
        <w:t xml:space="preserve">, 602 A.2d 863 (1992).  </w:t>
      </w:r>
      <w:r w:rsidR="000570B4" w:rsidRPr="003908E0">
        <w:rPr>
          <w:rFonts w:ascii="Times New Roman" w:hAnsi="Times New Roman" w:cs="Times New Roman"/>
          <w:spacing w:val="-3"/>
        </w:rPr>
        <w:t xml:space="preserve">That is, by presenting evidence more convincing, by even the smallest amount, than that presented by the other party.  </w:t>
      </w:r>
      <w:r w:rsidR="00FF682E" w:rsidRPr="003908E0">
        <w:rPr>
          <w:rFonts w:ascii="Times New Roman" w:hAnsi="Times New Roman" w:cs="Times New Roman"/>
          <w:i/>
          <w:spacing w:val="-3"/>
        </w:rPr>
        <w:t>Se-Ling Hosiery v. Marg</w:t>
      </w:r>
      <w:r w:rsidR="000570B4" w:rsidRPr="003908E0">
        <w:rPr>
          <w:rFonts w:ascii="Times New Roman" w:hAnsi="Times New Roman" w:cs="Times New Roman"/>
          <w:i/>
          <w:spacing w:val="-3"/>
        </w:rPr>
        <w:t>ulies</w:t>
      </w:r>
      <w:r w:rsidR="000570B4" w:rsidRPr="003908E0">
        <w:rPr>
          <w:rFonts w:ascii="Times New Roman" w:hAnsi="Times New Roman" w:cs="Times New Roman"/>
          <w:spacing w:val="-3"/>
        </w:rPr>
        <w:t xml:space="preserve">, 70 A.2d 854 (1950).  </w:t>
      </w:r>
    </w:p>
    <w:p w:rsidR="000570B4" w:rsidRPr="003908E0" w:rsidRDefault="000570B4" w:rsidP="005F269C">
      <w:pPr>
        <w:spacing w:line="360" w:lineRule="auto"/>
        <w:ind w:firstLine="1440"/>
        <w:rPr>
          <w:rFonts w:ascii="Times New Roman" w:hAnsi="Times New Roman" w:cs="Times New Roman"/>
          <w:spacing w:val="-3"/>
        </w:rPr>
      </w:pPr>
    </w:p>
    <w:p w:rsidR="000570B4" w:rsidRPr="003908E0" w:rsidRDefault="000570B4" w:rsidP="005F269C">
      <w:pPr>
        <w:spacing w:line="360" w:lineRule="auto"/>
        <w:ind w:firstLine="1440"/>
        <w:rPr>
          <w:rFonts w:ascii="Times New Roman" w:hAnsi="Times New Roman" w:cs="Times New Roman"/>
          <w:spacing w:val="-3"/>
        </w:rPr>
      </w:pPr>
      <w:r w:rsidRPr="003908E0">
        <w:rPr>
          <w:rFonts w:ascii="Times New Roman" w:hAnsi="Times New Roman" w:cs="Times New Roman"/>
          <w:spacing w:val="-3"/>
        </w:rPr>
        <w:t xml:space="preserve">Additionally, any finding of fact necessary to support the Commission’s adjudication must be based upon substantial evidence.  </w:t>
      </w:r>
      <w:r w:rsidRPr="003908E0">
        <w:rPr>
          <w:rFonts w:ascii="Times New Roman" w:hAnsi="Times New Roman" w:cs="Times New Roman"/>
          <w:i/>
          <w:spacing w:val="-3"/>
        </w:rPr>
        <w:t>Mill v. Comm’w., PA Public Utility Comm’n</w:t>
      </w:r>
      <w:r w:rsidRPr="003908E0">
        <w:rPr>
          <w:rFonts w:ascii="Times New Roman" w:hAnsi="Times New Roman" w:cs="Times New Roman"/>
          <w:spacing w:val="-3"/>
        </w:rPr>
        <w:t xml:space="preserve">, 447 A.2d 1100 (1982); </w:t>
      </w:r>
      <w:r w:rsidRPr="003908E0">
        <w:rPr>
          <w:rFonts w:ascii="Times New Roman" w:hAnsi="Times New Roman" w:cs="Times New Roman"/>
          <w:i/>
          <w:spacing w:val="-3"/>
        </w:rPr>
        <w:t>Edan Transportation Corp. v. PA Public Utility Comm’n,</w:t>
      </w:r>
      <w:r w:rsidRPr="003908E0">
        <w:rPr>
          <w:rFonts w:ascii="Times New Roman" w:hAnsi="Times New Roman" w:cs="Times New Roman"/>
          <w:spacing w:val="-3"/>
        </w:rPr>
        <w:t xml:space="preserve"> 623 A.2d 6 (1993), 2 Pa.C.S. §704.  More is required than a mere trace of evidence or a suspicion of the existence of a fact sought to be established.  </w:t>
      </w:r>
      <w:r w:rsidRPr="003908E0">
        <w:rPr>
          <w:rFonts w:ascii="Times New Roman" w:hAnsi="Times New Roman" w:cs="Times New Roman"/>
          <w:i/>
          <w:spacing w:val="-3"/>
        </w:rPr>
        <w:t>Norfolk and Western Ry. v. PA Public Utility Comm’n</w:t>
      </w:r>
      <w:r w:rsidRPr="003908E0">
        <w:rPr>
          <w:rFonts w:ascii="Times New Roman" w:hAnsi="Times New Roman" w:cs="Times New Roman"/>
          <w:spacing w:val="-3"/>
        </w:rPr>
        <w:t xml:space="preserve">, 413 A.2d 1037 (1980); </w:t>
      </w:r>
      <w:r w:rsidRPr="003908E0">
        <w:rPr>
          <w:rFonts w:ascii="Times New Roman" w:hAnsi="Times New Roman" w:cs="Times New Roman"/>
          <w:i/>
          <w:spacing w:val="-3"/>
        </w:rPr>
        <w:t>Erie Resistor Corp. v. Unemployment Compensation Bd. of Review</w:t>
      </w:r>
      <w:r w:rsidRPr="003908E0">
        <w:rPr>
          <w:rFonts w:ascii="Times New Roman" w:hAnsi="Times New Roman" w:cs="Times New Roman"/>
          <w:spacing w:val="-3"/>
        </w:rPr>
        <w:t xml:space="preserve">, 166 A.2d 96 (1960); </w:t>
      </w:r>
      <w:r w:rsidRPr="003908E0">
        <w:rPr>
          <w:rFonts w:ascii="Times New Roman" w:hAnsi="Times New Roman" w:cs="Times New Roman"/>
          <w:i/>
          <w:spacing w:val="-3"/>
        </w:rPr>
        <w:t>Murphy v. Commonwealth, Dep’t. of Public Welfare, White Haven Center</w:t>
      </w:r>
      <w:r w:rsidRPr="003908E0">
        <w:rPr>
          <w:rFonts w:ascii="Times New Roman" w:hAnsi="Times New Roman" w:cs="Times New Roman"/>
          <w:spacing w:val="-3"/>
        </w:rPr>
        <w:t>, 480 A.2d 382 (1984).</w:t>
      </w:r>
    </w:p>
    <w:p w:rsidR="000570B4" w:rsidRPr="003908E0" w:rsidRDefault="000570B4" w:rsidP="005F269C">
      <w:pPr>
        <w:spacing w:line="360" w:lineRule="auto"/>
        <w:ind w:firstLine="1440"/>
        <w:rPr>
          <w:rFonts w:ascii="Times New Roman" w:hAnsi="Times New Roman" w:cs="Times New Roman"/>
          <w:spacing w:val="-3"/>
        </w:rPr>
      </w:pPr>
    </w:p>
    <w:p w:rsidR="000570B4" w:rsidRPr="003908E0" w:rsidRDefault="000570B4" w:rsidP="005F269C">
      <w:pPr>
        <w:spacing w:line="360" w:lineRule="auto"/>
        <w:rPr>
          <w:rFonts w:ascii="Times New Roman" w:hAnsi="Times New Roman" w:cs="Times New Roman"/>
        </w:rPr>
      </w:pPr>
      <w:r w:rsidRPr="003908E0">
        <w:rPr>
          <w:rFonts w:ascii="Times New Roman" w:hAnsi="Times New Roman" w:cs="Times New Roman"/>
        </w:rPr>
        <w:tab/>
      </w:r>
      <w:r w:rsidRPr="003908E0">
        <w:rPr>
          <w:rFonts w:ascii="Times New Roman" w:hAnsi="Times New Roman" w:cs="Times New Roman"/>
        </w:rPr>
        <w:tab/>
        <w:t xml:space="preserve">In addition, the offense must be a violation of the Public Utility Code, the Commission’s regulations, or an outstanding order of the Commission.  66 Pa. C.S. § 701.  </w:t>
      </w:r>
    </w:p>
    <w:p w:rsidR="000570B4" w:rsidRPr="003908E0" w:rsidRDefault="000570B4" w:rsidP="005F269C">
      <w:pPr>
        <w:spacing w:line="360" w:lineRule="auto"/>
        <w:rPr>
          <w:rFonts w:ascii="Times New Roman" w:hAnsi="Times New Roman" w:cs="Times New Roman"/>
        </w:rPr>
      </w:pPr>
    </w:p>
    <w:p w:rsidR="000516BF" w:rsidRPr="003908E0" w:rsidRDefault="00416C21" w:rsidP="000516BF">
      <w:pPr>
        <w:spacing w:line="360" w:lineRule="auto"/>
        <w:rPr>
          <w:rFonts w:ascii="Times New Roman" w:hAnsi="Times New Roman" w:cs="Times New Roman"/>
          <w:u w:val="single"/>
        </w:rPr>
      </w:pPr>
      <w:r>
        <w:rPr>
          <w:rFonts w:ascii="Times New Roman" w:hAnsi="Times New Roman" w:cs="Times New Roman"/>
          <w:u w:val="single"/>
        </w:rPr>
        <w:t>Refund</w:t>
      </w:r>
      <w:r w:rsidR="000516BF" w:rsidRPr="003908E0">
        <w:rPr>
          <w:rFonts w:ascii="Times New Roman" w:hAnsi="Times New Roman" w:cs="Times New Roman"/>
          <w:u w:val="single"/>
        </w:rPr>
        <w:t xml:space="preserve"> </w:t>
      </w:r>
    </w:p>
    <w:p w:rsidR="009B5C63" w:rsidRPr="003908E0" w:rsidRDefault="009B5C63" w:rsidP="000516BF">
      <w:pPr>
        <w:tabs>
          <w:tab w:val="left" w:pos="-720"/>
        </w:tabs>
        <w:suppressAutoHyphens/>
        <w:spacing w:line="360" w:lineRule="auto"/>
        <w:ind w:firstLine="1440"/>
        <w:rPr>
          <w:rFonts w:ascii="Times New Roman" w:hAnsi="Times New Roman" w:cs="Times New Roman"/>
        </w:rPr>
      </w:pPr>
    </w:p>
    <w:p w:rsidR="000516BF" w:rsidRPr="003908E0" w:rsidRDefault="000516BF" w:rsidP="000516BF">
      <w:pPr>
        <w:tabs>
          <w:tab w:val="left" w:pos="-720"/>
        </w:tabs>
        <w:suppressAutoHyphens/>
        <w:spacing w:line="360" w:lineRule="auto"/>
        <w:ind w:firstLine="1440"/>
        <w:rPr>
          <w:rFonts w:ascii="Times New Roman" w:hAnsi="Times New Roman"/>
        </w:rPr>
      </w:pPr>
      <w:r w:rsidRPr="003908E0">
        <w:rPr>
          <w:rFonts w:ascii="Times New Roman" w:hAnsi="Times New Roman" w:cs="Times New Roman"/>
        </w:rPr>
        <w:t>Complainant claims PPL over charged her twice from September 2005 through September 2008 and from December 2010 through February 2011</w:t>
      </w:r>
      <w:r w:rsidR="006C18B7">
        <w:rPr>
          <w:rFonts w:ascii="Times New Roman" w:hAnsi="Times New Roman" w:cs="Times New Roman"/>
        </w:rPr>
        <w:t>.  During those two time periods, Complainant claims that</w:t>
      </w:r>
      <w:r w:rsidRPr="003908E0">
        <w:rPr>
          <w:rFonts w:ascii="Times New Roman" w:hAnsi="Times New Roman" w:cs="Times New Roman"/>
        </w:rPr>
        <w:t xml:space="preserve"> she was charged more than $1,700 in non-residential rates.  </w:t>
      </w:r>
      <w:r w:rsidRPr="003908E0">
        <w:rPr>
          <w:rFonts w:ascii="Times New Roman" w:hAnsi="Times New Roman"/>
        </w:rPr>
        <w:t xml:space="preserve">I find that Complainant’s </w:t>
      </w:r>
      <w:r w:rsidR="00E2029D" w:rsidRPr="003908E0">
        <w:rPr>
          <w:rFonts w:ascii="Times New Roman" w:hAnsi="Times New Roman"/>
        </w:rPr>
        <w:t xml:space="preserve">claims in the </w:t>
      </w:r>
      <w:r w:rsidRPr="003908E0">
        <w:rPr>
          <w:rFonts w:ascii="Times New Roman" w:hAnsi="Times New Roman"/>
        </w:rPr>
        <w:t>complaint regarding</w:t>
      </w:r>
      <w:r w:rsidR="006C18B7">
        <w:rPr>
          <w:rFonts w:ascii="Times New Roman" w:hAnsi="Times New Roman"/>
        </w:rPr>
        <w:t xml:space="preserve"> a refund from incorrect rate</w:t>
      </w:r>
      <w:r w:rsidRPr="003908E0">
        <w:rPr>
          <w:rFonts w:ascii="Times New Roman" w:hAnsi="Times New Roman"/>
        </w:rPr>
        <w:t xml:space="preserve"> charges incurred earlier than October 6, 200</w:t>
      </w:r>
      <w:r w:rsidR="006C18B7">
        <w:rPr>
          <w:rFonts w:ascii="Times New Roman" w:hAnsi="Times New Roman"/>
        </w:rPr>
        <w:t>6</w:t>
      </w:r>
      <w:r w:rsidRPr="003908E0">
        <w:rPr>
          <w:rFonts w:ascii="Times New Roman" w:hAnsi="Times New Roman"/>
        </w:rPr>
        <w:t xml:space="preserve"> (more than </w:t>
      </w:r>
      <w:r w:rsidR="006C18B7">
        <w:rPr>
          <w:rFonts w:ascii="Times New Roman" w:hAnsi="Times New Roman"/>
        </w:rPr>
        <w:t>4</w:t>
      </w:r>
      <w:r w:rsidRPr="003908E0">
        <w:rPr>
          <w:rFonts w:ascii="Times New Roman" w:hAnsi="Times New Roman"/>
        </w:rPr>
        <w:t xml:space="preserve"> yrs. before the informal complaint filing on appeal) </w:t>
      </w:r>
      <w:r w:rsidR="00E2029D" w:rsidRPr="003908E0">
        <w:rPr>
          <w:rFonts w:ascii="Times New Roman" w:hAnsi="Times New Roman"/>
        </w:rPr>
        <w:t>are</w:t>
      </w:r>
      <w:r w:rsidRPr="003908E0">
        <w:rPr>
          <w:rFonts w:ascii="Times New Roman" w:hAnsi="Times New Roman"/>
        </w:rPr>
        <w:t xml:space="preserve"> barred by the statute of limitations.  Section </w:t>
      </w:r>
      <w:r w:rsidR="006C18B7">
        <w:rPr>
          <w:rFonts w:ascii="Times New Roman" w:hAnsi="Times New Roman"/>
        </w:rPr>
        <w:t>1312 o</w:t>
      </w:r>
      <w:r w:rsidRPr="003908E0">
        <w:rPr>
          <w:rFonts w:ascii="Times New Roman" w:hAnsi="Times New Roman"/>
        </w:rPr>
        <w:t>f the Code, 66 Pa. C.S. §</w:t>
      </w:r>
      <w:r w:rsidR="006C18B7">
        <w:rPr>
          <w:rFonts w:ascii="Times New Roman" w:hAnsi="Times New Roman"/>
        </w:rPr>
        <w:t>1312</w:t>
      </w:r>
      <w:r w:rsidRPr="003908E0">
        <w:rPr>
          <w:rFonts w:ascii="Times New Roman" w:hAnsi="Times New Roman"/>
        </w:rPr>
        <w:t>, provides</w:t>
      </w:r>
      <w:r w:rsidR="009A2719">
        <w:rPr>
          <w:rFonts w:ascii="Times New Roman" w:hAnsi="Times New Roman"/>
        </w:rPr>
        <w:t xml:space="preserve"> in pertinent part</w:t>
      </w:r>
      <w:r w:rsidRPr="003908E0">
        <w:rPr>
          <w:rFonts w:ascii="Times New Roman" w:hAnsi="Times New Roman"/>
        </w:rPr>
        <w:t xml:space="preserve"> as follows:</w:t>
      </w:r>
    </w:p>
    <w:p w:rsidR="000516BF" w:rsidRPr="003908E0" w:rsidRDefault="000516BF" w:rsidP="000516BF">
      <w:pPr>
        <w:tabs>
          <w:tab w:val="left" w:pos="-720"/>
        </w:tabs>
        <w:suppressAutoHyphens/>
        <w:spacing w:line="360" w:lineRule="auto"/>
        <w:rPr>
          <w:rFonts w:ascii="Times New Roman" w:hAnsi="Times New Roman"/>
        </w:rPr>
      </w:pPr>
    </w:p>
    <w:p w:rsidR="000516BF" w:rsidRPr="003908E0" w:rsidRDefault="000516BF" w:rsidP="000516BF">
      <w:pPr>
        <w:pStyle w:val="ListParagraph"/>
        <w:numPr>
          <w:ilvl w:val="0"/>
          <w:numId w:val="4"/>
        </w:numPr>
        <w:tabs>
          <w:tab w:val="left" w:pos="-720"/>
        </w:tabs>
        <w:suppressAutoHyphens/>
        <w:ind w:left="1440" w:right="1440" w:firstLine="0"/>
        <w:rPr>
          <w:rFonts w:ascii="Times New Roman" w:hAnsi="Times New Roman"/>
          <w:szCs w:val="24"/>
        </w:rPr>
      </w:pPr>
      <w:r w:rsidRPr="003908E0">
        <w:rPr>
          <w:rFonts w:ascii="Times New Roman" w:hAnsi="Times New Roman"/>
          <w:szCs w:val="24"/>
        </w:rPr>
        <w:t xml:space="preserve">General rule. – </w:t>
      </w:r>
      <w:r w:rsidR="006C18B7">
        <w:rPr>
          <w:rFonts w:ascii="Times New Roman" w:hAnsi="Times New Roman"/>
          <w:szCs w:val="24"/>
        </w:rP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refund the amount of any excess paid by any patron, in consequence of such unlawful collection, within four years</w:t>
      </w:r>
      <w:r w:rsidR="009A2719">
        <w:rPr>
          <w:rFonts w:ascii="Times New Roman" w:hAnsi="Times New Roman"/>
          <w:szCs w:val="24"/>
        </w:rPr>
        <w:t xml:space="preserve"> prior to the date of the filing of the complaint, together with interest at the legal rate from the date of each such excessive payment. </w:t>
      </w:r>
    </w:p>
    <w:p w:rsidR="000516BF" w:rsidRPr="003908E0" w:rsidRDefault="000516BF" w:rsidP="003908E0">
      <w:pPr>
        <w:tabs>
          <w:tab w:val="left" w:pos="-720"/>
        </w:tabs>
        <w:suppressAutoHyphens/>
        <w:spacing w:line="360" w:lineRule="auto"/>
        <w:ind w:left="1440" w:right="1440"/>
        <w:rPr>
          <w:rFonts w:ascii="Times New Roman" w:hAnsi="Times New Roman"/>
        </w:rPr>
      </w:pPr>
    </w:p>
    <w:p w:rsidR="000516BF" w:rsidRPr="003908E0" w:rsidRDefault="000516BF" w:rsidP="000516BF">
      <w:pPr>
        <w:tabs>
          <w:tab w:val="left" w:pos="-720"/>
        </w:tabs>
        <w:suppressAutoHyphens/>
        <w:spacing w:line="360" w:lineRule="auto"/>
        <w:rPr>
          <w:rFonts w:ascii="Times New Roman" w:hAnsi="Times New Roman"/>
        </w:rPr>
      </w:pPr>
      <w:r w:rsidRPr="003908E0">
        <w:rPr>
          <w:rFonts w:ascii="Times New Roman" w:hAnsi="Times New Roman"/>
        </w:rPr>
        <w:t xml:space="preserve">This provision provides a general limitation period of </w:t>
      </w:r>
      <w:r w:rsidR="009A2719">
        <w:rPr>
          <w:rFonts w:ascii="Times New Roman" w:hAnsi="Times New Roman"/>
        </w:rPr>
        <w:t>four</w:t>
      </w:r>
      <w:r w:rsidRPr="003908E0">
        <w:rPr>
          <w:rFonts w:ascii="Times New Roman" w:hAnsi="Times New Roman"/>
        </w:rPr>
        <w:t xml:space="preserve"> years for any action </w:t>
      </w:r>
      <w:r w:rsidR="009A2719">
        <w:rPr>
          <w:rFonts w:ascii="Times New Roman" w:hAnsi="Times New Roman"/>
        </w:rPr>
        <w:t>involving a claim for a refund</w:t>
      </w:r>
      <w:r w:rsidRPr="003908E0">
        <w:rPr>
          <w:rFonts w:ascii="Times New Roman" w:hAnsi="Times New Roman"/>
        </w:rPr>
        <w:t xml:space="preserve">.  The informal complaint in this matter, at BCS No. </w:t>
      </w:r>
      <w:r w:rsidRPr="003908E0">
        <w:t>2880974</w:t>
      </w:r>
      <w:r w:rsidRPr="003908E0">
        <w:rPr>
          <w:rFonts w:ascii="Times New Roman" w:hAnsi="Times New Roman"/>
        </w:rPr>
        <w:t xml:space="preserve">, was filed on October 6, 2010.  </w:t>
      </w:r>
      <w:r w:rsidR="009A2719">
        <w:rPr>
          <w:rFonts w:ascii="Times New Roman" w:hAnsi="Times New Roman"/>
        </w:rPr>
        <w:t xml:space="preserve">Since Complainant claims a refund in addition to other claims, I am applying a four-year statute of limitations to her claim. </w:t>
      </w:r>
      <w:r w:rsidRPr="003908E0">
        <w:rPr>
          <w:rFonts w:ascii="Times New Roman" w:hAnsi="Times New Roman"/>
        </w:rPr>
        <w:t xml:space="preserve"> </w:t>
      </w:r>
    </w:p>
    <w:p w:rsidR="000516BF" w:rsidRPr="003908E0" w:rsidRDefault="000516BF" w:rsidP="005F269C">
      <w:pPr>
        <w:spacing w:line="360" w:lineRule="auto"/>
        <w:rPr>
          <w:rFonts w:ascii="Times New Roman" w:hAnsi="Times New Roman" w:cs="Times New Roman"/>
        </w:rPr>
      </w:pPr>
    </w:p>
    <w:p w:rsidR="003D3D32" w:rsidRPr="003908E0" w:rsidRDefault="003D3D32" w:rsidP="003D3D32">
      <w:pPr>
        <w:spacing w:line="360" w:lineRule="auto"/>
        <w:rPr>
          <w:u w:val="single"/>
        </w:rPr>
      </w:pPr>
      <w:r w:rsidRPr="003908E0">
        <w:rPr>
          <w:u w:val="single"/>
        </w:rPr>
        <w:t>High Bill Claim</w:t>
      </w:r>
    </w:p>
    <w:p w:rsidR="003D3D32" w:rsidRPr="003908E0" w:rsidRDefault="003D3D32" w:rsidP="003D3D32">
      <w:pPr>
        <w:spacing w:line="360" w:lineRule="auto"/>
        <w:rPr>
          <w:u w:val="single"/>
        </w:rPr>
      </w:pPr>
    </w:p>
    <w:p w:rsidR="001A02D8" w:rsidRDefault="003D3D32" w:rsidP="003D3D32">
      <w:pPr>
        <w:spacing w:line="360" w:lineRule="auto"/>
      </w:pPr>
      <w:r w:rsidRPr="003908E0">
        <w:tab/>
      </w:r>
      <w:r w:rsidRPr="003908E0">
        <w:tab/>
        <w:t xml:space="preserve">Under the </w:t>
      </w:r>
      <w:r w:rsidRPr="003908E0">
        <w:rPr>
          <w:i/>
        </w:rPr>
        <w:t>Waldron</w:t>
      </w:r>
      <w:r w:rsidRPr="003908E0">
        <w:t xml:space="preserve"> rule, a complainant may establish a </w:t>
      </w:r>
      <w:r w:rsidRPr="003908E0">
        <w:rPr>
          <w:i/>
        </w:rPr>
        <w:t>prima facie</w:t>
      </w:r>
      <w:r w:rsidRPr="003908E0">
        <w:t xml:space="preserve"> case by showing her power usage for the billing period in question was unchanged from earlier periods and her bill for the same power was higher than previous bills.  The burden going forward then shifts to the utility which must rebut the complainant’s case with co-equal evidence so that the mere proof by the utility that its power measuring devices were accurate is no longer the sole determination as to whether there is a basis to a complaint of overbilling.  </w:t>
      </w:r>
      <w:r w:rsidRPr="003908E0">
        <w:rPr>
          <w:i/>
        </w:rPr>
        <w:t xml:space="preserve">Burleson v. Pa.PUC, </w:t>
      </w:r>
      <w:r w:rsidRPr="003908E0">
        <w:t xml:space="preserve">501 Pa. 433, 461 A.2d 1234 (1983) citing </w:t>
      </w:r>
      <w:r w:rsidRPr="003908E0">
        <w:rPr>
          <w:i/>
        </w:rPr>
        <w:t>Waldron v. Philadelphia Electric Company,</w:t>
      </w:r>
      <w:r w:rsidRPr="003908E0">
        <w:t xml:space="preserve"> 54 Pa.PUC 98 (1980).  The Commission generally applies the </w:t>
      </w:r>
      <w:r w:rsidRPr="003908E0">
        <w:rPr>
          <w:i/>
        </w:rPr>
        <w:t>Waldron</w:t>
      </w:r>
      <w:r w:rsidRPr="003908E0">
        <w:t xml:space="preserve"> test regarding high bill claims.  </w:t>
      </w:r>
      <w:r w:rsidRPr="003908E0">
        <w:rPr>
          <w:i/>
        </w:rPr>
        <w:t xml:space="preserve">See Bennett v. The Peoples Natural Gas Company, LLC, </w:t>
      </w:r>
      <w:r w:rsidRPr="003908E0">
        <w:t xml:space="preserve">Opinion and Order C-2009-2122979, October 13, 2010.  In the </w:t>
      </w:r>
      <w:r w:rsidRPr="003908E0">
        <w:rPr>
          <w:i/>
        </w:rPr>
        <w:t>Bennet</w:t>
      </w:r>
      <w:r w:rsidR="00416C21">
        <w:rPr>
          <w:i/>
        </w:rPr>
        <w:t>t</w:t>
      </w:r>
      <w:r w:rsidRPr="003908E0">
        <w:rPr>
          <w:i/>
        </w:rPr>
        <w:t xml:space="preserve"> </w:t>
      </w:r>
      <w:r w:rsidRPr="003908E0">
        <w:t xml:space="preserve">case, the Commission stated that in order to establish a </w:t>
      </w:r>
      <w:r w:rsidRPr="003908E0">
        <w:rPr>
          <w:i/>
        </w:rPr>
        <w:t>prima facie</w:t>
      </w:r>
      <w:r w:rsidRPr="003908E0">
        <w:t xml:space="preserve"> case under </w:t>
      </w:r>
      <w:r w:rsidRPr="003908E0">
        <w:rPr>
          <w:i/>
        </w:rPr>
        <w:t>Waldron</w:t>
      </w:r>
      <w:r w:rsidRPr="003908E0">
        <w:t xml:space="preserve">, the complainant must show the disputed bill was abnormally high when compared to prior usage patterns and that his or her pattern of usage has not changed or must provide other relevant evidence showing that the disputed bill is unreasonably high.  </w:t>
      </w:r>
      <w:r w:rsidR="001A02D8">
        <w:t xml:space="preserve">The Commission stated that </w:t>
      </w:r>
      <w:r w:rsidR="001A02D8" w:rsidRPr="001A02D8">
        <w:t>Waldron</w:t>
      </w:r>
      <w:r w:rsidR="001A02D8">
        <w:t xml:space="preserve"> des not limit the establishment of a </w:t>
      </w:r>
      <w:r w:rsidR="001A02D8">
        <w:rPr>
          <w:i/>
        </w:rPr>
        <w:t xml:space="preserve">prima facie </w:t>
      </w:r>
      <w:r w:rsidR="001A02D8" w:rsidRPr="001A02D8">
        <w:t>case</w:t>
      </w:r>
      <w:r w:rsidR="001A02D8">
        <w:t xml:space="preserve"> to the above two elements alone.  Rather, the Commission may consider the billing history of the account, any change in usage patterns (such as change in the number of occupants living in the household or potential energy utilization), and any other relevant facts or circumstances that come to light during the proceeding.  </w:t>
      </w:r>
      <w:r w:rsidR="001A02D8">
        <w:rPr>
          <w:i/>
        </w:rPr>
        <w:t xml:space="preserve">Id. </w:t>
      </w:r>
      <w:r w:rsidR="001A02D8">
        <w:t xml:space="preserve">at 7.  </w:t>
      </w:r>
    </w:p>
    <w:p w:rsidR="00416C21" w:rsidRDefault="003D3D32" w:rsidP="003D3D32">
      <w:pPr>
        <w:spacing w:line="360" w:lineRule="auto"/>
      </w:pPr>
      <w:r w:rsidRPr="003908E0">
        <w:t xml:space="preserve"> </w:t>
      </w:r>
    </w:p>
    <w:p w:rsidR="00416C21" w:rsidRPr="00416C21" w:rsidRDefault="00416C21" w:rsidP="003D3D32">
      <w:pPr>
        <w:spacing w:line="360" w:lineRule="auto"/>
      </w:pPr>
      <w:r>
        <w:tab/>
      </w:r>
      <w:r w:rsidR="001A02D8">
        <w:t xml:space="preserve">In the </w:t>
      </w:r>
      <w:r w:rsidR="001A02D8" w:rsidRPr="003908E0">
        <w:rPr>
          <w:i/>
        </w:rPr>
        <w:t>Thomas v. PECO Energy Company</w:t>
      </w:r>
      <w:r w:rsidR="001A02D8" w:rsidRPr="003908E0">
        <w:t xml:space="preserve">, </w:t>
      </w:r>
      <w:r w:rsidR="00AE75CD">
        <w:t>Initial Decision</w:t>
      </w:r>
      <w:r w:rsidR="001A02D8" w:rsidRPr="003908E0">
        <w:t>, C-2010-2195286, August 31, 2011</w:t>
      </w:r>
      <w:r w:rsidR="001A02D8">
        <w:t xml:space="preserve">, </w:t>
      </w:r>
      <w:r w:rsidR="00AE75CD">
        <w:t xml:space="preserve">adopted by Final Order, October 28, 2011, </w:t>
      </w:r>
      <w:r w:rsidR="001A02D8">
        <w:t>the</w:t>
      </w:r>
      <w:r w:rsidR="00AE75CD">
        <w:t xml:space="preserve"> ALJ</w:t>
      </w:r>
      <w:r w:rsidR="001A02D8">
        <w:t xml:space="preserve"> stated that u</w:t>
      </w:r>
      <w:r>
        <w:t xml:space="preserve">nder the </w:t>
      </w:r>
      <w:r w:rsidRPr="00416C21">
        <w:rPr>
          <w:i/>
        </w:rPr>
        <w:t>Waldron</w:t>
      </w:r>
      <w:r>
        <w:rPr>
          <w:i/>
        </w:rPr>
        <w:t xml:space="preserve"> </w:t>
      </w:r>
      <w:r>
        <w:t xml:space="preserve">rule, the accuracy of the meter is important, but it is not the sole factor in resolving a billing dispute.  In doing so, the Commission will consider the billing history, any change in the number of occupants in the household, the potential for energy use, and any other facts or circumstances that are brought to light during the proceeding.  </w:t>
      </w:r>
      <w:r>
        <w:rPr>
          <w:i/>
        </w:rPr>
        <w:t xml:space="preserve">Id. </w:t>
      </w:r>
      <w:r>
        <w:t>at 7.</w:t>
      </w:r>
    </w:p>
    <w:p w:rsidR="003D3D32" w:rsidRPr="003908E0" w:rsidRDefault="003D3D32" w:rsidP="003D3D32">
      <w:pPr>
        <w:spacing w:line="360" w:lineRule="auto"/>
      </w:pPr>
    </w:p>
    <w:p w:rsidR="003D3D32" w:rsidRPr="001A02D8" w:rsidRDefault="003D3D32" w:rsidP="005F269C">
      <w:pPr>
        <w:spacing w:line="360" w:lineRule="auto"/>
        <w:rPr>
          <w:rFonts w:ascii="Times New Roman" w:hAnsi="Times New Roman" w:cs="Times New Roman"/>
          <w:u w:val="single"/>
        </w:rPr>
      </w:pPr>
      <w:r w:rsidRPr="003908E0">
        <w:tab/>
      </w:r>
      <w:r w:rsidRPr="003908E0">
        <w:tab/>
      </w:r>
      <w:r w:rsidR="001A02D8">
        <w:t xml:space="preserve">In the instant case, </w:t>
      </w:r>
      <w:r w:rsidRPr="003908E0">
        <w:t>Complainant offered no evidence to show that the high bills were a result of any error other than that she was being charged at the wrong rate.  There is insufficient evidence to show she is being overcharged for the amount of electricity being used in the residence.  Further, the evidence supports a finding that Complainant was properly credited for any overcharge.</w:t>
      </w:r>
      <w:r w:rsidRPr="003908E0">
        <w:rPr>
          <w:rFonts w:ascii="Times New Roman" w:hAnsi="Times New Roman" w:cs="Times New Roman"/>
        </w:rPr>
        <w:t xml:space="preserve">  Respondent’s Exhibit 1; N.T. 31.</w:t>
      </w:r>
      <w:r w:rsidR="001A02D8">
        <w:rPr>
          <w:rFonts w:ascii="Times New Roman" w:hAnsi="Times New Roman" w:cs="Times New Roman"/>
        </w:rPr>
        <w:t xml:space="preserve">  I find the testimony of Mr. Stoffregen regarding a meter test he conducted on the service residence in March, 2012, to be credible and persuasive evidence that the meter was accurate. </w:t>
      </w:r>
      <w:r w:rsidR="001A02D8" w:rsidRPr="003908E0">
        <w:rPr>
          <w:rFonts w:ascii="Times New Roman" w:hAnsi="Times New Roman" w:cs="Times New Roman"/>
        </w:rPr>
        <w:t>N.T. 38-40</w:t>
      </w:r>
      <w:r w:rsidR="001A02D8">
        <w:rPr>
          <w:rFonts w:ascii="Times New Roman" w:hAnsi="Times New Roman" w:cs="Times New Roman"/>
        </w:rPr>
        <w:t xml:space="preserve">.  There was no evidence offered to show the number of persons in the service residence changed or that usage substantially changed during the time-period in question.  Thus, Complainant failed to establish a prima facie case by presenting facts or circumstances envisioned under </w:t>
      </w:r>
      <w:r w:rsidR="001A02D8">
        <w:rPr>
          <w:rFonts w:ascii="Times New Roman" w:hAnsi="Times New Roman" w:cs="Times New Roman"/>
          <w:i/>
        </w:rPr>
        <w:t>Waldron</w:t>
      </w:r>
      <w:r w:rsidR="001A02D8">
        <w:rPr>
          <w:rFonts w:ascii="Times New Roman" w:hAnsi="Times New Roman" w:cs="Times New Roman"/>
        </w:rPr>
        <w:t>.</w:t>
      </w:r>
    </w:p>
    <w:p w:rsidR="003D3D32" w:rsidRDefault="003D3D32" w:rsidP="005F269C">
      <w:pPr>
        <w:spacing w:line="360" w:lineRule="auto"/>
        <w:rPr>
          <w:rFonts w:ascii="Times New Roman" w:hAnsi="Times New Roman" w:cs="Times New Roman"/>
          <w:u w:val="single"/>
        </w:rPr>
      </w:pPr>
    </w:p>
    <w:p w:rsidR="003D3D32" w:rsidRDefault="003D3D32" w:rsidP="005F269C">
      <w:pPr>
        <w:spacing w:line="360" w:lineRule="auto"/>
        <w:rPr>
          <w:rFonts w:ascii="Times New Roman" w:hAnsi="Times New Roman" w:cs="Times New Roman"/>
          <w:u w:val="single"/>
        </w:rPr>
      </w:pPr>
    </w:p>
    <w:p w:rsidR="000516BF" w:rsidRPr="003908E0" w:rsidRDefault="000516BF" w:rsidP="005F269C">
      <w:pPr>
        <w:spacing w:line="360" w:lineRule="auto"/>
        <w:rPr>
          <w:rFonts w:ascii="Times New Roman" w:hAnsi="Times New Roman" w:cs="Times New Roman"/>
          <w:u w:val="single"/>
        </w:rPr>
      </w:pPr>
      <w:r w:rsidRPr="003908E0">
        <w:rPr>
          <w:rFonts w:ascii="Times New Roman" w:hAnsi="Times New Roman" w:cs="Times New Roman"/>
          <w:u w:val="single"/>
        </w:rPr>
        <w:t>Incorrect Charges Claim</w:t>
      </w:r>
    </w:p>
    <w:p w:rsidR="009B5C63" w:rsidRPr="003908E0" w:rsidRDefault="009B5C63" w:rsidP="005F269C">
      <w:pPr>
        <w:spacing w:line="360" w:lineRule="auto"/>
        <w:rPr>
          <w:rFonts w:ascii="Times New Roman" w:hAnsi="Times New Roman" w:cs="Times New Roman"/>
        </w:rPr>
      </w:pPr>
    </w:p>
    <w:p w:rsidR="0055649D" w:rsidRPr="003908E0" w:rsidRDefault="009B5C63" w:rsidP="005F269C">
      <w:pPr>
        <w:spacing w:line="360" w:lineRule="auto"/>
        <w:rPr>
          <w:rFonts w:ascii="Times New Roman" w:hAnsi="Times New Roman" w:cs="Times New Roman"/>
        </w:rPr>
      </w:pPr>
      <w:r w:rsidRPr="003908E0">
        <w:rPr>
          <w:rFonts w:ascii="Times New Roman" w:hAnsi="Times New Roman" w:cs="Times New Roman"/>
        </w:rPr>
        <w:tab/>
      </w:r>
      <w:r w:rsidR="000570B4" w:rsidRPr="003908E0">
        <w:rPr>
          <w:rFonts w:ascii="Times New Roman" w:hAnsi="Times New Roman" w:cs="Times New Roman"/>
        </w:rPr>
        <w:tab/>
      </w:r>
      <w:r w:rsidR="004078BC" w:rsidRPr="003908E0">
        <w:rPr>
          <w:rFonts w:ascii="Times New Roman" w:hAnsi="Times New Roman" w:cs="Times New Roman"/>
        </w:rPr>
        <w:t>Complainant has failed to carry h</w:t>
      </w:r>
      <w:r w:rsidR="00D9364A" w:rsidRPr="003908E0">
        <w:rPr>
          <w:rFonts w:ascii="Times New Roman" w:hAnsi="Times New Roman" w:cs="Times New Roman"/>
        </w:rPr>
        <w:t>er</w:t>
      </w:r>
      <w:r w:rsidR="004078BC" w:rsidRPr="003908E0">
        <w:rPr>
          <w:rFonts w:ascii="Times New Roman" w:hAnsi="Times New Roman" w:cs="Times New Roman"/>
        </w:rPr>
        <w:t xml:space="preserve"> burden of proof in this matter, to show that there are incorrect charges on h</w:t>
      </w:r>
      <w:r w:rsidR="00D9364A" w:rsidRPr="003908E0">
        <w:rPr>
          <w:rFonts w:ascii="Times New Roman" w:hAnsi="Times New Roman" w:cs="Times New Roman"/>
        </w:rPr>
        <w:t>er</w:t>
      </w:r>
      <w:r w:rsidR="004078BC" w:rsidRPr="003908E0">
        <w:rPr>
          <w:rFonts w:ascii="Times New Roman" w:hAnsi="Times New Roman" w:cs="Times New Roman"/>
        </w:rPr>
        <w:t xml:space="preserve"> bill.  </w:t>
      </w:r>
      <w:r w:rsidR="00296DD6" w:rsidRPr="003908E0">
        <w:rPr>
          <w:rFonts w:ascii="Times New Roman" w:hAnsi="Times New Roman" w:cs="Times New Roman"/>
        </w:rPr>
        <w:t>First, t</w:t>
      </w:r>
      <w:r w:rsidR="00C72C7B" w:rsidRPr="003908E0">
        <w:rPr>
          <w:rFonts w:ascii="Times New Roman" w:hAnsi="Times New Roman" w:cs="Times New Roman"/>
        </w:rPr>
        <w:t>he company did not violate any regulation by c</w:t>
      </w:r>
      <w:r w:rsidR="00D9364A" w:rsidRPr="003908E0">
        <w:rPr>
          <w:rFonts w:ascii="Times New Roman" w:hAnsi="Times New Roman" w:cs="Times New Roman"/>
        </w:rPr>
        <w:t>rediting her account $1,043.52 on September 16, 2008</w:t>
      </w:r>
      <w:r w:rsidR="00C14ADD">
        <w:rPr>
          <w:rFonts w:ascii="Times New Roman" w:hAnsi="Times New Roman" w:cs="Times New Roman"/>
        </w:rPr>
        <w:t>,</w:t>
      </w:r>
      <w:r w:rsidR="00D9364A" w:rsidRPr="003908E0">
        <w:rPr>
          <w:rFonts w:ascii="Times New Roman" w:hAnsi="Times New Roman" w:cs="Times New Roman"/>
        </w:rPr>
        <w:t xml:space="preserve"> once it discovered the billing error on September 11, 2008.  </w:t>
      </w:r>
      <w:r w:rsidR="0055649D" w:rsidRPr="003908E0">
        <w:rPr>
          <w:rFonts w:ascii="Times New Roman" w:hAnsi="Times New Roman" w:cs="Times New Roman"/>
        </w:rPr>
        <w:t xml:space="preserve">  </w:t>
      </w:r>
      <w:r w:rsidR="003872E9" w:rsidRPr="003908E0">
        <w:rPr>
          <w:rFonts w:ascii="Times New Roman" w:hAnsi="Times New Roman" w:cs="Times New Roman"/>
        </w:rPr>
        <w:t>The company g</w:t>
      </w:r>
      <w:r w:rsidR="00E2029D" w:rsidRPr="003908E0">
        <w:rPr>
          <w:rFonts w:ascii="Times New Roman" w:hAnsi="Times New Roman" w:cs="Times New Roman"/>
        </w:rPr>
        <w:t>a</w:t>
      </w:r>
      <w:r w:rsidR="003872E9" w:rsidRPr="003908E0">
        <w:rPr>
          <w:rFonts w:ascii="Times New Roman" w:hAnsi="Times New Roman" w:cs="Times New Roman"/>
        </w:rPr>
        <w:t xml:space="preserve">ve </w:t>
      </w:r>
      <w:r w:rsidR="00E2029D" w:rsidRPr="003908E0">
        <w:rPr>
          <w:rFonts w:ascii="Times New Roman" w:hAnsi="Times New Roman" w:cs="Times New Roman"/>
        </w:rPr>
        <w:t>Complainant</w:t>
      </w:r>
      <w:r w:rsidR="003872E9" w:rsidRPr="003908E0">
        <w:rPr>
          <w:rFonts w:ascii="Times New Roman" w:hAnsi="Times New Roman" w:cs="Times New Roman"/>
        </w:rPr>
        <w:t xml:space="preserve"> interest at the legal rate of 6% on the overcharge of $1,043.52</w:t>
      </w:r>
      <w:r w:rsidR="009A2719">
        <w:rPr>
          <w:rFonts w:ascii="Times New Roman" w:hAnsi="Times New Roman" w:cs="Times New Roman"/>
        </w:rPr>
        <w:t xml:space="preserve"> as was required by Section 1312</w:t>
      </w:r>
      <w:r w:rsidR="003872E9" w:rsidRPr="003908E0">
        <w:rPr>
          <w:rFonts w:ascii="Times New Roman" w:hAnsi="Times New Roman" w:cs="Times New Roman"/>
        </w:rPr>
        <w:t>.</w:t>
      </w:r>
      <w:r w:rsidRPr="003908E0">
        <w:rPr>
          <w:rFonts w:ascii="Times New Roman" w:hAnsi="Times New Roman" w:cs="Times New Roman"/>
        </w:rPr>
        <w:t xml:space="preserve">  This remedy for the company’s error is sufficient.</w:t>
      </w:r>
    </w:p>
    <w:p w:rsidR="00AB6622" w:rsidRPr="003908E0" w:rsidRDefault="00AB6622" w:rsidP="005F269C">
      <w:pPr>
        <w:spacing w:line="360" w:lineRule="auto"/>
        <w:rPr>
          <w:rFonts w:ascii="Times New Roman" w:hAnsi="Times New Roman" w:cs="Times New Roman"/>
        </w:rPr>
      </w:pPr>
    </w:p>
    <w:p w:rsidR="00D9364A" w:rsidRPr="003908E0" w:rsidRDefault="00CB1720" w:rsidP="005F269C">
      <w:pPr>
        <w:spacing w:line="360" w:lineRule="auto"/>
        <w:rPr>
          <w:rFonts w:ascii="Times New Roman" w:hAnsi="Times New Roman" w:cs="Times New Roman"/>
        </w:rPr>
      </w:pPr>
      <w:r w:rsidRPr="003908E0">
        <w:rPr>
          <w:rFonts w:ascii="Times New Roman" w:hAnsi="Times New Roman" w:cs="Times New Roman"/>
        </w:rPr>
        <w:tab/>
      </w:r>
      <w:r w:rsidRPr="003908E0">
        <w:rPr>
          <w:rFonts w:ascii="Times New Roman" w:hAnsi="Times New Roman" w:cs="Times New Roman"/>
        </w:rPr>
        <w:tab/>
      </w:r>
      <w:r w:rsidR="00296DD6" w:rsidRPr="003908E0">
        <w:rPr>
          <w:rFonts w:ascii="Times New Roman" w:hAnsi="Times New Roman" w:cs="Times New Roman"/>
        </w:rPr>
        <w:t xml:space="preserve">Second, </w:t>
      </w:r>
      <w:r w:rsidR="0093467F" w:rsidRPr="003908E0">
        <w:rPr>
          <w:rFonts w:ascii="Times New Roman" w:hAnsi="Times New Roman" w:cs="Times New Roman"/>
        </w:rPr>
        <w:t>Complainant</w:t>
      </w:r>
      <w:r w:rsidR="00B53C78" w:rsidRPr="003908E0">
        <w:rPr>
          <w:rFonts w:ascii="Times New Roman" w:hAnsi="Times New Roman" w:cs="Times New Roman"/>
        </w:rPr>
        <w:t xml:space="preserve"> failed to show Respondent erroneously charged h</w:t>
      </w:r>
      <w:r w:rsidR="00D9364A" w:rsidRPr="003908E0">
        <w:rPr>
          <w:rFonts w:ascii="Times New Roman" w:hAnsi="Times New Roman" w:cs="Times New Roman"/>
        </w:rPr>
        <w:t xml:space="preserve">er high bills because the meter test taken </w:t>
      </w:r>
      <w:r w:rsidR="00C14ADD">
        <w:rPr>
          <w:rFonts w:ascii="Times New Roman" w:hAnsi="Times New Roman" w:cs="Times New Roman"/>
        </w:rPr>
        <w:t>i</w:t>
      </w:r>
      <w:r w:rsidR="00D9364A" w:rsidRPr="003908E0">
        <w:rPr>
          <w:rFonts w:ascii="Times New Roman" w:hAnsi="Times New Roman" w:cs="Times New Roman"/>
        </w:rPr>
        <w:t>n March 2012 show</w:t>
      </w:r>
      <w:r w:rsidR="00E2029D" w:rsidRPr="003908E0">
        <w:rPr>
          <w:rFonts w:ascii="Times New Roman" w:hAnsi="Times New Roman" w:cs="Times New Roman"/>
        </w:rPr>
        <w:t>ed that</w:t>
      </w:r>
      <w:r w:rsidR="00D9364A" w:rsidRPr="003908E0">
        <w:rPr>
          <w:rFonts w:ascii="Times New Roman" w:hAnsi="Times New Roman" w:cs="Times New Roman"/>
        </w:rPr>
        <w:t xml:space="preserve"> Complainant’s meter is accurate.  Further, the report of Mr. Stoffregen is persuasive that the amount of </w:t>
      </w:r>
      <w:r w:rsidR="00E2029D" w:rsidRPr="003908E0">
        <w:rPr>
          <w:rFonts w:ascii="Times New Roman" w:hAnsi="Times New Roman" w:cs="Times New Roman"/>
        </w:rPr>
        <w:t>kilowatts</w:t>
      </w:r>
      <w:r w:rsidR="00D9364A" w:rsidRPr="003908E0">
        <w:rPr>
          <w:rFonts w:ascii="Times New Roman" w:hAnsi="Times New Roman" w:cs="Times New Roman"/>
        </w:rPr>
        <w:t xml:space="preserve"> being used in the residence is in line with what would be expected </w:t>
      </w:r>
      <w:r w:rsidR="003872E9" w:rsidRPr="003908E0">
        <w:rPr>
          <w:rFonts w:ascii="Times New Roman" w:hAnsi="Times New Roman" w:cs="Times New Roman"/>
        </w:rPr>
        <w:t xml:space="preserve">even </w:t>
      </w:r>
      <w:r w:rsidR="00D9364A" w:rsidRPr="003908E0">
        <w:rPr>
          <w:rFonts w:ascii="Times New Roman" w:hAnsi="Times New Roman" w:cs="Times New Roman"/>
        </w:rPr>
        <w:t xml:space="preserve">without electric heat.  </w:t>
      </w:r>
      <w:r w:rsidR="00B53C78" w:rsidRPr="003908E0">
        <w:rPr>
          <w:rFonts w:ascii="Times New Roman" w:hAnsi="Times New Roman" w:cs="Times New Roman"/>
        </w:rPr>
        <w:t xml:space="preserve"> </w:t>
      </w:r>
      <w:r w:rsidR="001A02D8" w:rsidRPr="003908E0">
        <w:rPr>
          <w:rFonts w:ascii="Times New Roman" w:hAnsi="Times New Roman" w:cs="Times New Roman"/>
        </w:rPr>
        <w:t>N.T. 38-40</w:t>
      </w:r>
      <w:r w:rsidR="00E2029D" w:rsidRPr="003908E0">
        <w:rPr>
          <w:rFonts w:ascii="Times New Roman" w:hAnsi="Times New Roman" w:cs="Times New Roman"/>
        </w:rPr>
        <w:t>.</w:t>
      </w:r>
    </w:p>
    <w:p w:rsidR="00D9364A" w:rsidRPr="003908E0" w:rsidRDefault="00D9364A" w:rsidP="005F269C">
      <w:pPr>
        <w:spacing w:line="360" w:lineRule="auto"/>
        <w:rPr>
          <w:rFonts w:ascii="Times New Roman" w:hAnsi="Times New Roman" w:cs="Times New Roman"/>
        </w:rPr>
      </w:pPr>
    </w:p>
    <w:p w:rsidR="00D9364A" w:rsidRPr="003908E0" w:rsidRDefault="006B094F" w:rsidP="005F269C">
      <w:pPr>
        <w:spacing w:line="360" w:lineRule="auto"/>
        <w:rPr>
          <w:rFonts w:ascii="Times New Roman" w:hAnsi="Times New Roman" w:cs="Times New Roman"/>
        </w:rPr>
      </w:pPr>
      <w:r w:rsidRPr="003908E0">
        <w:rPr>
          <w:rFonts w:ascii="Times New Roman" w:hAnsi="Times New Roman" w:cs="Times New Roman"/>
        </w:rPr>
        <w:tab/>
      </w:r>
      <w:r w:rsidRPr="003908E0">
        <w:rPr>
          <w:rFonts w:ascii="Times New Roman" w:hAnsi="Times New Roman" w:cs="Times New Roman"/>
        </w:rPr>
        <w:tab/>
        <w:t xml:space="preserve">Complainant’s testimony that </w:t>
      </w:r>
      <w:r w:rsidR="00D9364A" w:rsidRPr="003908E0">
        <w:rPr>
          <w:rFonts w:ascii="Times New Roman" w:hAnsi="Times New Roman" w:cs="Times New Roman"/>
        </w:rPr>
        <w:t xml:space="preserve">she experienced an overdraft fee of $35 because of any wrongdoing by PPL is unsupported by any documentation.  </w:t>
      </w:r>
      <w:r w:rsidR="003D3D32">
        <w:rPr>
          <w:rFonts w:ascii="Times New Roman" w:hAnsi="Times New Roman" w:cs="Times New Roman"/>
        </w:rPr>
        <w:t>Complainant</w:t>
      </w:r>
      <w:r w:rsidR="00D9364A" w:rsidRPr="003908E0">
        <w:rPr>
          <w:rFonts w:ascii="Times New Roman" w:hAnsi="Times New Roman" w:cs="Times New Roman"/>
        </w:rPr>
        <w:t xml:space="preserve"> has failed to bear her burden of proving Respondent violated any regulation or Commission order. </w:t>
      </w:r>
    </w:p>
    <w:p w:rsidR="00D9364A" w:rsidRPr="003908E0" w:rsidRDefault="00D9364A" w:rsidP="005F269C">
      <w:pPr>
        <w:spacing w:line="360" w:lineRule="auto"/>
        <w:rPr>
          <w:rFonts w:ascii="Times New Roman" w:hAnsi="Times New Roman" w:cs="Times New Roman"/>
        </w:rPr>
      </w:pPr>
    </w:p>
    <w:p w:rsidR="00620323" w:rsidRPr="003908E0" w:rsidRDefault="00FC66D2" w:rsidP="005F269C">
      <w:pPr>
        <w:spacing w:line="360" w:lineRule="auto"/>
        <w:rPr>
          <w:rFonts w:ascii="Times New Roman" w:hAnsi="Times New Roman" w:cs="Times New Roman"/>
        </w:rPr>
      </w:pPr>
      <w:r w:rsidRPr="003908E0">
        <w:rPr>
          <w:rFonts w:ascii="Times New Roman" w:hAnsi="Times New Roman" w:cs="Times New Roman"/>
        </w:rPr>
        <w:tab/>
      </w:r>
      <w:r w:rsidRPr="003908E0">
        <w:rPr>
          <w:rFonts w:ascii="Times New Roman" w:hAnsi="Times New Roman" w:cs="Times New Roman"/>
        </w:rPr>
        <w:tab/>
      </w:r>
      <w:r w:rsidR="006134F1" w:rsidRPr="003908E0">
        <w:rPr>
          <w:rFonts w:ascii="Times New Roman" w:hAnsi="Times New Roman" w:cs="Times New Roman"/>
        </w:rPr>
        <w:t>The report and testimony of M</w:t>
      </w:r>
      <w:r w:rsidR="00D9364A" w:rsidRPr="003908E0">
        <w:rPr>
          <w:rFonts w:ascii="Times New Roman" w:hAnsi="Times New Roman" w:cs="Times New Roman"/>
        </w:rPr>
        <w:t>r</w:t>
      </w:r>
      <w:r w:rsidR="003E1249" w:rsidRPr="003908E0">
        <w:rPr>
          <w:rFonts w:ascii="Times New Roman" w:hAnsi="Times New Roman" w:cs="Times New Roman"/>
        </w:rPr>
        <w:t>. Stoffregen</w:t>
      </w:r>
      <w:r w:rsidR="00D9364A" w:rsidRPr="003908E0">
        <w:rPr>
          <w:rFonts w:ascii="Times New Roman" w:hAnsi="Times New Roman" w:cs="Times New Roman"/>
        </w:rPr>
        <w:t xml:space="preserve"> </w:t>
      </w:r>
      <w:r w:rsidR="006134F1" w:rsidRPr="003908E0">
        <w:rPr>
          <w:rFonts w:ascii="Times New Roman" w:hAnsi="Times New Roman" w:cs="Times New Roman"/>
        </w:rPr>
        <w:t>support a finding that Respondent did not violate 52 Pa. Code § 57.20(c) which states in pertinent part:</w:t>
      </w:r>
    </w:p>
    <w:p w:rsidR="006134F1" w:rsidRPr="003908E0" w:rsidRDefault="006134F1" w:rsidP="005F269C">
      <w:pPr>
        <w:pStyle w:val="ParaTab1"/>
        <w:tabs>
          <w:tab w:val="left" w:pos="2070"/>
        </w:tabs>
        <w:spacing w:line="360" w:lineRule="auto"/>
        <w:rPr>
          <w:rFonts w:ascii="Times New Roman" w:hAnsi="Times New Roman" w:cs="Times New Roman"/>
        </w:rPr>
      </w:pPr>
    </w:p>
    <w:p w:rsidR="006134F1" w:rsidRPr="003908E0" w:rsidRDefault="006134F1" w:rsidP="00C1434A">
      <w:pPr>
        <w:pStyle w:val="ParaTab1"/>
        <w:tabs>
          <w:tab w:val="left" w:pos="2070"/>
        </w:tabs>
        <w:ind w:left="1440" w:right="1440" w:firstLine="0"/>
        <w:rPr>
          <w:rFonts w:ascii="Times New Roman" w:hAnsi="Times New Roman" w:cs="Times New Roman"/>
        </w:rPr>
      </w:pPr>
      <w:r w:rsidRPr="003908E0">
        <w:rPr>
          <w:rFonts w:ascii="Times New Roman" w:hAnsi="Times New Roman" w:cs="Times New Roman"/>
        </w:rPr>
        <w:t>(c)  No watthour meter which has an error in registration of more than 2.0% at light load or heavy load may be placed in service or allowed to remain in service without adjustment.  If, upon installation, periodic or other tests, a watthour meter is found to exceed these limits, it shall be adjusted or removed from service.</w:t>
      </w:r>
    </w:p>
    <w:p w:rsidR="00620323" w:rsidRPr="003908E0" w:rsidRDefault="00620323" w:rsidP="00C1434A">
      <w:pPr>
        <w:pStyle w:val="ParaTab1"/>
        <w:tabs>
          <w:tab w:val="left" w:pos="2070"/>
        </w:tabs>
        <w:spacing w:line="360" w:lineRule="auto"/>
        <w:ind w:left="1440" w:right="1440" w:firstLine="0"/>
        <w:rPr>
          <w:rFonts w:ascii="Times New Roman" w:hAnsi="Times New Roman" w:cs="Times New Roman"/>
        </w:rPr>
      </w:pPr>
    </w:p>
    <w:p w:rsidR="00420452" w:rsidRPr="003908E0" w:rsidRDefault="00420452" w:rsidP="00C1434A">
      <w:pPr>
        <w:pStyle w:val="ParaTab1"/>
        <w:tabs>
          <w:tab w:val="left" w:pos="2070"/>
        </w:tabs>
        <w:spacing w:line="360" w:lineRule="auto"/>
        <w:ind w:left="1440" w:right="1440" w:firstLine="0"/>
        <w:rPr>
          <w:rFonts w:ascii="Times New Roman" w:hAnsi="Times New Roman" w:cs="Times New Roman"/>
        </w:rPr>
      </w:pPr>
      <w:r w:rsidRPr="003908E0">
        <w:rPr>
          <w:rFonts w:ascii="Times New Roman" w:hAnsi="Times New Roman" w:cs="Times New Roman"/>
        </w:rPr>
        <w:t>52 Pa. Code § 57.20(c).</w:t>
      </w:r>
    </w:p>
    <w:p w:rsidR="00C32817" w:rsidRPr="003908E0" w:rsidRDefault="00C32817" w:rsidP="00C32817">
      <w:pPr>
        <w:tabs>
          <w:tab w:val="left" w:pos="-720"/>
        </w:tabs>
        <w:suppressAutoHyphens/>
        <w:spacing w:line="360" w:lineRule="auto"/>
        <w:ind w:firstLine="1440"/>
        <w:rPr>
          <w:rFonts w:ascii="Times New Roman" w:hAnsi="Times New Roman"/>
        </w:rPr>
      </w:pPr>
    </w:p>
    <w:p w:rsidR="00DF481B" w:rsidRPr="003908E0" w:rsidRDefault="00FC66D2" w:rsidP="00FC66D2">
      <w:pPr>
        <w:tabs>
          <w:tab w:val="left" w:pos="-720"/>
        </w:tabs>
        <w:suppressAutoHyphens/>
        <w:spacing w:line="360" w:lineRule="auto"/>
        <w:ind w:firstLine="1440"/>
        <w:rPr>
          <w:rFonts w:ascii="Times New Roman" w:hAnsi="Times New Roman"/>
        </w:rPr>
      </w:pPr>
      <w:r w:rsidRPr="003908E0">
        <w:rPr>
          <w:rFonts w:ascii="Times New Roman" w:hAnsi="Times New Roman"/>
        </w:rPr>
        <w:t>I</w:t>
      </w:r>
      <w:r w:rsidR="00DF481B" w:rsidRPr="003908E0">
        <w:rPr>
          <w:rFonts w:ascii="Times New Roman" w:hAnsi="Times New Roman"/>
        </w:rPr>
        <w:t xml:space="preserve"> have reviewed the record and find no evidence to support a claim that the meter at the Complainant’s house had an error of more than two percent at light or heavy load.  The Complainant therefore failed to present a </w:t>
      </w:r>
      <w:r w:rsidR="00DF481B" w:rsidRPr="003908E0">
        <w:rPr>
          <w:rFonts w:ascii="Times New Roman" w:hAnsi="Times New Roman"/>
          <w:i/>
        </w:rPr>
        <w:t xml:space="preserve">prima facie </w:t>
      </w:r>
      <w:r w:rsidR="00DF481B" w:rsidRPr="003908E0">
        <w:rPr>
          <w:rFonts w:ascii="Times New Roman" w:hAnsi="Times New Roman"/>
        </w:rPr>
        <w:t>case on this issue</w:t>
      </w:r>
      <w:r w:rsidRPr="003908E0">
        <w:rPr>
          <w:rFonts w:ascii="Times New Roman" w:hAnsi="Times New Roman"/>
        </w:rPr>
        <w:t xml:space="preserve">.  </w:t>
      </w:r>
    </w:p>
    <w:p w:rsidR="00AC5CB0" w:rsidRPr="003908E0" w:rsidRDefault="00AC5CB0" w:rsidP="005F269C">
      <w:pPr>
        <w:pStyle w:val="ParaTab1"/>
        <w:tabs>
          <w:tab w:val="left" w:pos="2070"/>
        </w:tabs>
        <w:spacing w:line="360" w:lineRule="auto"/>
        <w:ind w:firstLine="0"/>
        <w:rPr>
          <w:rFonts w:ascii="Times New Roman" w:hAnsi="Times New Roman" w:cs="Times New Roman"/>
        </w:rPr>
      </w:pPr>
    </w:p>
    <w:p w:rsidR="00912DC6" w:rsidRPr="003908E0" w:rsidRDefault="00912DC6" w:rsidP="00FC66D2">
      <w:pPr>
        <w:spacing w:line="360" w:lineRule="auto"/>
        <w:rPr>
          <w:rFonts w:ascii="Times New Roman" w:hAnsi="Times New Roman" w:cs="Times New Roman"/>
          <w:u w:val="single"/>
        </w:rPr>
      </w:pPr>
      <w:r w:rsidRPr="003908E0">
        <w:rPr>
          <w:rFonts w:ascii="Times New Roman" w:hAnsi="Times New Roman" w:cs="Times New Roman"/>
          <w:u w:val="single"/>
        </w:rPr>
        <w:t>Payment Arrangement</w:t>
      </w:r>
    </w:p>
    <w:p w:rsidR="009B5C63" w:rsidRPr="003908E0" w:rsidRDefault="009B5C63" w:rsidP="00D63C67">
      <w:pPr>
        <w:pStyle w:val="ParaTab1"/>
        <w:tabs>
          <w:tab w:val="left" w:pos="2070"/>
        </w:tabs>
        <w:spacing w:line="360" w:lineRule="auto"/>
        <w:rPr>
          <w:rFonts w:ascii="Times New Roman" w:hAnsi="Times New Roman" w:cs="Times New Roman"/>
        </w:rPr>
      </w:pPr>
    </w:p>
    <w:p w:rsidR="00D63C67" w:rsidRPr="003908E0" w:rsidRDefault="00912DC6" w:rsidP="00D63C67">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Complainant requests lower charges</w:t>
      </w:r>
      <w:r w:rsidR="009B5C63" w:rsidRPr="003908E0">
        <w:rPr>
          <w:rFonts w:ascii="Times New Roman" w:hAnsi="Times New Roman" w:cs="Times New Roman"/>
        </w:rPr>
        <w:t xml:space="preserve"> than her current budget billing amount of $404</w:t>
      </w:r>
      <w:r w:rsidRPr="003908E0">
        <w:rPr>
          <w:rFonts w:ascii="Times New Roman" w:hAnsi="Times New Roman" w:cs="Times New Roman"/>
        </w:rPr>
        <w:t xml:space="preserve">.  </w:t>
      </w:r>
      <w:r w:rsidR="009B5C63" w:rsidRPr="003908E0">
        <w:rPr>
          <w:rFonts w:ascii="Times New Roman" w:hAnsi="Times New Roman" w:cs="Times New Roman"/>
        </w:rPr>
        <w:t xml:space="preserve">Section </w:t>
      </w:r>
      <w:r w:rsidRPr="003908E0">
        <w:rPr>
          <w:rFonts w:ascii="Times New Roman" w:hAnsi="Times New Roman" w:cs="Times New Roman"/>
        </w:rPr>
        <w:t xml:space="preserve">1405(d) </w:t>
      </w:r>
      <w:r w:rsidR="009B5C63" w:rsidRPr="003908E0">
        <w:rPr>
          <w:rFonts w:ascii="Times New Roman" w:hAnsi="Times New Roman" w:cs="Times New Roman"/>
        </w:rPr>
        <w:t xml:space="preserve">of the Public Utility Code </w:t>
      </w:r>
      <w:r w:rsidRPr="003908E0">
        <w:rPr>
          <w:rFonts w:ascii="Times New Roman" w:hAnsi="Times New Roman" w:cs="Times New Roman"/>
        </w:rPr>
        <w:t>provides that absent a change in income, the commission shall not establish or order a public utility to establish a second</w:t>
      </w:r>
      <w:r w:rsidR="00C14ADD">
        <w:rPr>
          <w:rFonts w:ascii="Times New Roman" w:hAnsi="Times New Roman" w:cs="Times New Roman"/>
        </w:rPr>
        <w:t xml:space="preserve"> or</w:t>
      </w:r>
      <w:r w:rsidRPr="003908E0">
        <w:rPr>
          <w:rFonts w:ascii="Times New Roman" w:hAnsi="Times New Roman" w:cs="Times New Roman"/>
        </w:rPr>
        <w:t xml:space="preserve"> subsequent payment agreement if a customer has defaulted on a previous payment agreement.  A public utility may, at its discretion, enter into a second or subsequent payment agreement with a customer. </w:t>
      </w:r>
      <w:r w:rsidR="009B5C63" w:rsidRPr="003908E0">
        <w:rPr>
          <w:rFonts w:ascii="Times New Roman" w:hAnsi="Times New Roman" w:cs="Times New Roman"/>
        </w:rPr>
        <w:t xml:space="preserve">66 Pa. C.S. § 1405(d).  </w:t>
      </w:r>
      <w:r w:rsidRPr="003908E0">
        <w:rPr>
          <w:rFonts w:ascii="Times New Roman" w:hAnsi="Times New Roman" w:cs="Times New Roman"/>
        </w:rPr>
        <w:t xml:space="preserve"> Therefore, since Complainant already had a commission-ordered payment arrangement as of September 26, 2011</w:t>
      </w:r>
      <w:r w:rsidR="00D63C67" w:rsidRPr="003908E0">
        <w:rPr>
          <w:rFonts w:ascii="Times New Roman" w:hAnsi="Times New Roman" w:cs="Times New Roman"/>
        </w:rPr>
        <w:t xml:space="preserve">with a gross monthly income level 1, which she defaulted on, she is not entitled to a subsequent payment arrangement because the record supports a finding that her household income has increased to a level 2.   She testified that her two adult sons live with her as well as an adult grandson, and that the gross monthly household income is approximately $3,610 per month, </w:t>
      </w:r>
      <w:r w:rsidR="009B5C63" w:rsidRPr="003908E0">
        <w:rPr>
          <w:rFonts w:ascii="Times New Roman" w:hAnsi="Times New Roman" w:cs="Times New Roman"/>
        </w:rPr>
        <w:t xml:space="preserve">at </w:t>
      </w:r>
      <w:r w:rsidR="00D63C67" w:rsidRPr="003908E0">
        <w:rPr>
          <w:rFonts w:ascii="Times New Roman" w:hAnsi="Times New Roman" w:cs="Times New Roman"/>
        </w:rPr>
        <w:t xml:space="preserve">200% </w:t>
      </w:r>
      <w:r w:rsidR="00C14ADD">
        <w:rPr>
          <w:rFonts w:ascii="Times New Roman" w:hAnsi="Times New Roman" w:cs="Times New Roman"/>
        </w:rPr>
        <w:t xml:space="preserve">of the </w:t>
      </w:r>
      <w:r w:rsidR="00D63C67" w:rsidRPr="003908E0">
        <w:rPr>
          <w:rFonts w:ascii="Times New Roman" w:hAnsi="Times New Roman" w:cs="Times New Roman"/>
        </w:rPr>
        <w:t>federal poverty guidelines.  PPL Exhibits 1 and 4B.  N.T. 12-31, 43.  66 Pa.C.S. § 1405(d).</w:t>
      </w:r>
    </w:p>
    <w:p w:rsidR="00FC66D2" w:rsidRPr="003908E0" w:rsidRDefault="00FC66D2" w:rsidP="005F269C">
      <w:pPr>
        <w:pStyle w:val="ParaTab1"/>
        <w:tabs>
          <w:tab w:val="left" w:pos="2070"/>
        </w:tabs>
        <w:spacing w:line="360" w:lineRule="auto"/>
        <w:ind w:firstLine="0"/>
        <w:rPr>
          <w:rFonts w:ascii="Times New Roman" w:hAnsi="Times New Roman" w:cs="Times New Roman"/>
          <w:u w:val="single"/>
        </w:rPr>
      </w:pPr>
    </w:p>
    <w:p w:rsidR="00AC5CB0" w:rsidRPr="003908E0" w:rsidRDefault="00C1434A" w:rsidP="00C1434A">
      <w:pPr>
        <w:pStyle w:val="ParaTab1"/>
        <w:tabs>
          <w:tab w:val="left" w:pos="0"/>
        </w:tabs>
        <w:spacing w:line="360" w:lineRule="auto"/>
        <w:ind w:firstLine="0"/>
        <w:rPr>
          <w:rFonts w:ascii="Times New Roman" w:hAnsi="Times New Roman" w:cs="Times New Roman"/>
        </w:rPr>
      </w:pPr>
      <w:r w:rsidRPr="003908E0">
        <w:rPr>
          <w:rFonts w:ascii="Times New Roman" w:hAnsi="Times New Roman" w:cs="Times New Roman"/>
        </w:rPr>
        <w:tab/>
      </w:r>
      <w:r w:rsidRPr="003908E0">
        <w:rPr>
          <w:rFonts w:ascii="Times New Roman" w:hAnsi="Times New Roman" w:cs="Times New Roman"/>
        </w:rPr>
        <w:tab/>
      </w:r>
      <w:r w:rsidR="000D204F" w:rsidRPr="003908E0">
        <w:rPr>
          <w:rFonts w:ascii="Times New Roman" w:hAnsi="Times New Roman" w:cs="Times New Roman"/>
        </w:rPr>
        <w:t>Accordingly, Complainant has failed to sustain h</w:t>
      </w:r>
      <w:r w:rsidR="003E1249" w:rsidRPr="003908E0">
        <w:rPr>
          <w:rFonts w:ascii="Times New Roman" w:hAnsi="Times New Roman" w:cs="Times New Roman"/>
        </w:rPr>
        <w:t>er</w:t>
      </w:r>
      <w:r w:rsidR="000D204F" w:rsidRPr="003908E0">
        <w:rPr>
          <w:rFonts w:ascii="Times New Roman" w:hAnsi="Times New Roman" w:cs="Times New Roman"/>
        </w:rPr>
        <w:t xml:space="preserve"> burden of proof and the complaint shall be dismissed.</w:t>
      </w:r>
    </w:p>
    <w:p w:rsidR="000570B4" w:rsidRPr="003908E0" w:rsidRDefault="000570B4" w:rsidP="005F269C">
      <w:pPr>
        <w:pStyle w:val="ParaTab1"/>
        <w:tabs>
          <w:tab w:val="left" w:pos="2070"/>
        </w:tabs>
        <w:spacing w:line="360" w:lineRule="auto"/>
        <w:jc w:val="center"/>
        <w:rPr>
          <w:rFonts w:ascii="Times New Roman" w:hAnsi="Times New Roman" w:cs="Times New Roman"/>
          <w:u w:val="single"/>
        </w:rPr>
      </w:pPr>
    </w:p>
    <w:p w:rsidR="000570B4" w:rsidRPr="003908E0" w:rsidRDefault="000570B4" w:rsidP="005F269C">
      <w:pPr>
        <w:pStyle w:val="ParaTab1"/>
        <w:tabs>
          <w:tab w:val="left" w:pos="2070"/>
        </w:tabs>
        <w:spacing w:line="360" w:lineRule="auto"/>
        <w:ind w:firstLine="0"/>
        <w:jc w:val="center"/>
        <w:rPr>
          <w:rFonts w:ascii="Times New Roman" w:hAnsi="Times New Roman" w:cs="Times New Roman"/>
        </w:rPr>
      </w:pPr>
      <w:r w:rsidRPr="003908E0">
        <w:rPr>
          <w:rFonts w:ascii="Times New Roman" w:hAnsi="Times New Roman" w:cs="Times New Roman"/>
          <w:u w:val="single"/>
        </w:rPr>
        <w:t>CONCLUSIONS OF LAW</w:t>
      </w:r>
    </w:p>
    <w:p w:rsidR="000570B4" w:rsidRPr="003908E0" w:rsidRDefault="000570B4" w:rsidP="005F269C">
      <w:pPr>
        <w:pStyle w:val="ParaTab1"/>
        <w:tabs>
          <w:tab w:val="left" w:pos="2070"/>
        </w:tabs>
        <w:spacing w:line="360" w:lineRule="auto"/>
        <w:jc w:val="center"/>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w:t>
      </w:r>
      <w:r w:rsidRPr="003908E0">
        <w:rPr>
          <w:rFonts w:ascii="Times New Roman" w:hAnsi="Times New Roman" w:cs="Times New Roman"/>
        </w:rPr>
        <w:tab/>
        <w:t>The Commission has jurisdiction over the parties to, and the subject matter of this proceeding.</w:t>
      </w:r>
    </w:p>
    <w:p w:rsidR="000570B4" w:rsidRPr="003908E0" w:rsidRDefault="000570B4"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2.</w:t>
      </w:r>
      <w:r w:rsidRPr="003908E0">
        <w:rPr>
          <w:rFonts w:ascii="Times New Roman" w:hAnsi="Times New Roman" w:cs="Times New Roman"/>
        </w:rPr>
        <w:tab/>
        <w:t xml:space="preserve">Pursuant to 66 Pa. C.S. § 332(a), the burden of proof in this proceeding is upon Complainant. </w:t>
      </w:r>
    </w:p>
    <w:p w:rsidR="003E1249" w:rsidRPr="003908E0" w:rsidRDefault="003E1249"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3.</w:t>
      </w:r>
      <w:r w:rsidRPr="003908E0">
        <w:rPr>
          <w:rFonts w:ascii="Times New Roman" w:hAnsi="Times New Roman" w:cs="Times New Roman"/>
        </w:rPr>
        <w:tab/>
        <w:t>To establish a sufficient case and satisfy the burden of proof, the Complainant must show that the respondent public utility is responsible or accountable for the problem described in the Complaint.  Such a showing must be by a preponderance of evidence.</w:t>
      </w:r>
      <w:r w:rsidR="00A05D66" w:rsidRPr="003908E0">
        <w:rPr>
          <w:rFonts w:ascii="Times New Roman" w:hAnsi="Times New Roman" w:cs="Times New Roman"/>
          <w:i/>
          <w:spacing w:val="-3"/>
        </w:rPr>
        <w:t xml:space="preserve"> Samuel J. Lansberry, Inc. v. PA Public Utility Comm’n</w:t>
      </w:r>
      <w:r w:rsidR="00A05D66" w:rsidRPr="003908E0">
        <w:rPr>
          <w:rFonts w:ascii="Times New Roman" w:hAnsi="Times New Roman" w:cs="Times New Roman"/>
          <w:spacing w:val="-3"/>
        </w:rPr>
        <w:t xml:space="preserve">, 578 A.2d 600 (1990), </w:t>
      </w:r>
      <w:r w:rsidR="00A05D66" w:rsidRPr="003908E0">
        <w:rPr>
          <w:rFonts w:ascii="Times New Roman" w:hAnsi="Times New Roman" w:cs="Times New Roman"/>
          <w:i/>
          <w:spacing w:val="-3"/>
        </w:rPr>
        <w:t>alloc. den.</w:t>
      </w:r>
      <w:r w:rsidR="00A05D66" w:rsidRPr="003908E0">
        <w:rPr>
          <w:rFonts w:ascii="Times New Roman" w:hAnsi="Times New Roman" w:cs="Times New Roman"/>
          <w:spacing w:val="-3"/>
        </w:rPr>
        <w:t xml:space="preserve">, 602 A.2d 863 (1992).  </w:t>
      </w:r>
    </w:p>
    <w:p w:rsidR="000077A7" w:rsidRPr="003908E0" w:rsidRDefault="000077A7" w:rsidP="005F269C">
      <w:pPr>
        <w:pStyle w:val="ParaTab1"/>
        <w:tabs>
          <w:tab w:val="left" w:pos="2070"/>
        </w:tabs>
        <w:spacing w:line="360" w:lineRule="auto"/>
        <w:rPr>
          <w:rFonts w:ascii="Times New Roman" w:hAnsi="Times New Roman" w:cs="Times New Roman"/>
        </w:rPr>
      </w:pPr>
    </w:p>
    <w:p w:rsidR="000077A7" w:rsidRPr="003908E0" w:rsidRDefault="000077A7"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4.</w:t>
      </w:r>
      <w:r w:rsidRPr="003908E0">
        <w:rPr>
          <w:rFonts w:ascii="Times New Roman" w:hAnsi="Times New Roman" w:cs="Times New Roman"/>
        </w:rPr>
        <w:tab/>
        <w:t xml:space="preserve">The </w:t>
      </w:r>
      <w:r w:rsidR="003E1249" w:rsidRPr="003908E0">
        <w:rPr>
          <w:rFonts w:ascii="Times New Roman" w:hAnsi="Times New Roman" w:cs="Times New Roman"/>
        </w:rPr>
        <w:t xml:space="preserve">credit adjustment of $1,043.52 in September, 2008 is accurate </w:t>
      </w:r>
      <w:r w:rsidR="007404D5" w:rsidRPr="003908E0">
        <w:rPr>
          <w:rFonts w:ascii="Times New Roman" w:hAnsi="Times New Roman" w:cs="Times New Roman"/>
        </w:rPr>
        <w:t xml:space="preserve">as this amount reflects </w:t>
      </w:r>
      <w:r w:rsidR="003E1249" w:rsidRPr="003908E0">
        <w:rPr>
          <w:rFonts w:ascii="Times New Roman" w:hAnsi="Times New Roman" w:cs="Times New Roman"/>
        </w:rPr>
        <w:t>over</w:t>
      </w:r>
      <w:r w:rsidR="007404D5" w:rsidRPr="003908E0">
        <w:rPr>
          <w:rFonts w:ascii="Times New Roman" w:hAnsi="Times New Roman" w:cs="Times New Roman"/>
        </w:rPr>
        <w:t xml:space="preserve">charges </w:t>
      </w:r>
      <w:r w:rsidR="003E1249" w:rsidRPr="003908E0">
        <w:rPr>
          <w:rFonts w:ascii="Times New Roman" w:hAnsi="Times New Roman" w:cs="Times New Roman"/>
        </w:rPr>
        <w:t>on Complainant’s account that were rectified plus</w:t>
      </w:r>
      <w:r w:rsidR="009B5C63" w:rsidRPr="003908E0">
        <w:rPr>
          <w:rFonts w:ascii="Times New Roman" w:hAnsi="Times New Roman" w:cs="Times New Roman"/>
        </w:rPr>
        <w:t xml:space="preserve"> legal </w:t>
      </w:r>
      <w:r w:rsidR="003E1249" w:rsidRPr="003908E0">
        <w:rPr>
          <w:rFonts w:ascii="Times New Roman" w:hAnsi="Times New Roman" w:cs="Times New Roman"/>
        </w:rPr>
        <w:t xml:space="preserve">interest.  </w:t>
      </w:r>
    </w:p>
    <w:p w:rsidR="00976852" w:rsidRPr="003908E0" w:rsidRDefault="00976852" w:rsidP="005F269C">
      <w:pPr>
        <w:pStyle w:val="ParaTab1"/>
        <w:tabs>
          <w:tab w:val="left" w:pos="2070"/>
        </w:tabs>
        <w:spacing w:line="360" w:lineRule="auto"/>
        <w:rPr>
          <w:rFonts w:ascii="Times New Roman" w:hAnsi="Times New Roman" w:cs="Times New Roman"/>
        </w:rPr>
      </w:pPr>
    </w:p>
    <w:p w:rsidR="00976852" w:rsidRPr="003908E0" w:rsidRDefault="00976852"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5.</w:t>
      </w:r>
      <w:r w:rsidRPr="003908E0">
        <w:rPr>
          <w:rFonts w:ascii="Times New Roman" w:hAnsi="Times New Roman" w:cs="Times New Roman"/>
        </w:rPr>
        <w:tab/>
        <w:t xml:space="preserve">Complainant did not prove that Respondent violated any provision of the Public Utility Code, or any regulation promulgated by the Commission, or that the bills rendered were incorrect.  </w:t>
      </w:r>
      <w:r w:rsidRPr="003908E0">
        <w:rPr>
          <w:rFonts w:ascii="Times New Roman" w:hAnsi="Times New Roman" w:cs="Times New Roman"/>
          <w:i/>
        </w:rPr>
        <w:t xml:space="preserve">Patterson v. Bell Telephone Co. of Pa., </w:t>
      </w:r>
      <w:r w:rsidRPr="003908E0">
        <w:rPr>
          <w:rFonts w:ascii="Times New Roman" w:hAnsi="Times New Roman" w:cs="Times New Roman"/>
        </w:rPr>
        <w:t>72 Pa.</w:t>
      </w:r>
      <w:r w:rsidR="00B5102A" w:rsidRPr="003908E0">
        <w:rPr>
          <w:rFonts w:ascii="Times New Roman" w:hAnsi="Times New Roman" w:cs="Times New Roman"/>
        </w:rPr>
        <w:t>PUC 196 (1990)</w:t>
      </w:r>
      <w:r w:rsidR="005D2A98" w:rsidRPr="003908E0">
        <w:rPr>
          <w:rFonts w:ascii="Times New Roman" w:hAnsi="Times New Roman" w:cs="Times New Roman"/>
        </w:rPr>
        <w:t>;</w:t>
      </w:r>
      <w:r w:rsidR="005D2A98" w:rsidRPr="003908E0">
        <w:rPr>
          <w:rFonts w:ascii="Times New Roman" w:hAnsi="Times New Roman" w:cs="Times New Roman"/>
          <w:i/>
          <w:spacing w:val="-3"/>
        </w:rPr>
        <w:t xml:space="preserve"> Feinstein v. Philadelphia Suburban Water Company</w:t>
      </w:r>
      <w:r w:rsidR="005D2A98" w:rsidRPr="003908E0">
        <w:rPr>
          <w:rFonts w:ascii="Times New Roman" w:hAnsi="Times New Roman" w:cs="Times New Roman"/>
          <w:spacing w:val="-3"/>
        </w:rPr>
        <w:t>, 50 Pa. PUC 300 (1976).</w:t>
      </w:r>
    </w:p>
    <w:p w:rsidR="000570B4" w:rsidRPr="003908E0" w:rsidRDefault="000570B4" w:rsidP="005F269C">
      <w:pPr>
        <w:pStyle w:val="ParaTab1"/>
        <w:tabs>
          <w:tab w:val="left" w:pos="2070"/>
        </w:tabs>
        <w:spacing w:line="360" w:lineRule="auto"/>
        <w:rPr>
          <w:rFonts w:ascii="Times New Roman" w:hAnsi="Times New Roman" w:cs="Times New Roman"/>
        </w:rPr>
      </w:pPr>
    </w:p>
    <w:p w:rsidR="00B5102A" w:rsidRPr="003908E0" w:rsidRDefault="00B5102A"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6.</w:t>
      </w:r>
      <w:r w:rsidRPr="003908E0">
        <w:rPr>
          <w:rFonts w:ascii="Times New Roman" w:hAnsi="Times New Roman" w:cs="Times New Roman"/>
        </w:rPr>
        <w:tab/>
        <w:t>Complainant failed to show that the meter attached to the service residence was faulty or in need of adjustment given the testimony of M</w:t>
      </w:r>
      <w:r w:rsidR="003E1249" w:rsidRPr="003908E0">
        <w:rPr>
          <w:rFonts w:ascii="Times New Roman" w:hAnsi="Times New Roman" w:cs="Times New Roman"/>
        </w:rPr>
        <w:t>r</w:t>
      </w:r>
      <w:r w:rsidRPr="003908E0">
        <w:rPr>
          <w:rFonts w:ascii="Times New Roman" w:hAnsi="Times New Roman" w:cs="Times New Roman"/>
        </w:rPr>
        <w:t xml:space="preserve">. </w:t>
      </w:r>
      <w:r w:rsidR="003E1249" w:rsidRPr="003908E0">
        <w:rPr>
          <w:rFonts w:ascii="Times New Roman" w:hAnsi="Times New Roman" w:cs="Times New Roman"/>
        </w:rPr>
        <w:t>Stoffregen</w:t>
      </w:r>
      <w:r w:rsidRPr="003908E0">
        <w:rPr>
          <w:rFonts w:ascii="Times New Roman" w:hAnsi="Times New Roman" w:cs="Times New Roman"/>
        </w:rPr>
        <w:t>.</w:t>
      </w:r>
    </w:p>
    <w:p w:rsidR="00B5102A" w:rsidRPr="003908E0" w:rsidRDefault="00B5102A" w:rsidP="005F269C">
      <w:pPr>
        <w:pStyle w:val="ParaTab1"/>
        <w:tabs>
          <w:tab w:val="left" w:pos="2070"/>
        </w:tabs>
        <w:spacing w:line="360" w:lineRule="auto"/>
        <w:rPr>
          <w:rFonts w:ascii="Times New Roman" w:hAnsi="Times New Roman" w:cs="Times New Roman"/>
        </w:rPr>
      </w:pPr>
    </w:p>
    <w:p w:rsidR="00D63C67" w:rsidRPr="003908E0" w:rsidRDefault="003E1249" w:rsidP="00D63C67">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7.</w:t>
      </w:r>
      <w:r w:rsidRPr="003908E0">
        <w:rPr>
          <w:rFonts w:ascii="Times New Roman" w:hAnsi="Times New Roman" w:cs="Times New Roman"/>
        </w:rPr>
        <w:tab/>
        <w:t xml:space="preserve">Complainant is not entitled to a payment arrangement because </w:t>
      </w:r>
      <w:r w:rsidR="00912DC6" w:rsidRPr="003908E0">
        <w:rPr>
          <w:rFonts w:ascii="Times New Roman" w:hAnsi="Times New Roman" w:cs="Times New Roman"/>
        </w:rPr>
        <w:t xml:space="preserve">she defaulted on a prior Commission-ordered payment arrangement and </w:t>
      </w:r>
      <w:r w:rsidRPr="003908E0">
        <w:rPr>
          <w:rFonts w:ascii="Times New Roman" w:hAnsi="Times New Roman" w:cs="Times New Roman"/>
        </w:rPr>
        <w:t xml:space="preserve">her household </w:t>
      </w:r>
      <w:r w:rsidR="00E2029D" w:rsidRPr="003908E0">
        <w:rPr>
          <w:rFonts w:ascii="Times New Roman" w:hAnsi="Times New Roman" w:cs="Times New Roman"/>
        </w:rPr>
        <w:t xml:space="preserve">monthly gross </w:t>
      </w:r>
      <w:r w:rsidRPr="003908E0">
        <w:rPr>
          <w:rFonts w:ascii="Times New Roman" w:hAnsi="Times New Roman" w:cs="Times New Roman"/>
        </w:rPr>
        <w:t xml:space="preserve">income </w:t>
      </w:r>
      <w:r w:rsidR="00912DC6" w:rsidRPr="003908E0">
        <w:rPr>
          <w:rFonts w:ascii="Times New Roman" w:hAnsi="Times New Roman" w:cs="Times New Roman"/>
        </w:rPr>
        <w:t xml:space="preserve">has increased to </w:t>
      </w:r>
      <w:r w:rsidR="00E2029D" w:rsidRPr="003908E0">
        <w:rPr>
          <w:rFonts w:ascii="Times New Roman" w:hAnsi="Times New Roman" w:cs="Times New Roman"/>
        </w:rPr>
        <w:t xml:space="preserve">approximately </w:t>
      </w:r>
      <w:r w:rsidR="00D63C67" w:rsidRPr="003908E0">
        <w:rPr>
          <w:rFonts w:ascii="Times New Roman" w:hAnsi="Times New Roman" w:cs="Times New Roman"/>
        </w:rPr>
        <w:t xml:space="preserve">$3,610 per month, which is approximately 200% </w:t>
      </w:r>
      <w:r w:rsidR="00C14ADD">
        <w:rPr>
          <w:rFonts w:ascii="Times New Roman" w:hAnsi="Times New Roman" w:cs="Times New Roman"/>
        </w:rPr>
        <w:t xml:space="preserve">of the </w:t>
      </w:r>
      <w:r w:rsidR="00D63C67" w:rsidRPr="003908E0">
        <w:rPr>
          <w:rFonts w:ascii="Times New Roman" w:hAnsi="Times New Roman" w:cs="Times New Roman"/>
        </w:rPr>
        <w:t>federal poverty guidelines.  PPL Exhibits 1 and 4B.  N.T. 11-31, 43.  66 Pa.C.S. § 1405(d).</w:t>
      </w:r>
    </w:p>
    <w:p w:rsidR="003E1249" w:rsidRPr="003908E0" w:rsidRDefault="003E1249" w:rsidP="005F269C">
      <w:pPr>
        <w:pStyle w:val="ParaTab1"/>
        <w:tabs>
          <w:tab w:val="left" w:pos="2070"/>
        </w:tabs>
        <w:spacing w:line="360" w:lineRule="auto"/>
        <w:ind w:firstLine="0"/>
        <w:jc w:val="center"/>
        <w:rPr>
          <w:rFonts w:ascii="Times New Roman" w:hAnsi="Times New Roman" w:cs="Times New Roman"/>
          <w:u w:val="single"/>
        </w:rPr>
      </w:pPr>
    </w:p>
    <w:p w:rsidR="000570B4" w:rsidRPr="003908E0" w:rsidRDefault="000570B4" w:rsidP="005F269C">
      <w:pPr>
        <w:pStyle w:val="ParaTab1"/>
        <w:tabs>
          <w:tab w:val="left" w:pos="2070"/>
        </w:tabs>
        <w:spacing w:line="360" w:lineRule="auto"/>
        <w:ind w:firstLine="0"/>
        <w:jc w:val="center"/>
        <w:rPr>
          <w:rFonts w:ascii="Times New Roman" w:hAnsi="Times New Roman" w:cs="Times New Roman"/>
          <w:u w:val="single"/>
        </w:rPr>
      </w:pPr>
      <w:r w:rsidRPr="003908E0">
        <w:rPr>
          <w:rFonts w:ascii="Times New Roman" w:hAnsi="Times New Roman" w:cs="Times New Roman"/>
          <w:u w:val="single"/>
        </w:rPr>
        <w:t>ORDER</w:t>
      </w:r>
    </w:p>
    <w:p w:rsidR="00C1434A" w:rsidRPr="003908E0" w:rsidRDefault="00C1434A" w:rsidP="00C1434A">
      <w:pPr>
        <w:pStyle w:val="ParaTab1"/>
        <w:tabs>
          <w:tab w:val="left" w:pos="2070"/>
        </w:tabs>
        <w:spacing w:line="360" w:lineRule="auto"/>
        <w:ind w:firstLine="0"/>
        <w:jc w:val="center"/>
        <w:rPr>
          <w:rFonts w:ascii="Times New Roman" w:hAnsi="Times New Roman" w:cs="Times New Roman"/>
          <w:u w:val="single"/>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THEREFORE,</w:t>
      </w:r>
    </w:p>
    <w:p w:rsidR="000570B4" w:rsidRPr="003908E0" w:rsidRDefault="000570B4"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IT IS ORDERED:</w:t>
      </w:r>
    </w:p>
    <w:p w:rsidR="000570B4" w:rsidRPr="003908E0" w:rsidRDefault="000570B4"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1.</w:t>
      </w:r>
      <w:r w:rsidRPr="003908E0">
        <w:rPr>
          <w:rFonts w:ascii="Times New Roman" w:hAnsi="Times New Roman" w:cs="Times New Roman"/>
        </w:rPr>
        <w:tab/>
        <w:t xml:space="preserve">That the Complaint of </w:t>
      </w:r>
      <w:r w:rsidR="003E1249" w:rsidRPr="003908E0">
        <w:rPr>
          <w:rFonts w:ascii="Times New Roman" w:hAnsi="Times New Roman" w:cs="Times New Roman"/>
        </w:rPr>
        <w:t>Kathleen M. Fortin</w:t>
      </w:r>
      <w:r w:rsidRPr="003908E0">
        <w:rPr>
          <w:rFonts w:ascii="Times New Roman" w:hAnsi="Times New Roman" w:cs="Times New Roman"/>
        </w:rPr>
        <w:t xml:space="preserve"> against </w:t>
      </w:r>
      <w:r w:rsidR="003E1249" w:rsidRPr="003908E0">
        <w:rPr>
          <w:rFonts w:ascii="Times New Roman" w:hAnsi="Times New Roman" w:cs="Times New Roman"/>
        </w:rPr>
        <w:t>PPL</w:t>
      </w:r>
      <w:r w:rsidR="00416C21">
        <w:rPr>
          <w:rFonts w:ascii="Times New Roman" w:hAnsi="Times New Roman" w:cs="Times New Roman"/>
        </w:rPr>
        <w:t xml:space="preserve"> Electric Utilities Corp.</w:t>
      </w:r>
      <w:r w:rsidR="003E1249" w:rsidRPr="003908E0">
        <w:rPr>
          <w:rFonts w:ascii="Times New Roman" w:hAnsi="Times New Roman" w:cs="Times New Roman"/>
        </w:rPr>
        <w:t xml:space="preserve"> at</w:t>
      </w:r>
      <w:r w:rsidRPr="003908E0">
        <w:rPr>
          <w:rFonts w:ascii="Times New Roman" w:hAnsi="Times New Roman" w:cs="Times New Roman"/>
        </w:rPr>
        <w:t xml:space="preserve"> Docket No.</w:t>
      </w:r>
      <w:r w:rsidR="003E1249" w:rsidRPr="003908E0">
        <w:rPr>
          <w:rFonts w:ascii="Times New Roman" w:hAnsi="Times New Roman" w:cs="Times New Roman"/>
        </w:rPr>
        <w:t xml:space="preserve"> F-2011-2274328</w:t>
      </w:r>
      <w:r w:rsidRPr="003908E0">
        <w:rPr>
          <w:rFonts w:ascii="Times New Roman" w:hAnsi="Times New Roman" w:cs="Times New Roman"/>
        </w:rPr>
        <w:t xml:space="preserve"> is hereby dismissed.</w:t>
      </w:r>
    </w:p>
    <w:p w:rsidR="007467C1" w:rsidRPr="003908E0" w:rsidRDefault="007467C1"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r w:rsidRPr="003908E0">
        <w:rPr>
          <w:rFonts w:ascii="Times New Roman" w:hAnsi="Times New Roman" w:cs="Times New Roman"/>
        </w:rPr>
        <w:t>2.</w:t>
      </w:r>
      <w:r w:rsidRPr="003908E0">
        <w:rPr>
          <w:rFonts w:ascii="Times New Roman" w:hAnsi="Times New Roman" w:cs="Times New Roman"/>
        </w:rPr>
        <w:tab/>
        <w:t xml:space="preserve">That the record at Docket No. </w:t>
      </w:r>
      <w:r w:rsidR="003E1249" w:rsidRPr="003908E0">
        <w:rPr>
          <w:rFonts w:ascii="Times New Roman" w:hAnsi="Times New Roman" w:cs="Times New Roman"/>
        </w:rPr>
        <w:t>F-2011-2274328 b</w:t>
      </w:r>
      <w:r w:rsidRPr="003908E0">
        <w:rPr>
          <w:rFonts w:ascii="Times New Roman" w:hAnsi="Times New Roman" w:cs="Times New Roman"/>
        </w:rPr>
        <w:t>e marked closed.</w:t>
      </w:r>
    </w:p>
    <w:p w:rsidR="000570B4" w:rsidRPr="003908E0" w:rsidRDefault="000570B4"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left" w:pos="2070"/>
        </w:tabs>
        <w:spacing w:line="360" w:lineRule="auto"/>
        <w:rPr>
          <w:rFonts w:ascii="Times New Roman" w:hAnsi="Times New Roman" w:cs="Times New Roman"/>
        </w:rPr>
      </w:pPr>
    </w:p>
    <w:p w:rsidR="000570B4" w:rsidRPr="003908E0" w:rsidRDefault="000570B4" w:rsidP="005F269C">
      <w:pPr>
        <w:pStyle w:val="ParaTab1"/>
        <w:tabs>
          <w:tab w:val="clear" w:pos="-720"/>
          <w:tab w:val="left" w:pos="720"/>
          <w:tab w:val="left" w:pos="2340"/>
        </w:tabs>
        <w:ind w:firstLine="0"/>
        <w:rPr>
          <w:rFonts w:ascii="Times New Roman" w:hAnsi="Times New Roman" w:cs="Times New Roman"/>
          <w:spacing w:val="-3"/>
          <w:u w:val="single"/>
        </w:rPr>
      </w:pPr>
      <w:r w:rsidRPr="003908E0">
        <w:rPr>
          <w:rFonts w:ascii="Times New Roman" w:hAnsi="Times New Roman" w:cs="Times New Roman"/>
          <w:spacing w:val="-3"/>
        </w:rPr>
        <w:t>Date:</w:t>
      </w:r>
      <w:r w:rsidRPr="003908E0">
        <w:rPr>
          <w:rFonts w:ascii="Times New Roman" w:hAnsi="Times New Roman" w:cs="Times New Roman"/>
          <w:spacing w:val="-3"/>
        </w:rPr>
        <w:tab/>
      </w:r>
      <w:r w:rsidR="003E1249" w:rsidRPr="003908E0">
        <w:rPr>
          <w:rFonts w:ascii="Times New Roman" w:hAnsi="Times New Roman" w:cs="Times New Roman"/>
          <w:spacing w:val="-3"/>
          <w:u w:val="single"/>
        </w:rPr>
        <w:t xml:space="preserve">April </w:t>
      </w:r>
      <w:r w:rsidR="00912DC6" w:rsidRPr="003908E0">
        <w:rPr>
          <w:rFonts w:ascii="Times New Roman" w:hAnsi="Times New Roman" w:cs="Times New Roman"/>
          <w:spacing w:val="-3"/>
          <w:u w:val="single"/>
        </w:rPr>
        <w:t>10</w:t>
      </w:r>
      <w:r w:rsidRPr="003908E0">
        <w:rPr>
          <w:rFonts w:ascii="Times New Roman" w:hAnsi="Times New Roman" w:cs="Times New Roman"/>
          <w:spacing w:val="-3"/>
          <w:u w:val="single"/>
        </w:rPr>
        <w:t>, 201</w:t>
      </w:r>
      <w:r w:rsidR="003E1249" w:rsidRPr="003908E0">
        <w:rPr>
          <w:rFonts w:ascii="Times New Roman" w:hAnsi="Times New Roman" w:cs="Times New Roman"/>
          <w:spacing w:val="-3"/>
          <w:u w:val="single"/>
        </w:rPr>
        <w:t>2</w:t>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006D5560" w:rsidRPr="003908E0">
        <w:rPr>
          <w:rFonts w:ascii="Times New Roman" w:hAnsi="Times New Roman" w:cs="Times New Roman"/>
          <w:spacing w:val="-3"/>
        </w:rPr>
        <w:t>______________________________</w:t>
      </w:r>
    </w:p>
    <w:p w:rsidR="000570B4" w:rsidRPr="003908E0" w:rsidRDefault="000570B4" w:rsidP="005F269C">
      <w:pPr>
        <w:pStyle w:val="ParaTab1"/>
        <w:ind w:firstLine="0"/>
        <w:rPr>
          <w:rFonts w:ascii="Times New Roman" w:hAnsi="Times New Roman" w:cs="Times New Roman"/>
          <w:spacing w:val="-3"/>
        </w:rPr>
      </w:pP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t>Elizabeth Barnes</w:t>
      </w:r>
    </w:p>
    <w:p w:rsidR="000570B4" w:rsidRPr="003908E0" w:rsidRDefault="000570B4" w:rsidP="005F269C">
      <w:pPr>
        <w:pStyle w:val="ParaTab1"/>
        <w:ind w:firstLine="0"/>
        <w:rPr>
          <w:rFonts w:ascii="Times New Roman" w:hAnsi="Times New Roman" w:cs="Times New Roman"/>
          <w:spacing w:val="-3"/>
        </w:rPr>
      </w:pP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r>
      <w:r w:rsidRPr="003908E0">
        <w:rPr>
          <w:rFonts w:ascii="Times New Roman" w:hAnsi="Times New Roman" w:cs="Times New Roman"/>
          <w:spacing w:val="-3"/>
        </w:rPr>
        <w:tab/>
        <w:t>Administrative Law Judge</w:t>
      </w:r>
      <w:r w:rsidRPr="003908E0">
        <w:rPr>
          <w:rFonts w:ascii="Times New Roman" w:hAnsi="Times New Roman" w:cs="Times New Roman"/>
          <w:spacing w:val="-3"/>
        </w:rPr>
        <w:tab/>
      </w:r>
      <w:r w:rsidRPr="003908E0">
        <w:rPr>
          <w:rFonts w:ascii="Times New Roman" w:hAnsi="Times New Roman" w:cs="Times New Roman"/>
          <w:spacing w:val="-3"/>
        </w:rPr>
        <w:tab/>
      </w:r>
    </w:p>
    <w:sectPr w:rsidR="000570B4" w:rsidRPr="003908E0" w:rsidSect="00E977C8">
      <w:footerReference w:type="even" r:id="rId9"/>
      <w:footerReference w:type="default" r:id="rId10"/>
      <w:type w:val="continuous"/>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B95" w:rsidRDefault="00567B95">
      <w:pPr>
        <w:spacing w:line="20" w:lineRule="exact"/>
        <w:rPr>
          <w:sz w:val="20"/>
          <w:szCs w:val="20"/>
        </w:rPr>
      </w:pPr>
    </w:p>
  </w:endnote>
  <w:endnote w:type="continuationSeparator" w:id="0">
    <w:p w:rsidR="00567B95" w:rsidRDefault="00567B95">
      <w:pPr>
        <w:pStyle w:val="ParaTab1"/>
        <w:rPr>
          <w:sz w:val="20"/>
          <w:szCs w:val="20"/>
        </w:rPr>
      </w:pPr>
      <w:r>
        <w:rPr>
          <w:sz w:val="20"/>
          <w:szCs w:val="20"/>
        </w:rPr>
        <w:t xml:space="preserve"> </w:t>
      </w:r>
    </w:p>
  </w:endnote>
  <w:endnote w:type="continuationNotice" w:id="1">
    <w:p w:rsidR="00567B95" w:rsidRDefault="00567B9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983583" w:rsidP="004B0990">
    <w:pPr>
      <w:pStyle w:val="Footer"/>
      <w:framePr w:wrap="around" w:vAnchor="text" w:hAnchor="margin" w:xAlign="center" w:y="1"/>
      <w:rPr>
        <w:rStyle w:val="PageNumber"/>
      </w:rPr>
    </w:pPr>
    <w:r>
      <w:rPr>
        <w:rStyle w:val="PageNumber"/>
      </w:rPr>
      <w:fldChar w:fldCharType="begin"/>
    </w:r>
    <w:r w:rsidR="00DF7EE8">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323309"/>
      <w:docPartObj>
        <w:docPartGallery w:val="Page Numbers (Bottom of Page)"/>
        <w:docPartUnique/>
      </w:docPartObj>
    </w:sdtPr>
    <w:sdtEndPr>
      <w:rPr>
        <w:rFonts w:ascii="Times New Roman" w:hAnsi="Times New Roman" w:cs="Times New Roman"/>
        <w:noProof/>
        <w:sz w:val="20"/>
        <w:szCs w:val="20"/>
      </w:rPr>
    </w:sdtEndPr>
    <w:sdtContent>
      <w:p w:rsidR="00DF7EE8" w:rsidRPr="003908E0" w:rsidRDefault="003908E0" w:rsidP="003908E0">
        <w:pPr>
          <w:pStyle w:val="Footer"/>
          <w:jc w:val="center"/>
          <w:rPr>
            <w:rFonts w:ascii="Times New Roman" w:hAnsi="Times New Roman" w:cs="Times New Roman"/>
            <w:sz w:val="20"/>
            <w:szCs w:val="20"/>
          </w:rPr>
        </w:pPr>
        <w:r w:rsidRPr="003908E0">
          <w:rPr>
            <w:rFonts w:ascii="Times New Roman" w:hAnsi="Times New Roman" w:cs="Times New Roman"/>
            <w:sz w:val="20"/>
            <w:szCs w:val="20"/>
          </w:rPr>
          <w:fldChar w:fldCharType="begin"/>
        </w:r>
        <w:r w:rsidRPr="003908E0">
          <w:rPr>
            <w:rFonts w:ascii="Times New Roman" w:hAnsi="Times New Roman" w:cs="Times New Roman"/>
            <w:sz w:val="20"/>
            <w:szCs w:val="20"/>
          </w:rPr>
          <w:instrText xml:space="preserve"> PAGE   \* MERGEFORMAT </w:instrText>
        </w:r>
        <w:r w:rsidRPr="003908E0">
          <w:rPr>
            <w:rFonts w:ascii="Times New Roman" w:hAnsi="Times New Roman" w:cs="Times New Roman"/>
            <w:sz w:val="20"/>
            <w:szCs w:val="20"/>
          </w:rPr>
          <w:fldChar w:fldCharType="separate"/>
        </w:r>
        <w:r w:rsidR="00330BF0">
          <w:rPr>
            <w:rFonts w:ascii="Times New Roman" w:hAnsi="Times New Roman" w:cs="Times New Roman"/>
            <w:noProof/>
            <w:sz w:val="20"/>
            <w:szCs w:val="20"/>
          </w:rPr>
          <w:t>11</w:t>
        </w:r>
        <w:r w:rsidRPr="003908E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B95" w:rsidRDefault="00567B95">
      <w:pPr>
        <w:pStyle w:val="ParaTab1"/>
        <w:rPr>
          <w:sz w:val="20"/>
          <w:szCs w:val="20"/>
        </w:rPr>
      </w:pPr>
      <w:r>
        <w:rPr>
          <w:sz w:val="20"/>
          <w:szCs w:val="20"/>
        </w:rPr>
        <w:separator/>
      </w:r>
    </w:p>
  </w:footnote>
  <w:footnote w:type="continuationSeparator" w:id="0">
    <w:p w:rsidR="00567B95" w:rsidRDefault="00567B95">
      <w:pPr>
        <w:pStyle w:val="ParaTab1"/>
        <w:rPr>
          <w:sz w:val="20"/>
          <w:szCs w:val="20"/>
        </w:rPr>
      </w:pPr>
      <w:r>
        <w:rPr>
          <w:sz w:val="20"/>
          <w:szCs w:val="20"/>
        </w:rPr>
        <w:t>(..continued)</w:t>
      </w:r>
    </w:p>
  </w:footnote>
  <w:footnote w:id="1">
    <w:p w:rsidR="002B666B" w:rsidRPr="002B666B" w:rsidRDefault="002B666B">
      <w:pPr>
        <w:pStyle w:val="FootnoteText"/>
        <w:rPr>
          <w:sz w:val="20"/>
          <w:szCs w:val="20"/>
        </w:rPr>
      </w:pPr>
      <w:r>
        <w:rPr>
          <w:rStyle w:val="FootnoteReference"/>
        </w:rPr>
        <w:footnoteRef/>
      </w:r>
      <w:r w:rsidR="003908E0">
        <w:tab/>
      </w:r>
      <w:r w:rsidRPr="002B666B">
        <w:rPr>
          <w:sz w:val="20"/>
          <w:szCs w:val="20"/>
        </w:rPr>
        <w:t>This is a timely appeal of BCS Case No.</w:t>
      </w:r>
      <w:r w:rsidR="000516BF" w:rsidRPr="000516BF">
        <w:rPr>
          <w:sz w:val="20"/>
          <w:szCs w:val="20"/>
        </w:rPr>
        <w:t xml:space="preserve"> </w:t>
      </w:r>
      <w:r w:rsidR="000516BF" w:rsidRPr="002B666B">
        <w:rPr>
          <w:sz w:val="20"/>
          <w:szCs w:val="20"/>
        </w:rPr>
        <w:t>2880974</w:t>
      </w:r>
      <w:r w:rsidRPr="002B666B">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1DFA"/>
    <w:multiLevelType w:val="hybridMultilevel"/>
    <w:tmpl w:val="8F7AD36A"/>
    <w:lvl w:ilvl="0" w:tplc="F32ED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2FB6"/>
    <w:rsid w:val="000077A7"/>
    <w:rsid w:val="0002580A"/>
    <w:rsid w:val="0002741E"/>
    <w:rsid w:val="000311BF"/>
    <w:rsid w:val="0003733C"/>
    <w:rsid w:val="00037951"/>
    <w:rsid w:val="00043CE1"/>
    <w:rsid w:val="0004672F"/>
    <w:rsid w:val="0005019C"/>
    <w:rsid w:val="000516BF"/>
    <w:rsid w:val="000570B4"/>
    <w:rsid w:val="00066AF1"/>
    <w:rsid w:val="00071C51"/>
    <w:rsid w:val="0007411C"/>
    <w:rsid w:val="00074FDA"/>
    <w:rsid w:val="00082021"/>
    <w:rsid w:val="0008388E"/>
    <w:rsid w:val="000A2FAD"/>
    <w:rsid w:val="000A52EC"/>
    <w:rsid w:val="000A7D36"/>
    <w:rsid w:val="000B2E76"/>
    <w:rsid w:val="000B3C86"/>
    <w:rsid w:val="000C1849"/>
    <w:rsid w:val="000C24DA"/>
    <w:rsid w:val="000C2AEF"/>
    <w:rsid w:val="000C574E"/>
    <w:rsid w:val="000C696A"/>
    <w:rsid w:val="000C6A1D"/>
    <w:rsid w:val="000D204F"/>
    <w:rsid w:val="000E1C79"/>
    <w:rsid w:val="000E2077"/>
    <w:rsid w:val="000E28F8"/>
    <w:rsid w:val="000E4193"/>
    <w:rsid w:val="000E7B8F"/>
    <w:rsid w:val="00115CA0"/>
    <w:rsid w:val="00117AD5"/>
    <w:rsid w:val="00117FE0"/>
    <w:rsid w:val="00127B28"/>
    <w:rsid w:val="00145617"/>
    <w:rsid w:val="001478C0"/>
    <w:rsid w:val="001500CA"/>
    <w:rsid w:val="001545A6"/>
    <w:rsid w:val="00160A63"/>
    <w:rsid w:val="00184DEF"/>
    <w:rsid w:val="001913E2"/>
    <w:rsid w:val="001913EB"/>
    <w:rsid w:val="00193F05"/>
    <w:rsid w:val="00196175"/>
    <w:rsid w:val="001A02D8"/>
    <w:rsid w:val="001A1F66"/>
    <w:rsid w:val="001A526C"/>
    <w:rsid w:val="001C1326"/>
    <w:rsid w:val="001D0837"/>
    <w:rsid w:val="001D1AD1"/>
    <w:rsid w:val="001D5559"/>
    <w:rsid w:val="001D7260"/>
    <w:rsid w:val="001D753E"/>
    <w:rsid w:val="001D7B3E"/>
    <w:rsid w:val="001E4FE1"/>
    <w:rsid w:val="001E6132"/>
    <w:rsid w:val="001F11E8"/>
    <w:rsid w:val="002040BA"/>
    <w:rsid w:val="00210597"/>
    <w:rsid w:val="00213880"/>
    <w:rsid w:val="00213E5E"/>
    <w:rsid w:val="00215DC9"/>
    <w:rsid w:val="0022061E"/>
    <w:rsid w:val="00220D72"/>
    <w:rsid w:val="002311EC"/>
    <w:rsid w:val="00234024"/>
    <w:rsid w:val="002344E8"/>
    <w:rsid w:val="0023722B"/>
    <w:rsid w:val="00244D8B"/>
    <w:rsid w:val="00246CE3"/>
    <w:rsid w:val="00250B05"/>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6DD6"/>
    <w:rsid w:val="00297751"/>
    <w:rsid w:val="00297BB1"/>
    <w:rsid w:val="002B3289"/>
    <w:rsid w:val="002B5E52"/>
    <w:rsid w:val="002B666B"/>
    <w:rsid w:val="002B78D7"/>
    <w:rsid w:val="002C1BD6"/>
    <w:rsid w:val="002C28BB"/>
    <w:rsid w:val="002D0730"/>
    <w:rsid w:val="002D4B8D"/>
    <w:rsid w:val="002E1BD2"/>
    <w:rsid w:val="002E35A1"/>
    <w:rsid w:val="002F5CD5"/>
    <w:rsid w:val="002F6220"/>
    <w:rsid w:val="0030094C"/>
    <w:rsid w:val="0030258D"/>
    <w:rsid w:val="00304B12"/>
    <w:rsid w:val="00305550"/>
    <w:rsid w:val="003074FC"/>
    <w:rsid w:val="003128F2"/>
    <w:rsid w:val="0031518E"/>
    <w:rsid w:val="00315DAA"/>
    <w:rsid w:val="00317FA2"/>
    <w:rsid w:val="00327F22"/>
    <w:rsid w:val="00330BF0"/>
    <w:rsid w:val="00337CDB"/>
    <w:rsid w:val="00337CF1"/>
    <w:rsid w:val="00344BB9"/>
    <w:rsid w:val="0034744D"/>
    <w:rsid w:val="00362634"/>
    <w:rsid w:val="00362B96"/>
    <w:rsid w:val="00362EAE"/>
    <w:rsid w:val="00362FFE"/>
    <w:rsid w:val="00363273"/>
    <w:rsid w:val="00370720"/>
    <w:rsid w:val="00371787"/>
    <w:rsid w:val="00372D01"/>
    <w:rsid w:val="00373D26"/>
    <w:rsid w:val="00376195"/>
    <w:rsid w:val="00376D13"/>
    <w:rsid w:val="00377F32"/>
    <w:rsid w:val="0038029E"/>
    <w:rsid w:val="00384206"/>
    <w:rsid w:val="003872E9"/>
    <w:rsid w:val="00387DE3"/>
    <w:rsid w:val="003908E0"/>
    <w:rsid w:val="003921FB"/>
    <w:rsid w:val="00396293"/>
    <w:rsid w:val="00397CFB"/>
    <w:rsid w:val="003A28F8"/>
    <w:rsid w:val="003A3BD7"/>
    <w:rsid w:val="003A65C4"/>
    <w:rsid w:val="003B03F5"/>
    <w:rsid w:val="003B0F10"/>
    <w:rsid w:val="003B21B9"/>
    <w:rsid w:val="003B429E"/>
    <w:rsid w:val="003B4D2C"/>
    <w:rsid w:val="003C18AE"/>
    <w:rsid w:val="003C2ED9"/>
    <w:rsid w:val="003C321F"/>
    <w:rsid w:val="003C5897"/>
    <w:rsid w:val="003C6B31"/>
    <w:rsid w:val="003C6EF3"/>
    <w:rsid w:val="003D18CF"/>
    <w:rsid w:val="003D3D32"/>
    <w:rsid w:val="003D408B"/>
    <w:rsid w:val="003D428E"/>
    <w:rsid w:val="003D4423"/>
    <w:rsid w:val="003D6062"/>
    <w:rsid w:val="003D643A"/>
    <w:rsid w:val="003E01A1"/>
    <w:rsid w:val="003E0E07"/>
    <w:rsid w:val="003E1249"/>
    <w:rsid w:val="003E406A"/>
    <w:rsid w:val="003F0F87"/>
    <w:rsid w:val="003F28B4"/>
    <w:rsid w:val="003F35CF"/>
    <w:rsid w:val="003F5E4D"/>
    <w:rsid w:val="0040316F"/>
    <w:rsid w:val="00403EE1"/>
    <w:rsid w:val="004058DB"/>
    <w:rsid w:val="004078BC"/>
    <w:rsid w:val="0041082D"/>
    <w:rsid w:val="004132FD"/>
    <w:rsid w:val="0041397D"/>
    <w:rsid w:val="00416C21"/>
    <w:rsid w:val="00420452"/>
    <w:rsid w:val="00422F13"/>
    <w:rsid w:val="004234E4"/>
    <w:rsid w:val="004245ED"/>
    <w:rsid w:val="0043103B"/>
    <w:rsid w:val="00431C52"/>
    <w:rsid w:val="00434157"/>
    <w:rsid w:val="00436AD3"/>
    <w:rsid w:val="00440B5A"/>
    <w:rsid w:val="00440D10"/>
    <w:rsid w:val="00441785"/>
    <w:rsid w:val="00444AE3"/>
    <w:rsid w:val="00444AFB"/>
    <w:rsid w:val="00447799"/>
    <w:rsid w:val="00461B36"/>
    <w:rsid w:val="00463404"/>
    <w:rsid w:val="004668D3"/>
    <w:rsid w:val="004712BD"/>
    <w:rsid w:val="00471358"/>
    <w:rsid w:val="00472EAA"/>
    <w:rsid w:val="00475F46"/>
    <w:rsid w:val="00483815"/>
    <w:rsid w:val="004946F6"/>
    <w:rsid w:val="004955E6"/>
    <w:rsid w:val="004A1C83"/>
    <w:rsid w:val="004A201E"/>
    <w:rsid w:val="004B0990"/>
    <w:rsid w:val="004B1BF9"/>
    <w:rsid w:val="004B3362"/>
    <w:rsid w:val="004C7F94"/>
    <w:rsid w:val="004D2E07"/>
    <w:rsid w:val="004E7962"/>
    <w:rsid w:val="004F4257"/>
    <w:rsid w:val="004F761A"/>
    <w:rsid w:val="0050428F"/>
    <w:rsid w:val="00506BDD"/>
    <w:rsid w:val="00507F45"/>
    <w:rsid w:val="005109E4"/>
    <w:rsid w:val="00510FD1"/>
    <w:rsid w:val="00511F84"/>
    <w:rsid w:val="00513E70"/>
    <w:rsid w:val="00522445"/>
    <w:rsid w:val="00534201"/>
    <w:rsid w:val="00535C96"/>
    <w:rsid w:val="00541666"/>
    <w:rsid w:val="0054237B"/>
    <w:rsid w:val="00544C76"/>
    <w:rsid w:val="0054748C"/>
    <w:rsid w:val="0055022D"/>
    <w:rsid w:val="00551376"/>
    <w:rsid w:val="00553C29"/>
    <w:rsid w:val="00554503"/>
    <w:rsid w:val="0055649D"/>
    <w:rsid w:val="0056006D"/>
    <w:rsid w:val="005670AC"/>
    <w:rsid w:val="00567106"/>
    <w:rsid w:val="00567B95"/>
    <w:rsid w:val="00573692"/>
    <w:rsid w:val="00573B26"/>
    <w:rsid w:val="00576151"/>
    <w:rsid w:val="005767A1"/>
    <w:rsid w:val="0058419B"/>
    <w:rsid w:val="00584886"/>
    <w:rsid w:val="00586C74"/>
    <w:rsid w:val="00587584"/>
    <w:rsid w:val="0059058D"/>
    <w:rsid w:val="005939E4"/>
    <w:rsid w:val="005A27D0"/>
    <w:rsid w:val="005A5839"/>
    <w:rsid w:val="005A6C09"/>
    <w:rsid w:val="005B1657"/>
    <w:rsid w:val="005B29B8"/>
    <w:rsid w:val="005B3530"/>
    <w:rsid w:val="005B4F80"/>
    <w:rsid w:val="005C17A0"/>
    <w:rsid w:val="005C4537"/>
    <w:rsid w:val="005C4709"/>
    <w:rsid w:val="005D2A74"/>
    <w:rsid w:val="005D2A98"/>
    <w:rsid w:val="005D66D5"/>
    <w:rsid w:val="005E2ED7"/>
    <w:rsid w:val="005E4B0B"/>
    <w:rsid w:val="005E5B8A"/>
    <w:rsid w:val="005E62AA"/>
    <w:rsid w:val="005E6C37"/>
    <w:rsid w:val="005F1C68"/>
    <w:rsid w:val="005F269C"/>
    <w:rsid w:val="005F352E"/>
    <w:rsid w:val="005F4520"/>
    <w:rsid w:val="005F5C9D"/>
    <w:rsid w:val="005F6067"/>
    <w:rsid w:val="005F65B5"/>
    <w:rsid w:val="005F706C"/>
    <w:rsid w:val="00604212"/>
    <w:rsid w:val="006042F0"/>
    <w:rsid w:val="0060450B"/>
    <w:rsid w:val="006078DF"/>
    <w:rsid w:val="0061111B"/>
    <w:rsid w:val="00611DAB"/>
    <w:rsid w:val="00612F0C"/>
    <w:rsid w:val="006134F1"/>
    <w:rsid w:val="00615756"/>
    <w:rsid w:val="00615C75"/>
    <w:rsid w:val="00617F4A"/>
    <w:rsid w:val="00620323"/>
    <w:rsid w:val="006204D8"/>
    <w:rsid w:val="00620B89"/>
    <w:rsid w:val="00623945"/>
    <w:rsid w:val="0063148D"/>
    <w:rsid w:val="006349C0"/>
    <w:rsid w:val="00644CED"/>
    <w:rsid w:val="00647650"/>
    <w:rsid w:val="006479D7"/>
    <w:rsid w:val="00652306"/>
    <w:rsid w:val="006557AC"/>
    <w:rsid w:val="006573C5"/>
    <w:rsid w:val="00657AAB"/>
    <w:rsid w:val="006608FD"/>
    <w:rsid w:val="0066223E"/>
    <w:rsid w:val="0066241C"/>
    <w:rsid w:val="00662491"/>
    <w:rsid w:val="00663566"/>
    <w:rsid w:val="00664278"/>
    <w:rsid w:val="006764BC"/>
    <w:rsid w:val="0067658B"/>
    <w:rsid w:val="006807F4"/>
    <w:rsid w:val="00686575"/>
    <w:rsid w:val="0069071C"/>
    <w:rsid w:val="006A4FFB"/>
    <w:rsid w:val="006A6645"/>
    <w:rsid w:val="006B094F"/>
    <w:rsid w:val="006B1233"/>
    <w:rsid w:val="006B161B"/>
    <w:rsid w:val="006C18B7"/>
    <w:rsid w:val="006C5054"/>
    <w:rsid w:val="006D4AF2"/>
    <w:rsid w:val="006D5560"/>
    <w:rsid w:val="006D5683"/>
    <w:rsid w:val="006E00DD"/>
    <w:rsid w:val="006E0A31"/>
    <w:rsid w:val="006E5589"/>
    <w:rsid w:val="006E721C"/>
    <w:rsid w:val="006F244B"/>
    <w:rsid w:val="006F2E0F"/>
    <w:rsid w:val="00702080"/>
    <w:rsid w:val="00705F2C"/>
    <w:rsid w:val="00713205"/>
    <w:rsid w:val="007132B0"/>
    <w:rsid w:val="0071383B"/>
    <w:rsid w:val="0071467B"/>
    <w:rsid w:val="00717DD4"/>
    <w:rsid w:val="00721557"/>
    <w:rsid w:val="00722965"/>
    <w:rsid w:val="00724BBF"/>
    <w:rsid w:val="00725BA8"/>
    <w:rsid w:val="007404D5"/>
    <w:rsid w:val="00742E76"/>
    <w:rsid w:val="007467C1"/>
    <w:rsid w:val="00750050"/>
    <w:rsid w:val="007515E8"/>
    <w:rsid w:val="00752E38"/>
    <w:rsid w:val="007538CC"/>
    <w:rsid w:val="00753DF5"/>
    <w:rsid w:val="007546FC"/>
    <w:rsid w:val="0075658E"/>
    <w:rsid w:val="00756BB4"/>
    <w:rsid w:val="00756D04"/>
    <w:rsid w:val="00756D8F"/>
    <w:rsid w:val="0076548B"/>
    <w:rsid w:val="007731CE"/>
    <w:rsid w:val="007810D0"/>
    <w:rsid w:val="0079257C"/>
    <w:rsid w:val="00792F0E"/>
    <w:rsid w:val="00794938"/>
    <w:rsid w:val="007A2B0A"/>
    <w:rsid w:val="007A64DD"/>
    <w:rsid w:val="007A673B"/>
    <w:rsid w:val="007B5973"/>
    <w:rsid w:val="007C166F"/>
    <w:rsid w:val="007C6B7B"/>
    <w:rsid w:val="007D0C0D"/>
    <w:rsid w:val="007D47BE"/>
    <w:rsid w:val="007D5D9F"/>
    <w:rsid w:val="007E3DA4"/>
    <w:rsid w:val="007E7052"/>
    <w:rsid w:val="007F576B"/>
    <w:rsid w:val="007F5B4F"/>
    <w:rsid w:val="007F6B89"/>
    <w:rsid w:val="007F78AD"/>
    <w:rsid w:val="007F7B2A"/>
    <w:rsid w:val="0080094D"/>
    <w:rsid w:val="0080198C"/>
    <w:rsid w:val="00803BEC"/>
    <w:rsid w:val="008078AF"/>
    <w:rsid w:val="008153D0"/>
    <w:rsid w:val="008177FA"/>
    <w:rsid w:val="00821A6B"/>
    <w:rsid w:val="0082300F"/>
    <w:rsid w:val="008249D3"/>
    <w:rsid w:val="00826FF7"/>
    <w:rsid w:val="00827617"/>
    <w:rsid w:val="00833FB8"/>
    <w:rsid w:val="00840B9C"/>
    <w:rsid w:val="0084333D"/>
    <w:rsid w:val="00844412"/>
    <w:rsid w:val="0084560B"/>
    <w:rsid w:val="00846AB3"/>
    <w:rsid w:val="00847556"/>
    <w:rsid w:val="00851C26"/>
    <w:rsid w:val="00864589"/>
    <w:rsid w:val="00865C2D"/>
    <w:rsid w:val="00867FBD"/>
    <w:rsid w:val="008727BC"/>
    <w:rsid w:val="00877374"/>
    <w:rsid w:val="008774B0"/>
    <w:rsid w:val="0088300C"/>
    <w:rsid w:val="00885185"/>
    <w:rsid w:val="0088795E"/>
    <w:rsid w:val="00890D3D"/>
    <w:rsid w:val="00891564"/>
    <w:rsid w:val="00895853"/>
    <w:rsid w:val="00897B60"/>
    <w:rsid w:val="00897C02"/>
    <w:rsid w:val="00897D6A"/>
    <w:rsid w:val="008A02DC"/>
    <w:rsid w:val="008A0E9A"/>
    <w:rsid w:val="008A5224"/>
    <w:rsid w:val="008C20EA"/>
    <w:rsid w:val="008D1001"/>
    <w:rsid w:val="008D1586"/>
    <w:rsid w:val="008D2AD5"/>
    <w:rsid w:val="008D3243"/>
    <w:rsid w:val="008D64C9"/>
    <w:rsid w:val="008E2FB6"/>
    <w:rsid w:val="008E7719"/>
    <w:rsid w:val="008F1052"/>
    <w:rsid w:val="008F1DE7"/>
    <w:rsid w:val="00901715"/>
    <w:rsid w:val="00902101"/>
    <w:rsid w:val="00912DC6"/>
    <w:rsid w:val="0091382C"/>
    <w:rsid w:val="00916862"/>
    <w:rsid w:val="00917D24"/>
    <w:rsid w:val="00923837"/>
    <w:rsid w:val="0092569C"/>
    <w:rsid w:val="00926D97"/>
    <w:rsid w:val="009302E5"/>
    <w:rsid w:val="0093256F"/>
    <w:rsid w:val="0093467F"/>
    <w:rsid w:val="009347D6"/>
    <w:rsid w:val="009441A1"/>
    <w:rsid w:val="009473BF"/>
    <w:rsid w:val="0094794D"/>
    <w:rsid w:val="0095003B"/>
    <w:rsid w:val="00952C97"/>
    <w:rsid w:val="009568BE"/>
    <w:rsid w:val="00960F3C"/>
    <w:rsid w:val="00962EDE"/>
    <w:rsid w:val="0096422B"/>
    <w:rsid w:val="00966E87"/>
    <w:rsid w:val="009728A5"/>
    <w:rsid w:val="00974D94"/>
    <w:rsid w:val="00976852"/>
    <w:rsid w:val="0098095E"/>
    <w:rsid w:val="00981A48"/>
    <w:rsid w:val="0098215A"/>
    <w:rsid w:val="00983583"/>
    <w:rsid w:val="00984405"/>
    <w:rsid w:val="009860B5"/>
    <w:rsid w:val="00990604"/>
    <w:rsid w:val="00990854"/>
    <w:rsid w:val="009959E2"/>
    <w:rsid w:val="0099716F"/>
    <w:rsid w:val="009A06B9"/>
    <w:rsid w:val="009A2719"/>
    <w:rsid w:val="009A271D"/>
    <w:rsid w:val="009A4689"/>
    <w:rsid w:val="009B0BBF"/>
    <w:rsid w:val="009B38AB"/>
    <w:rsid w:val="009B4366"/>
    <w:rsid w:val="009B5C63"/>
    <w:rsid w:val="009B7D2E"/>
    <w:rsid w:val="009C2BEA"/>
    <w:rsid w:val="009D6DA8"/>
    <w:rsid w:val="009E01CA"/>
    <w:rsid w:val="009E18CF"/>
    <w:rsid w:val="00A055BE"/>
    <w:rsid w:val="00A05D66"/>
    <w:rsid w:val="00A118DA"/>
    <w:rsid w:val="00A20FA0"/>
    <w:rsid w:val="00A219C5"/>
    <w:rsid w:val="00A2429C"/>
    <w:rsid w:val="00A24FFB"/>
    <w:rsid w:val="00A259E4"/>
    <w:rsid w:val="00A30A2B"/>
    <w:rsid w:val="00A328F5"/>
    <w:rsid w:val="00A32DDC"/>
    <w:rsid w:val="00A40B4F"/>
    <w:rsid w:val="00A504B3"/>
    <w:rsid w:val="00A51978"/>
    <w:rsid w:val="00A526D9"/>
    <w:rsid w:val="00A53262"/>
    <w:rsid w:val="00A564BC"/>
    <w:rsid w:val="00A567DC"/>
    <w:rsid w:val="00A56F0E"/>
    <w:rsid w:val="00A57D00"/>
    <w:rsid w:val="00A6356A"/>
    <w:rsid w:val="00A665BB"/>
    <w:rsid w:val="00A839FD"/>
    <w:rsid w:val="00A85B0E"/>
    <w:rsid w:val="00A862CE"/>
    <w:rsid w:val="00A90CD6"/>
    <w:rsid w:val="00A9452C"/>
    <w:rsid w:val="00AB17F8"/>
    <w:rsid w:val="00AB1D13"/>
    <w:rsid w:val="00AB2673"/>
    <w:rsid w:val="00AB4A3A"/>
    <w:rsid w:val="00AB6622"/>
    <w:rsid w:val="00AC11F3"/>
    <w:rsid w:val="00AC12F1"/>
    <w:rsid w:val="00AC5CB0"/>
    <w:rsid w:val="00AC6DFE"/>
    <w:rsid w:val="00AD1D49"/>
    <w:rsid w:val="00AE065A"/>
    <w:rsid w:val="00AE1215"/>
    <w:rsid w:val="00AE1A43"/>
    <w:rsid w:val="00AE75CD"/>
    <w:rsid w:val="00AF3E72"/>
    <w:rsid w:val="00AF4E84"/>
    <w:rsid w:val="00B03B4C"/>
    <w:rsid w:val="00B0550B"/>
    <w:rsid w:val="00B07ECF"/>
    <w:rsid w:val="00B13CC9"/>
    <w:rsid w:val="00B14D0F"/>
    <w:rsid w:val="00B17E2A"/>
    <w:rsid w:val="00B20595"/>
    <w:rsid w:val="00B21721"/>
    <w:rsid w:val="00B33BA2"/>
    <w:rsid w:val="00B37763"/>
    <w:rsid w:val="00B37FE9"/>
    <w:rsid w:val="00B40505"/>
    <w:rsid w:val="00B42737"/>
    <w:rsid w:val="00B4433D"/>
    <w:rsid w:val="00B5102A"/>
    <w:rsid w:val="00B5116B"/>
    <w:rsid w:val="00B53C78"/>
    <w:rsid w:val="00B5790A"/>
    <w:rsid w:val="00B61D9E"/>
    <w:rsid w:val="00B62415"/>
    <w:rsid w:val="00B63008"/>
    <w:rsid w:val="00B6619F"/>
    <w:rsid w:val="00B7105E"/>
    <w:rsid w:val="00B715CE"/>
    <w:rsid w:val="00B72D65"/>
    <w:rsid w:val="00B756B3"/>
    <w:rsid w:val="00B860D6"/>
    <w:rsid w:val="00B96BD2"/>
    <w:rsid w:val="00B9725F"/>
    <w:rsid w:val="00BA4173"/>
    <w:rsid w:val="00BB4618"/>
    <w:rsid w:val="00BB636C"/>
    <w:rsid w:val="00BB6A38"/>
    <w:rsid w:val="00BC2812"/>
    <w:rsid w:val="00BC3708"/>
    <w:rsid w:val="00BC3FE5"/>
    <w:rsid w:val="00BC6F8E"/>
    <w:rsid w:val="00BC7344"/>
    <w:rsid w:val="00BD3A4D"/>
    <w:rsid w:val="00BD44D3"/>
    <w:rsid w:val="00BD56B5"/>
    <w:rsid w:val="00BE2ACA"/>
    <w:rsid w:val="00BE2C9E"/>
    <w:rsid w:val="00BF020C"/>
    <w:rsid w:val="00BF075A"/>
    <w:rsid w:val="00BF1A27"/>
    <w:rsid w:val="00C00682"/>
    <w:rsid w:val="00C02414"/>
    <w:rsid w:val="00C07413"/>
    <w:rsid w:val="00C1434A"/>
    <w:rsid w:val="00C14ADD"/>
    <w:rsid w:val="00C17974"/>
    <w:rsid w:val="00C22CC3"/>
    <w:rsid w:val="00C236EE"/>
    <w:rsid w:val="00C3078F"/>
    <w:rsid w:val="00C32817"/>
    <w:rsid w:val="00C42508"/>
    <w:rsid w:val="00C43B6A"/>
    <w:rsid w:val="00C446EF"/>
    <w:rsid w:val="00C46DA7"/>
    <w:rsid w:val="00C52587"/>
    <w:rsid w:val="00C52F27"/>
    <w:rsid w:val="00C53499"/>
    <w:rsid w:val="00C562AF"/>
    <w:rsid w:val="00C6518C"/>
    <w:rsid w:val="00C6794F"/>
    <w:rsid w:val="00C72C7B"/>
    <w:rsid w:val="00C81BBF"/>
    <w:rsid w:val="00C82C1A"/>
    <w:rsid w:val="00C862FD"/>
    <w:rsid w:val="00C868F8"/>
    <w:rsid w:val="00C86A11"/>
    <w:rsid w:val="00C86B5C"/>
    <w:rsid w:val="00C870AF"/>
    <w:rsid w:val="00C879E5"/>
    <w:rsid w:val="00C95810"/>
    <w:rsid w:val="00C958E4"/>
    <w:rsid w:val="00C977BE"/>
    <w:rsid w:val="00CA2AE7"/>
    <w:rsid w:val="00CA2FE0"/>
    <w:rsid w:val="00CA3F07"/>
    <w:rsid w:val="00CA53D9"/>
    <w:rsid w:val="00CB0771"/>
    <w:rsid w:val="00CB1720"/>
    <w:rsid w:val="00CB34A2"/>
    <w:rsid w:val="00CB7ACD"/>
    <w:rsid w:val="00CB7F09"/>
    <w:rsid w:val="00CD0595"/>
    <w:rsid w:val="00CD285B"/>
    <w:rsid w:val="00CE4344"/>
    <w:rsid w:val="00CE5D06"/>
    <w:rsid w:val="00CF75E0"/>
    <w:rsid w:val="00D02DA3"/>
    <w:rsid w:val="00D1704A"/>
    <w:rsid w:val="00D2165D"/>
    <w:rsid w:val="00D21B8F"/>
    <w:rsid w:val="00D26FC9"/>
    <w:rsid w:val="00D3322D"/>
    <w:rsid w:val="00D34102"/>
    <w:rsid w:val="00D40299"/>
    <w:rsid w:val="00D46CBA"/>
    <w:rsid w:val="00D470F5"/>
    <w:rsid w:val="00D63669"/>
    <w:rsid w:val="00D63C67"/>
    <w:rsid w:val="00D64007"/>
    <w:rsid w:val="00D641C5"/>
    <w:rsid w:val="00D71D77"/>
    <w:rsid w:val="00D71EAF"/>
    <w:rsid w:val="00D74455"/>
    <w:rsid w:val="00D76867"/>
    <w:rsid w:val="00D8243B"/>
    <w:rsid w:val="00D83169"/>
    <w:rsid w:val="00D858D8"/>
    <w:rsid w:val="00D86F3C"/>
    <w:rsid w:val="00D9364A"/>
    <w:rsid w:val="00D97C37"/>
    <w:rsid w:val="00DA397B"/>
    <w:rsid w:val="00DA50DF"/>
    <w:rsid w:val="00DA5B70"/>
    <w:rsid w:val="00DB5107"/>
    <w:rsid w:val="00DB5586"/>
    <w:rsid w:val="00DB591D"/>
    <w:rsid w:val="00DB6D34"/>
    <w:rsid w:val="00DD1D4E"/>
    <w:rsid w:val="00DD685A"/>
    <w:rsid w:val="00DE0129"/>
    <w:rsid w:val="00DE3E7D"/>
    <w:rsid w:val="00DE7566"/>
    <w:rsid w:val="00DF3A24"/>
    <w:rsid w:val="00DF481B"/>
    <w:rsid w:val="00DF7EE8"/>
    <w:rsid w:val="00E04026"/>
    <w:rsid w:val="00E041C9"/>
    <w:rsid w:val="00E12835"/>
    <w:rsid w:val="00E14C30"/>
    <w:rsid w:val="00E1535E"/>
    <w:rsid w:val="00E2029D"/>
    <w:rsid w:val="00E22E48"/>
    <w:rsid w:val="00E26BBB"/>
    <w:rsid w:val="00E3529B"/>
    <w:rsid w:val="00E4689F"/>
    <w:rsid w:val="00E507BA"/>
    <w:rsid w:val="00E507BC"/>
    <w:rsid w:val="00E50E67"/>
    <w:rsid w:val="00E51C71"/>
    <w:rsid w:val="00E7161D"/>
    <w:rsid w:val="00E7480E"/>
    <w:rsid w:val="00E7744F"/>
    <w:rsid w:val="00E849D5"/>
    <w:rsid w:val="00E92F24"/>
    <w:rsid w:val="00E94046"/>
    <w:rsid w:val="00E95B19"/>
    <w:rsid w:val="00E96EB4"/>
    <w:rsid w:val="00E97461"/>
    <w:rsid w:val="00E977C8"/>
    <w:rsid w:val="00E97AB6"/>
    <w:rsid w:val="00EA3C79"/>
    <w:rsid w:val="00EB21D7"/>
    <w:rsid w:val="00EC0EE9"/>
    <w:rsid w:val="00EC1D92"/>
    <w:rsid w:val="00EC286B"/>
    <w:rsid w:val="00EC2D1D"/>
    <w:rsid w:val="00EC3DE0"/>
    <w:rsid w:val="00EC42C3"/>
    <w:rsid w:val="00EC5A2D"/>
    <w:rsid w:val="00EC7184"/>
    <w:rsid w:val="00EE42D0"/>
    <w:rsid w:val="00EE5088"/>
    <w:rsid w:val="00EE5A0F"/>
    <w:rsid w:val="00F10AFF"/>
    <w:rsid w:val="00F11988"/>
    <w:rsid w:val="00F1278A"/>
    <w:rsid w:val="00F1656B"/>
    <w:rsid w:val="00F20F26"/>
    <w:rsid w:val="00F2498B"/>
    <w:rsid w:val="00F2578B"/>
    <w:rsid w:val="00F35147"/>
    <w:rsid w:val="00F35BA9"/>
    <w:rsid w:val="00F401F2"/>
    <w:rsid w:val="00F46CF4"/>
    <w:rsid w:val="00F47CC0"/>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09BB"/>
    <w:rsid w:val="00FB13C0"/>
    <w:rsid w:val="00FB170C"/>
    <w:rsid w:val="00FB5FFB"/>
    <w:rsid w:val="00FC0540"/>
    <w:rsid w:val="00FC0E73"/>
    <w:rsid w:val="00FC1A04"/>
    <w:rsid w:val="00FC1F33"/>
    <w:rsid w:val="00FC3954"/>
    <w:rsid w:val="00FC66D2"/>
    <w:rsid w:val="00FD04E2"/>
    <w:rsid w:val="00FE2711"/>
    <w:rsid w:val="00FE63B9"/>
    <w:rsid w:val="00FE6A4D"/>
    <w:rsid w:val="00FE7F55"/>
    <w:rsid w:val="00FF1631"/>
    <w:rsid w:val="00FF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07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2077"/>
  </w:style>
  <w:style w:type="character" w:styleId="EndnoteReference">
    <w:name w:val="endnote reference"/>
    <w:basedOn w:val="DefaultParagraphFont"/>
    <w:semiHidden/>
    <w:rsid w:val="000E2077"/>
    <w:rPr>
      <w:vertAlign w:val="superscript"/>
    </w:rPr>
  </w:style>
  <w:style w:type="paragraph" w:styleId="FootnoteText">
    <w:name w:val="footnote text"/>
    <w:basedOn w:val="Normal"/>
    <w:link w:val="FootnoteTextChar"/>
    <w:uiPriority w:val="99"/>
    <w:semiHidden/>
    <w:rsid w:val="000E2077"/>
  </w:style>
  <w:style w:type="character" w:styleId="FootnoteReference">
    <w:name w:val="footnote reference"/>
    <w:basedOn w:val="DefaultParagraphFont"/>
    <w:uiPriority w:val="99"/>
    <w:semiHidden/>
    <w:rsid w:val="000E2077"/>
    <w:rPr>
      <w:vertAlign w:val="superscript"/>
    </w:rPr>
  </w:style>
  <w:style w:type="paragraph" w:customStyle="1" w:styleId="ParaTab1">
    <w:name w:val="ParaTab 1"/>
    <w:rsid w:val="000E207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0E207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0E207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0E207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0E207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0E207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0E207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0E207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0E2077"/>
    <w:pPr>
      <w:tabs>
        <w:tab w:val="right" w:leader="dot" w:pos="9360"/>
      </w:tabs>
      <w:suppressAutoHyphens/>
      <w:spacing w:before="480"/>
      <w:ind w:left="720" w:right="720" w:hanging="720"/>
    </w:pPr>
  </w:style>
  <w:style w:type="paragraph" w:styleId="TOC2">
    <w:name w:val="toc 2"/>
    <w:basedOn w:val="Normal"/>
    <w:next w:val="Normal"/>
    <w:autoRedefine/>
    <w:semiHidden/>
    <w:rsid w:val="000E2077"/>
    <w:pPr>
      <w:tabs>
        <w:tab w:val="right" w:leader="dot" w:pos="9360"/>
      </w:tabs>
      <w:suppressAutoHyphens/>
      <w:ind w:left="720" w:right="720"/>
    </w:pPr>
  </w:style>
  <w:style w:type="paragraph" w:styleId="TOC3">
    <w:name w:val="toc 3"/>
    <w:basedOn w:val="Normal"/>
    <w:next w:val="Normal"/>
    <w:autoRedefine/>
    <w:semiHidden/>
    <w:rsid w:val="000E2077"/>
    <w:pPr>
      <w:tabs>
        <w:tab w:val="right" w:leader="dot" w:pos="9360"/>
      </w:tabs>
      <w:suppressAutoHyphens/>
      <w:ind w:left="720" w:right="720"/>
    </w:pPr>
  </w:style>
  <w:style w:type="paragraph" w:styleId="TOC4">
    <w:name w:val="toc 4"/>
    <w:basedOn w:val="Normal"/>
    <w:next w:val="Normal"/>
    <w:autoRedefine/>
    <w:semiHidden/>
    <w:rsid w:val="000E2077"/>
    <w:pPr>
      <w:tabs>
        <w:tab w:val="right" w:leader="dot" w:pos="9360"/>
      </w:tabs>
      <w:suppressAutoHyphens/>
      <w:ind w:left="720" w:right="720"/>
    </w:pPr>
  </w:style>
  <w:style w:type="paragraph" w:styleId="TOC5">
    <w:name w:val="toc 5"/>
    <w:basedOn w:val="Normal"/>
    <w:next w:val="Normal"/>
    <w:autoRedefine/>
    <w:semiHidden/>
    <w:rsid w:val="000E2077"/>
    <w:pPr>
      <w:tabs>
        <w:tab w:val="right" w:leader="dot" w:pos="9360"/>
      </w:tabs>
      <w:suppressAutoHyphens/>
      <w:ind w:left="720" w:right="720"/>
    </w:pPr>
  </w:style>
  <w:style w:type="paragraph" w:styleId="TOC6">
    <w:name w:val="toc 6"/>
    <w:basedOn w:val="Normal"/>
    <w:next w:val="Normal"/>
    <w:autoRedefine/>
    <w:semiHidden/>
    <w:rsid w:val="000E2077"/>
    <w:pPr>
      <w:tabs>
        <w:tab w:val="right" w:pos="9360"/>
      </w:tabs>
      <w:suppressAutoHyphens/>
      <w:ind w:left="720" w:hanging="720"/>
    </w:pPr>
  </w:style>
  <w:style w:type="paragraph" w:styleId="TOC7">
    <w:name w:val="toc 7"/>
    <w:basedOn w:val="Normal"/>
    <w:next w:val="Normal"/>
    <w:autoRedefine/>
    <w:semiHidden/>
    <w:rsid w:val="000E2077"/>
    <w:pPr>
      <w:suppressAutoHyphens/>
      <w:ind w:left="720" w:hanging="720"/>
    </w:pPr>
  </w:style>
  <w:style w:type="paragraph" w:styleId="TOC8">
    <w:name w:val="toc 8"/>
    <w:basedOn w:val="Normal"/>
    <w:next w:val="Normal"/>
    <w:autoRedefine/>
    <w:semiHidden/>
    <w:rsid w:val="000E2077"/>
    <w:pPr>
      <w:tabs>
        <w:tab w:val="right" w:pos="9360"/>
      </w:tabs>
      <w:suppressAutoHyphens/>
      <w:ind w:left="720" w:hanging="720"/>
    </w:pPr>
  </w:style>
  <w:style w:type="paragraph" w:styleId="TOC9">
    <w:name w:val="toc 9"/>
    <w:basedOn w:val="Normal"/>
    <w:next w:val="Normal"/>
    <w:autoRedefine/>
    <w:semiHidden/>
    <w:rsid w:val="000E2077"/>
    <w:pPr>
      <w:tabs>
        <w:tab w:val="right" w:leader="dot" w:pos="9360"/>
      </w:tabs>
      <w:suppressAutoHyphens/>
      <w:ind w:left="720" w:hanging="720"/>
    </w:pPr>
  </w:style>
  <w:style w:type="paragraph" w:styleId="Index1">
    <w:name w:val="index 1"/>
    <w:basedOn w:val="Normal"/>
    <w:next w:val="Normal"/>
    <w:autoRedefine/>
    <w:semiHidden/>
    <w:rsid w:val="000E2077"/>
    <w:pPr>
      <w:tabs>
        <w:tab w:val="right" w:leader="dot" w:pos="9360"/>
      </w:tabs>
      <w:suppressAutoHyphens/>
      <w:ind w:left="720" w:hanging="720"/>
    </w:pPr>
  </w:style>
  <w:style w:type="paragraph" w:styleId="Index2">
    <w:name w:val="index 2"/>
    <w:basedOn w:val="Normal"/>
    <w:next w:val="Normal"/>
    <w:autoRedefine/>
    <w:semiHidden/>
    <w:rsid w:val="000E2077"/>
    <w:pPr>
      <w:tabs>
        <w:tab w:val="right" w:leader="dot" w:pos="9360"/>
      </w:tabs>
      <w:suppressAutoHyphens/>
      <w:ind w:left="720"/>
    </w:pPr>
  </w:style>
  <w:style w:type="paragraph" w:styleId="TOAHeading">
    <w:name w:val="toa heading"/>
    <w:basedOn w:val="Normal"/>
    <w:next w:val="Normal"/>
    <w:semiHidden/>
    <w:rsid w:val="000E2077"/>
    <w:pPr>
      <w:tabs>
        <w:tab w:val="right" w:pos="9360"/>
      </w:tabs>
      <w:suppressAutoHyphens/>
    </w:pPr>
  </w:style>
  <w:style w:type="paragraph" w:styleId="Caption">
    <w:name w:val="caption"/>
    <w:basedOn w:val="Normal"/>
    <w:next w:val="Normal"/>
    <w:qFormat/>
    <w:rsid w:val="000E2077"/>
  </w:style>
  <w:style w:type="character" w:customStyle="1" w:styleId="EquationCaption">
    <w:name w:val="_Equation Caption"/>
    <w:rsid w:val="000E2077"/>
  </w:style>
  <w:style w:type="paragraph" w:styleId="Footer">
    <w:name w:val="footer"/>
    <w:basedOn w:val="Normal"/>
    <w:link w:val="FooterChar"/>
    <w:uiPriority w:val="99"/>
    <w:rsid w:val="000E2077"/>
    <w:pPr>
      <w:tabs>
        <w:tab w:val="center" w:pos="4320"/>
        <w:tab w:val="right" w:pos="8640"/>
      </w:tabs>
    </w:pPr>
  </w:style>
  <w:style w:type="character" w:styleId="PageNumber">
    <w:name w:val="page number"/>
    <w:basedOn w:val="DefaultParagraphFont"/>
    <w:rsid w:val="000E2077"/>
  </w:style>
  <w:style w:type="paragraph" w:styleId="Header">
    <w:name w:val="header"/>
    <w:basedOn w:val="Normal"/>
    <w:rsid w:val="000E207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noteTextChar">
    <w:name w:val="Footnote Text Char"/>
    <w:basedOn w:val="DefaultParagraphFont"/>
    <w:link w:val="FootnoteText"/>
    <w:uiPriority w:val="99"/>
    <w:semiHidden/>
    <w:rsid w:val="000570B4"/>
    <w:rPr>
      <w:rFonts w:ascii="CG Times" w:hAnsi="CG Times" w:cs="CG Times"/>
      <w:sz w:val="24"/>
      <w:szCs w:val="24"/>
    </w:rPr>
  </w:style>
  <w:style w:type="paragraph" w:styleId="ListParagraph">
    <w:name w:val="List Paragraph"/>
    <w:basedOn w:val="Normal"/>
    <w:uiPriority w:val="34"/>
    <w:qFormat/>
    <w:rsid w:val="00C32817"/>
    <w:pPr>
      <w:autoSpaceDE/>
      <w:autoSpaceDN/>
      <w:ind w:left="720"/>
      <w:contextualSpacing/>
    </w:pPr>
    <w:rPr>
      <w:rFonts w:ascii="Courier" w:hAnsi="Courier" w:cs="Times New Roman"/>
      <w:szCs w:val="20"/>
    </w:rPr>
  </w:style>
  <w:style w:type="character" w:customStyle="1" w:styleId="FooterChar">
    <w:name w:val="Footer Char"/>
    <w:basedOn w:val="DefaultParagraphFont"/>
    <w:link w:val="Footer"/>
    <w:uiPriority w:val="99"/>
    <w:rsid w:val="003908E0"/>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07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2077"/>
  </w:style>
  <w:style w:type="character" w:styleId="EndnoteReference">
    <w:name w:val="endnote reference"/>
    <w:basedOn w:val="DefaultParagraphFont"/>
    <w:semiHidden/>
    <w:rsid w:val="000E2077"/>
    <w:rPr>
      <w:vertAlign w:val="superscript"/>
    </w:rPr>
  </w:style>
  <w:style w:type="paragraph" w:styleId="FootnoteText">
    <w:name w:val="footnote text"/>
    <w:basedOn w:val="Normal"/>
    <w:link w:val="FootnoteTextChar"/>
    <w:uiPriority w:val="99"/>
    <w:semiHidden/>
    <w:rsid w:val="000E2077"/>
  </w:style>
  <w:style w:type="character" w:styleId="FootnoteReference">
    <w:name w:val="footnote reference"/>
    <w:basedOn w:val="DefaultParagraphFont"/>
    <w:uiPriority w:val="99"/>
    <w:semiHidden/>
    <w:rsid w:val="000E2077"/>
    <w:rPr>
      <w:vertAlign w:val="superscript"/>
    </w:rPr>
  </w:style>
  <w:style w:type="paragraph" w:customStyle="1" w:styleId="ParaTab1">
    <w:name w:val="ParaTab 1"/>
    <w:rsid w:val="000E207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0E207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0E207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0E207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0E207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0E207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0E207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0E207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0E2077"/>
    <w:pPr>
      <w:tabs>
        <w:tab w:val="right" w:leader="dot" w:pos="9360"/>
      </w:tabs>
      <w:suppressAutoHyphens/>
      <w:spacing w:before="480"/>
      <w:ind w:left="720" w:right="720" w:hanging="720"/>
    </w:pPr>
  </w:style>
  <w:style w:type="paragraph" w:styleId="TOC2">
    <w:name w:val="toc 2"/>
    <w:basedOn w:val="Normal"/>
    <w:next w:val="Normal"/>
    <w:autoRedefine/>
    <w:semiHidden/>
    <w:rsid w:val="000E2077"/>
    <w:pPr>
      <w:tabs>
        <w:tab w:val="right" w:leader="dot" w:pos="9360"/>
      </w:tabs>
      <w:suppressAutoHyphens/>
      <w:ind w:left="720" w:right="720"/>
    </w:pPr>
  </w:style>
  <w:style w:type="paragraph" w:styleId="TOC3">
    <w:name w:val="toc 3"/>
    <w:basedOn w:val="Normal"/>
    <w:next w:val="Normal"/>
    <w:autoRedefine/>
    <w:semiHidden/>
    <w:rsid w:val="000E2077"/>
    <w:pPr>
      <w:tabs>
        <w:tab w:val="right" w:leader="dot" w:pos="9360"/>
      </w:tabs>
      <w:suppressAutoHyphens/>
      <w:ind w:left="720" w:right="720"/>
    </w:pPr>
  </w:style>
  <w:style w:type="paragraph" w:styleId="TOC4">
    <w:name w:val="toc 4"/>
    <w:basedOn w:val="Normal"/>
    <w:next w:val="Normal"/>
    <w:autoRedefine/>
    <w:semiHidden/>
    <w:rsid w:val="000E2077"/>
    <w:pPr>
      <w:tabs>
        <w:tab w:val="right" w:leader="dot" w:pos="9360"/>
      </w:tabs>
      <w:suppressAutoHyphens/>
      <w:ind w:left="720" w:right="720"/>
    </w:pPr>
  </w:style>
  <w:style w:type="paragraph" w:styleId="TOC5">
    <w:name w:val="toc 5"/>
    <w:basedOn w:val="Normal"/>
    <w:next w:val="Normal"/>
    <w:autoRedefine/>
    <w:semiHidden/>
    <w:rsid w:val="000E2077"/>
    <w:pPr>
      <w:tabs>
        <w:tab w:val="right" w:leader="dot" w:pos="9360"/>
      </w:tabs>
      <w:suppressAutoHyphens/>
      <w:ind w:left="720" w:right="720"/>
    </w:pPr>
  </w:style>
  <w:style w:type="paragraph" w:styleId="TOC6">
    <w:name w:val="toc 6"/>
    <w:basedOn w:val="Normal"/>
    <w:next w:val="Normal"/>
    <w:autoRedefine/>
    <w:semiHidden/>
    <w:rsid w:val="000E2077"/>
    <w:pPr>
      <w:tabs>
        <w:tab w:val="right" w:pos="9360"/>
      </w:tabs>
      <w:suppressAutoHyphens/>
      <w:ind w:left="720" w:hanging="720"/>
    </w:pPr>
  </w:style>
  <w:style w:type="paragraph" w:styleId="TOC7">
    <w:name w:val="toc 7"/>
    <w:basedOn w:val="Normal"/>
    <w:next w:val="Normal"/>
    <w:autoRedefine/>
    <w:semiHidden/>
    <w:rsid w:val="000E2077"/>
    <w:pPr>
      <w:suppressAutoHyphens/>
      <w:ind w:left="720" w:hanging="720"/>
    </w:pPr>
  </w:style>
  <w:style w:type="paragraph" w:styleId="TOC8">
    <w:name w:val="toc 8"/>
    <w:basedOn w:val="Normal"/>
    <w:next w:val="Normal"/>
    <w:autoRedefine/>
    <w:semiHidden/>
    <w:rsid w:val="000E2077"/>
    <w:pPr>
      <w:tabs>
        <w:tab w:val="right" w:pos="9360"/>
      </w:tabs>
      <w:suppressAutoHyphens/>
      <w:ind w:left="720" w:hanging="720"/>
    </w:pPr>
  </w:style>
  <w:style w:type="paragraph" w:styleId="TOC9">
    <w:name w:val="toc 9"/>
    <w:basedOn w:val="Normal"/>
    <w:next w:val="Normal"/>
    <w:autoRedefine/>
    <w:semiHidden/>
    <w:rsid w:val="000E2077"/>
    <w:pPr>
      <w:tabs>
        <w:tab w:val="right" w:leader="dot" w:pos="9360"/>
      </w:tabs>
      <w:suppressAutoHyphens/>
      <w:ind w:left="720" w:hanging="720"/>
    </w:pPr>
  </w:style>
  <w:style w:type="paragraph" w:styleId="Index1">
    <w:name w:val="index 1"/>
    <w:basedOn w:val="Normal"/>
    <w:next w:val="Normal"/>
    <w:autoRedefine/>
    <w:semiHidden/>
    <w:rsid w:val="000E2077"/>
    <w:pPr>
      <w:tabs>
        <w:tab w:val="right" w:leader="dot" w:pos="9360"/>
      </w:tabs>
      <w:suppressAutoHyphens/>
      <w:ind w:left="720" w:hanging="720"/>
    </w:pPr>
  </w:style>
  <w:style w:type="paragraph" w:styleId="Index2">
    <w:name w:val="index 2"/>
    <w:basedOn w:val="Normal"/>
    <w:next w:val="Normal"/>
    <w:autoRedefine/>
    <w:semiHidden/>
    <w:rsid w:val="000E2077"/>
    <w:pPr>
      <w:tabs>
        <w:tab w:val="right" w:leader="dot" w:pos="9360"/>
      </w:tabs>
      <w:suppressAutoHyphens/>
      <w:ind w:left="720"/>
    </w:pPr>
  </w:style>
  <w:style w:type="paragraph" w:styleId="TOAHeading">
    <w:name w:val="toa heading"/>
    <w:basedOn w:val="Normal"/>
    <w:next w:val="Normal"/>
    <w:semiHidden/>
    <w:rsid w:val="000E2077"/>
    <w:pPr>
      <w:tabs>
        <w:tab w:val="right" w:pos="9360"/>
      </w:tabs>
      <w:suppressAutoHyphens/>
    </w:pPr>
  </w:style>
  <w:style w:type="paragraph" w:styleId="Caption">
    <w:name w:val="caption"/>
    <w:basedOn w:val="Normal"/>
    <w:next w:val="Normal"/>
    <w:qFormat/>
    <w:rsid w:val="000E2077"/>
  </w:style>
  <w:style w:type="character" w:customStyle="1" w:styleId="EquationCaption">
    <w:name w:val="_Equation Caption"/>
    <w:rsid w:val="000E2077"/>
  </w:style>
  <w:style w:type="paragraph" w:styleId="Footer">
    <w:name w:val="footer"/>
    <w:basedOn w:val="Normal"/>
    <w:link w:val="FooterChar"/>
    <w:uiPriority w:val="99"/>
    <w:rsid w:val="000E2077"/>
    <w:pPr>
      <w:tabs>
        <w:tab w:val="center" w:pos="4320"/>
        <w:tab w:val="right" w:pos="8640"/>
      </w:tabs>
    </w:pPr>
  </w:style>
  <w:style w:type="character" w:styleId="PageNumber">
    <w:name w:val="page number"/>
    <w:basedOn w:val="DefaultParagraphFont"/>
    <w:rsid w:val="000E2077"/>
  </w:style>
  <w:style w:type="paragraph" w:styleId="Header">
    <w:name w:val="header"/>
    <w:basedOn w:val="Normal"/>
    <w:rsid w:val="000E207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noteTextChar">
    <w:name w:val="Footnote Text Char"/>
    <w:basedOn w:val="DefaultParagraphFont"/>
    <w:link w:val="FootnoteText"/>
    <w:uiPriority w:val="99"/>
    <w:semiHidden/>
    <w:rsid w:val="000570B4"/>
    <w:rPr>
      <w:rFonts w:ascii="CG Times" w:hAnsi="CG Times" w:cs="CG Times"/>
      <w:sz w:val="24"/>
      <w:szCs w:val="24"/>
    </w:rPr>
  </w:style>
  <w:style w:type="paragraph" w:styleId="ListParagraph">
    <w:name w:val="List Paragraph"/>
    <w:basedOn w:val="Normal"/>
    <w:uiPriority w:val="34"/>
    <w:qFormat/>
    <w:rsid w:val="00C32817"/>
    <w:pPr>
      <w:autoSpaceDE/>
      <w:autoSpaceDN/>
      <w:ind w:left="720"/>
      <w:contextualSpacing/>
    </w:pPr>
    <w:rPr>
      <w:rFonts w:ascii="Courier" w:hAnsi="Courier" w:cs="Times New Roman"/>
      <w:szCs w:val="20"/>
    </w:rPr>
  </w:style>
  <w:style w:type="character" w:customStyle="1" w:styleId="FooterChar">
    <w:name w:val="Footer Char"/>
    <w:basedOn w:val="DefaultParagraphFont"/>
    <w:link w:val="Footer"/>
    <w:uiPriority w:val="99"/>
    <w:rsid w:val="003908E0"/>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B3BB-78AA-449A-8A4A-F6BEBB5B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2</cp:revision>
  <cp:lastPrinted>2012-05-11T16:37:00Z</cp:lastPrinted>
  <dcterms:created xsi:type="dcterms:W3CDTF">2012-06-06T17:18:00Z</dcterms:created>
  <dcterms:modified xsi:type="dcterms:W3CDTF">2012-06-06T17:18:00Z</dcterms:modified>
</cp:coreProperties>
</file>