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rsidP="00B012A2">
      <w:pPr>
        <w:pStyle w:val="Heading1"/>
        <w:keepNext w:val="0"/>
        <w:tabs>
          <w:tab w:val="clear" w:pos="-720"/>
          <w:tab w:val="center" w:pos="4680"/>
        </w:tabs>
        <w:spacing w:line="240" w:lineRule="auto"/>
        <w:jc w:val="center"/>
      </w:pPr>
      <w:r>
        <w:t>PENNSYLVANIA</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rsidP="00B012A2">
      <w:pPr>
        <w:tabs>
          <w:tab w:val="left" w:pos="-720"/>
          <w:tab w:val="left" w:pos="1005"/>
        </w:tabs>
        <w:suppressAutoHyphens/>
        <w:rPr>
          <w:rFonts w:ascii="Times New Roman" w:hAnsi="Times New Roman"/>
          <w:b/>
          <w:sz w:val="26"/>
        </w:rPr>
      </w:pPr>
    </w:p>
    <w:p w:rsidR="006F5428" w:rsidRDefault="00A854CB" w:rsidP="00B012A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79326A">
        <w:rPr>
          <w:rFonts w:ascii="Times New Roman" w:hAnsi="Times New Roman"/>
          <w:sz w:val="26"/>
        </w:rPr>
        <w:t>June</w:t>
      </w:r>
      <w:r w:rsidR="00A55E42">
        <w:rPr>
          <w:rFonts w:ascii="Times New Roman" w:hAnsi="Times New Roman"/>
          <w:sz w:val="26"/>
        </w:rPr>
        <w:t xml:space="preserve"> </w:t>
      </w:r>
      <w:r w:rsidR="0079326A">
        <w:rPr>
          <w:rFonts w:ascii="Times New Roman" w:hAnsi="Times New Roman"/>
          <w:sz w:val="26"/>
        </w:rPr>
        <w:t>7</w:t>
      </w:r>
      <w:r w:rsidR="00DF0D51">
        <w:rPr>
          <w:rFonts w:ascii="Times New Roman" w:hAnsi="Times New Roman"/>
          <w:sz w:val="26"/>
        </w:rPr>
        <w:t xml:space="preserve">, </w:t>
      </w:r>
      <w:r w:rsidR="007F5C7E">
        <w:rPr>
          <w:rFonts w:ascii="Times New Roman" w:hAnsi="Times New Roman"/>
          <w:sz w:val="26"/>
        </w:rPr>
        <w:t>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r w:rsidR="003F4205">
        <w:rPr>
          <w:rFonts w:ascii="Times New Roman" w:hAnsi="Times New Roman"/>
          <w:sz w:val="26"/>
        </w:rPr>
        <w:t>, Dissenting</w:t>
      </w:r>
    </w:p>
    <w:p w:rsidR="009916D6" w:rsidRDefault="00C809B9">
      <w:pPr>
        <w:tabs>
          <w:tab w:val="left" w:pos="-720"/>
        </w:tabs>
        <w:suppressAutoHyphens/>
        <w:rPr>
          <w:rFonts w:ascii="Times New Roman" w:hAnsi="Times New Roman"/>
          <w:sz w:val="26"/>
        </w:rPr>
      </w:pPr>
      <w:r>
        <w:rPr>
          <w:rFonts w:ascii="Times New Roman" w:hAnsi="Times New Roman"/>
          <w:sz w:val="26"/>
        </w:rPr>
        <w:tab/>
        <w:t xml:space="preserve">Pamela A. </w:t>
      </w:r>
      <w:r w:rsidR="00F411F8">
        <w:rPr>
          <w:rFonts w:ascii="Times New Roman" w:hAnsi="Times New Roman"/>
          <w:sz w:val="26"/>
        </w:rPr>
        <w:t>Witmer</w:t>
      </w:r>
    </w:p>
    <w:p w:rsidR="00F411F8" w:rsidRDefault="00F411F8">
      <w:pPr>
        <w:tabs>
          <w:tab w:val="left" w:pos="-720"/>
        </w:tabs>
        <w:suppressAutoHyphens/>
        <w:rPr>
          <w:rFonts w:ascii="Times New Roman" w:hAnsi="Times New Roman"/>
          <w:sz w:val="26"/>
        </w:rPr>
      </w:pPr>
    </w:p>
    <w:p w:rsidR="00F15E01" w:rsidRDefault="00F15E01">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A55E42" w:rsidP="007F5C7E">
      <w:pPr>
        <w:tabs>
          <w:tab w:val="left" w:pos="-720"/>
        </w:tabs>
        <w:suppressAutoHyphens/>
        <w:jc w:val="both"/>
        <w:rPr>
          <w:rFonts w:ascii="Times New Roman" w:hAnsi="Times New Roman"/>
          <w:sz w:val="26"/>
        </w:rPr>
      </w:pPr>
      <w:r>
        <w:rPr>
          <w:rFonts w:ascii="Times New Roman" w:hAnsi="Times New Roman"/>
          <w:sz w:val="26"/>
        </w:rPr>
        <w:t>Guy Laren</w:t>
      </w:r>
      <w:r w:rsidR="00F15E01">
        <w:rPr>
          <w:rFonts w:ascii="Times New Roman" w:hAnsi="Times New Roman"/>
          <w:sz w:val="26"/>
        </w:rPr>
        <w:t xml:space="preserve"> </w:t>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B012A2">
        <w:rPr>
          <w:rFonts w:ascii="Times New Roman" w:hAnsi="Times New Roman"/>
          <w:sz w:val="26"/>
        </w:rPr>
        <w:t xml:space="preserve">     </w:t>
      </w:r>
      <w:r w:rsidR="007F5C7E">
        <w:rPr>
          <w:rFonts w:ascii="Times New Roman" w:hAnsi="Times New Roman"/>
          <w:sz w:val="26"/>
        </w:rPr>
        <w:t xml:space="preserve">           </w:t>
      </w:r>
      <w:r>
        <w:rPr>
          <w:rFonts w:ascii="Times New Roman" w:hAnsi="Times New Roman"/>
          <w:sz w:val="26"/>
        </w:rPr>
        <w:t>C-2008-2058148</w:t>
      </w:r>
    </w:p>
    <w:p w:rsidR="00BB293A" w:rsidRDefault="00BB293A">
      <w:pPr>
        <w:tabs>
          <w:tab w:val="left" w:pos="-720"/>
        </w:tabs>
        <w:suppressAutoHyphens/>
        <w:rPr>
          <w:rFonts w:ascii="Times New Roman" w:hAnsi="Times New Roman"/>
          <w:sz w:val="26"/>
        </w:rPr>
      </w:pPr>
    </w:p>
    <w:p w:rsidR="007F5C7E" w:rsidRDefault="004F3A39" w:rsidP="007F5C7E">
      <w:pPr>
        <w:tabs>
          <w:tab w:val="left" w:pos="-720"/>
        </w:tabs>
        <w:suppressAutoHyphens/>
        <w:jc w:val="both"/>
        <w:rPr>
          <w:rFonts w:ascii="Times New Roman" w:hAnsi="Times New Roman"/>
          <w:sz w:val="26"/>
        </w:rPr>
      </w:pPr>
      <w:r>
        <w:rPr>
          <w:rFonts w:ascii="Times New Roman" w:hAnsi="Times New Roman"/>
          <w:sz w:val="26"/>
        </w:rPr>
        <w:tab/>
        <w:t>v.</w:t>
      </w:r>
      <w:r w:rsidR="007F5C7E" w:rsidRPr="007F5C7E">
        <w:rPr>
          <w:rFonts w:ascii="Times New Roman" w:hAnsi="Times New Roman"/>
          <w:sz w:val="26"/>
        </w:rPr>
        <w:t xml:space="preserve"> </w:t>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t xml:space="preserve">     </w:t>
      </w:r>
    </w:p>
    <w:p w:rsidR="004F3A39" w:rsidRDefault="004F3A39">
      <w:pPr>
        <w:tabs>
          <w:tab w:val="left" w:pos="-720"/>
        </w:tabs>
        <w:suppressAutoHyphens/>
        <w:rPr>
          <w:rFonts w:ascii="Times New Roman" w:hAnsi="Times New Roman"/>
          <w:sz w:val="26"/>
        </w:rPr>
      </w:pPr>
    </w:p>
    <w:p w:rsidR="004F3A39" w:rsidRDefault="00E9414F">
      <w:pPr>
        <w:tabs>
          <w:tab w:val="left" w:pos="-720"/>
        </w:tabs>
        <w:suppressAutoHyphens/>
        <w:rPr>
          <w:rFonts w:ascii="Times New Roman" w:hAnsi="Times New Roman"/>
          <w:sz w:val="26"/>
        </w:rPr>
      </w:pPr>
      <w:r>
        <w:rPr>
          <w:rFonts w:ascii="Times New Roman" w:hAnsi="Times New Roman"/>
          <w:sz w:val="26"/>
        </w:rPr>
        <w:t>Philadelphia Gas Works</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392A9B" w:rsidRDefault="006F5428" w:rsidP="00EA4A6D">
      <w:pPr>
        <w:tabs>
          <w:tab w:val="left" w:pos="-720"/>
        </w:tabs>
        <w:suppressAutoHyphens/>
        <w:spacing w:line="360" w:lineRule="auto"/>
        <w:ind w:firstLine="1440"/>
        <w:rPr>
          <w:rFonts w:ascii="Times New Roman" w:hAnsi="Times New Roman"/>
          <w:sz w:val="26"/>
        </w:rPr>
      </w:pPr>
      <w:r>
        <w:rPr>
          <w:rFonts w:ascii="Times New Roman" w:hAnsi="Times New Roman"/>
          <w:sz w:val="26"/>
        </w:rPr>
        <w:t>Before the Commission for con</w:t>
      </w:r>
      <w:r w:rsidR="00E87C92">
        <w:rPr>
          <w:rFonts w:ascii="Times New Roman" w:hAnsi="Times New Roman"/>
          <w:sz w:val="26"/>
        </w:rPr>
        <w:t>sideration and disposition are</w:t>
      </w:r>
      <w:r w:rsidR="00485A7E">
        <w:rPr>
          <w:rFonts w:ascii="Times New Roman" w:hAnsi="Times New Roman"/>
          <w:sz w:val="26"/>
        </w:rPr>
        <w:t xml:space="preserve"> the </w:t>
      </w:r>
      <w:r w:rsidR="00F15E01">
        <w:rPr>
          <w:rFonts w:ascii="Times New Roman" w:hAnsi="Times New Roman"/>
          <w:sz w:val="26"/>
        </w:rPr>
        <w:t>Initial Decision</w:t>
      </w:r>
      <w:r w:rsidR="00A55E42">
        <w:rPr>
          <w:rFonts w:ascii="Times New Roman" w:hAnsi="Times New Roman"/>
          <w:sz w:val="26"/>
        </w:rPr>
        <w:t xml:space="preserve"> </w:t>
      </w:r>
      <w:r w:rsidR="00F15E01">
        <w:rPr>
          <w:rFonts w:ascii="Times New Roman" w:hAnsi="Times New Roman"/>
          <w:sz w:val="26"/>
        </w:rPr>
        <w:t xml:space="preserve">(I.D.) of Administrative </w:t>
      </w:r>
      <w:r w:rsidR="00A55E42">
        <w:rPr>
          <w:rFonts w:ascii="Times New Roman" w:hAnsi="Times New Roman"/>
          <w:sz w:val="26"/>
        </w:rPr>
        <w:t>Law Judge (ALJ) Cynthia Williams Fordham</w:t>
      </w:r>
      <w:r w:rsidR="00C01041">
        <w:rPr>
          <w:rFonts w:ascii="Times New Roman" w:hAnsi="Times New Roman"/>
          <w:sz w:val="26"/>
        </w:rPr>
        <w:t xml:space="preserve"> issued on February 8</w:t>
      </w:r>
      <w:r w:rsidR="00A55E42">
        <w:rPr>
          <w:rFonts w:ascii="Times New Roman" w:hAnsi="Times New Roman"/>
          <w:sz w:val="26"/>
        </w:rPr>
        <w:t>, 2012</w:t>
      </w:r>
      <w:r w:rsidR="00C01041">
        <w:rPr>
          <w:rFonts w:ascii="Times New Roman" w:hAnsi="Times New Roman"/>
          <w:sz w:val="26"/>
        </w:rPr>
        <w:t>;</w:t>
      </w:r>
      <w:r w:rsidR="00F15E01">
        <w:rPr>
          <w:rFonts w:ascii="Times New Roman" w:hAnsi="Times New Roman"/>
          <w:sz w:val="26"/>
        </w:rPr>
        <w:t xml:space="preserve"> the </w:t>
      </w:r>
      <w:r w:rsidR="00E5229D">
        <w:rPr>
          <w:rFonts w:ascii="Times New Roman" w:hAnsi="Times New Roman"/>
          <w:sz w:val="26"/>
        </w:rPr>
        <w:t xml:space="preserve">Exceptions </w:t>
      </w:r>
      <w:r w:rsidR="00F15E01">
        <w:rPr>
          <w:rFonts w:ascii="Times New Roman" w:hAnsi="Times New Roman"/>
          <w:sz w:val="26"/>
        </w:rPr>
        <w:t xml:space="preserve">thereto </w:t>
      </w:r>
      <w:r w:rsidR="00E5229D">
        <w:rPr>
          <w:rFonts w:ascii="Times New Roman" w:hAnsi="Times New Roman"/>
          <w:sz w:val="26"/>
        </w:rPr>
        <w:t>fil</w:t>
      </w:r>
      <w:r w:rsidR="00A55E42">
        <w:rPr>
          <w:rFonts w:ascii="Times New Roman" w:hAnsi="Times New Roman"/>
          <w:sz w:val="26"/>
        </w:rPr>
        <w:t>ed by Guy Laren</w:t>
      </w:r>
      <w:r w:rsidR="00F15E01">
        <w:rPr>
          <w:rFonts w:ascii="Times New Roman" w:hAnsi="Times New Roman"/>
          <w:sz w:val="26"/>
        </w:rPr>
        <w:t xml:space="preserve"> </w:t>
      </w:r>
      <w:r w:rsidR="00E5229D">
        <w:rPr>
          <w:rFonts w:ascii="Times New Roman" w:hAnsi="Times New Roman"/>
          <w:sz w:val="26"/>
        </w:rPr>
        <w:t>(</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 xml:space="preserve">) </w:t>
      </w:r>
      <w:r w:rsidR="00E5229D">
        <w:rPr>
          <w:rFonts w:ascii="Times New Roman" w:hAnsi="Times New Roman"/>
          <w:sz w:val="26"/>
        </w:rPr>
        <w:t xml:space="preserve">on </w:t>
      </w:r>
      <w:r w:rsidR="00955500">
        <w:rPr>
          <w:rFonts w:ascii="Times New Roman" w:hAnsi="Times New Roman"/>
          <w:sz w:val="26"/>
        </w:rPr>
        <w:t>February </w:t>
      </w:r>
      <w:r w:rsidR="00A55E42">
        <w:rPr>
          <w:rFonts w:ascii="Times New Roman" w:hAnsi="Times New Roman"/>
          <w:sz w:val="26"/>
        </w:rPr>
        <w:t>25, 2012</w:t>
      </w:r>
      <w:r w:rsidR="00C01041">
        <w:rPr>
          <w:rFonts w:ascii="Times New Roman" w:hAnsi="Times New Roman"/>
          <w:sz w:val="26"/>
        </w:rPr>
        <w:t>;</w:t>
      </w:r>
      <w:r w:rsidR="00FB6E24">
        <w:rPr>
          <w:rFonts w:ascii="Times New Roman" w:hAnsi="Times New Roman"/>
          <w:sz w:val="26"/>
        </w:rPr>
        <w:t xml:space="preserve"> </w:t>
      </w:r>
      <w:r w:rsidR="00F15E01">
        <w:rPr>
          <w:rFonts w:ascii="Times New Roman" w:hAnsi="Times New Roman"/>
          <w:sz w:val="26"/>
        </w:rPr>
        <w:t>and the Reply Exceptions f</w:t>
      </w:r>
      <w:r w:rsidR="000D0063">
        <w:rPr>
          <w:rFonts w:ascii="Times New Roman" w:hAnsi="Times New Roman"/>
          <w:sz w:val="26"/>
        </w:rPr>
        <w:t xml:space="preserve">iled by Philadelphia Gas Works </w:t>
      </w:r>
      <w:r w:rsidR="00F15E01">
        <w:rPr>
          <w:rFonts w:ascii="Times New Roman" w:hAnsi="Times New Roman"/>
          <w:sz w:val="26"/>
        </w:rPr>
        <w:t xml:space="preserve">(PGW or Respondent) </w:t>
      </w:r>
      <w:r w:rsidR="006A7EE7">
        <w:rPr>
          <w:rFonts w:ascii="Times New Roman" w:hAnsi="Times New Roman"/>
          <w:sz w:val="26"/>
        </w:rPr>
        <w:t xml:space="preserve">on </w:t>
      </w:r>
      <w:r w:rsidR="00392A9B">
        <w:rPr>
          <w:rFonts w:ascii="Times New Roman" w:hAnsi="Times New Roman"/>
          <w:sz w:val="26"/>
        </w:rPr>
        <w:t>March 9, 2012</w:t>
      </w:r>
      <w:r w:rsidR="00F15E01">
        <w:rPr>
          <w:rFonts w:ascii="Times New Roman" w:hAnsi="Times New Roman"/>
          <w:sz w:val="26"/>
        </w:rPr>
        <w:t>.</w:t>
      </w:r>
      <w:r w:rsidR="000A624E">
        <w:rPr>
          <w:rFonts w:ascii="Times New Roman" w:hAnsi="Times New Roman"/>
          <w:sz w:val="26"/>
        </w:rPr>
        <w:t xml:space="preserve">  For the reasons stated below, we shall deny the Complainant’s Exceptions and adopt the ALJ’s Initial Decision.</w:t>
      </w:r>
    </w:p>
    <w:p w:rsidR="00392A9B" w:rsidRDefault="00392A9B" w:rsidP="0025740E">
      <w:pPr>
        <w:tabs>
          <w:tab w:val="left" w:pos="-720"/>
        </w:tabs>
        <w:suppressAutoHyphens/>
        <w:spacing w:line="360" w:lineRule="auto"/>
        <w:ind w:firstLine="1440"/>
        <w:rPr>
          <w:rFonts w:ascii="Times New Roman" w:hAnsi="Times New Roman"/>
          <w:sz w:val="26"/>
        </w:rPr>
      </w:pPr>
    </w:p>
    <w:p w:rsidR="00EA4A6D" w:rsidRDefault="00EA4A6D" w:rsidP="0025740E">
      <w:pPr>
        <w:tabs>
          <w:tab w:val="left" w:pos="-720"/>
        </w:tabs>
        <w:suppressAutoHyphens/>
        <w:spacing w:line="360" w:lineRule="auto"/>
        <w:ind w:firstLine="1440"/>
        <w:rPr>
          <w:rFonts w:ascii="Times New Roman" w:hAnsi="Times New Roman"/>
          <w:sz w:val="26"/>
        </w:rPr>
      </w:pPr>
    </w:p>
    <w:p w:rsidR="00EA4A6D" w:rsidRDefault="00EA4A6D" w:rsidP="0025740E">
      <w:pPr>
        <w:tabs>
          <w:tab w:val="left" w:pos="-720"/>
        </w:tabs>
        <w:suppressAutoHyphens/>
        <w:spacing w:line="360" w:lineRule="auto"/>
        <w:ind w:firstLine="1440"/>
        <w:rPr>
          <w:rFonts w:ascii="Times New Roman" w:hAnsi="Times New Roman"/>
          <w:sz w:val="26"/>
        </w:rPr>
      </w:pPr>
    </w:p>
    <w:p w:rsidR="00EA4A6D" w:rsidRDefault="00EA4A6D" w:rsidP="0025740E">
      <w:pPr>
        <w:tabs>
          <w:tab w:val="left" w:pos="-720"/>
        </w:tabs>
        <w:suppressAutoHyphens/>
        <w:spacing w:line="360" w:lineRule="auto"/>
        <w:ind w:firstLine="1440"/>
        <w:rPr>
          <w:rFonts w:ascii="Times New Roman" w:hAnsi="Times New Roman"/>
          <w:sz w:val="26"/>
        </w:rPr>
      </w:pPr>
    </w:p>
    <w:p w:rsidR="0025740E" w:rsidRDefault="006F5428" w:rsidP="0025740E">
      <w:pPr>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8636F6" w:rsidRDefault="00E8358C" w:rsidP="00B40468">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T</w:t>
      </w:r>
      <w:r w:rsidR="00615AAB">
        <w:rPr>
          <w:rFonts w:ascii="Times New Roman" w:hAnsi="Times New Roman"/>
          <w:sz w:val="26"/>
          <w:szCs w:val="26"/>
        </w:rPr>
        <w:t>he Complainant</w:t>
      </w:r>
      <w:r w:rsidR="00392A9B">
        <w:rPr>
          <w:rFonts w:ascii="Times New Roman" w:hAnsi="Times New Roman"/>
          <w:sz w:val="26"/>
          <w:szCs w:val="26"/>
        </w:rPr>
        <w:t xml:space="preserve"> filed a Formal Complaint </w:t>
      </w:r>
      <w:r w:rsidR="008636F6">
        <w:rPr>
          <w:rFonts w:ascii="Times New Roman" w:hAnsi="Times New Roman"/>
          <w:sz w:val="26"/>
          <w:szCs w:val="26"/>
        </w:rPr>
        <w:t xml:space="preserve">(Complaint) </w:t>
      </w:r>
      <w:r w:rsidR="00B40468" w:rsidRPr="00B40468">
        <w:rPr>
          <w:rFonts w:ascii="Times New Roman" w:hAnsi="Times New Roman"/>
          <w:sz w:val="26"/>
          <w:szCs w:val="26"/>
        </w:rPr>
        <w:t xml:space="preserve">against </w:t>
      </w:r>
      <w:r w:rsidR="005568A1">
        <w:rPr>
          <w:rFonts w:ascii="Times New Roman" w:hAnsi="Times New Roman"/>
          <w:sz w:val="26"/>
          <w:szCs w:val="26"/>
        </w:rPr>
        <w:t>PGW</w:t>
      </w:r>
      <w:r w:rsidR="00B40468" w:rsidRPr="00B40468">
        <w:rPr>
          <w:rFonts w:ascii="Times New Roman" w:hAnsi="Times New Roman"/>
          <w:sz w:val="26"/>
          <w:szCs w:val="26"/>
        </w:rPr>
        <w:t xml:space="preserve"> </w:t>
      </w:r>
      <w:r w:rsidR="00392A9B">
        <w:rPr>
          <w:rFonts w:ascii="Times New Roman" w:hAnsi="Times New Roman"/>
          <w:sz w:val="26"/>
          <w:szCs w:val="26"/>
        </w:rPr>
        <w:t>on August 8, 2008</w:t>
      </w:r>
      <w:r w:rsidR="008636F6">
        <w:rPr>
          <w:rFonts w:ascii="Times New Roman" w:hAnsi="Times New Roman"/>
          <w:sz w:val="26"/>
          <w:szCs w:val="26"/>
        </w:rPr>
        <w:t xml:space="preserve">, regarding </w:t>
      </w:r>
      <w:r w:rsidR="0089389B">
        <w:rPr>
          <w:rFonts w:ascii="Times New Roman" w:hAnsi="Times New Roman"/>
          <w:sz w:val="26"/>
          <w:szCs w:val="26"/>
        </w:rPr>
        <w:t xml:space="preserve">the responsibility for </w:t>
      </w:r>
      <w:r w:rsidR="008636F6">
        <w:rPr>
          <w:rFonts w:ascii="Times New Roman" w:hAnsi="Times New Roman"/>
          <w:sz w:val="26"/>
          <w:szCs w:val="26"/>
        </w:rPr>
        <w:t>an unpaid bill for gas service</w:t>
      </w:r>
      <w:r w:rsidR="00EA4A6D">
        <w:rPr>
          <w:rFonts w:ascii="Times New Roman" w:hAnsi="Times New Roman"/>
          <w:sz w:val="26"/>
          <w:szCs w:val="26"/>
        </w:rPr>
        <w:t xml:space="preserve"> provided to </w:t>
      </w:r>
      <w:r w:rsidR="00A771FD">
        <w:rPr>
          <w:rFonts w:ascii="Times New Roman" w:hAnsi="Times New Roman"/>
          <w:sz w:val="26"/>
          <w:szCs w:val="26"/>
        </w:rPr>
        <w:t xml:space="preserve">a </w:t>
      </w:r>
      <w:r w:rsidR="00EA4A6D">
        <w:rPr>
          <w:rFonts w:ascii="Times New Roman" w:hAnsi="Times New Roman"/>
          <w:sz w:val="26"/>
          <w:szCs w:val="26"/>
        </w:rPr>
        <w:t xml:space="preserve">property at </w:t>
      </w:r>
      <w:r w:rsidR="006F7F1C">
        <w:rPr>
          <w:rFonts w:ascii="Times New Roman" w:hAnsi="Times New Roman"/>
          <w:sz w:val="26"/>
          <w:szCs w:val="26"/>
        </w:rPr>
        <w:t xml:space="preserve">4111 </w:t>
      </w:r>
      <w:r w:rsidR="00EA4A6D">
        <w:rPr>
          <w:rFonts w:ascii="Times New Roman" w:hAnsi="Times New Roman"/>
          <w:sz w:val="26"/>
          <w:szCs w:val="26"/>
        </w:rPr>
        <w:t xml:space="preserve">to 4113 </w:t>
      </w:r>
      <w:r w:rsidR="006F7F1C">
        <w:rPr>
          <w:rFonts w:ascii="Times New Roman" w:hAnsi="Times New Roman"/>
          <w:sz w:val="26"/>
          <w:szCs w:val="26"/>
        </w:rPr>
        <w:t xml:space="preserve">Lancaster Avenue </w:t>
      </w:r>
      <w:r w:rsidR="00EA4A6D">
        <w:rPr>
          <w:rFonts w:ascii="Times New Roman" w:hAnsi="Times New Roman"/>
          <w:sz w:val="26"/>
          <w:szCs w:val="26"/>
        </w:rPr>
        <w:t xml:space="preserve">in Philadelphia </w:t>
      </w:r>
      <w:r w:rsidR="006F7F1C">
        <w:rPr>
          <w:rFonts w:ascii="Times New Roman" w:hAnsi="Times New Roman"/>
          <w:sz w:val="26"/>
          <w:szCs w:val="26"/>
        </w:rPr>
        <w:t>(Service Address)</w:t>
      </w:r>
      <w:r w:rsidR="00EA4A6D">
        <w:rPr>
          <w:rFonts w:ascii="Times New Roman" w:hAnsi="Times New Roman"/>
          <w:sz w:val="26"/>
          <w:szCs w:val="26"/>
        </w:rPr>
        <w:t xml:space="preserve"> between November 2004 and June 2006</w:t>
      </w:r>
      <w:r w:rsidR="008636F6">
        <w:rPr>
          <w:rFonts w:ascii="Times New Roman" w:hAnsi="Times New Roman"/>
          <w:sz w:val="26"/>
          <w:szCs w:val="26"/>
        </w:rPr>
        <w:t>.</w:t>
      </w:r>
      <w:r w:rsidR="00A771FD">
        <w:rPr>
          <w:rStyle w:val="FootnoteReference"/>
          <w:rFonts w:ascii="Times New Roman" w:hAnsi="Times New Roman"/>
          <w:sz w:val="26"/>
          <w:szCs w:val="26"/>
        </w:rPr>
        <w:footnoteReference w:id="1"/>
      </w:r>
      <w:r w:rsidR="008636F6">
        <w:rPr>
          <w:rFonts w:ascii="Times New Roman" w:hAnsi="Times New Roman"/>
          <w:sz w:val="26"/>
          <w:szCs w:val="26"/>
        </w:rPr>
        <w:t xml:space="preserve">  PGW filed an Answer denying the material allegations of the Complaint on August 28, 2008.  Pri</w:t>
      </w:r>
      <w:r w:rsidR="00EA4A6D">
        <w:rPr>
          <w:rFonts w:ascii="Times New Roman" w:hAnsi="Times New Roman"/>
          <w:sz w:val="26"/>
          <w:szCs w:val="26"/>
        </w:rPr>
        <w:t>or to the evidentiary hearing scheduled for</w:t>
      </w:r>
      <w:r w:rsidR="008636F6">
        <w:rPr>
          <w:rFonts w:ascii="Times New Roman" w:hAnsi="Times New Roman"/>
          <w:sz w:val="26"/>
          <w:szCs w:val="26"/>
        </w:rPr>
        <w:t xml:space="preserve"> November 14, 2008, the</w:t>
      </w:r>
      <w:r w:rsidR="006F7F1C">
        <w:rPr>
          <w:rFonts w:ascii="Times New Roman" w:hAnsi="Times New Roman"/>
          <w:sz w:val="26"/>
          <w:szCs w:val="26"/>
        </w:rPr>
        <w:t xml:space="preserve"> Complainant and PGW reached a S</w:t>
      </w:r>
      <w:r w:rsidR="008636F6">
        <w:rPr>
          <w:rFonts w:ascii="Times New Roman" w:hAnsi="Times New Roman"/>
          <w:sz w:val="26"/>
          <w:szCs w:val="26"/>
        </w:rPr>
        <w:t xml:space="preserve">ettlement, the terms of which were placed on the record.  </w:t>
      </w:r>
      <w:r w:rsidR="00EA4A6D">
        <w:rPr>
          <w:rFonts w:ascii="Times New Roman" w:hAnsi="Times New Roman"/>
          <w:sz w:val="26"/>
          <w:szCs w:val="26"/>
        </w:rPr>
        <w:t>N.T. at 5</w:t>
      </w:r>
      <w:r w:rsidR="00A771FD">
        <w:rPr>
          <w:rFonts w:ascii="Times New Roman" w:hAnsi="Times New Roman"/>
          <w:sz w:val="26"/>
          <w:szCs w:val="26"/>
        </w:rPr>
        <w:t xml:space="preserve"> (</w:t>
      </w:r>
      <w:r w:rsidR="00591352">
        <w:rPr>
          <w:rFonts w:ascii="Times New Roman" w:hAnsi="Times New Roman"/>
          <w:sz w:val="26"/>
          <w:szCs w:val="26"/>
        </w:rPr>
        <w:t>hearing of November 14, 2008</w:t>
      </w:r>
      <w:r w:rsidR="00A771FD">
        <w:rPr>
          <w:rFonts w:ascii="Times New Roman" w:hAnsi="Times New Roman"/>
          <w:sz w:val="26"/>
          <w:szCs w:val="26"/>
        </w:rPr>
        <w:t>)</w:t>
      </w:r>
      <w:r w:rsidR="00EA4A6D">
        <w:rPr>
          <w:rFonts w:ascii="Times New Roman" w:hAnsi="Times New Roman"/>
          <w:sz w:val="26"/>
          <w:szCs w:val="26"/>
        </w:rPr>
        <w:t xml:space="preserve">.  </w:t>
      </w:r>
      <w:r w:rsidR="008636F6">
        <w:rPr>
          <w:rFonts w:ascii="Times New Roman" w:hAnsi="Times New Roman"/>
          <w:sz w:val="26"/>
          <w:szCs w:val="26"/>
        </w:rPr>
        <w:t>Thereafter, PGW filed a Certificate of Satisfaction on November 21, 2008.  By Secretarial Letter dated December 9, 2008, this case was closed.</w:t>
      </w:r>
    </w:p>
    <w:p w:rsidR="008636F6" w:rsidRDefault="008636F6" w:rsidP="00B40468">
      <w:pPr>
        <w:tabs>
          <w:tab w:val="left" w:pos="-1440"/>
          <w:tab w:val="left" w:pos="-720"/>
        </w:tabs>
        <w:suppressAutoHyphens/>
        <w:spacing w:line="360" w:lineRule="auto"/>
        <w:ind w:firstLine="1440"/>
        <w:rPr>
          <w:rFonts w:ascii="Times New Roman" w:hAnsi="Times New Roman"/>
          <w:sz w:val="26"/>
          <w:szCs w:val="26"/>
        </w:rPr>
      </w:pPr>
    </w:p>
    <w:p w:rsidR="00822038" w:rsidRDefault="008636F6" w:rsidP="00955500">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On September 4, 2009, the Complainant filed a Petition to Enforce Settlement (First Petition).  </w:t>
      </w:r>
      <w:r w:rsidR="006F7F1C">
        <w:rPr>
          <w:rFonts w:ascii="Times New Roman" w:hAnsi="Times New Roman"/>
          <w:sz w:val="26"/>
          <w:szCs w:val="26"/>
        </w:rPr>
        <w:t xml:space="preserve">By a Prehearing Order dated November 5, 2010, ALJ Fordham reopened the proceeding.  On November 22, 2010, the Complainant filed a Petition to Join an Essential Party (Second Petition), requesting that </w:t>
      </w:r>
      <w:r w:rsidR="00EA4A6D">
        <w:rPr>
          <w:rFonts w:ascii="Times New Roman" w:hAnsi="Times New Roman"/>
          <w:sz w:val="26"/>
          <w:szCs w:val="26"/>
        </w:rPr>
        <w:t>t</w:t>
      </w:r>
      <w:r w:rsidR="006F7F1C">
        <w:rPr>
          <w:rFonts w:ascii="Times New Roman" w:hAnsi="Times New Roman"/>
          <w:sz w:val="26"/>
          <w:szCs w:val="26"/>
        </w:rPr>
        <w:t>he Commission join the Philadelphia Housing Authority (PHA) as an essential Party to this proceeding</w:t>
      </w:r>
      <w:r w:rsidR="00682DD5">
        <w:rPr>
          <w:rFonts w:ascii="Times New Roman" w:hAnsi="Times New Roman"/>
          <w:sz w:val="26"/>
          <w:szCs w:val="26"/>
        </w:rPr>
        <w:t xml:space="preserve"> because the PHA had been a tenant of the Complainant and</w:t>
      </w:r>
      <w:r w:rsidR="009C1B03">
        <w:rPr>
          <w:rFonts w:ascii="Times New Roman" w:hAnsi="Times New Roman"/>
          <w:sz w:val="26"/>
          <w:szCs w:val="26"/>
        </w:rPr>
        <w:t xml:space="preserve"> failed to pay PGW for </w:t>
      </w:r>
      <w:r w:rsidR="00682DD5">
        <w:rPr>
          <w:rFonts w:ascii="Times New Roman" w:hAnsi="Times New Roman"/>
          <w:sz w:val="26"/>
          <w:szCs w:val="26"/>
        </w:rPr>
        <w:t>gas service received at the Service Address</w:t>
      </w:r>
      <w:r w:rsidR="006F7F1C">
        <w:rPr>
          <w:rFonts w:ascii="Times New Roman" w:hAnsi="Times New Roman"/>
          <w:sz w:val="26"/>
          <w:szCs w:val="26"/>
        </w:rPr>
        <w:t xml:space="preserve">.  A prehearing </w:t>
      </w:r>
      <w:r w:rsidR="00955500">
        <w:rPr>
          <w:rFonts w:ascii="Times New Roman" w:hAnsi="Times New Roman"/>
          <w:sz w:val="26"/>
          <w:szCs w:val="26"/>
        </w:rPr>
        <w:t>conference was held on December </w:t>
      </w:r>
      <w:r w:rsidR="006F7F1C">
        <w:rPr>
          <w:rFonts w:ascii="Times New Roman" w:hAnsi="Times New Roman"/>
          <w:sz w:val="26"/>
          <w:szCs w:val="26"/>
        </w:rPr>
        <w:t xml:space="preserve">1, 2010.  On December 14, 2010, PGW filed an Answer opposing the Complainant’s Second Petition.  On January 6, 2011, the Complainant filed a Memorandum, outlining his arguments that PGW violated the </w:t>
      </w:r>
      <w:r w:rsidR="002E40B3">
        <w:rPr>
          <w:rFonts w:ascii="Times New Roman" w:hAnsi="Times New Roman"/>
          <w:sz w:val="26"/>
          <w:szCs w:val="26"/>
        </w:rPr>
        <w:t xml:space="preserve">Settlement by filing </w:t>
      </w:r>
      <w:r w:rsidR="006F7F1C">
        <w:rPr>
          <w:rFonts w:ascii="Times New Roman" w:hAnsi="Times New Roman"/>
          <w:sz w:val="26"/>
          <w:szCs w:val="26"/>
        </w:rPr>
        <w:t xml:space="preserve">a </w:t>
      </w:r>
      <w:r w:rsidR="006F7F1C">
        <w:rPr>
          <w:rFonts w:ascii="Times New Roman" w:hAnsi="Times New Roman"/>
          <w:sz w:val="26"/>
          <w:szCs w:val="26"/>
        </w:rPr>
        <w:lastRenderedPageBreak/>
        <w:t>municipal lien</w:t>
      </w:r>
      <w:r w:rsidR="006F7F1C" w:rsidRPr="00B40468">
        <w:rPr>
          <w:rStyle w:val="FootnoteReference"/>
          <w:rFonts w:ascii="Times New Roman" w:hAnsi="Times New Roman"/>
          <w:sz w:val="26"/>
          <w:szCs w:val="26"/>
        </w:rPr>
        <w:footnoteReference w:id="2"/>
      </w:r>
      <w:r w:rsidR="00EA4A6D">
        <w:rPr>
          <w:rFonts w:ascii="Times New Roman" w:hAnsi="Times New Roman"/>
          <w:sz w:val="26"/>
          <w:szCs w:val="26"/>
        </w:rPr>
        <w:t xml:space="preserve"> against his property,</w:t>
      </w:r>
      <w:r w:rsidR="006F7F1C">
        <w:rPr>
          <w:rFonts w:ascii="Times New Roman" w:hAnsi="Times New Roman"/>
          <w:sz w:val="26"/>
          <w:szCs w:val="26"/>
        </w:rPr>
        <w:t xml:space="preserve"> and that </w:t>
      </w:r>
      <w:r w:rsidR="00DC1DC5">
        <w:rPr>
          <w:rFonts w:ascii="Times New Roman" w:hAnsi="Times New Roman"/>
          <w:sz w:val="26"/>
          <w:szCs w:val="26"/>
        </w:rPr>
        <w:t xml:space="preserve">the </w:t>
      </w:r>
      <w:r w:rsidR="006F7F1C">
        <w:rPr>
          <w:rFonts w:ascii="Times New Roman" w:hAnsi="Times New Roman"/>
          <w:sz w:val="26"/>
          <w:szCs w:val="26"/>
        </w:rPr>
        <w:t>PHA is an essential party to this proceeding.</w:t>
      </w:r>
    </w:p>
    <w:p w:rsidR="00682DD5" w:rsidRDefault="00682DD5" w:rsidP="007F5615">
      <w:pPr>
        <w:tabs>
          <w:tab w:val="left" w:pos="-1440"/>
          <w:tab w:val="left" w:pos="-720"/>
        </w:tabs>
        <w:suppressAutoHyphens/>
        <w:spacing w:line="360" w:lineRule="auto"/>
        <w:rPr>
          <w:rFonts w:ascii="Times New Roman" w:hAnsi="Times New Roman"/>
          <w:sz w:val="26"/>
          <w:szCs w:val="26"/>
        </w:rPr>
      </w:pPr>
    </w:p>
    <w:p w:rsidR="00822038" w:rsidRDefault="00822038" w:rsidP="00B40468">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In her</w:t>
      </w:r>
      <w:r w:rsidRPr="00822038">
        <w:rPr>
          <w:rFonts w:ascii="Times New Roman" w:hAnsi="Times New Roman"/>
          <w:sz w:val="26"/>
          <w:szCs w:val="26"/>
        </w:rPr>
        <w:t xml:space="preserve"> </w:t>
      </w:r>
      <w:r>
        <w:rPr>
          <w:rFonts w:ascii="Times New Roman" w:hAnsi="Times New Roman"/>
          <w:sz w:val="26"/>
          <w:szCs w:val="26"/>
        </w:rPr>
        <w:t xml:space="preserve">Initial Decision, ALJ Fordham denied the First Petition </w:t>
      </w:r>
      <w:r w:rsidR="00D446D1">
        <w:rPr>
          <w:rFonts w:ascii="Times New Roman" w:hAnsi="Times New Roman"/>
          <w:sz w:val="26"/>
          <w:szCs w:val="26"/>
        </w:rPr>
        <w:t xml:space="preserve">as moot, </w:t>
      </w:r>
      <w:r>
        <w:rPr>
          <w:rFonts w:ascii="Times New Roman" w:hAnsi="Times New Roman"/>
          <w:sz w:val="26"/>
          <w:szCs w:val="26"/>
        </w:rPr>
        <w:t>based on her finding</w:t>
      </w:r>
      <w:r w:rsidR="00AC42D6">
        <w:rPr>
          <w:rFonts w:ascii="Times New Roman" w:hAnsi="Times New Roman"/>
          <w:sz w:val="26"/>
          <w:szCs w:val="26"/>
        </w:rPr>
        <w:t xml:space="preserve"> that the filing of the</w:t>
      </w:r>
      <w:r>
        <w:rPr>
          <w:rFonts w:ascii="Times New Roman" w:hAnsi="Times New Roman"/>
          <w:sz w:val="26"/>
          <w:szCs w:val="26"/>
        </w:rPr>
        <w:t xml:space="preserve"> municipal lien by the City of Philadelphia (City) did not</w:t>
      </w:r>
      <w:r w:rsidR="00D446D1">
        <w:rPr>
          <w:rFonts w:ascii="Times New Roman" w:hAnsi="Times New Roman"/>
          <w:sz w:val="26"/>
          <w:szCs w:val="26"/>
        </w:rPr>
        <w:t xml:space="preserve"> violate the terms of the Settlement between the Parties.  I.D. at 8.  The ALJ concluded that both Parties had complied with the Settlement.  </w:t>
      </w:r>
      <w:r w:rsidR="00D446D1" w:rsidRPr="00D446D1">
        <w:rPr>
          <w:rFonts w:ascii="Times New Roman" w:hAnsi="Times New Roman"/>
          <w:i/>
          <w:sz w:val="26"/>
          <w:szCs w:val="26"/>
        </w:rPr>
        <w:t>Id</w:t>
      </w:r>
      <w:r w:rsidR="00D446D1">
        <w:rPr>
          <w:rFonts w:ascii="Times New Roman" w:hAnsi="Times New Roman"/>
          <w:sz w:val="26"/>
          <w:szCs w:val="26"/>
        </w:rPr>
        <w:t xml:space="preserve">.  ALJ Fordham </w:t>
      </w:r>
      <w:r w:rsidR="0089389B">
        <w:rPr>
          <w:rFonts w:ascii="Times New Roman" w:hAnsi="Times New Roman"/>
          <w:sz w:val="26"/>
          <w:szCs w:val="26"/>
        </w:rPr>
        <w:t xml:space="preserve">further </w:t>
      </w:r>
      <w:r w:rsidR="00D446D1">
        <w:rPr>
          <w:rFonts w:ascii="Times New Roman" w:hAnsi="Times New Roman"/>
          <w:sz w:val="26"/>
          <w:szCs w:val="26"/>
        </w:rPr>
        <w:t xml:space="preserve">concluded that, since the Petition to Enforce Settlement was denied, joining </w:t>
      </w:r>
      <w:r w:rsidR="00DC1DC5">
        <w:rPr>
          <w:rFonts w:ascii="Times New Roman" w:hAnsi="Times New Roman"/>
          <w:sz w:val="26"/>
          <w:szCs w:val="26"/>
        </w:rPr>
        <w:t xml:space="preserve">the </w:t>
      </w:r>
      <w:r w:rsidR="00D446D1">
        <w:rPr>
          <w:rFonts w:ascii="Times New Roman" w:hAnsi="Times New Roman"/>
          <w:sz w:val="26"/>
          <w:szCs w:val="26"/>
        </w:rPr>
        <w:t xml:space="preserve">PHA as an essential party was not warranted.  </w:t>
      </w:r>
      <w:r w:rsidR="00D446D1" w:rsidRPr="00D446D1">
        <w:rPr>
          <w:rFonts w:ascii="Times New Roman" w:hAnsi="Times New Roman"/>
          <w:i/>
          <w:sz w:val="26"/>
          <w:szCs w:val="26"/>
        </w:rPr>
        <w:t>Id</w:t>
      </w:r>
      <w:r w:rsidR="00D446D1">
        <w:rPr>
          <w:rFonts w:ascii="Times New Roman" w:hAnsi="Times New Roman"/>
          <w:sz w:val="26"/>
          <w:szCs w:val="26"/>
        </w:rPr>
        <w:t xml:space="preserve">. at 9.  Accordingly, she denied the Second Petition.  The ALJ observed that, even if the First Petition had been granted, the Second Petition still would have been denied, since the PHA had been billed </w:t>
      </w:r>
      <w:r w:rsidR="00AC42D6">
        <w:rPr>
          <w:rFonts w:ascii="Times New Roman" w:hAnsi="Times New Roman"/>
          <w:sz w:val="26"/>
          <w:szCs w:val="26"/>
        </w:rPr>
        <w:t xml:space="preserve">for its share </w:t>
      </w:r>
      <w:r w:rsidR="00D446D1">
        <w:rPr>
          <w:rFonts w:ascii="Times New Roman" w:hAnsi="Times New Roman"/>
          <w:sz w:val="26"/>
          <w:szCs w:val="26"/>
        </w:rPr>
        <w:t>of the unauthorized usage, and had an opportun</w:t>
      </w:r>
      <w:r w:rsidR="0089389B">
        <w:rPr>
          <w:rFonts w:ascii="Times New Roman" w:hAnsi="Times New Roman"/>
          <w:sz w:val="26"/>
          <w:szCs w:val="26"/>
        </w:rPr>
        <w:t>ity to contest the</w:t>
      </w:r>
      <w:r w:rsidR="00D446D1">
        <w:rPr>
          <w:rFonts w:ascii="Times New Roman" w:hAnsi="Times New Roman"/>
          <w:sz w:val="26"/>
          <w:szCs w:val="26"/>
        </w:rPr>
        <w:t xml:space="preserve"> bill</w:t>
      </w:r>
      <w:r w:rsidR="0089389B">
        <w:rPr>
          <w:rFonts w:ascii="Times New Roman" w:hAnsi="Times New Roman"/>
          <w:sz w:val="26"/>
          <w:szCs w:val="26"/>
        </w:rPr>
        <w:t>ing</w:t>
      </w:r>
      <w:r w:rsidR="00D446D1">
        <w:rPr>
          <w:rFonts w:ascii="Times New Roman" w:hAnsi="Times New Roman"/>
          <w:sz w:val="26"/>
          <w:szCs w:val="26"/>
        </w:rPr>
        <w:t xml:space="preserve">.  </w:t>
      </w:r>
      <w:r w:rsidR="0089389B">
        <w:rPr>
          <w:rFonts w:ascii="Times New Roman" w:hAnsi="Times New Roman"/>
          <w:sz w:val="26"/>
          <w:szCs w:val="26"/>
        </w:rPr>
        <w:t xml:space="preserve">The ALJ concluded that </w:t>
      </w:r>
      <w:r w:rsidR="00AC42D6">
        <w:rPr>
          <w:rFonts w:ascii="Times New Roman" w:hAnsi="Times New Roman"/>
          <w:sz w:val="26"/>
          <w:szCs w:val="26"/>
        </w:rPr>
        <w:t xml:space="preserve">the PHA is not an essential party to the Complainant’s claim regarding the filing of a municipal lien against the Complainant’s property.  </w:t>
      </w:r>
      <w:r w:rsidR="00D446D1" w:rsidRPr="00AC42D6">
        <w:rPr>
          <w:rFonts w:ascii="Times New Roman" w:hAnsi="Times New Roman"/>
          <w:i/>
          <w:sz w:val="26"/>
          <w:szCs w:val="26"/>
        </w:rPr>
        <w:t>Id</w:t>
      </w:r>
      <w:r w:rsidR="00D446D1">
        <w:rPr>
          <w:rFonts w:ascii="Times New Roman" w:hAnsi="Times New Roman"/>
          <w:sz w:val="26"/>
          <w:szCs w:val="26"/>
        </w:rPr>
        <w:t>. at 10</w:t>
      </w:r>
      <w:r w:rsidR="00AC42D6">
        <w:rPr>
          <w:rFonts w:ascii="Times New Roman" w:hAnsi="Times New Roman"/>
          <w:sz w:val="26"/>
          <w:szCs w:val="26"/>
        </w:rPr>
        <w:t>-11</w:t>
      </w:r>
      <w:r w:rsidR="00D446D1">
        <w:rPr>
          <w:rFonts w:ascii="Times New Roman" w:hAnsi="Times New Roman"/>
          <w:sz w:val="26"/>
          <w:szCs w:val="26"/>
        </w:rPr>
        <w:t>.</w:t>
      </w:r>
    </w:p>
    <w:p w:rsidR="00AC42D6" w:rsidRDefault="00AC42D6" w:rsidP="00AC42D6">
      <w:pPr>
        <w:tabs>
          <w:tab w:val="left" w:pos="-1440"/>
          <w:tab w:val="left" w:pos="-720"/>
        </w:tabs>
        <w:suppressAutoHyphens/>
        <w:spacing w:line="360" w:lineRule="auto"/>
        <w:rPr>
          <w:rFonts w:ascii="Times New Roman" w:hAnsi="Times New Roman"/>
          <w:sz w:val="26"/>
          <w:szCs w:val="26"/>
        </w:rPr>
      </w:pPr>
    </w:p>
    <w:p w:rsidR="00AC42D6" w:rsidRDefault="00AC42D6" w:rsidP="00AC42D6">
      <w:pPr>
        <w:spacing w:line="360" w:lineRule="auto"/>
        <w:jc w:val="center"/>
        <w:rPr>
          <w:rFonts w:ascii="Times New Roman" w:hAnsi="Times New Roman"/>
          <w:b/>
          <w:sz w:val="26"/>
          <w:szCs w:val="26"/>
        </w:rPr>
      </w:pPr>
      <w:r>
        <w:rPr>
          <w:rFonts w:ascii="Times New Roman" w:hAnsi="Times New Roman"/>
          <w:b/>
          <w:sz w:val="26"/>
          <w:szCs w:val="26"/>
        </w:rPr>
        <w:t>Discussion</w:t>
      </w:r>
    </w:p>
    <w:p w:rsidR="00AC42D6" w:rsidRPr="00BD268A" w:rsidRDefault="00AC42D6" w:rsidP="00AC42D6">
      <w:pPr>
        <w:spacing w:line="360" w:lineRule="auto"/>
        <w:jc w:val="center"/>
        <w:rPr>
          <w:rFonts w:ascii="Times New Roman" w:hAnsi="Times New Roman"/>
          <w:sz w:val="26"/>
          <w:szCs w:val="26"/>
        </w:rPr>
      </w:pPr>
    </w:p>
    <w:p w:rsidR="00AC42D6" w:rsidRPr="00843202" w:rsidRDefault="00AC42D6" w:rsidP="00AC42D6">
      <w:pPr>
        <w:tabs>
          <w:tab w:val="left" w:pos="-720"/>
        </w:tabs>
        <w:suppressAutoHyphens/>
        <w:spacing w:line="360" w:lineRule="auto"/>
        <w:ind w:firstLine="1440"/>
        <w:rPr>
          <w:rFonts w:ascii="Times New Roman" w:hAnsi="Times New Roman"/>
          <w:sz w:val="26"/>
          <w:szCs w:val="26"/>
        </w:rPr>
      </w:pPr>
      <w:r w:rsidRPr="00843202">
        <w:rPr>
          <w:rFonts w:ascii="Times New Roman" w:hAnsi="Times New Roman"/>
          <w:sz w:val="26"/>
          <w:szCs w:val="26"/>
        </w:rPr>
        <w:t>Initially, we are reminded that we are not required to consider expressly or at great length each and every contention raised by a party to our proceedings.</w:t>
      </w:r>
      <w:r>
        <w:rPr>
          <w:rFonts w:ascii="Times New Roman" w:hAnsi="Times New Roman"/>
          <w:sz w:val="26"/>
          <w:szCs w:val="26"/>
        </w:rPr>
        <w:t xml:space="preserve">  </w:t>
      </w:r>
      <w:r w:rsidRPr="00BE034F">
        <w:rPr>
          <w:rFonts w:ascii="Times New Roman" w:hAnsi="Times New Roman"/>
          <w:i/>
          <w:sz w:val="26"/>
          <w:szCs w:val="26"/>
        </w:rPr>
        <w:t>Consolidated Rail Corporation v. Pa. PUC</w:t>
      </w:r>
      <w:r>
        <w:rPr>
          <w:rFonts w:ascii="Times New Roman" w:hAnsi="Times New Roman"/>
          <w:sz w:val="26"/>
          <w:szCs w:val="26"/>
        </w:rPr>
        <w:t xml:space="preserve">, 625 A.2d 741 (Pa. Cmwlth. 1993); </w:t>
      </w:r>
      <w:r w:rsidRPr="00BE034F">
        <w:rPr>
          <w:rFonts w:ascii="Times New Roman" w:hAnsi="Times New Roman"/>
          <w:i/>
          <w:sz w:val="26"/>
          <w:szCs w:val="26"/>
        </w:rPr>
        <w:t>see also</w:t>
      </w:r>
      <w:r>
        <w:rPr>
          <w:rFonts w:ascii="Times New Roman" w:hAnsi="Times New Roman"/>
          <w:sz w:val="26"/>
          <w:szCs w:val="26"/>
        </w:rPr>
        <w:t xml:space="preserve">, </w:t>
      </w:r>
      <w:r w:rsidRPr="00BE034F">
        <w:rPr>
          <w:rFonts w:ascii="Times New Roman" w:hAnsi="Times New Roman"/>
          <w:i/>
          <w:sz w:val="26"/>
          <w:szCs w:val="26"/>
        </w:rPr>
        <w:t>generally</w:t>
      </w:r>
      <w:r>
        <w:rPr>
          <w:rFonts w:ascii="Times New Roman" w:hAnsi="Times New Roman"/>
          <w:sz w:val="26"/>
          <w:szCs w:val="26"/>
        </w:rPr>
        <w:t>,</w:t>
      </w:r>
      <w:r w:rsidRPr="00843202">
        <w:rPr>
          <w:rFonts w:ascii="Times New Roman" w:hAnsi="Times New Roman"/>
          <w:sz w:val="26"/>
          <w:szCs w:val="26"/>
        </w:rPr>
        <w:t xml:space="preserve"> </w:t>
      </w:r>
      <w:r w:rsidRPr="00843202">
        <w:rPr>
          <w:rFonts w:ascii="Times New Roman" w:hAnsi="Times New Roman"/>
          <w:i/>
          <w:sz w:val="26"/>
          <w:szCs w:val="26"/>
        </w:rPr>
        <w:t>University of Pennsylvania, et al. v. Pa. PUC</w:t>
      </w:r>
      <w:r w:rsidRPr="00843202">
        <w:rPr>
          <w:rFonts w:ascii="Times New Roman" w:hAnsi="Times New Roman"/>
          <w:sz w:val="26"/>
          <w:szCs w:val="26"/>
        </w:rPr>
        <w:t>, 485 A.2d 1217 (Pa. Cmwlth. 1984).  Any argument that is not specifically addressed herein shall be deemed to have been duly considered and denied without further discussion.</w:t>
      </w:r>
      <w:r>
        <w:rPr>
          <w:rFonts w:ascii="Times New Roman" w:hAnsi="Times New Roman"/>
          <w:sz w:val="26"/>
          <w:szCs w:val="26"/>
        </w:rPr>
        <w:t xml:space="preserve">  </w:t>
      </w:r>
      <w:r w:rsidRPr="00843202">
        <w:rPr>
          <w:rFonts w:ascii="Times New Roman" w:hAnsi="Times New Roman"/>
          <w:sz w:val="26"/>
          <w:szCs w:val="26"/>
        </w:rPr>
        <w:t xml:space="preserve"> </w:t>
      </w:r>
    </w:p>
    <w:p w:rsidR="00AC42D6" w:rsidRPr="00843202" w:rsidRDefault="00AC42D6" w:rsidP="00AC42D6">
      <w:pPr>
        <w:tabs>
          <w:tab w:val="left" w:pos="-720"/>
        </w:tabs>
        <w:suppressAutoHyphens/>
        <w:spacing w:line="360" w:lineRule="auto"/>
        <w:rPr>
          <w:rFonts w:ascii="Times New Roman" w:hAnsi="Times New Roman"/>
          <w:sz w:val="26"/>
          <w:szCs w:val="26"/>
        </w:rPr>
      </w:pPr>
    </w:p>
    <w:p w:rsidR="00AC42D6" w:rsidRDefault="00AC42D6" w:rsidP="00AC42D6">
      <w:pPr>
        <w:spacing w:line="360" w:lineRule="auto"/>
        <w:ind w:firstLine="1440"/>
        <w:rPr>
          <w:rFonts w:ascii="Times New Roman" w:hAnsi="Times New Roman"/>
          <w:sz w:val="26"/>
          <w:szCs w:val="26"/>
        </w:rPr>
      </w:pPr>
      <w:r w:rsidRPr="00843202">
        <w:rPr>
          <w:rFonts w:ascii="Times New Roman" w:hAnsi="Times New Roman"/>
          <w:sz w:val="26"/>
          <w:szCs w:val="26"/>
        </w:rPr>
        <w:lastRenderedPageBreak/>
        <w:t>In h</w:t>
      </w:r>
      <w:r w:rsidR="00DF5282">
        <w:rPr>
          <w:rFonts w:ascii="Times New Roman" w:hAnsi="Times New Roman"/>
          <w:sz w:val="26"/>
          <w:szCs w:val="26"/>
        </w:rPr>
        <w:t>er Initial Decision, ALJ Fordham</w:t>
      </w:r>
      <w:r>
        <w:rPr>
          <w:rFonts w:ascii="Times New Roman" w:hAnsi="Times New Roman"/>
          <w:sz w:val="26"/>
          <w:szCs w:val="26"/>
        </w:rPr>
        <w:t xml:space="preserve"> made </w:t>
      </w:r>
      <w:r w:rsidR="00DF5282">
        <w:rPr>
          <w:rFonts w:ascii="Times New Roman" w:hAnsi="Times New Roman"/>
          <w:sz w:val="26"/>
          <w:szCs w:val="26"/>
        </w:rPr>
        <w:t>eighte</w:t>
      </w:r>
      <w:r w:rsidR="00955500">
        <w:rPr>
          <w:rFonts w:ascii="Times New Roman" w:hAnsi="Times New Roman"/>
          <w:sz w:val="26"/>
          <w:szCs w:val="26"/>
        </w:rPr>
        <w:t>en Findings of F</w:t>
      </w:r>
      <w:r w:rsidR="00EA4A6D">
        <w:rPr>
          <w:rFonts w:ascii="Times New Roman" w:hAnsi="Times New Roman"/>
          <w:sz w:val="26"/>
          <w:szCs w:val="26"/>
        </w:rPr>
        <w:t xml:space="preserve">act </w:t>
      </w:r>
      <w:r>
        <w:rPr>
          <w:rFonts w:ascii="Times New Roman" w:hAnsi="Times New Roman"/>
          <w:sz w:val="26"/>
          <w:szCs w:val="26"/>
        </w:rPr>
        <w:t>and reached four</w:t>
      </w:r>
      <w:r w:rsidRPr="00843202">
        <w:rPr>
          <w:rFonts w:ascii="Times New Roman" w:hAnsi="Times New Roman"/>
          <w:sz w:val="26"/>
          <w:szCs w:val="26"/>
        </w:rPr>
        <w:t xml:space="preserve"> Conclusions of Law</w:t>
      </w:r>
      <w:r w:rsidR="00DF5282">
        <w:rPr>
          <w:rFonts w:ascii="Times New Roman" w:hAnsi="Times New Roman"/>
          <w:sz w:val="26"/>
          <w:szCs w:val="26"/>
        </w:rPr>
        <w:t xml:space="preserve">.  I.D. </w:t>
      </w:r>
      <w:r w:rsidR="00EA4A6D">
        <w:rPr>
          <w:rFonts w:ascii="Times New Roman" w:hAnsi="Times New Roman"/>
          <w:sz w:val="26"/>
          <w:szCs w:val="26"/>
        </w:rPr>
        <w:t xml:space="preserve">at 4-5, </w:t>
      </w:r>
      <w:r w:rsidR="00DF5282">
        <w:rPr>
          <w:rFonts w:ascii="Times New Roman" w:hAnsi="Times New Roman"/>
          <w:sz w:val="26"/>
          <w:szCs w:val="26"/>
        </w:rPr>
        <w:t>12</w:t>
      </w:r>
      <w:r w:rsidRPr="00843202">
        <w:rPr>
          <w:rFonts w:ascii="Times New Roman" w:hAnsi="Times New Roman"/>
          <w:sz w:val="26"/>
          <w:szCs w:val="26"/>
        </w:rPr>
        <w:t>.  We shall adopt and incorporate herein by reference</w:t>
      </w:r>
      <w:r>
        <w:rPr>
          <w:rFonts w:ascii="Times New Roman" w:hAnsi="Times New Roman"/>
          <w:sz w:val="26"/>
          <w:szCs w:val="26"/>
        </w:rPr>
        <w:t xml:space="preserve"> the ALJ’s Findings of Fact and </w:t>
      </w:r>
      <w:r w:rsidRPr="00843202">
        <w:rPr>
          <w:rFonts w:ascii="Times New Roman" w:hAnsi="Times New Roman"/>
          <w:sz w:val="26"/>
          <w:szCs w:val="26"/>
        </w:rPr>
        <w:t>Conclusions of Law unless they are either expressly or by necessary implication overruled or modified by this Opinion and Order.</w:t>
      </w:r>
    </w:p>
    <w:p w:rsidR="009D7B42" w:rsidRPr="00843202" w:rsidRDefault="009D7B42" w:rsidP="009D7B42">
      <w:pPr>
        <w:spacing w:line="360" w:lineRule="auto"/>
        <w:rPr>
          <w:rFonts w:ascii="Times New Roman" w:hAnsi="Times New Roman"/>
          <w:sz w:val="26"/>
          <w:szCs w:val="26"/>
        </w:rPr>
      </w:pPr>
    </w:p>
    <w:p w:rsidR="00DF5282" w:rsidRPr="00243078" w:rsidRDefault="00DF5282" w:rsidP="00DF5282">
      <w:pPr>
        <w:tabs>
          <w:tab w:val="left" w:pos="-1440"/>
          <w:tab w:val="left" w:pos="-720"/>
        </w:tabs>
        <w:suppressAutoHyphens/>
        <w:spacing w:line="360" w:lineRule="auto"/>
        <w:rPr>
          <w:rFonts w:ascii="Times New Roman" w:hAnsi="Times New Roman"/>
          <w:b/>
          <w:spacing w:val="-3"/>
          <w:sz w:val="26"/>
          <w:szCs w:val="26"/>
        </w:rPr>
      </w:pPr>
      <w:r>
        <w:rPr>
          <w:rFonts w:ascii="Times New Roman" w:hAnsi="Times New Roman"/>
          <w:b/>
          <w:spacing w:val="-3"/>
          <w:sz w:val="26"/>
          <w:szCs w:val="26"/>
        </w:rPr>
        <w:t>Positions of the Parties</w:t>
      </w:r>
    </w:p>
    <w:p w:rsidR="00DF5282" w:rsidRPr="00843202" w:rsidRDefault="00DF5282" w:rsidP="00DF5282">
      <w:pPr>
        <w:tabs>
          <w:tab w:val="left" w:pos="-720"/>
        </w:tabs>
        <w:suppressAutoHyphens/>
        <w:spacing w:line="360" w:lineRule="auto"/>
        <w:rPr>
          <w:rFonts w:ascii="Times New Roman" w:hAnsi="Times New Roman"/>
          <w:sz w:val="26"/>
          <w:szCs w:val="26"/>
        </w:rPr>
      </w:pPr>
    </w:p>
    <w:p w:rsidR="00767090" w:rsidRDefault="00DF5282" w:rsidP="00D6692D">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his E</w:t>
      </w:r>
      <w:r w:rsidR="00D8412C">
        <w:rPr>
          <w:rFonts w:ascii="Times New Roman" w:hAnsi="Times New Roman"/>
          <w:sz w:val="26"/>
          <w:szCs w:val="26"/>
        </w:rPr>
        <w:t>xceptions, the Complainant aver</w:t>
      </w:r>
      <w:r>
        <w:rPr>
          <w:rFonts w:ascii="Times New Roman" w:hAnsi="Times New Roman"/>
          <w:sz w:val="26"/>
          <w:szCs w:val="26"/>
        </w:rPr>
        <w:t>s that</w:t>
      </w:r>
      <w:r w:rsidR="0089389B">
        <w:rPr>
          <w:rFonts w:ascii="Times New Roman" w:hAnsi="Times New Roman"/>
          <w:sz w:val="26"/>
          <w:szCs w:val="26"/>
        </w:rPr>
        <w:t>:</w:t>
      </w:r>
      <w:r>
        <w:rPr>
          <w:rFonts w:ascii="Times New Roman" w:hAnsi="Times New Roman"/>
          <w:sz w:val="26"/>
          <w:szCs w:val="26"/>
        </w:rPr>
        <w:t xml:space="preserve"> (1) the filing of a lien against the Complainant’s property violates the terms of the Settlement, under which PGW is limited to pursuing collection against the</w:t>
      </w:r>
      <w:r w:rsidR="009D7B42">
        <w:rPr>
          <w:rFonts w:ascii="Times New Roman" w:hAnsi="Times New Roman"/>
          <w:sz w:val="26"/>
          <w:szCs w:val="26"/>
        </w:rPr>
        <w:t xml:space="preserve"> Complainant’s tenants</w:t>
      </w:r>
      <w:r>
        <w:rPr>
          <w:rFonts w:ascii="Times New Roman" w:hAnsi="Times New Roman"/>
          <w:sz w:val="26"/>
          <w:szCs w:val="26"/>
        </w:rPr>
        <w:t>; (2) the City is bound by the terms of the Settlement because there is no legal distinction bet</w:t>
      </w:r>
      <w:r w:rsidR="009D7B42">
        <w:rPr>
          <w:rFonts w:ascii="Times New Roman" w:hAnsi="Times New Roman"/>
          <w:sz w:val="26"/>
          <w:szCs w:val="26"/>
        </w:rPr>
        <w:t>ween the City and PGW</w:t>
      </w:r>
      <w:r>
        <w:rPr>
          <w:rFonts w:ascii="Times New Roman" w:hAnsi="Times New Roman"/>
          <w:sz w:val="26"/>
          <w:szCs w:val="26"/>
        </w:rPr>
        <w:t>; and</w:t>
      </w:r>
      <w:r w:rsidR="00D6692D">
        <w:rPr>
          <w:rFonts w:ascii="Times New Roman" w:hAnsi="Times New Roman"/>
          <w:sz w:val="26"/>
          <w:szCs w:val="26"/>
        </w:rPr>
        <w:t xml:space="preserve"> (3) as the party responsible for the amount owed, the PHA must be joined as </w:t>
      </w:r>
      <w:r w:rsidR="009D7B42">
        <w:rPr>
          <w:rFonts w:ascii="Times New Roman" w:hAnsi="Times New Roman"/>
          <w:sz w:val="26"/>
          <w:szCs w:val="26"/>
        </w:rPr>
        <w:t>an indispensable party</w:t>
      </w:r>
      <w:r w:rsidR="00D6692D">
        <w:rPr>
          <w:rFonts w:ascii="Times New Roman" w:hAnsi="Times New Roman"/>
          <w:sz w:val="26"/>
          <w:szCs w:val="26"/>
        </w:rPr>
        <w:t>.</w:t>
      </w:r>
      <w:r w:rsidR="009D7B42">
        <w:rPr>
          <w:rFonts w:ascii="Times New Roman" w:hAnsi="Times New Roman"/>
          <w:sz w:val="26"/>
          <w:szCs w:val="26"/>
        </w:rPr>
        <w:t xml:space="preserve">  Exc. at 1-2.</w:t>
      </w:r>
    </w:p>
    <w:p w:rsidR="00AC42D6" w:rsidRDefault="00AC42D6" w:rsidP="00B40468">
      <w:pPr>
        <w:tabs>
          <w:tab w:val="left" w:pos="-1440"/>
          <w:tab w:val="left" w:pos="-720"/>
        </w:tabs>
        <w:suppressAutoHyphens/>
        <w:spacing w:line="360" w:lineRule="auto"/>
        <w:ind w:firstLine="1440"/>
        <w:rPr>
          <w:rFonts w:ascii="Times New Roman" w:hAnsi="Times New Roman"/>
          <w:sz w:val="26"/>
          <w:szCs w:val="26"/>
        </w:rPr>
      </w:pPr>
    </w:p>
    <w:p w:rsidR="00AC42D6" w:rsidRDefault="00D6692D" w:rsidP="00D6692D">
      <w:pPr>
        <w:tabs>
          <w:tab w:val="left" w:pos="-1440"/>
          <w:tab w:val="left"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 xml:space="preserve">In its Reply </w:t>
      </w:r>
      <w:r w:rsidR="0089389B">
        <w:rPr>
          <w:rFonts w:ascii="Times New Roman" w:hAnsi="Times New Roman"/>
          <w:sz w:val="26"/>
          <w:szCs w:val="26"/>
        </w:rPr>
        <w:t xml:space="preserve">to </w:t>
      </w:r>
      <w:r>
        <w:rPr>
          <w:rFonts w:ascii="Times New Roman" w:hAnsi="Times New Roman"/>
          <w:sz w:val="26"/>
          <w:szCs w:val="26"/>
        </w:rPr>
        <w:t>Exceptions, PGW argues that the Complainant’s Exceptions do not address any error of fact or law in the Initial Decision</w:t>
      </w:r>
      <w:r w:rsidR="00C01041">
        <w:rPr>
          <w:rFonts w:ascii="Times New Roman" w:hAnsi="Times New Roman"/>
          <w:sz w:val="26"/>
          <w:szCs w:val="26"/>
        </w:rPr>
        <w:t xml:space="preserve"> that refutes the ALJ’s conclusion that both Parties complied with the terms of the Settlement.  PGW argues that the Settlement was limited to issues raised by the Complai</w:t>
      </w:r>
      <w:r w:rsidR="009D7B42">
        <w:rPr>
          <w:rFonts w:ascii="Times New Roman" w:hAnsi="Times New Roman"/>
          <w:sz w:val="26"/>
          <w:szCs w:val="26"/>
        </w:rPr>
        <w:t xml:space="preserve">nt </w:t>
      </w:r>
      <w:r w:rsidR="00C01041">
        <w:rPr>
          <w:rFonts w:ascii="Times New Roman" w:hAnsi="Times New Roman"/>
          <w:sz w:val="26"/>
          <w:szCs w:val="26"/>
        </w:rPr>
        <w:t>regarding the appropriate billing for gas service, and that nothing in the Settlement addressed the filing of liens.  PGW submits th</w:t>
      </w:r>
      <w:r w:rsidR="0089389B">
        <w:rPr>
          <w:rFonts w:ascii="Times New Roman" w:hAnsi="Times New Roman"/>
          <w:sz w:val="26"/>
          <w:szCs w:val="26"/>
        </w:rPr>
        <w:t xml:space="preserve">at it is well settled that the </w:t>
      </w:r>
      <w:r w:rsidR="00C01041">
        <w:rPr>
          <w:rFonts w:ascii="Times New Roman" w:hAnsi="Times New Roman"/>
          <w:sz w:val="26"/>
          <w:szCs w:val="26"/>
        </w:rPr>
        <w:t>Commission does not have jurisdiction over the filing of liens.  R.Exc. at 3-4.</w:t>
      </w:r>
    </w:p>
    <w:p w:rsidR="00A00F21" w:rsidRDefault="00A00F21" w:rsidP="00D6692D">
      <w:pPr>
        <w:tabs>
          <w:tab w:val="left" w:pos="-1440"/>
          <w:tab w:val="left" w:pos="-720"/>
        </w:tabs>
        <w:suppressAutoHyphens/>
        <w:spacing w:line="360" w:lineRule="auto"/>
        <w:rPr>
          <w:rFonts w:ascii="Times New Roman" w:hAnsi="Times New Roman"/>
          <w:sz w:val="26"/>
          <w:szCs w:val="26"/>
        </w:rPr>
      </w:pPr>
    </w:p>
    <w:p w:rsidR="00A00F21" w:rsidRDefault="00A00F21" w:rsidP="00D6692D">
      <w:pPr>
        <w:tabs>
          <w:tab w:val="left" w:pos="-1440"/>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9389B">
        <w:rPr>
          <w:rFonts w:ascii="Times New Roman" w:hAnsi="Times New Roman"/>
          <w:sz w:val="26"/>
          <w:szCs w:val="26"/>
        </w:rPr>
        <w:t xml:space="preserve">PGW </w:t>
      </w:r>
      <w:r w:rsidR="009D7B42">
        <w:rPr>
          <w:rFonts w:ascii="Times New Roman" w:hAnsi="Times New Roman"/>
          <w:sz w:val="26"/>
          <w:szCs w:val="26"/>
        </w:rPr>
        <w:t xml:space="preserve">also </w:t>
      </w:r>
      <w:r>
        <w:rPr>
          <w:rFonts w:ascii="Times New Roman" w:hAnsi="Times New Roman"/>
          <w:sz w:val="26"/>
          <w:szCs w:val="26"/>
        </w:rPr>
        <w:t>argues that the Complainant fails to recognize the distinction between the Complaint that was filed with the Commission, and the filing of the lien under the</w:t>
      </w:r>
      <w:r w:rsidR="007F5615">
        <w:rPr>
          <w:rFonts w:ascii="Times New Roman" w:hAnsi="Times New Roman"/>
          <w:sz w:val="26"/>
          <w:szCs w:val="26"/>
        </w:rPr>
        <w:t xml:space="preserve"> </w:t>
      </w:r>
      <w:r w:rsidR="00E04066">
        <w:rPr>
          <w:rFonts w:ascii="Times New Roman" w:hAnsi="Times New Roman"/>
          <w:spacing w:val="-3"/>
          <w:sz w:val="26"/>
          <w:szCs w:val="26"/>
        </w:rPr>
        <w:t xml:space="preserve">Municipal Claims and Tax Liens Act, 53 P.S. §§ 7101 </w:t>
      </w:r>
      <w:r w:rsidR="00E04066" w:rsidRPr="00C40EE6">
        <w:rPr>
          <w:rFonts w:ascii="Times New Roman" w:hAnsi="Times New Roman"/>
          <w:i/>
          <w:spacing w:val="-3"/>
          <w:sz w:val="26"/>
          <w:szCs w:val="26"/>
        </w:rPr>
        <w:t>et seq</w:t>
      </w:r>
      <w:r w:rsidR="00E04066">
        <w:rPr>
          <w:rFonts w:ascii="Times New Roman" w:hAnsi="Times New Roman"/>
          <w:spacing w:val="-3"/>
          <w:sz w:val="26"/>
          <w:szCs w:val="26"/>
        </w:rPr>
        <w:t>. (Municipal Lien Act)</w:t>
      </w:r>
      <w:r>
        <w:rPr>
          <w:rFonts w:ascii="Times New Roman" w:hAnsi="Times New Roman"/>
          <w:sz w:val="26"/>
          <w:szCs w:val="26"/>
        </w:rPr>
        <w:t xml:space="preserve">.  PGW submits that the relationship between PGW and the City is irrelevant to the distinction between the Commission proceeding and the </w:t>
      </w:r>
      <w:r w:rsidRPr="00A00F21">
        <w:rPr>
          <w:rFonts w:ascii="Times New Roman" w:hAnsi="Times New Roman"/>
          <w:i/>
          <w:sz w:val="26"/>
          <w:szCs w:val="26"/>
        </w:rPr>
        <w:t>in rem</w:t>
      </w:r>
      <w:r>
        <w:rPr>
          <w:rFonts w:ascii="Times New Roman" w:hAnsi="Times New Roman"/>
          <w:sz w:val="26"/>
          <w:szCs w:val="26"/>
        </w:rPr>
        <w:t xml:space="preserve"> municipal lien proceeding over which the Commission has no subject matter jurisdiction.</w:t>
      </w:r>
      <w:r w:rsidR="006E0933">
        <w:rPr>
          <w:rFonts w:ascii="Times New Roman" w:hAnsi="Times New Roman"/>
          <w:sz w:val="26"/>
          <w:szCs w:val="26"/>
        </w:rPr>
        <w:t xml:space="preserve">  R.Exc. at 5-6.</w:t>
      </w:r>
    </w:p>
    <w:p w:rsidR="0089389B" w:rsidRDefault="0089389B" w:rsidP="00D6692D">
      <w:pPr>
        <w:tabs>
          <w:tab w:val="left" w:pos="-1440"/>
          <w:tab w:val="left" w:pos="-720"/>
        </w:tabs>
        <w:suppressAutoHyphens/>
        <w:spacing w:line="360" w:lineRule="auto"/>
        <w:rPr>
          <w:rFonts w:ascii="Times New Roman" w:hAnsi="Times New Roman"/>
          <w:sz w:val="26"/>
          <w:szCs w:val="26"/>
        </w:rPr>
      </w:pPr>
    </w:p>
    <w:p w:rsidR="0089389B" w:rsidRDefault="009D7B42" w:rsidP="00D6692D">
      <w:pPr>
        <w:tabs>
          <w:tab w:val="left" w:pos="-1440"/>
          <w:tab w:val="left" w:pos="-72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89389B">
        <w:rPr>
          <w:rFonts w:ascii="Times New Roman" w:hAnsi="Times New Roman"/>
          <w:sz w:val="26"/>
          <w:szCs w:val="26"/>
        </w:rPr>
        <w:t xml:space="preserve">PGW submits that PGW </w:t>
      </w:r>
      <w:r w:rsidR="0098343A">
        <w:rPr>
          <w:rFonts w:ascii="Times New Roman" w:hAnsi="Times New Roman"/>
          <w:sz w:val="26"/>
          <w:szCs w:val="26"/>
        </w:rPr>
        <w:t>complied with the Settlement by removing</w:t>
      </w:r>
      <w:r w:rsidR="0089389B">
        <w:rPr>
          <w:rFonts w:ascii="Times New Roman" w:hAnsi="Times New Roman"/>
          <w:sz w:val="26"/>
          <w:szCs w:val="26"/>
        </w:rPr>
        <w:t xml:space="preserve"> the disputed amount from the Complainant’s accoun</w:t>
      </w:r>
      <w:r w:rsidR="0098343A">
        <w:rPr>
          <w:rFonts w:ascii="Times New Roman" w:hAnsi="Times New Roman"/>
          <w:sz w:val="26"/>
          <w:szCs w:val="26"/>
        </w:rPr>
        <w:t>t and billing</w:t>
      </w:r>
      <w:r w:rsidR="0089389B">
        <w:rPr>
          <w:rFonts w:ascii="Times New Roman" w:hAnsi="Times New Roman"/>
          <w:sz w:val="26"/>
          <w:szCs w:val="26"/>
        </w:rPr>
        <w:t xml:space="preserve"> the Complainant’s tenants for gas usage during the disputed period.  Again, PGW argues that the Complainant fails to recog</w:t>
      </w:r>
      <w:r w:rsidR="0098343A">
        <w:rPr>
          <w:rFonts w:ascii="Times New Roman" w:hAnsi="Times New Roman"/>
          <w:sz w:val="26"/>
          <w:szCs w:val="26"/>
        </w:rPr>
        <w:t>nize the distinction between this</w:t>
      </w:r>
      <w:r w:rsidR="0089389B">
        <w:rPr>
          <w:rFonts w:ascii="Times New Roman" w:hAnsi="Times New Roman"/>
          <w:sz w:val="26"/>
          <w:szCs w:val="26"/>
        </w:rPr>
        <w:t xml:space="preserve"> Complaint proceeding and the filing of a lien under the Municipal Lien Act.  PGW submits that the Exceptions do not demonstrate a connection between the rights of </w:t>
      </w:r>
      <w:r w:rsidR="00DC1DC5">
        <w:rPr>
          <w:rFonts w:ascii="Times New Roman" w:hAnsi="Times New Roman"/>
          <w:sz w:val="26"/>
          <w:szCs w:val="26"/>
        </w:rPr>
        <w:t xml:space="preserve">the </w:t>
      </w:r>
      <w:r w:rsidR="0089389B">
        <w:rPr>
          <w:rFonts w:ascii="Times New Roman" w:hAnsi="Times New Roman"/>
          <w:sz w:val="26"/>
          <w:szCs w:val="26"/>
        </w:rPr>
        <w:t>PHA and the claims of the litigants su</w:t>
      </w:r>
      <w:r w:rsidR="00DC1DC5">
        <w:rPr>
          <w:rFonts w:ascii="Times New Roman" w:hAnsi="Times New Roman"/>
          <w:sz w:val="26"/>
          <w:szCs w:val="26"/>
        </w:rPr>
        <w:t>ch that relief</w:t>
      </w:r>
      <w:r w:rsidR="0089389B">
        <w:rPr>
          <w:rFonts w:ascii="Times New Roman" w:hAnsi="Times New Roman"/>
          <w:sz w:val="26"/>
          <w:szCs w:val="26"/>
        </w:rPr>
        <w:t xml:space="preserve"> could not be granted without infringing </w:t>
      </w:r>
      <w:r w:rsidR="00DC1DC5">
        <w:rPr>
          <w:rFonts w:ascii="Times New Roman" w:hAnsi="Times New Roman"/>
          <w:sz w:val="26"/>
          <w:szCs w:val="26"/>
        </w:rPr>
        <w:t>up</w:t>
      </w:r>
      <w:r w:rsidR="0089389B">
        <w:rPr>
          <w:rFonts w:ascii="Times New Roman" w:hAnsi="Times New Roman"/>
          <w:sz w:val="26"/>
          <w:szCs w:val="26"/>
        </w:rPr>
        <w:t>on the PHA’s rights.</w:t>
      </w:r>
      <w:r w:rsidR="00021579">
        <w:rPr>
          <w:rFonts w:ascii="Times New Roman" w:hAnsi="Times New Roman"/>
          <w:sz w:val="26"/>
          <w:szCs w:val="26"/>
        </w:rPr>
        <w:t xml:space="preserve">  PGW and the Co</w:t>
      </w:r>
      <w:r w:rsidR="00DC1DC5">
        <w:rPr>
          <w:rFonts w:ascii="Times New Roman" w:hAnsi="Times New Roman"/>
          <w:sz w:val="26"/>
          <w:szCs w:val="26"/>
        </w:rPr>
        <w:t>mplainant are the Parties to this</w:t>
      </w:r>
      <w:r w:rsidR="0098343A">
        <w:rPr>
          <w:rFonts w:ascii="Times New Roman" w:hAnsi="Times New Roman"/>
          <w:sz w:val="26"/>
          <w:szCs w:val="26"/>
        </w:rPr>
        <w:t xml:space="preserve"> proceeding</w:t>
      </w:r>
      <w:r w:rsidR="00021579">
        <w:rPr>
          <w:rFonts w:ascii="Times New Roman" w:hAnsi="Times New Roman"/>
          <w:sz w:val="26"/>
          <w:szCs w:val="26"/>
        </w:rPr>
        <w:t>, and entered into the Settlement under which PGW billed the PHA for its proportionate share of gas usage.  R.Exc. at 6-7.</w:t>
      </w:r>
    </w:p>
    <w:p w:rsidR="00021579" w:rsidRDefault="00021579" w:rsidP="00D6692D">
      <w:pPr>
        <w:tabs>
          <w:tab w:val="left" w:pos="-1440"/>
          <w:tab w:val="left" w:pos="-720"/>
        </w:tabs>
        <w:suppressAutoHyphens/>
        <w:spacing w:line="360" w:lineRule="auto"/>
        <w:rPr>
          <w:rFonts w:ascii="Times New Roman" w:hAnsi="Times New Roman"/>
          <w:sz w:val="26"/>
          <w:szCs w:val="26"/>
        </w:rPr>
      </w:pPr>
    </w:p>
    <w:p w:rsidR="007C2C03" w:rsidRPr="000F2143" w:rsidRDefault="00021579" w:rsidP="000F2143">
      <w:pPr>
        <w:tabs>
          <w:tab w:val="left" w:pos="-1440"/>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conclusion, PGW argues that the Complainant simply wishes to infer that the Settlement of the Commission Complaint proceeding included municipal lien</w:t>
      </w:r>
      <w:r w:rsidR="00DC1DC5">
        <w:rPr>
          <w:rFonts w:ascii="Times New Roman" w:hAnsi="Times New Roman"/>
          <w:sz w:val="26"/>
          <w:szCs w:val="26"/>
        </w:rPr>
        <w:t xml:space="preserve">s.  PGW characterizes </w:t>
      </w:r>
      <w:r>
        <w:rPr>
          <w:rFonts w:ascii="Times New Roman" w:hAnsi="Times New Roman"/>
          <w:sz w:val="26"/>
          <w:szCs w:val="26"/>
        </w:rPr>
        <w:t>the Complainant’</w:t>
      </w:r>
      <w:r w:rsidR="00DC1DC5">
        <w:rPr>
          <w:rFonts w:ascii="Times New Roman" w:hAnsi="Times New Roman"/>
          <w:sz w:val="26"/>
          <w:szCs w:val="26"/>
        </w:rPr>
        <w:t>s Exceptions as a</w:t>
      </w:r>
      <w:r>
        <w:rPr>
          <w:rFonts w:ascii="Times New Roman" w:hAnsi="Times New Roman"/>
          <w:sz w:val="26"/>
          <w:szCs w:val="26"/>
        </w:rPr>
        <w:t xml:space="preserve"> collateral attack on the applicability of such liens.  R.Exc. at 7.</w:t>
      </w:r>
    </w:p>
    <w:p w:rsidR="00B22864" w:rsidRDefault="00B22864" w:rsidP="00F35B41">
      <w:pPr>
        <w:spacing w:line="360" w:lineRule="auto"/>
        <w:jc w:val="both"/>
        <w:rPr>
          <w:rFonts w:ascii="Times New Roman" w:hAnsi="Times New Roman"/>
          <w:b/>
          <w:sz w:val="26"/>
          <w:szCs w:val="26"/>
        </w:rPr>
      </w:pPr>
    </w:p>
    <w:p w:rsidR="00533C53" w:rsidRPr="00F35B41" w:rsidRDefault="00533C53" w:rsidP="00F35B41">
      <w:pPr>
        <w:spacing w:line="360" w:lineRule="auto"/>
        <w:jc w:val="both"/>
        <w:rPr>
          <w:rFonts w:ascii="Times New Roman" w:hAnsi="Times New Roman"/>
          <w:b/>
          <w:sz w:val="26"/>
          <w:szCs w:val="26"/>
        </w:rPr>
      </w:pPr>
      <w:r>
        <w:rPr>
          <w:rFonts w:ascii="Times New Roman" w:hAnsi="Times New Roman"/>
          <w:b/>
          <w:sz w:val="26"/>
          <w:szCs w:val="26"/>
        </w:rPr>
        <w:t>Disposition</w:t>
      </w:r>
    </w:p>
    <w:p w:rsidR="00533C53" w:rsidRDefault="00533C53" w:rsidP="00BD268A">
      <w:pPr>
        <w:spacing w:line="360" w:lineRule="auto"/>
        <w:ind w:firstLine="1440"/>
        <w:rPr>
          <w:rFonts w:ascii="Times New Roman" w:hAnsi="Times New Roman"/>
          <w:sz w:val="26"/>
          <w:szCs w:val="26"/>
        </w:rPr>
      </w:pPr>
    </w:p>
    <w:p w:rsidR="00DC1DC5" w:rsidRDefault="00741CA6" w:rsidP="000F2143">
      <w:pPr>
        <w:spacing w:line="360" w:lineRule="auto"/>
        <w:ind w:firstLine="1440"/>
        <w:rPr>
          <w:rFonts w:ascii="Times New Roman" w:hAnsi="Times New Roman"/>
          <w:spacing w:val="-3"/>
          <w:sz w:val="26"/>
          <w:szCs w:val="26"/>
        </w:rPr>
      </w:pPr>
      <w:r>
        <w:rPr>
          <w:rFonts w:ascii="Times New Roman" w:hAnsi="Times New Roman"/>
          <w:sz w:val="26"/>
          <w:szCs w:val="26"/>
        </w:rPr>
        <w:t>After review, we shall deny the Complainant’s Except</w:t>
      </w:r>
      <w:r w:rsidR="009F1B36">
        <w:rPr>
          <w:rFonts w:ascii="Times New Roman" w:hAnsi="Times New Roman"/>
          <w:sz w:val="26"/>
          <w:szCs w:val="26"/>
        </w:rPr>
        <w:t>ions.</w:t>
      </w:r>
      <w:r w:rsidR="000F2143">
        <w:rPr>
          <w:rFonts w:ascii="Times New Roman" w:hAnsi="Times New Roman"/>
          <w:sz w:val="26"/>
          <w:szCs w:val="26"/>
        </w:rPr>
        <w:t xml:space="preserve">  </w:t>
      </w:r>
      <w:r w:rsidR="00801928">
        <w:rPr>
          <w:rFonts w:ascii="Times New Roman" w:hAnsi="Times New Roman"/>
          <w:spacing w:val="-3"/>
          <w:sz w:val="26"/>
          <w:szCs w:val="26"/>
        </w:rPr>
        <w:t xml:space="preserve">PGW complied with the Settlement by removing the disputed charges of $9,715.14 from the Complainant’s account, and billing his two tenants </w:t>
      </w:r>
      <w:r w:rsidR="00DC1DC5">
        <w:rPr>
          <w:rFonts w:ascii="Times New Roman" w:hAnsi="Times New Roman"/>
          <w:spacing w:val="-3"/>
          <w:sz w:val="26"/>
          <w:szCs w:val="26"/>
        </w:rPr>
        <w:t xml:space="preserve">for </w:t>
      </w:r>
      <w:r w:rsidR="00801928">
        <w:rPr>
          <w:rFonts w:ascii="Times New Roman" w:hAnsi="Times New Roman"/>
          <w:spacing w:val="-3"/>
          <w:sz w:val="26"/>
          <w:szCs w:val="26"/>
        </w:rPr>
        <w:t xml:space="preserve">their proportionate share of gas usage based on their dates of occupancy at the Service Address.  The current tenant, Community Pre-School and Nursery, LLC, paid its bill in full.  The PHA, the prior tenant, did not pay its bill of $2,760.32.  The bill for this outstanding amount is in the name of the PHA.  </w:t>
      </w:r>
      <w:r w:rsidR="009D7B42">
        <w:rPr>
          <w:rFonts w:ascii="Times New Roman" w:hAnsi="Times New Roman"/>
          <w:sz w:val="26"/>
          <w:szCs w:val="26"/>
        </w:rPr>
        <w:t xml:space="preserve">The Settlement provided, </w:t>
      </w:r>
      <w:r w:rsidR="009D7B42" w:rsidRPr="00021579">
        <w:rPr>
          <w:rFonts w:ascii="Times New Roman" w:hAnsi="Times New Roman"/>
          <w:i/>
          <w:sz w:val="26"/>
          <w:szCs w:val="26"/>
        </w:rPr>
        <w:t>inter alia</w:t>
      </w:r>
      <w:r w:rsidR="009D7B42">
        <w:rPr>
          <w:rFonts w:ascii="Times New Roman" w:hAnsi="Times New Roman"/>
          <w:sz w:val="26"/>
          <w:szCs w:val="26"/>
        </w:rPr>
        <w:t>, that PGW would pro-rate the disputed amount between the tenants at the Service Address for their respective periods of occupancy.  PGW has complied with this provision of the Settlement.</w:t>
      </w:r>
    </w:p>
    <w:p w:rsidR="00DC1DC5" w:rsidRDefault="00DC1DC5" w:rsidP="000F2143">
      <w:pPr>
        <w:spacing w:line="360" w:lineRule="auto"/>
        <w:ind w:firstLine="1440"/>
        <w:rPr>
          <w:rFonts w:ascii="Times New Roman" w:hAnsi="Times New Roman"/>
          <w:spacing w:val="-3"/>
          <w:sz w:val="26"/>
          <w:szCs w:val="26"/>
        </w:rPr>
      </w:pPr>
    </w:p>
    <w:p w:rsidR="00F35B41" w:rsidRDefault="000F2143" w:rsidP="000F2143">
      <w:pPr>
        <w:spacing w:line="360" w:lineRule="auto"/>
        <w:ind w:firstLine="1440"/>
        <w:rPr>
          <w:rFonts w:ascii="Times New Roman" w:hAnsi="Times New Roman"/>
          <w:sz w:val="26"/>
          <w:szCs w:val="26"/>
        </w:rPr>
      </w:pPr>
      <w:r>
        <w:rPr>
          <w:rFonts w:ascii="Times New Roman" w:hAnsi="Times New Roman"/>
          <w:sz w:val="26"/>
          <w:szCs w:val="26"/>
        </w:rPr>
        <w:t>P</w:t>
      </w:r>
      <w:r>
        <w:rPr>
          <w:rFonts w:ascii="Times New Roman" w:hAnsi="Times New Roman"/>
          <w:spacing w:val="-3"/>
          <w:sz w:val="26"/>
          <w:szCs w:val="26"/>
        </w:rPr>
        <w:t xml:space="preserve">ursuant to the Municipal Lien Act, the City has the right to collect on the debt owed to PGW for gas service to the Service Address.  The Settlement between the </w:t>
      </w:r>
      <w:r>
        <w:rPr>
          <w:rFonts w:ascii="Times New Roman" w:hAnsi="Times New Roman"/>
          <w:spacing w:val="-3"/>
          <w:sz w:val="26"/>
          <w:szCs w:val="26"/>
        </w:rPr>
        <w:lastRenderedPageBreak/>
        <w:t>Complainant and PGW is silent with regard to the City’s right to file a municipal lien to colle</w:t>
      </w:r>
      <w:r w:rsidR="003F6653">
        <w:rPr>
          <w:rFonts w:ascii="Times New Roman" w:hAnsi="Times New Roman"/>
          <w:spacing w:val="-3"/>
          <w:sz w:val="26"/>
          <w:szCs w:val="26"/>
        </w:rPr>
        <w:t>ct</w:t>
      </w:r>
      <w:r w:rsidR="0098343A">
        <w:rPr>
          <w:rFonts w:ascii="Times New Roman" w:hAnsi="Times New Roman"/>
          <w:spacing w:val="-3"/>
          <w:sz w:val="26"/>
          <w:szCs w:val="26"/>
        </w:rPr>
        <w:t xml:space="preserve"> debt owed to PGW that remains</w:t>
      </w:r>
      <w:r>
        <w:rPr>
          <w:rFonts w:ascii="Times New Roman" w:hAnsi="Times New Roman"/>
          <w:spacing w:val="-3"/>
          <w:sz w:val="26"/>
          <w:szCs w:val="26"/>
        </w:rPr>
        <w:t xml:space="preserve"> unpaid afte</w:t>
      </w:r>
      <w:r w:rsidR="0098343A">
        <w:rPr>
          <w:rFonts w:ascii="Times New Roman" w:hAnsi="Times New Roman"/>
          <w:spacing w:val="-3"/>
          <w:sz w:val="26"/>
          <w:szCs w:val="26"/>
        </w:rPr>
        <w:t>r the terms of the Settlement a</w:t>
      </w:r>
      <w:r>
        <w:rPr>
          <w:rFonts w:ascii="Times New Roman" w:hAnsi="Times New Roman"/>
          <w:spacing w:val="-3"/>
          <w:sz w:val="26"/>
          <w:szCs w:val="26"/>
        </w:rPr>
        <w:t>re implemented.</w:t>
      </w:r>
      <w:r w:rsidR="003F6653">
        <w:rPr>
          <w:rFonts w:ascii="Times New Roman" w:hAnsi="Times New Roman"/>
          <w:spacing w:val="-3"/>
          <w:sz w:val="26"/>
          <w:szCs w:val="26"/>
        </w:rPr>
        <w:t xml:space="preserve">  Accordingly, we agree with the ALJ’s conclusion that the filing of the lien by the City against the Service Address did not violate the terms of the Settlement between the Complainant and PGW.</w:t>
      </w:r>
      <w:r w:rsidR="003F6653">
        <w:rPr>
          <w:rStyle w:val="FootnoteReference"/>
          <w:rFonts w:ascii="Times New Roman" w:hAnsi="Times New Roman"/>
          <w:spacing w:val="-3"/>
          <w:sz w:val="26"/>
          <w:szCs w:val="26"/>
        </w:rPr>
        <w:footnoteReference w:id="3"/>
      </w:r>
    </w:p>
    <w:p w:rsidR="00F35B41" w:rsidRDefault="00F35B41" w:rsidP="00BD268A">
      <w:pPr>
        <w:spacing w:line="360" w:lineRule="auto"/>
        <w:ind w:firstLine="1440"/>
        <w:rPr>
          <w:rFonts w:ascii="Times New Roman" w:hAnsi="Times New Roman"/>
          <w:sz w:val="26"/>
          <w:szCs w:val="26"/>
        </w:rPr>
      </w:pPr>
    </w:p>
    <w:p w:rsidR="0098343A" w:rsidRDefault="00801928" w:rsidP="00D8412C">
      <w:pPr>
        <w:spacing w:line="360" w:lineRule="auto"/>
        <w:ind w:firstLine="1440"/>
        <w:rPr>
          <w:rFonts w:ascii="Times New Roman" w:hAnsi="Times New Roman"/>
          <w:sz w:val="26"/>
          <w:szCs w:val="26"/>
        </w:rPr>
      </w:pPr>
      <w:r>
        <w:rPr>
          <w:rFonts w:ascii="Times New Roman" w:hAnsi="Times New Roman"/>
          <w:sz w:val="26"/>
          <w:szCs w:val="26"/>
        </w:rPr>
        <w:t xml:space="preserve">In addition to the fact </w:t>
      </w:r>
      <w:r w:rsidR="0098343A">
        <w:rPr>
          <w:rFonts w:ascii="Times New Roman" w:hAnsi="Times New Roman"/>
          <w:sz w:val="26"/>
          <w:szCs w:val="26"/>
        </w:rPr>
        <w:t xml:space="preserve">that </w:t>
      </w:r>
      <w:r>
        <w:rPr>
          <w:rFonts w:ascii="Times New Roman" w:hAnsi="Times New Roman"/>
          <w:sz w:val="26"/>
          <w:szCs w:val="26"/>
        </w:rPr>
        <w:t>the filing of the lien by the City does not violate the terms of the Settlement between PGW and the Complainant, i</w:t>
      </w:r>
      <w:r w:rsidR="007E74B3">
        <w:rPr>
          <w:rFonts w:ascii="Times New Roman" w:hAnsi="Times New Roman"/>
          <w:sz w:val="26"/>
          <w:szCs w:val="26"/>
        </w:rPr>
        <w:t xml:space="preserve">t is well-settled </w:t>
      </w:r>
      <w:r w:rsidR="00884245">
        <w:rPr>
          <w:rFonts w:ascii="Times New Roman" w:hAnsi="Times New Roman"/>
          <w:sz w:val="26"/>
          <w:szCs w:val="26"/>
        </w:rPr>
        <w:t>that the Commission does not have subject matter jurisdicti</w:t>
      </w:r>
      <w:r w:rsidR="00D8412C">
        <w:rPr>
          <w:rFonts w:ascii="Times New Roman" w:hAnsi="Times New Roman"/>
          <w:sz w:val="26"/>
          <w:szCs w:val="26"/>
        </w:rPr>
        <w:t xml:space="preserve">on over municipal liens.  Therefore, we </w:t>
      </w:r>
      <w:r w:rsidR="009E3F2C">
        <w:rPr>
          <w:rFonts w:ascii="Times New Roman" w:hAnsi="Times New Roman"/>
          <w:sz w:val="26"/>
          <w:szCs w:val="26"/>
        </w:rPr>
        <w:t xml:space="preserve">could </w:t>
      </w:r>
      <w:r w:rsidR="00884245">
        <w:rPr>
          <w:rFonts w:ascii="Times New Roman" w:hAnsi="Times New Roman"/>
          <w:sz w:val="26"/>
          <w:szCs w:val="26"/>
        </w:rPr>
        <w:t xml:space="preserve">not </w:t>
      </w:r>
      <w:r w:rsidR="009E3F2C">
        <w:rPr>
          <w:rFonts w:ascii="Times New Roman" w:hAnsi="Times New Roman"/>
          <w:sz w:val="26"/>
          <w:szCs w:val="26"/>
        </w:rPr>
        <w:t>have ordered the City to remove the lien from the Service Address</w:t>
      </w:r>
      <w:r w:rsidR="00DC1DC5">
        <w:rPr>
          <w:rFonts w:ascii="Times New Roman" w:hAnsi="Times New Roman"/>
          <w:sz w:val="26"/>
          <w:szCs w:val="26"/>
        </w:rPr>
        <w:t xml:space="preserve"> even</w:t>
      </w:r>
      <w:r w:rsidR="00D8412C">
        <w:rPr>
          <w:rFonts w:ascii="Times New Roman" w:hAnsi="Times New Roman"/>
          <w:sz w:val="26"/>
          <w:szCs w:val="26"/>
        </w:rPr>
        <w:t xml:space="preserve"> if the </w:t>
      </w:r>
      <w:r w:rsidR="0098343A">
        <w:rPr>
          <w:rFonts w:ascii="Times New Roman" w:hAnsi="Times New Roman"/>
          <w:sz w:val="26"/>
          <w:szCs w:val="26"/>
        </w:rPr>
        <w:t xml:space="preserve">City had been a party to the </w:t>
      </w:r>
      <w:r w:rsidR="00D8412C">
        <w:rPr>
          <w:rFonts w:ascii="Times New Roman" w:hAnsi="Times New Roman"/>
          <w:sz w:val="26"/>
          <w:szCs w:val="26"/>
        </w:rPr>
        <w:t>Settlement</w:t>
      </w:r>
      <w:r w:rsidR="0098343A">
        <w:rPr>
          <w:rFonts w:ascii="Times New Roman" w:hAnsi="Times New Roman"/>
          <w:sz w:val="26"/>
          <w:szCs w:val="26"/>
        </w:rPr>
        <w:t>, and the Settlement had included</w:t>
      </w:r>
      <w:r w:rsidR="00D8412C">
        <w:rPr>
          <w:rFonts w:ascii="Times New Roman" w:hAnsi="Times New Roman"/>
          <w:sz w:val="26"/>
          <w:szCs w:val="26"/>
        </w:rPr>
        <w:t xml:space="preserve"> a provision that waived the City’s right to file a municipal lien</w:t>
      </w:r>
      <w:r w:rsidR="00884245">
        <w:rPr>
          <w:rFonts w:ascii="Times New Roman" w:hAnsi="Times New Roman"/>
          <w:sz w:val="26"/>
          <w:szCs w:val="26"/>
        </w:rPr>
        <w:t xml:space="preserve">.  </w:t>
      </w:r>
      <w:r w:rsidR="00884245" w:rsidRPr="00741CA6">
        <w:rPr>
          <w:rFonts w:ascii="Times New Roman" w:hAnsi="Times New Roman"/>
          <w:i/>
          <w:sz w:val="26"/>
          <w:szCs w:val="26"/>
        </w:rPr>
        <w:t>Black v</w:t>
      </w:r>
      <w:r w:rsidR="00884245">
        <w:rPr>
          <w:rFonts w:ascii="Times New Roman" w:hAnsi="Times New Roman"/>
          <w:i/>
          <w:sz w:val="26"/>
          <w:szCs w:val="26"/>
        </w:rPr>
        <w:t>.</w:t>
      </w:r>
      <w:r w:rsidR="00884245" w:rsidRPr="00741CA6">
        <w:rPr>
          <w:rFonts w:ascii="Times New Roman" w:hAnsi="Times New Roman"/>
          <w:i/>
          <w:sz w:val="26"/>
          <w:szCs w:val="26"/>
        </w:rPr>
        <w:t xml:space="preserve"> P</w:t>
      </w:r>
      <w:r w:rsidR="00D8412C">
        <w:rPr>
          <w:rFonts w:ascii="Times New Roman" w:hAnsi="Times New Roman"/>
          <w:i/>
          <w:sz w:val="26"/>
          <w:szCs w:val="26"/>
        </w:rPr>
        <w:t>GW</w:t>
      </w:r>
      <w:r w:rsidR="00884245">
        <w:rPr>
          <w:rFonts w:ascii="Times New Roman" w:hAnsi="Times New Roman"/>
          <w:sz w:val="26"/>
          <w:szCs w:val="26"/>
        </w:rPr>
        <w:t xml:space="preserve">, Docket No. </w:t>
      </w:r>
    </w:p>
    <w:p w:rsidR="0098343A" w:rsidRDefault="00884245" w:rsidP="0098343A">
      <w:pPr>
        <w:spacing w:line="360" w:lineRule="auto"/>
        <w:rPr>
          <w:rFonts w:ascii="Times New Roman" w:hAnsi="Times New Roman"/>
          <w:sz w:val="26"/>
          <w:szCs w:val="26"/>
        </w:rPr>
      </w:pPr>
      <w:r>
        <w:rPr>
          <w:rFonts w:ascii="Times New Roman" w:hAnsi="Times New Roman"/>
          <w:sz w:val="26"/>
          <w:szCs w:val="26"/>
        </w:rPr>
        <w:t xml:space="preserve">C-2011-2218474 (Order entered August 25, 2011); </w:t>
      </w:r>
      <w:r w:rsidRPr="00A90B35">
        <w:rPr>
          <w:rFonts w:ascii="Times New Roman" w:hAnsi="Times New Roman"/>
          <w:i/>
          <w:iCs/>
          <w:sz w:val="26"/>
          <w:szCs w:val="26"/>
        </w:rPr>
        <w:t>Charles v. P</w:t>
      </w:r>
      <w:r w:rsidR="00D8412C">
        <w:rPr>
          <w:rFonts w:ascii="Times New Roman" w:hAnsi="Times New Roman"/>
          <w:i/>
          <w:iCs/>
          <w:sz w:val="26"/>
          <w:szCs w:val="26"/>
        </w:rPr>
        <w:t>GW</w:t>
      </w:r>
      <w:r>
        <w:rPr>
          <w:rFonts w:ascii="Times New Roman" w:hAnsi="Times New Roman"/>
          <w:sz w:val="26"/>
          <w:szCs w:val="26"/>
        </w:rPr>
        <w:t xml:space="preserve">, Docket No. </w:t>
      </w:r>
    </w:p>
    <w:p w:rsidR="009C7C4A" w:rsidRDefault="00884245" w:rsidP="0098343A">
      <w:pPr>
        <w:spacing w:line="360" w:lineRule="auto"/>
        <w:rPr>
          <w:rFonts w:ascii="Times New Roman" w:hAnsi="Times New Roman"/>
          <w:sz w:val="26"/>
          <w:szCs w:val="26"/>
        </w:rPr>
      </w:pPr>
      <w:r>
        <w:rPr>
          <w:rFonts w:ascii="Times New Roman" w:hAnsi="Times New Roman"/>
          <w:sz w:val="26"/>
          <w:szCs w:val="26"/>
        </w:rPr>
        <w:t>C-2009-2138638 (</w:t>
      </w:r>
      <w:r w:rsidRPr="00A90B35">
        <w:rPr>
          <w:rFonts w:ascii="Times New Roman" w:hAnsi="Times New Roman"/>
          <w:sz w:val="26"/>
          <w:szCs w:val="26"/>
        </w:rPr>
        <w:t>Order entered February 5, 2010</w:t>
      </w:r>
      <w:r>
        <w:rPr>
          <w:rFonts w:ascii="Times New Roman" w:hAnsi="Times New Roman"/>
          <w:sz w:val="26"/>
          <w:szCs w:val="26"/>
        </w:rPr>
        <w:t xml:space="preserve">); </w:t>
      </w:r>
      <w:r w:rsidRPr="006B7A3E">
        <w:rPr>
          <w:rFonts w:ascii="Times New Roman" w:hAnsi="Times New Roman"/>
          <w:i/>
          <w:sz w:val="26"/>
          <w:szCs w:val="26"/>
        </w:rPr>
        <w:t>2020 West Passyunk Avenue</w:t>
      </w:r>
      <w:r>
        <w:rPr>
          <w:rFonts w:ascii="Times New Roman" w:hAnsi="Times New Roman"/>
          <w:i/>
          <w:sz w:val="26"/>
          <w:szCs w:val="26"/>
        </w:rPr>
        <w:t>, Inc.</w:t>
      </w:r>
      <w:r w:rsidRPr="006B7A3E">
        <w:rPr>
          <w:rFonts w:ascii="Times New Roman" w:hAnsi="Times New Roman"/>
          <w:i/>
          <w:sz w:val="26"/>
          <w:szCs w:val="26"/>
        </w:rPr>
        <w:t xml:space="preserve"> v. P</w:t>
      </w:r>
      <w:r w:rsidR="00D8412C">
        <w:rPr>
          <w:rFonts w:ascii="Times New Roman" w:hAnsi="Times New Roman"/>
          <w:i/>
          <w:sz w:val="26"/>
          <w:szCs w:val="26"/>
        </w:rPr>
        <w:t>GW</w:t>
      </w:r>
      <w:r>
        <w:rPr>
          <w:rFonts w:ascii="Times New Roman" w:hAnsi="Times New Roman"/>
          <w:sz w:val="26"/>
          <w:szCs w:val="26"/>
        </w:rPr>
        <w:t xml:space="preserve">, Docket No. C-2009-2138727 (Order entered February 4, 2010); </w:t>
      </w:r>
      <w:r w:rsidRPr="006B7A3E">
        <w:rPr>
          <w:rFonts w:ascii="Times New Roman" w:hAnsi="Times New Roman"/>
          <w:i/>
          <w:sz w:val="26"/>
          <w:szCs w:val="26"/>
        </w:rPr>
        <w:t>Golan</w:t>
      </w:r>
      <w:r>
        <w:rPr>
          <w:rFonts w:ascii="Times New Roman" w:hAnsi="Times New Roman"/>
          <w:sz w:val="26"/>
          <w:szCs w:val="26"/>
        </w:rPr>
        <w:t xml:space="preserve"> </w:t>
      </w:r>
      <w:r w:rsidRPr="00564CAE">
        <w:rPr>
          <w:rFonts w:ascii="Times New Roman" w:hAnsi="Times New Roman"/>
          <w:i/>
          <w:sz w:val="26"/>
          <w:szCs w:val="26"/>
        </w:rPr>
        <w:t>v. P</w:t>
      </w:r>
      <w:r w:rsidR="00D8412C">
        <w:rPr>
          <w:rFonts w:ascii="Times New Roman" w:hAnsi="Times New Roman"/>
          <w:i/>
          <w:sz w:val="26"/>
          <w:szCs w:val="26"/>
        </w:rPr>
        <w:t>GW</w:t>
      </w:r>
      <w:r>
        <w:rPr>
          <w:rFonts w:ascii="Times New Roman" w:hAnsi="Times New Roman"/>
          <w:sz w:val="26"/>
          <w:szCs w:val="26"/>
        </w:rPr>
        <w:t>, Docket No.</w:t>
      </w:r>
      <w:r w:rsidR="00613980">
        <w:rPr>
          <w:rFonts w:ascii="Times New Roman" w:hAnsi="Times New Roman"/>
          <w:sz w:val="26"/>
          <w:szCs w:val="26"/>
        </w:rPr>
        <w:t xml:space="preserve"> </w:t>
      </w:r>
      <w:r>
        <w:rPr>
          <w:rFonts w:ascii="Times New Roman" w:hAnsi="Times New Roman"/>
          <w:sz w:val="26"/>
          <w:szCs w:val="26"/>
        </w:rPr>
        <w:t xml:space="preserve">C-2009-2138115 (Order entered February 4, 2010); </w:t>
      </w:r>
      <w:r>
        <w:rPr>
          <w:rFonts w:ascii="Times New Roman" w:hAnsi="Times New Roman"/>
          <w:i/>
          <w:sz w:val="26"/>
          <w:szCs w:val="26"/>
        </w:rPr>
        <w:t>Dung Phat, LLC</w:t>
      </w:r>
      <w:r>
        <w:rPr>
          <w:rFonts w:ascii="Times New Roman" w:hAnsi="Times New Roman"/>
          <w:sz w:val="26"/>
          <w:szCs w:val="26"/>
        </w:rPr>
        <w:t xml:space="preserve"> </w:t>
      </w:r>
      <w:r w:rsidRPr="00564CAE">
        <w:rPr>
          <w:rFonts w:ascii="Times New Roman" w:hAnsi="Times New Roman"/>
          <w:i/>
          <w:sz w:val="26"/>
          <w:szCs w:val="26"/>
        </w:rPr>
        <w:t>v. P</w:t>
      </w:r>
      <w:r w:rsidR="00D8412C">
        <w:rPr>
          <w:rFonts w:ascii="Times New Roman" w:hAnsi="Times New Roman"/>
          <w:i/>
          <w:sz w:val="26"/>
          <w:szCs w:val="26"/>
        </w:rPr>
        <w:t>GW</w:t>
      </w:r>
      <w:r>
        <w:rPr>
          <w:rFonts w:ascii="Times New Roman" w:hAnsi="Times New Roman"/>
          <w:sz w:val="26"/>
          <w:szCs w:val="26"/>
        </w:rPr>
        <w:t xml:space="preserve">, Docket No. C-2009-2135667 (Order entered January 13, 2010); </w:t>
      </w:r>
      <w:r>
        <w:rPr>
          <w:rFonts w:ascii="Times New Roman" w:hAnsi="Times New Roman"/>
          <w:i/>
          <w:sz w:val="26"/>
          <w:szCs w:val="26"/>
        </w:rPr>
        <w:t>Francis-Young</w:t>
      </w:r>
      <w:r>
        <w:rPr>
          <w:rFonts w:ascii="Times New Roman" w:hAnsi="Times New Roman"/>
          <w:sz w:val="26"/>
          <w:szCs w:val="26"/>
        </w:rPr>
        <w:t xml:space="preserve"> </w:t>
      </w:r>
      <w:r w:rsidRPr="00564CAE">
        <w:rPr>
          <w:rFonts w:ascii="Times New Roman" w:hAnsi="Times New Roman"/>
          <w:i/>
          <w:sz w:val="26"/>
          <w:szCs w:val="26"/>
        </w:rPr>
        <w:t>v. P</w:t>
      </w:r>
      <w:r w:rsidR="00D8412C">
        <w:rPr>
          <w:rFonts w:ascii="Times New Roman" w:hAnsi="Times New Roman"/>
          <w:i/>
          <w:sz w:val="26"/>
          <w:szCs w:val="26"/>
        </w:rPr>
        <w:t>GW</w:t>
      </w:r>
      <w:r w:rsidR="007E74B3">
        <w:rPr>
          <w:rFonts w:ascii="Times New Roman" w:hAnsi="Times New Roman"/>
          <w:sz w:val="26"/>
          <w:szCs w:val="26"/>
        </w:rPr>
        <w:t>, Docket No. C-2008-2029672</w:t>
      </w:r>
      <w:r>
        <w:rPr>
          <w:rFonts w:ascii="Times New Roman" w:hAnsi="Times New Roman"/>
          <w:sz w:val="26"/>
          <w:szCs w:val="26"/>
        </w:rPr>
        <w:t xml:space="preserve"> (Order entered February 23, 2009</w:t>
      </w:r>
      <w:r w:rsidR="007E74B3">
        <w:rPr>
          <w:rFonts w:ascii="Times New Roman" w:hAnsi="Times New Roman"/>
          <w:sz w:val="26"/>
          <w:szCs w:val="26"/>
        </w:rPr>
        <w:t xml:space="preserve">); </w:t>
      </w:r>
      <w:r w:rsidRPr="00A90B35">
        <w:rPr>
          <w:rFonts w:ascii="Times New Roman" w:hAnsi="Times New Roman"/>
          <w:i/>
          <w:iCs/>
          <w:sz w:val="26"/>
          <w:szCs w:val="26"/>
        </w:rPr>
        <w:t>Lawrence v. P</w:t>
      </w:r>
      <w:r w:rsidR="00D8412C">
        <w:rPr>
          <w:rFonts w:ascii="Times New Roman" w:hAnsi="Times New Roman"/>
          <w:i/>
          <w:iCs/>
          <w:sz w:val="26"/>
          <w:szCs w:val="26"/>
        </w:rPr>
        <w:t>GW</w:t>
      </w:r>
      <w:r w:rsidRPr="00A90B35">
        <w:rPr>
          <w:rFonts w:ascii="Times New Roman" w:hAnsi="Times New Roman"/>
          <w:sz w:val="26"/>
          <w:szCs w:val="26"/>
        </w:rPr>
        <w:t xml:space="preserve">, </w:t>
      </w:r>
      <w:r>
        <w:rPr>
          <w:rFonts w:ascii="Times New Roman" w:hAnsi="Times New Roman"/>
          <w:sz w:val="26"/>
          <w:szCs w:val="26"/>
        </w:rPr>
        <w:t>Docket No. C-20066672 (</w:t>
      </w:r>
      <w:r w:rsidRPr="00A90B35">
        <w:rPr>
          <w:rFonts w:ascii="Times New Roman" w:hAnsi="Times New Roman"/>
          <w:sz w:val="26"/>
          <w:szCs w:val="26"/>
        </w:rPr>
        <w:t>Order entered January 22, 2007</w:t>
      </w:r>
      <w:r>
        <w:rPr>
          <w:rFonts w:ascii="Times New Roman" w:hAnsi="Times New Roman"/>
          <w:sz w:val="26"/>
          <w:szCs w:val="26"/>
        </w:rPr>
        <w:t xml:space="preserve">). </w:t>
      </w:r>
      <w:r w:rsidR="00F87E6E" w:rsidRPr="00E459C8">
        <w:rPr>
          <w:rFonts w:ascii="Times New Roman" w:hAnsi="Times New Roman"/>
          <w:sz w:val="26"/>
          <w:szCs w:val="26"/>
        </w:rPr>
        <w:t xml:space="preserve"> </w:t>
      </w:r>
    </w:p>
    <w:p w:rsidR="00E659B1" w:rsidRDefault="00E659B1" w:rsidP="006E7FC1">
      <w:pPr>
        <w:tabs>
          <w:tab w:val="left" w:pos="-720"/>
        </w:tabs>
        <w:suppressAutoHyphens/>
        <w:spacing w:line="360" w:lineRule="auto"/>
        <w:ind w:firstLine="1440"/>
        <w:rPr>
          <w:rFonts w:ascii="Times New Roman" w:hAnsi="Times New Roman"/>
          <w:sz w:val="26"/>
        </w:rPr>
      </w:pPr>
    </w:p>
    <w:p w:rsidR="00130AD0" w:rsidRDefault="007F5615" w:rsidP="006E7FC1">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Given our disposition of the Complainant’s </w:t>
      </w:r>
      <w:r w:rsidR="00E31657">
        <w:rPr>
          <w:rFonts w:ascii="Times New Roman" w:hAnsi="Times New Roman"/>
          <w:sz w:val="26"/>
        </w:rPr>
        <w:t>Exceptions</w:t>
      </w:r>
      <w:r w:rsidR="007011B9">
        <w:rPr>
          <w:rFonts w:ascii="Times New Roman" w:hAnsi="Times New Roman"/>
          <w:sz w:val="26"/>
        </w:rPr>
        <w:t xml:space="preserve"> pertaining to</w:t>
      </w:r>
      <w:r w:rsidR="00E31657">
        <w:rPr>
          <w:rFonts w:ascii="Times New Roman" w:hAnsi="Times New Roman"/>
          <w:sz w:val="26"/>
        </w:rPr>
        <w:t xml:space="preserve"> the Complainant’s</w:t>
      </w:r>
      <w:r w:rsidR="00365AB4">
        <w:rPr>
          <w:rFonts w:ascii="Times New Roman" w:hAnsi="Times New Roman"/>
          <w:sz w:val="26"/>
        </w:rPr>
        <w:t xml:space="preserve"> </w:t>
      </w:r>
      <w:r w:rsidR="00E31657">
        <w:rPr>
          <w:rFonts w:ascii="Times New Roman" w:hAnsi="Times New Roman"/>
          <w:sz w:val="26"/>
        </w:rPr>
        <w:t>First Petition</w:t>
      </w:r>
      <w:r w:rsidR="007011B9">
        <w:rPr>
          <w:rFonts w:ascii="Times New Roman" w:hAnsi="Times New Roman"/>
          <w:sz w:val="26"/>
        </w:rPr>
        <w:t>, that Petition</w:t>
      </w:r>
      <w:r w:rsidR="00E31657">
        <w:rPr>
          <w:rFonts w:ascii="Times New Roman" w:hAnsi="Times New Roman"/>
          <w:sz w:val="26"/>
        </w:rPr>
        <w:t xml:space="preserve"> is denied in accordance with the ALJ’s Initial Decision.  Accordingly, the joinder of the PHA as an indispensable party to this proceeding is a moot issue, and the ALJ’s decision to deny the Complainant’s Second Petition is affirmed.</w:t>
      </w:r>
    </w:p>
    <w:p w:rsidR="00130AD0" w:rsidRDefault="00130AD0" w:rsidP="006E7FC1">
      <w:pPr>
        <w:tabs>
          <w:tab w:val="left" w:pos="-720"/>
        </w:tabs>
        <w:suppressAutoHyphens/>
        <w:spacing w:line="360" w:lineRule="auto"/>
        <w:ind w:firstLine="1440"/>
        <w:rPr>
          <w:rFonts w:ascii="Times New Roman" w:hAnsi="Times New Roman"/>
          <w:sz w:val="26"/>
        </w:rPr>
      </w:pPr>
    </w:p>
    <w:p w:rsidR="00E31657" w:rsidRDefault="00E31657" w:rsidP="006E7FC1">
      <w:pPr>
        <w:tabs>
          <w:tab w:val="left" w:pos="-720"/>
        </w:tabs>
        <w:suppressAutoHyphens/>
        <w:spacing w:line="360" w:lineRule="auto"/>
        <w:ind w:firstLine="1440"/>
        <w:rPr>
          <w:rFonts w:ascii="Times New Roman" w:hAnsi="Times New Roman"/>
          <w:sz w:val="26"/>
        </w:rPr>
      </w:pPr>
    </w:p>
    <w:p w:rsidR="00DF212A" w:rsidRDefault="006F5428" w:rsidP="008F1984">
      <w:pPr>
        <w:pStyle w:val="Heading2"/>
        <w:keepNext w:val="0"/>
        <w:rPr>
          <w:b w:val="0"/>
          <w:u w:val="none"/>
        </w:rPr>
      </w:pPr>
      <w:r w:rsidRPr="0034252B">
        <w:rPr>
          <w:u w:val="none"/>
        </w:rPr>
        <w:lastRenderedPageBreak/>
        <w:t>Conclusion</w:t>
      </w:r>
    </w:p>
    <w:p w:rsidR="00DF212A" w:rsidRDefault="00DF212A">
      <w:pPr>
        <w:tabs>
          <w:tab w:val="left" w:pos="-720"/>
        </w:tabs>
        <w:suppressAutoHyphens/>
        <w:spacing w:line="360" w:lineRule="auto"/>
        <w:rPr>
          <w:rFonts w:ascii="Times New Roman" w:hAnsi="Times New Roman"/>
          <w:sz w:val="26"/>
        </w:rPr>
      </w:pPr>
    </w:p>
    <w:p w:rsidR="0025740E" w:rsidRDefault="009E3F2C"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szCs w:val="26"/>
        </w:rPr>
        <w:t xml:space="preserve">The filing of a municipal lien by the City against </w:t>
      </w:r>
      <w:r w:rsidR="00860717" w:rsidRPr="00A90B35">
        <w:rPr>
          <w:rFonts w:ascii="Times New Roman" w:hAnsi="Times New Roman"/>
          <w:sz w:val="26"/>
          <w:szCs w:val="26"/>
        </w:rPr>
        <w:t xml:space="preserve">the </w:t>
      </w:r>
      <w:r>
        <w:rPr>
          <w:rFonts w:ascii="Times New Roman" w:hAnsi="Times New Roman"/>
          <w:sz w:val="26"/>
          <w:szCs w:val="26"/>
        </w:rPr>
        <w:t xml:space="preserve">Service Address did not violate the terms of the Settlement between PGW and the Complainant.  Additionally, the </w:t>
      </w:r>
      <w:r w:rsidR="00860717">
        <w:rPr>
          <w:rFonts w:ascii="Times New Roman" w:hAnsi="Times New Roman"/>
          <w:sz w:val="26"/>
          <w:szCs w:val="26"/>
        </w:rPr>
        <w:t xml:space="preserve">Commission does not have </w:t>
      </w:r>
      <w:r w:rsidR="00860717" w:rsidRPr="00A90B35">
        <w:rPr>
          <w:rFonts w:ascii="Times New Roman" w:hAnsi="Times New Roman"/>
          <w:sz w:val="26"/>
          <w:szCs w:val="26"/>
        </w:rPr>
        <w:t xml:space="preserve">jurisdiction </w:t>
      </w:r>
      <w:r w:rsidR="00843202">
        <w:rPr>
          <w:rFonts w:ascii="Times New Roman" w:hAnsi="Times New Roman"/>
          <w:sz w:val="26"/>
          <w:szCs w:val="26"/>
        </w:rPr>
        <w:t>to adjudicate the filing or</w:t>
      </w:r>
      <w:r w:rsidR="000571D7">
        <w:rPr>
          <w:rFonts w:ascii="Times New Roman" w:hAnsi="Times New Roman"/>
          <w:sz w:val="26"/>
          <w:szCs w:val="26"/>
        </w:rPr>
        <w:t xml:space="preserve"> validity </w:t>
      </w:r>
      <w:r>
        <w:rPr>
          <w:rFonts w:ascii="Times New Roman" w:hAnsi="Times New Roman"/>
          <w:sz w:val="26"/>
          <w:szCs w:val="26"/>
        </w:rPr>
        <w:t>of municipal liens</w:t>
      </w:r>
      <w:r w:rsidR="00860717">
        <w:rPr>
          <w:rFonts w:ascii="Times New Roman" w:hAnsi="Times New Roman"/>
          <w:sz w:val="26"/>
        </w:rPr>
        <w:t>.  Accordingly, w</w:t>
      </w:r>
      <w:r w:rsidR="006A24BF">
        <w:rPr>
          <w:rFonts w:ascii="Times New Roman" w:hAnsi="Times New Roman"/>
          <w:sz w:val="26"/>
        </w:rPr>
        <w:t xml:space="preserve">e shall </w:t>
      </w:r>
      <w:r w:rsidR="00AF12B1">
        <w:rPr>
          <w:rFonts w:ascii="Times New Roman" w:hAnsi="Times New Roman"/>
          <w:sz w:val="26"/>
        </w:rPr>
        <w:t xml:space="preserve">deny </w:t>
      </w:r>
      <w:r w:rsidR="00941DA2">
        <w:rPr>
          <w:rFonts w:ascii="Times New Roman" w:hAnsi="Times New Roman"/>
          <w:sz w:val="26"/>
        </w:rPr>
        <w:t xml:space="preserve">the </w:t>
      </w:r>
      <w:r w:rsidR="006A24BF">
        <w:rPr>
          <w:rFonts w:ascii="Times New Roman" w:hAnsi="Times New Roman"/>
          <w:sz w:val="26"/>
        </w:rPr>
        <w:t xml:space="preserve">Complainant’s Exceptions </w:t>
      </w:r>
      <w:r w:rsidR="00AF12B1">
        <w:rPr>
          <w:rFonts w:ascii="Times New Roman" w:hAnsi="Times New Roman"/>
          <w:sz w:val="26"/>
        </w:rPr>
        <w:t xml:space="preserve">and </w:t>
      </w:r>
      <w:r w:rsidR="006A24BF">
        <w:rPr>
          <w:rFonts w:ascii="Times New Roman" w:hAnsi="Times New Roman"/>
          <w:sz w:val="26"/>
        </w:rPr>
        <w:t>adopt</w:t>
      </w:r>
      <w:r w:rsidR="00AF12B1">
        <w:rPr>
          <w:rFonts w:ascii="Times New Roman" w:hAnsi="Times New Roman"/>
          <w:sz w:val="26"/>
        </w:rPr>
        <w:t xml:space="preserve"> the ALJ’s Initial Decision</w:t>
      </w:r>
      <w:r w:rsidR="006F5428">
        <w:rPr>
          <w:rFonts w:ascii="Times New Roman" w:hAnsi="Times New Roman"/>
          <w:sz w:val="26"/>
        </w:rPr>
        <w:t xml:space="preserve">; </w:t>
      </w:r>
      <w:r w:rsidR="006F5428">
        <w:rPr>
          <w:rFonts w:ascii="Times New Roman" w:hAnsi="Times New Roman"/>
          <w:b/>
          <w:sz w:val="26"/>
        </w:rPr>
        <w:t>THEREFORE,</w:t>
      </w:r>
    </w:p>
    <w:p w:rsidR="00D8412C" w:rsidRDefault="00D8412C" w:rsidP="0098343A">
      <w:pPr>
        <w:tabs>
          <w:tab w:val="left" w:pos="-720"/>
        </w:tabs>
        <w:suppressAutoHyphens/>
        <w:spacing w:line="360" w:lineRule="auto"/>
        <w:rPr>
          <w:rFonts w:ascii="Times New Roman" w:hAnsi="Times New Roman"/>
          <w:sz w:val="26"/>
        </w:rPr>
      </w:pPr>
    </w:p>
    <w:p w:rsidR="0025740E" w:rsidRDefault="006F5428" w:rsidP="00F324D4">
      <w:pPr>
        <w:pStyle w:val="BodyText3"/>
        <w:spacing w:line="360" w:lineRule="auto"/>
        <w:ind w:firstLine="1440"/>
      </w:pPr>
      <w:r>
        <w:t>IT IS ORDERED:</w:t>
      </w:r>
    </w:p>
    <w:p w:rsidR="006E484F" w:rsidRDefault="006E484F" w:rsidP="00091772">
      <w:pPr>
        <w:pStyle w:val="BodyText3"/>
        <w:spacing w:line="360" w:lineRule="auto"/>
      </w:pPr>
    </w:p>
    <w:p w:rsidR="006F5428" w:rsidRPr="003F2B69" w:rsidRDefault="006E484F" w:rsidP="00F63D15">
      <w:pPr>
        <w:pStyle w:val="BodyText3"/>
        <w:spacing w:line="360" w:lineRule="auto"/>
        <w:ind w:firstLine="1440"/>
        <w:rPr>
          <w:b w:val="0"/>
        </w:rPr>
      </w:pPr>
      <w:r w:rsidRPr="003F2B69">
        <w:rPr>
          <w:b w:val="0"/>
        </w:rPr>
        <w:t>1.</w:t>
      </w:r>
      <w:r w:rsidRPr="003F2B69">
        <w:rPr>
          <w:b w:val="0"/>
        </w:rPr>
        <w:tab/>
      </w:r>
      <w:r w:rsidR="00DB20A8" w:rsidRPr="003F2B69">
        <w:rPr>
          <w:b w:val="0"/>
        </w:rPr>
        <w:t xml:space="preserve">That the </w:t>
      </w:r>
      <w:r w:rsidR="006B1E3E" w:rsidRPr="003F2B69">
        <w:rPr>
          <w:b w:val="0"/>
        </w:rPr>
        <w:t xml:space="preserve">Exceptions filed by </w:t>
      </w:r>
      <w:r w:rsidR="000F2143">
        <w:rPr>
          <w:b w:val="0"/>
        </w:rPr>
        <w:t>Guy Laren</w:t>
      </w:r>
      <w:r w:rsidR="005726CF" w:rsidRPr="003F2B69">
        <w:rPr>
          <w:b w:val="0"/>
        </w:rPr>
        <w:t xml:space="preserve"> </w:t>
      </w:r>
      <w:r w:rsidR="00FB7AF8" w:rsidRPr="003F2B69">
        <w:rPr>
          <w:b w:val="0"/>
        </w:rPr>
        <w:t xml:space="preserve">on </w:t>
      </w:r>
      <w:r w:rsidR="009E3F2C">
        <w:rPr>
          <w:b w:val="0"/>
        </w:rPr>
        <w:t>February 25, 2012</w:t>
      </w:r>
      <w:r w:rsidR="00FB7AF8" w:rsidRPr="003F2B69">
        <w:rPr>
          <w:b w:val="0"/>
        </w:rPr>
        <w:t>,</w:t>
      </w:r>
      <w:r w:rsidR="00003C2E" w:rsidRPr="003F2B69">
        <w:rPr>
          <w:b w:val="0"/>
        </w:rPr>
        <w:t xml:space="preserve"> to </w:t>
      </w:r>
      <w:r w:rsidR="0098343A">
        <w:rPr>
          <w:b w:val="0"/>
        </w:rPr>
        <w:t xml:space="preserve">the </w:t>
      </w:r>
      <w:r w:rsidR="0098343A" w:rsidRPr="003F2B69">
        <w:rPr>
          <w:b w:val="0"/>
        </w:rPr>
        <w:t>Initial Decision</w:t>
      </w:r>
      <w:r w:rsidR="0098343A" w:rsidRPr="00A310B2">
        <w:rPr>
          <w:b w:val="0"/>
        </w:rPr>
        <w:t xml:space="preserve"> </w:t>
      </w:r>
      <w:r w:rsidR="0098343A">
        <w:rPr>
          <w:b w:val="0"/>
        </w:rPr>
        <w:t xml:space="preserve">of </w:t>
      </w:r>
      <w:r w:rsidR="000E26AD" w:rsidRPr="00A310B2">
        <w:rPr>
          <w:b w:val="0"/>
        </w:rPr>
        <w:t>Administ</w:t>
      </w:r>
      <w:r w:rsidR="009E3F2C">
        <w:rPr>
          <w:b w:val="0"/>
        </w:rPr>
        <w:t>rative Law Judge Cynthia Williams Fordham</w:t>
      </w:r>
      <w:r w:rsidR="0098343A">
        <w:rPr>
          <w:b w:val="0"/>
        </w:rPr>
        <w:t xml:space="preserve"> </w:t>
      </w:r>
      <w:r w:rsidR="009E3F2C">
        <w:rPr>
          <w:b w:val="0"/>
        </w:rPr>
        <w:t xml:space="preserve">issued on February 8, 2012, </w:t>
      </w:r>
      <w:r w:rsidR="00276634" w:rsidRPr="003F2B69">
        <w:rPr>
          <w:b w:val="0"/>
        </w:rPr>
        <w:t xml:space="preserve">are </w:t>
      </w:r>
      <w:r w:rsidR="001B257D" w:rsidRPr="003F2B69">
        <w:rPr>
          <w:b w:val="0"/>
        </w:rPr>
        <w:t>d</w:t>
      </w:r>
      <w:r w:rsidR="00B220AA" w:rsidRPr="003F2B69">
        <w:rPr>
          <w:b w:val="0"/>
        </w:rPr>
        <w:t>enied</w:t>
      </w:r>
      <w:r w:rsidR="00276634" w:rsidRPr="003F2B69">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1063F2" w:rsidP="00F35B41">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w:t>
      </w:r>
      <w:r w:rsidR="0098343A">
        <w:rPr>
          <w:rFonts w:ascii="Times New Roman" w:hAnsi="Times New Roman"/>
          <w:sz w:val="26"/>
        </w:rPr>
        <w:t xml:space="preserve">the Initial Decision of </w:t>
      </w:r>
      <w:r w:rsidR="006F5428" w:rsidRPr="0009254B">
        <w:rPr>
          <w:rFonts w:ascii="Times New Roman" w:hAnsi="Times New Roman"/>
          <w:sz w:val="26"/>
        </w:rPr>
        <w:t>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ve Law Judg</w:t>
      </w:r>
      <w:r w:rsidR="00D15F15" w:rsidRPr="009E3F2C">
        <w:rPr>
          <w:rFonts w:ascii="Times New Roman" w:hAnsi="Times New Roman"/>
          <w:sz w:val="26"/>
          <w:szCs w:val="26"/>
        </w:rPr>
        <w:t>e</w:t>
      </w:r>
      <w:r w:rsidR="009E3F2C">
        <w:rPr>
          <w:rFonts w:ascii="Times New Roman" w:hAnsi="Times New Roman"/>
          <w:sz w:val="26"/>
          <w:szCs w:val="26"/>
        </w:rPr>
        <w:t xml:space="preserve"> </w:t>
      </w:r>
      <w:r w:rsidR="009E3F2C" w:rsidRPr="009E3F2C">
        <w:rPr>
          <w:rFonts w:ascii="Times New Roman" w:hAnsi="Times New Roman"/>
          <w:sz w:val="26"/>
          <w:szCs w:val="26"/>
        </w:rPr>
        <w:t>Cynthia Williams Fordham</w:t>
      </w:r>
      <w:r w:rsidR="0098343A">
        <w:rPr>
          <w:rFonts w:ascii="Times New Roman" w:hAnsi="Times New Roman"/>
          <w:sz w:val="26"/>
          <w:szCs w:val="26"/>
        </w:rPr>
        <w:t xml:space="preserve"> </w:t>
      </w:r>
      <w:r w:rsidR="00FB7AF8">
        <w:rPr>
          <w:rFonts w:ascii="Times New Roman" w:hAnsi="Times New Roman"/>
          <w:sz w:val="26"/>
        </w:rPr>
        <w:t xml:space="preserve">issued on </w:t>
      </w:r>
      <w:r w:rsidR="009E3F2C">
        <w:rPr>
          <w:rFonts w:ascii="Times New Roman" w:hAnsi="Times New Roman"/>
          <w:sz w:val="26"/>
        </w:rPr>
        <w:t>February 8, 2012</w:t>
      </w:r>
      <w:r w:rsidR="00FB7AF8">
        <w:rPr>
          <w:rFonts w:ascii="Times New Roman" w:hAnsi="Times New Roman"/>
          <w:sz w:val="26"/>
        </w:rPr>
        <w:t>,</w:t>
      </w:r>
      <w:r w:rsidR="00D96D56">
        <w:rPr>
          <w:rFonts w:ascii="Times New Roman" w:hAnsi="Times New Roman"/>
          <w:sz w:val="26"/>
        </w:rPr>
        <w:t xml:space="preserve"> </w:t>
      </w:r>
      <w:r w:rsidR="00917E69" w:rsidRPr="0009254B">
        <w:rPr>
          <w:rFonts w:ascii="Times New Roman" w:hAnsi="Times New Roman"/>
          <w:sz w:val="26"/>
        </w:rPr>
        <w:t xml:space="preserve">is </w:t>
      </w:r>
      <w:r w:rsidR="00696825">
        <w:rPr>
          <w:rFonts w:ascii="Times New Roman" w:hAnsi="Times New Roman"/>
          <w:sz w:val="26"/>
        </w:rPr>
        <w:t>adopted</w:t>
      </w:r>
      <w:r w:rsidR="009E3F2C">
        <w:rPr>
          <w:rFonts w:ascii="Times New Roman" w:hAnsi="Times New Roman"/>
          <w:sz w:val="26"/>
        </w:rPr>
        <w:t xml:space="preserve"> to the extent consistent with this Opinion and Order</w:t>
      </w:r>
      <w:r w:rsidR="00841FDE" w:rsidRPr="0009254B">
        <w:rPr>
          <w:rFonts w:ascii="Times New Roman" w:hAnsi="Times New Roman"/>
          <w:sz w:val="26"/>
        </w:rPr>
        <w:t>.</w:t>
      </w:r>
    </w:p>
    <w:p w:rsidR="00F324D4" w:rsidRPr="00F324D4" w:rsidRDefault="00F324D4" w:rsidP="00613980">
      <w:pPr>
        <w:tabs>
          <w:tab w:val="left" w:pos="2160"/>
        </w:tabs>
        <w:spacing w:line="360" w:lineRule="auto"/>
        <w:rPr>
          <w:rFonts w:ascii="Times New Roman" w:hAnsi="Times New Roman"/>
          <w:sz w:val="26"/>
          <w:szCs w:val="26"/>
        </w:rPr>
      </w:pPr>
    </w:p>
    <w:p w:rsidR="00130AD0" w:rsidRDefault="009E3F2C">
      <w:pPr>
        <w:tabs>
          <w:tab w:val="left" w:pos="2160"/>
        </w:tabs>
        <w:spacing w:line="360" w:lineRule="auto"/>
        <w:ind w:firstLine="1440"/>
        <w:rPr>
          <w:rFonts w:ascii="Times New Roman" w:hAnsi="Times New Roman"/>
          <w:sz w:val="26"/>
          <w:szCs w:val="26"/>
        </w:rPr>
      </w:pPr>
      <w:r>
        <w:rPr>
          <w:rFonts w:ascii="Times New Roman" w:hAnsi="Times New Roman"/>
          <w:sz w:val="26"/>
          <w:szCs w:val="26"/>
        </w:rPr>
        <w:t>3</w:t>
      </w:r>
      <w:r w:rsidR="00F324D4" w:rsidRPr="00F324D4">
        <w:rPr>
          <w:rFonts w:ascii="Times New Roman" w:hAnsi="Times New Roman"/>
          <w:sz w:val="26"/>
          <w:szCs w:val="26"/>
        </w:rPr>
        <w:t>.</w:t>
      </w:r>
      <w:r w:rsidR="00F324D4" w:rsidRPr="00F324D4">
        <w:rPr>
          <w:rFonts w:ascii="Times New Roman" w:hAnsi="Times New Roman"/>
          <w:sz w:val="26"/>
          <w:szCs w:val="26"/>
        </w:rPr>
        <w:tab/>
      </w:r>
      <w:r w:rsidR="00130AD0">
        <w:rPr>
          <w:rFonts w:ascii="Times New Roman" w:hAnsi="Times New Roman"/>
          <w:sz w:val="26"/>
          <w:szCs w:val="26"/>
        </w:rPr>
        <w:t>That the Petition to Enforce Settlement, filed by Guy Laren on September 4, 2009, is denied.</w:t>
      </w:r>
    </w:p>
    <w:p w:rsidR="00130AD0" w:rsidRDefault="00130AD0">
      <w:pPr>
        <w:tabs>
          <w:tab w:val="left" w:pos="2160"/>
        </w:tabs>
        <w:spacing w:line="360" w:lineRule="auto"/>
        <w:ind w:firstLine="1440"/>
        <w:rPr>
          <w:rFonts w:ascii="Times New Roman" w:hAnsi="Times New Roman"/>
          <w:sz w:val="26"/>
          <w:szCs w:val="26"/>
        </w:rPr>
      </w:pPr>
    </w:p>
    <w:p w:rsidR="00130AD0" w:rsidRDefault="00130AD0">
      <w:pPr>
        <w:tabs>
          <w:tab w:val="left" w:pos="2160"/>
        </w:tabs>
        <w:spacing w:line="360" w:lineRule="auto"/>
        <w:ind w:firstLine="1440"/>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That the Petition to Join an Essential Party, filed by Guy Laren on November 22, 2010, is denied.</w:t>
      </w:r>
    </w:p>
    <w:p w:rsidR="00E31657" w:rsidRDefault="00E31657">
      <w:pPr>
        <w:tabs>
          <w:tab w:val="left" w:pos="2160"/>
        </w:tabs>
        <w:spacing w:line="360" w:lineRule="auto"/>
        <w:ind w:firstLine="1440"/>
        <w:rPr>
          <w:rFonts w:ascii="Times New Roman" w:hAnsi="Times New Roman"/>
          <w:sz w:val="26"/>
          <w:szCs w:val="26"/>
        </w:rPr>
      </w:pPr>
    </w:p>
    <w:p w:rsidR="00E31657" w:rsidRDefault="00E31657">
      <w:pPr>
        <w:tabs>
          <w:tab w:val="left" w:pos="2160"/>
        </w:tabs>
        <w:spacing w:line="360" w:lineRule="auto"/>
        <w:ind w:firstLine="1440"/>
        <w:rPr>
          <w:rFonts w:ascii="Times New Roman" w:hAnsi="Times New Roman"/>
          <w:sz w:val="26"/>
          <w:szCs w:val="26"/>
        </w:rPr>
      </w:pPr>
    </w:p>
    <w:p w:rsidR="00E31657" w:rsidRDefault="00E31657">
      <w:pPr>
        <w:tabs>
          <w:tab w:val="left" w:pos="2160"/>
        </w:tabs>
        <w:spacing w:line="360" w:lineRule="auto"/>
        <w:ind w:firstLine="1440"/>
        <w:rPr>
          <w:rFonts w:ascii="Times New Roman" w:hAnsi="Times New Roman"/>
          <w:sz w:val="26"/>
          <w:szCs w:val="26"/>
        </w:rPr>
      </w:pPr>
    </w:p>
    <w:p w:rsidR="00E31657" w:rsidRDefault="00E31657">
      <w:pPr>
        <w:tabs>
          <w:tab w:val="left" w:pos="2160"/>
        </w:tabs>
        <w:spacing w:line="360" w:lineRule="auto"/>
        <w:ind w:firstLine="1440"/>
        <w:rPr>
          <w:rFonts w:ascii="Times New Roman" w:hAnsi="Times New Roman"/>
          <w:sz w:val="26"/>
          <w:szCs w:val="26"/>
        </w:rPr>
      </w:pPr>
    </w:p>
    <w:p w:rsidR="00130AD0" w:rsidRDefault="00130AD0">
      <w:pPr>
        <w:tabs>
          <w:tab w:val="left" w:pos="2160"/>
        </w:tabs>
        <w:spacing w:line="360" w:lineRule="auto"/>
        <w:ind w:firstLine="1440"/>
        <w:rPr>
          <w:rFonts w:ascii="Times New Roman" w:hAnsi="Times New Roman"/>
          <w:sz w:val="26"/>
          <w:szCs w:val="26"/>
        </w:rPr>
      </w:pPr>
    </w:p>
    <w:p w:rsidR="00F324D4" w:rsidRPr="00F324D4" w:rsidRDefault="00130AD0">
      <w:pPr>
        <w:tabs>
          <w:tab w:val="left" w:pos="2160"/>
        </w:tabs>
        <w:spacing w:line="360" w:lineRule="auto"/>
        <w:ind w:firstLine="1440"/>
        <w:rPr>
          <w:rFonts w:ascii="Times New Roman" w:hAnsi="Times New Roman"/>
          <w:sz w:val="26"/>
          <w:szCs w:val="26"/>
        </w:rPr>
      </w:pPr>
      <w:r>
        <w:rPr>
          <w:rFonts w:ascii="Times New Roman" w:hAnsi="Times New Roman"/>
          <w:sz w:val="26"/>
          <w:szCs w:val="26"/>
        </w:rPr>
        <w:lastRenderedPageBreak/>
        <w:t>5.</w:t>
      </w:r>
      <w:r>
        <w:rPr>
          <w:rFonts w:ascii="Times New Roman" w:hAnsi="Times New Roman"/>
          <w:sz w:val="26"/>
          <w:szCs w:val="26"/>
        </w:rPr>
        <w:tab/>
      </w:r>
      <w:r w:rsidR="00F324D4">
        <w:rPr>
          <w:rFonts w:ascii="Times New Roman" w:hAnsi="Times New Roman"/>
          <w:sz w:val="26"/>
          <w:szCs w:val="26"/>
        </w:rPr>
        <w:t xml:space="preserve">That </w:t>
      </w:r>
      <w:r w:rsidR="00B441F0">
        <w:rPr>
          <w:rFonts w:ascii="Times New Roman" w:hAnsi="Times New Roman"/>
          <w:sz w:val="26"/>
          <w:szCs w:val="26"/>
        </w:rPr>
        <w:t xml:space="preserve">the record at </w:t>
      </w:r>
      <w:r w:rsidR="00F324D4">
        <w:rPr>
          <w:rFonts w:ascii="Times New Roman" w:hAnsi="Times New Roman"/>
          <w:sz w:val="26"/>
          <w:szCs w:val="26"/>
        </w:rPr>
        <w:t>Docket No.</w:t>
      </w:r>
      <w:r w:rsidR="009E3F2C">
        <w:rPr>
          <w:rFonts w:ascii="Times New Roman" w:hAnsi="Times New Roman"/>
          <w:sz w:val="26"/>
          <w:szCs w:val="26"/>
        </w:rPr>
        <w:t xml:space="preserve"> C-2008-2058148</w:t>
      </w:r>
      <w:r w:rsidR="00F324D4" w:rsidRPr="00F324D4">
        <w:rPr>
          <w:rFonts w:ascii="Times New Roman" w:hAnsi="Times New Roman"/>
          <w:sz w:val="26"/>
          <w:szCs w:val="26"/>
        </w:rPr>
        <w:t xml:space="preserve"> </w:t>
      </w:r>
      <w:r w:rsidR="00D8412C">
        <w:rPr>
          <w:rFonts w:ascii="Times New Roman" w:hAnsi="Times New Roman"/>
          <w:sz w:val="26"/>
          <w:szCs w:val="26"/>
        </w:rPr>
        <w:t xml:space="preserve">shall </w:t>
      </w:r>
      <w:r w:rsidR="00B441F0">
        <w:rPr>
          <w:rFonts w:ascii="Times New Roman" w:hAnsi="Times New Roman"/>
          <w:sz w:val="26"/>
          <w:szCs w:val="26"/>
        </w:rPr>
        <w:t>be</w:t>
      </w:r>
      <w:r w:rsidR="00F324D4" w:rsidRPr="00F324D4">
        <w:rPr>
          <w:rFonts w:ascii="Times New Roman" w:hAnsi="Times New Roman"/>
          <w:sz w:val="26"/>
          <w:szCs w:val="26"/>
        </w:rPr>
        <w:t xml:space="preserve"> marked closed.</w:t>
      </w:r>
    </w:p>
    <w:p w:rsidR="00F324D4" w:rsidRPr="00643938" w:rsidRDefault="00F324D4" w:rsidP="00F324D4">
      <w:pPr>
        <w:spacing w:line="360" w:lineRule="auto"/>
        <w:ind w:firstLine="1440"/>
        <w:rPr>
          <w:rFonts w:ascii="Times New (W1)" w:hAnsi="Times New (W1)"/>
          <w:sz w:val="26"/>
          <w:szCs w:val="26"/>
        </w:rPr>
      </w:pPr>
    </w:p>
    <w:p w:rsidR="00DF212A" w:rsidRDefault="00A5421E">
      <w:pPr>
        <w:tabs>
          <w:tab w:val="left" w:pos="-720"/>
        </w:tabs>
        <w:suppressAutoHyphens/>
        <w:rPr>
          <w:rFonts w:ascii="Times New Roman" w:hAnsi="Times New Roman"/>
          <w:b/>
          <w:sz w:val="26"/>
        </w:rPr>
      </w:pPr>
      <w:bookmarkStart w:id="0" w:name="_GoBack"/>
      <w:r>
        <w:rPr>
          <w:noProof/>
        </w:rPr>
        <w:drawing>
          <wp:anchor distT="0" distB="0" distL="114300" distR="114300" simplePos="0" relativeHeight="251659264" behindDoc="1" locked="0" layoutInCell="1" allowOverlap="1" wp14:anchorId="1879BE97" wp14:editId="1191565D">
            <wp:simplePos x="0" y="0"/>
            <wp:positionH relativeFrom="column">
              <wp:posOffset>2447925</wp:posOffset>
            </wp:positionH>
            <wp:positionV relativeFrom="paragraph">
              <wp:posOffset>41275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79326A">
        <w:rPr>
          <w:rFonts w:ascii="Times New Roman" w:hAnsi="Times New Roman"/>
          <w:sz w:val="26"/>
        </w:rPr>
        <w:t>June</w:t>
      </w:r>
      <w:r w:rsidR="009E3F2C">
        <w:rPr>
          <w:rFonts w:ascii="Times New Roman" w:hAnsi="Times New Roman"/>
          <w:sz w:val="26"/>
        </w:rPr>
        <w:t xml:space="preserve"> </w:t>
      </w:r>
      <w:r w:rsidR="0079326A">
        <w:rPr>
          <w:rFonts w:ascii="Times New Roman" w:hAnsi="Times New Roman"/>
          <w:sz w:val="26"/>
        </w:rPr>
        <w:t>7</w:t>
      </w:r>
      <w:r w:rsidR="000571D7">
        <w:rPr>
          <w:rFonts w:ascii="Times New Roman" w:hAnsi="Times New Roman"/>
          <w:sz w:val="26"/>
        </w:rPr>
        <w:t>, 2012</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A5421E">
        <w:rPr>
          <w:rFonts w:ascii="Times New Roman" w:hAnsi="Times New Roman"/>
          <w:sz w:val="26"/>
        </w:rPr>
        <w:t>June 7, 2012</w:t>
      </w:r>
    </w:p>
    <w:sectPr w:rsidR="006F5428"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7B4" w:rsidRDefault="00FD47B4">
      <w:pPr>
        <w:spacing w:line="20" w:lineRule="exact"/>
      </w:pPr>
    </w:p>
  </w:endnote>
  <w:endnote w:type="continuationSeparator" w:id="0">
    <w:p w:rsidR="00FD47B4" w:rsidRDefault="00FD47B4">
      <w:r>
        <w:t xml:space="preserve"> </w:t>
      </w:r>
    </w:p>
  </w:endnote>
  <w:endnote w:type="continuationNotice" w:id="1">
    <w:p w:rsidR="00FD47B4" w:rsidRDefault="00FD47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FF16B6">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A5421E">
                            <w:rPr>
                              <w:rFonts w:ascii="Times New Roman" w:hAnsi="Times New Roman"/>
                              <w:noProof/>
                              <w:spacing w:val="-3"/>
                              <w:sz w:val="26"/>
                            </w:rPr>
                            <w:t>8</w:t>
                          </w:r>
                          <w:r w:rsidR="00A473D9"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A5421E">
                      <w:rPr>
                        <w:rFonts w:ascii="Times New Roman" w:hAnsi="Times New Roman"/>
                        <w:noProof/>
                        <w:spacing w:val="-3"/>
                        <w:sz w:val="26"/>
                      </w:rPr>
                      <w:t>8</w:t>
                    </w:r>
                    <w:r w:rsidR="00A473D9"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7B4" w:rsidRDefault="00FD47B4">
      <w:r>
        <w:separator/>
      </w:r>
    </w:p>
  </w:footnote>
  <w:footnote w:type="continuationSeparator" w:id="0">
    <w:p w:rsidR="00FD47B4" w:rsidRDefault="00FD47B4">
      <w:r>
        <w:continuationSeparator/>
      </w:r>
    </w:p>
  </w:footnote>
  <w:footnote w:id="1">
    <w:p w:rsidR="00A771FD" w:rsidRPr="00A771FD" w:rsidRDefault="00A771FD" w:rsidP="00A771FD">
      <w:pPr>
        <w:pStyle w:val="FootnoteText"/>
        <w:ind w:firstLine="720"/>
        <w:rPr>
          <w:rFonts w:ascii="Times New Roman" w:hAnsi="Times New Roman"/>
          <w:sz w:val="26"/>
          <w:szCs w:val="26"/>
        </w:rPr>
      </w:pPr>
      <w:r w:rsidRPr="00A771FD">
        <w:rPr>
          <w:rStyle w:val="FootnoteReference"/>
          <w:rFonts w:ascii="Times New Roman" w:hAnsi="Times New Roman"/>
          <w:sz w:val="26"/>
          <w:szCs w:val="26"/>
        </w:rPr>
        <w:footnoteRef/>
      </w:r>
      <w:r w:rsidRPr="00A771FD">
        <w:rPr>
          <w:rFonts w:ascii="Times New Roman" w:hAnsi="Times New Roman"/>
          <w:sz w:val="26"/>
          <w:szCs w:val="26"/>
        </w:rPr>
        <w:t xml:space="preserve"> </w:t>
      </w:r>
      <w:r w:rsidRPr="00A771FD">
        <w:rPr>
          <w:rFonts w:ascii="Times New Roman" w:hAnsi="Times New Roman"/>
          <w:sz w:val="26"/>
          <w:szCs w:val="26"/>
        </w:rPr>
        <w:tab/>
      </w:r>
      <w:r w:rsidR="00ED2890">
        <w:rPr>
          <w:rFonts w:ascii="Times New Roman" w:hAnsi="Times New Roman"/>
          <w:sz w:val="26"/>
          <w:szCs w:val="26"/>
        </w:rPr>
        <w:t xml:space="preserve">Complainant </w:t>
      </w:r>
      <w:r w:rsidR="0057331D">
        <w:rPr>
          <w:rFonts w:ascii="Times New Roman" w:hAnsi="Times New Roman"/>
          <w:sz w:val="26"/>
          <w:szCs w:val="26"/>
        </w:rPr>
        <w:t xml:space="preserve">was the customer of record at the Service Address for the period from June 13, 2002 through March 17, 2003.  On May 9, 2008, </w:t>
      </w:r>
      <w:r w:rsidR="00ED2890">
        <w:rPr>
          <w:rFonts w:ascii="Times New Roman" w:hAnsi="Times New Roman"/>
          <w:sz w:val="26"/>
          <w:szCs w:val="26"/>
        </w:rPr>
        <w:t>Complainant</w:t>
      </w:r>
      <w:r w:rsidR="0057331D">
        <w:rPr>
          <w:rFonts w:ascii="Times New Roman" w:hAnsi="Times New Roman"/>
          <w:sz w:val="26"/>
          <w:szCs w:val="26"/>
        </w:rPr>
        <w:t xml:space="preserve"> was billed $9,715.14 for unauthorized usage.  </w:t>
      </w:r>
      <w:r w:rsidRPr="00A771FD">
        <w:rPr>
          <w:rFonts w:ascii="Times New Roman" w:hAnsi="Times New Roman"/>
          <w:sz w:val="26"/>
          <w:szCs w:val="26"/>
        </w:rPr>
        <w:t xml:space="preserve">The </w:t>
      </w:r>
      <w:r w:rsidR="00227CB5">
        <w:rPr>
          <w:rFonts w:ascii="Times New Roman" w:hAnsi="Times New Roman"/>
          <w:sz w:val="26"/>
          <w:szCs w:val="26"/>
        </w:rPr>
        <w:t xml:space="preserve">Service Address </w:t>
      </w:r>
      <w:r w:rsidRPr="00A771FD">
        <w:rPr>
          <w:rFonts w:ascii="Times New Roman" w:hAnsi="Times New Roman"/>
          <w:sz w:val="26"/>
          <w:szCs w:val="26"/>
        </w:rPr>
        <w:t>is owned by 4041 Corporation, of which Guy Laren is the majority shareholder.  N.T. at 11 (</w:t>
      </w:r>
      <w:r w:rsidR="00227CB5">
        <w:rPr>
          <w:rFonts w:ascii="Times New Roman" w:hAnsi="Times New Roman"/>
          <w:sz w:val="26"/>
          <w:szCs w:val="26"/>
        </w:rPr>
        <w:t>hearing of December 1, 2010</w:t>
      </w:r>
      <w:r w:rsidRPr="00A771FD">
        <w:rPr>
          <w:rFonts w:ascii="Times New Roman" w:hAnsi="Times New Roman"/>
          <w:sz w:val="26"/>
          <w:szCs w:val="26"/>
        </w:rPr>
        <w:t>).  Guy Laren is an attorney.  N.T. at 4 (</w:t>
      </w:r>
      <w:r w:rsidR="00227CB5">
        <w:rPr>
          <w:rFonts w:ascii="Times New Roman" w:hAnsi="Times New Roman"/>
          <w:sz w:val="26"/>
          <w:szCs w:val="26"/>
        </w:rPr>
        <w:t>hearing of November 14, 2008</w:t>
      </w:r>
      <w:r w:rsidRPr="00A771FD">
        <w:rPr>
          <w:rFonts w:ascii="Times New Roman" w:hAnsi="Times New Roman"/>
          <w:sz w:val="26"/>
          <w:szCs w:val="26"/>
        </w:rPr>
        <w:t>).</w:t>
      </w:r>
    </w:p>
  </w:footnote>
  <w:footnote w:id="2">
    <w:p w:rsidR="006F7F1C" w:rsidRPr="009D7B42" w:rsidRDefault="006F7F1C" w:rsidP="009D7B42">
      <w:pPr>
        <w:rPr>
          <w:rFonts w:ascii="Times New Roman" w:hAnsi="Times New Roman"/>
          <w:sz w:val="26"/>
          <w:szCs w:val="26"/>
        </w:rPr>
      </w:pPr>
      <w:r>
        <w:rPr>
          <w:rFonts w:ascii="Times New Roman" w:hAnsi="Times New Roman"/>
          <w:sz w:val="26"/>
          <w:szCs w:val="26"/>
        </w:rPr>
        <w:tab/>
      </w:r>
      <w:r w:rsidRPr="00A94539">
        <w:rPr>
          <w:rStyle w:val="FootnoteReference"/>
          <w:rFonts w:ascii="Times New Roman" w:hAnsi="Times New Roman"/>
          <w:sz w:val="26"/>
          <w:szCs w:val="26"/>
        </w:rPr>
        <w:footnoteRef/>
      </w:r>
      <w:r>
        <w:rPr>
          <w:rFonts w:ascii="Times New Roman" w:hAnsi="Times New Roman"/>
          <w:sz w:val="26"/>
          <w:szCs w:val="26"/>
        </w:rPr>
        <w:tab/>
      </w:r>
      <w:r w:rsidRPr="00A94539">
        <w:rPr>
          <w:rFonts w:ascii="Times New Roman" w:hAnsi="Times New Roman"/>
          <w:sz w:val="26"/>
          <w:szCs w:val="26"/>
        </w:rPr>
        <w:t xml:space="preserve">“A lien is a charge on property, either real or personal, for the payment or discharge of a particular debt or duty in priority to the general debts or duties of the owner. </w:t>
      </w:r>
      <w:r>
        <w:rPr>
          <w:rFonts w:ascii="Times New Roman" w:hAnsi="Times New Roman"/>
          <w:sz w:val="26"/>
          <w:szCs w:val="26"/>
        </w:rPr>
        <w:t xml:space="preserve"> </w:t>
      </w:r>
      <w:r w:rsidRPr="00A94539">
        <w:rPr>
          <w:rFonts w:ascii="Times New Roman" w:hAnsi="Times New Roman"/>
          <w:sz w:val="26"/>
          <w:szCs w:val="26"/>
        </w:rPr>
        <w:t xml:space="preserve">It encumbers property to secure payment or performance of a debt, duty or other obligation. </w:t>
      </w:r>
      <w:r>
        <w:rPr>
          <w:rFonts w:ascii="Times New Roman" w:hAnsi="Times New Roman"/>
          <w:sz w:val="26"/>
          <w:szCs w:val="26"/>
        </w:rPr>
        <w:t xml:space="preserve"> </w:t>
      </w:r>
      <w:r w:rsidRPr="00A94539">
        <w:rPr>
          <w:rFonts w:ascii="Times New Roman" w:hAnsi="Times New Roman"/>
          <w:sz w:val="26"/>
          <w:szCs w:val="26"/>
        </w:rPr>
        <w:t xml:space="preserve">Liens fall into three categories: common law liens, equitable liens and statutory liens.” </w:t>
      </w:r>
      <w:r w:rsidRPr="00A94539">
        <w:rPr>
          <w:rFonts w:ascii="Times New Roman" w:hAnsi="Times New Roman"/>
          <w:i/>
          <w:iCs/>
          <w:sz w:val="26"/>
          <w:szCs w:val="26"/>
        </w:rPr>
        <w:t>London Towne Homeowners Ass’n v. Karr</w:t>
      </w:r>
      <w:r w:rsidRPr="00A94539">
        <w:rPr>
          <w:rFonts w:ascii="Times New Roman" w:hAnsi="Times New Roman"/>
          <w:sz w:val="26"/>
          <w:szCs w:val="26"/>
        </w:rPr>
        <w:t xml:space="preserve">, 866 A.2d 447, 451 (Pa. </w:t>
      </w:r>
      <w:r>
        <w:rPr>
          <w:rFonts w:ascii="Times New Roman" w:hAnsi="Times New Roman"/>
          <w:sz w:val="26"/>
          <w:szCs w:val="26"/>
        </w:rPr>
        <w:t>Cmwlth. 2004) (notes and citations omitted)</w:t>
      </w:r>
      <w:r w:rsidRPr="00A94539">
        <w:rPr>
          <w:rFonts w:ascii="Times New Roman" w:hAnsi="Times New Roman"/>
          <w:sz w:val="26"/>
          <w:szCs w:val="26"/>
        </w:rPr>
        <w:t>.</w:t>
      </w:r>
    </w:p>
  </w:footnote>
  <w:footnote w:id="3">
    <w:p w:rsidR="003F6653" w:rsidRPr="003F6653" w:rsidRDefault="003F6653" w:rsidP="003F6653">
      <w:pPr>
        <w:pStyle w:val="FootnoteText"/>
        <w:ind w:firstLine="720"/>
        <w:rPr>
          <w:rFonts w:ascii="Times New Roman" w:hAnsi="Times New Roman"/>
          <w:sz w:val="26"/>
          <w:szCs w:val="26"/>
        </w:rPr>
      </w:pPr>
      <w:r w:rsidRPr="003F6653">
        <w:rPr>
          <w:rStyle w:val="FootnoteReference"/>
          <w:rFonts w:ascii="Times New Roman" w:hAnsi="Times New Roman"/>
          <w:sz w:val="26"/>
          <w:szCs w:val="26"/>
        </w:rPr>
        <w:footnoteRef/>
      </w:r>
      <w:r w:rsidRPr="003F6653">
        <w:rPr>
          <w:rFonts w:ascii="Times New Roman" w:hAnsi="Times New Roman"/>
          <w:sz w:val="26"/>
          <w:szCs w:val="26"/>
        </w:rPr>
        <w:t xml:space="preserve"> </w:t>
      </w:r>
      <w:r w:rsidRPr="003F6653">
        <w:rPr>
          <w:rFonts w:ascii="Times New Roman" w:hAnsi="Times New Roman"/>
          <w:sz w:val="26"/>
          <w:szCs w:val="26"/>
        </w:rPr>
        <w:tab/>
      </w:r>
      <w:r>
        <w:rPr>
          <w:rFonts w:ascii="Times New Roman" w:hAnsi="Times New Roman"/>
          <w:sz w:val="26"/>
          <w:szCs w:val="26"/>
        </w:rPr>
        <w:t>The issue of whether PGW could have waived the rights of the City to file a municipal lien is not before us and will not be addressed.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52B52F81"/>
    <w:multiLevelType w:val="singleLevel"/>
    <w:tmpl w:val="C7E6794A"/>
    <w:lvl w:ilvl="0">
      <w:start w:val="1"/>
      <w:numFmt w:val="decimal"/>
      <w:lvlText w:val="%1."/>
      <w:lvlJc w:val="left"/>
      <w:pPr>
        <w:tabs>
          <w:tab w:val="num" w:pos="1800"/>
        </w:tabs>
        <w:ind w:left="0" w:firstLine="1440"/>
      </w:pPr>
    </w:lvl>
  </w:abstractNum>
  <w:abstractNum w:abstractNumId="22">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3">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F13712"/>
    <w:multiLevelType w:val="singleLevel"/>
    <w:tmpl w:val="74AE9626"/>
    <w:lvl w:ilvl="0">
      <w:start w:val="1"/>
      <w:numFmt w:val="decimal"/>
      <w:lvlText w:val="%1."/>
      <w:lvlJc w:val="left"/>
      <w:pPr>
        <w:tabs>
          <w:tab w:val="num" w:pos="2160"/>
        </w:tabs>
        <w:ind w:left="2160" w:hanging="720"/>
      </w:pPr>
    </w:lvl>
  </w:abstractNum>
  <w:abstractNum w:abstractNumId="25">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6">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7">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2"/>
  </w:num>
  <w:num w:numId="3">
    <w:abstractNumId w:val="1"/>
  </w:num>
  <w:num w:numId="4">
    <w:abstractNumId w:val="3"/>
  </w:num>
  <w:num w:numId="5">
    <w:abstractNumId w:val="7"/>
  </w:num>
  <w:num w:numId="6">
    <w:abstractNumId w:val="12"/>
  </w:num>
  <w:num w:numId="7">
    <w:abstractNumId w:val="20"/>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6"/>
  </w:num>
  <w:num w:numId="12">
    <w:abstractNumId w:val="4"/>
  </w:num>
  <w:num w:numId="13">
    <w:abstractNumId w:val="11"/>
  </w:num>
  <w:num w:numId="14">
    <w:abstractNumId w:val="16"/>
  </w:num>
  <w:num w:numId="15">
    <w:abstractNumId w:val="8"/>
  </w:num>
  <w:num w:numId="16">
    <w:abstractNumId w:val="21"/>
  </w:num>
  <w:num w:numId="17">
    <w:abstractNumId w:val="10"/>
  </w:num>
  <w:num w:numId="18">
    <w:abstractNumId w:val="2"/>
  </w:num>
  <w:num w:numId="19">
    <w:abstractNumId w:val="14"/>
  </w:num>
  <w:num w:numId="20">
    <w:abstractNumId w:val="28"/>
  </w:num>
  <w:num w:numId="21">
    <w:abstractNumId w:val="25"/>
  </w:num>
  <w:num w:numId="22">
    <w:abstractNumId w:val="24"/>
  </w:num>
  <w:num w:numId="23">
    <w:abstractNumId w:val="23"/>
  </w:num>
  <w:num w:numId="24">
    <w:abstractNumId w:val="27"/>
  </w:num>
  <w:num w:numId="25">
    <w:abstractNumId w:val="9"/>
  </w:num>
  <w:num w:numId="26">
    <w:abstractNumId w:val="15"/>
  </w:num>
  <w:num w:numId="27">
    <w:abstractNumId w:val="18"/>
  </w:num>
  <w:num w:numId="28">
    <w:abstractNumId w:val="19"/>
  </w:num>
  <w:num w:numId="29">
    <w:abstractNumId w:val="1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98C"/>
    <w:rsid w:val="00001D19"/>
    <w:rsid w:val="000025CC"/>
    <w:rsid w:val="000028E5"/>
    <w:rsid w:val="00003453"/>
    <w:rsid w:val="00003AE3"/>
    <w:rsid w:val="00003C2E"/>
    <w:rsid w:val="00004777"/>
    <w:rsid w:val="0000568E"/>
    <w:rsid w:val="00005750"/>
    <w:rsid w:val="000058FF"/>
    <w:rsid w:val="00005FA1"/>
    <w:rsid w:val="00005FFD"/>
    <w:rsid w:val="000079F0"/>
    <w:rsid w:val="00007C39"/>
    <w:rsid w:val="00010E4B"/>
    <w:rsid w:val="0001116D"/>
    <w:rsid w:val="00011D3E"/>
    <w:rsid w:val="00012233"/>
    <w:rsid w:val="00012249"/>
    <w:rsid w:val="00012305"/>
    <w:rsid w:val="000123F2"/>
    <w:rsid w:val="0001257C"/>
    <w:rsid w:val="00012D9A"/>
    <w:rsid w:val="00013029"/>
    <w:rsid w:val="00014642"/>
    <w:rsid w:val="000146E9"/>
    <w:rsid w:val="00014D93"/>
    <w:rsid w:val="00014F99"/>
    <w:rsid w:val="000161B6"/>
    <w:rsid w:val="00017C18"/>
    <w:rsid w:val="00017E9A"/>
    <w:rsid w:val="00017EBA"/>
    <w:rsid w:val="000207AE"/>
    <w:rsid w:val="000210FE"/>
    <w:rsid w:val="00021579"/>
    <w:rsid w:val="00021A70"/>
    <w:rsid w:val="00021D01"/>
    <w:rsid w:val="00022118"/>
    <w:rsid w:val="0002241F"/>
    <w:rsid w:val="000225BA"/>
    <w:rsid w:val="00022EA0"/>
    <w:rsid w:val="00024329"/>
    <w:rsid w:val="000264CF"/>
    <w:rsid w:val="0002742C"/>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C48"/>
    <w:rsid w:val="0004175D"/>
    <w:rsid w:val="00041B08"/>
    <w:rsid w:val="00041BA2"/>
    <w:rsid w:val="00043D1F"/>
    <w:rsid w:val="0004473C"/>
    <w:rsid w:val="00044767"/>
    <w:rsid w:val="00044979"/>
    <w:rsid w:val="00045669"/>
    <w:rsid w:val="00045AEC"/>
    <w:rsid w:val="00046E5C"/>
    <w:rsid w:val="000503DD"/>
    <w:rsid w:val="00050A8C"/>
    <w:rsid w:val="00051BD4"/>
    <w:rsid w:val="0005385F"/>
    <w:rsid w:val="000539A0"/>
    <w:rsid w:val="00053AC7"/>
    <w:rsid w:val="00054C2A"/>
    <w:rsid w:val="00054FBC"/>
    <w:rsid w:val="00055139"/>
    <w:rsid w:val="00056403"/>
    <w:rsid w:val="00056DCA"/>
    <w:rsid w:val="000571D7"/>
    <w:rsid w:val="00057847"/>
    <w:rsid w:val="00060742"/>
    <w:rsid w:val="000607F5"/>
    <w:rsid w:val="0006084D"/>
    <w:rsid w:val="00060A10"/>
    <w:rsid w:val="00060BBD"/>
    <w:rsid w:val="00060EFB"/>
    <w:rsid w:val="00061103"/>
    <w:rsid w:val="000612F9"/>
    <w:rsid w:val="00061BE0"/>
    <w:rsid w:val="00061E28"/>
    <w:rsid w:val="00062641"/>
    <w:rsid w:val="000627FB"/>
    <w:rsid w:val="000637C6"/>
    <w:rsid w:val="0006433A"/>
    <w:rsid w:val="00064658"/>
    <w:rsid w:val="0006469F"/>
    <w:rsid w:val="00064ECE"/>
    <w:rsid w:val="00065049"/>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18E8"/>
    <w:rsid w:val="00082654"/>
    <w:rsid w:val="00082B42"/>
    <w:rsid w:val="00083105"/>
    <w:rsid w:val="0008338E"/>
    <w:rsid w:val="00084D1E"/>
    <w:rsid w:val="00084EBC"/>
    <w:rsid w:val="00085DA3"/>
    <w:rsid w:val="000878D2"/>
    <w:rsid w:val="00087B2C"/>
    <w:rsid w:val="00090622"/>
    <w:rsid w:val="00090834"/>
    <w:rsid w:val="000908C6"/>
    <w:rsid w:val="00091772"/>
    <w:rsid w:val="00091CA5"/>
    <w:rsid w:val="00092374"/>
    <w:rsid w:val="0009254B"/>
    <w:rsid w:val="00092E45"/>
    <w:rsid w:val="00094381"/>
    <w:rsid w:val="00094730"/>
    <w:rsid w:val="00094E3A"/>
    <w:rsid w:val="00095EC6"/>
    <w:rsid w:val="000964E0"/>
    <w:rsid w:val="00096843"/>
    <w:rsid w:val="000968B1"/>
    <w:rsid w:val="000968E3"/>
    <w:rsid w:val="00096B32"/>
    <w:rsid w:val="00096D39"/>
    <w:rsid w:val="00096E25"/>
    <w:rsid w:val="00096E54"/>
    <w:rsid w:val="00096F57"/>
    <w:rsid w:val="0009790F"/>
    <w:rsid w:val="000A038C"/>
    <w:rsid w:val="000A143C"/>
    <w:rsid w:val="000A1EEA"/>
    <w:rsid w:val="000A2B3E"/>
    <w:rsid w:val="000A342D"/>
    <w:rsid w:val="000A34B6"/>
    <w:rsid w:val="000A36F1"/>
    <w:rsid w:val="000A44A6"/>
    <w:rsid w:val="000A4D7D"/>
    <w:rsid w:val="000A4F1B"/>
    <w:rsid w:val="000A5485"/>
    <w:rsid w:val="000A5BD4"/>
    <w:rsid w:val="000A6071"/>
    <w:rsid w:val="000A624E"/>
    <w:rsid w:val="000A6258"/>
    <w:rsid w:val="000A68DD"/>
    <w:rsid w:val="000A72C2"/>
    <w:rsid w:val="000A7457"/>
    <w:rsid w:val="000A7D28"/>
    <w:rsid w:val="000A7EE7"/>
    <w:rsid w:val="000B041F"/>
    <w:rsid w:val="000B08B1"/>
    <w:rsid w:val="000B162A"/>
    <w:rsid w:val="000B1709"/>
    <w:rsid w:val="000B24AB"/>
    <w:rsid w:val="000B26E7"/>
    <w:rsid w:val="000B2CF5"/>
    <w:rsid w:val="000B349D"/>
    <w:rsid w:val="000B3D96"/>
    <w:rsid w:val="000B4A87"/>
    <w:rsid w:val="000B5058"/>
    <w:rsid w:val="000B51CA"/>
    <w:rsid w:val="000B5240"/>
    <w:rsid w:val="000B5411"/>
    <w:rsid w:val="000B584B"/>
    <w:rsid w:val="000B655B"/>
    <w:rsid w:val="000B6CFE"/>
    <w:rsid w:val="000B6FD7"/>
    <w:rsid w:val="000B78B9"/>
    <w:rsid w:val="000B7AEF"/>
    <w:rsid w:val="000B7B11"/>
    <w:rsid w:val="000C0C3C"/>
    <w:rsid w:val="000C0F11"/>
    <w:rsid w:val="000C1B4B"/>
    <w:rsid w:val="000C2207"/>
    <w:rsid w:val="000C31AA"/>
    <w:rsid w:val="000C3BD1"/>
    <w:rsid w:val="000C50F6"/>
    <w:rsid w:val="000C5B13"/>
    <w:rsid w:val="000C5B56"/>
    <w:rsid w:val="000C7F5E"/>
    <w:rsid w:val="000D0063"/>
    <w:rsid w:val="000D0A12"/>
    <w:rsid w:val="000D0C23"/>
    <w:rsid w:val="000D1236"/>
    <w:rsid w:val="000D138C"/>
    <w:rsid w:val="000D19C2"/>
    <w:rsid w:val="000D1ED2"/>
    <w:rsid w:val="000D2DF0"/>
    <w:rsid w:val="000D3772"/>
    <w:rsid w:val="000D473A"/>
    <w:rsid w:val="000D5B11"/>
    <w:rsid w:val="000D5D05"/>
    <w:rsid w:val="000D656D"/>
    <w:rsid w:val="000D6652"/>
    <w:rsid w:val="000D6757"/>
    <w:rsid w:val="000D7330"/>
    <w:rsid w:val="000D7E0A"/>
    <w:rsid w:val="000E0045"/>
    <w:rsid w:val="000E010E"/>
    <w:rsid w:val="000E03FD"/>
    <w:rsid w:val="000E06DD"/>
    <w:rsid w:val="000E1DDE"/>
    <w:rsid w:val="000E1EB4"/>
    <w:rsid w:val="000E26AD"/>
    <w:rsid w:val="000E3332"/>
    <w:rsid w:val="000E3B5A"/>
    <w:rsid w:val="000E42EE"/>
    <w:rsid w:val="000E4366"/>
    <w:rsid w:val="000E627B"/>
    <w:rsid w:val="000E7062"/>
    <w:rsid w:val="000F0030"/>
    <w:rsid w:val="000F0701"/>
    <w:rsid w:val="000F0826"/>
    <w:rsid w:val="000F09D5"/>
    <w:rsid w:val="000F0B5B"/>
    <w:rsid w:val="000F0E4E"/>
    <w:rsid w:val="000F2143"/>
    <w:rsid w:val="000F2343"/>
    <w:rsid w:val="000F2E88"/>
    <w:rsid w:val="000F4912"/>
    <w:rsid w:val="000F5394"/>
    <w:rsid w:val="000F57F4"/>
    <w:rsid w:val="000F630B"/>
    <w:rsid w:val="000F6F4F"/>
    <w:rsid w:val="000F73B1"/>
    <w:rsid w:val="000F78B7"/>
    <w:rsid w:val="0010075E"/>
    <w:rsid w:val="00100B9D"/>
    <w:rsid w:val="00100E2B"/>
    <w:rsid w:val="001016A2"/>
    <w:rsid w:val="00101E09"/>
    <w:rsid w:val="00102925"/>
    <w:rsid w:val="0010294E"/>
    <w:rsid w:val="001036DE"/>
    <w:rsid w:val="00103A5C"/>
    <w:rsid w:val="001048FE"/>
    <w:rsid w:val="00104C7C"/>
    <w:rsid w:val="00105DA1"/>
    <w:rsid w:val="00105F03"/>
    <w:rsid w:val="001063F2"/>
    <w:rsid w:val="001065CE"/>
    <w:rsid w:val="001101F2"/>
    <w:rsid w:val="001106A3"/>
    <w:rsid w:val="00112556"/>
    <w:rsid w:val="0011266C"/>
    <w:rsid w:val="00112899"/>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1782"/>
    <w:rsid w:val="00122459"/>
    <w:rsid w:val="00122A85"/>
    <w:rsid w:val="001231A2"/>
    <w:rsid w:val="00124286"/>
    <w:rsid w:val="001245F3"/>
    <w:rsid w:val="001249AB"/>
    <w:rsid w:val="00126F05"/>
    <w:rsid w:val="00130083"/>
    <w:rsid w:val="00130AD0"/>
    <w:rsid w:val="00131002"/>
    <w:rsid w:val="00131184"/>
    <w:rsid w:val="0013153D"/>
    <w:rsid w:val="00131722"/>
    <w:rsid w:val="0013228E"/>
    <w:rsid w:val="0013270A"/>
    <w:rsid w:val="00133142"/>
    <w:rsid w:val="00133EDC"/>
    <w:rsid w:val="0013462C"/>
    <w:rsid w:val="0013495B"/>
    <w:rsid w:val="001349CD"/>
    <w:rsid w:val="00134DC8"/>
    <w:rsid w:val="00134E29"/>
    <w:rsid w:val="00140659"/>
    <w:rsid w:val="00140932"/>
    <w:rsid w:val="00140C81"/>
    <w:rsid w:val="00140E7C"/>
    <w:rsid w:val="00141243"/>
    <w:rsid w:val="001415E8"/>
    <w:rsid w:val="00141614"/>
    <w:rsid w:val="00141A35"/>
    <w:rsid w:val="00141F62"/>
    <w:rsid w:val="0014257B"/>
    <w:rsid w:val="00142CD9"/>
    <w:rsid w:val="00143743"/>
    <w:rsid w:val="001448B6"/>
    <w:rsid w:val="00144C0B"/>
    <w:rsid w:val="00146AAA"/>
    <w:rsid w:val="00147594"/>
    <w:rsid w:val="0014771B"/>
    <w:rsid w:val="00150133"/>
    <w:rsid w:val="00150796"/>
    <w:rsid w:val="00150E74"/>
    <w:rsid w:val="00151040"/>
    <w:rsid w:val="00151455"/>
    <w:rsid w:val="00151552"/>
    <w:rsid w:val="001516AB"/>
    <w:rsid w:val="00151721"/>
    <w:rsid w:val="001517A7"/>
    <w:rsid w:val="00153717"/>
    <w:rsid w:val="001539CC"/>
    <w:rsid w:val="00154082"/>
    <w:rsid w:val="001540F9"/>
    <w:rsid w:val="00154199"/>
    <w:rsid w:val="00154952"/>
    <w:rsid w:val="00154F08"/>
    <w:rsid w:val="00155132"/>
    <w:rsid w:val="00155F22"/>
    <w:rsid w:val="00157370"/>
    <w:rsid w:val="00157D73"/>
    <w:rsid w:val="00160EEE"/>
    <w:rsid w:val="00162054"/>
    <w:rsid w:val="001635A8"/>
    <w:rsid w:val="00163897"/>
    <w:rsid w:val="00163F7D"/>
    <w:rsid w:val="00163FC7"/>
    <w:rsid w:val="0016467C"/>
    <w:rsid w:val="001647BA"/>
    <w:rsid w:val="00164B6B"/>
    <w:rsid w:val="00165144"/>
    <w:rsid w:val="00165219"/>
    <w:rsid w:val="0016580C"/>
    <w:rsid w:val="00165F2D"/>
    <w:rsid w:val="00166003"/>
    <w:rsid w:val="0016726D"/>
    <w:rsid w:val="0016728B"/>
    <w:rsid w:val="00167EB4"/>
    <w:rsid w:val="00171349"/>
    <w:rsid w:val="001729E5"/>
    <w:rsid w:val="00173747"/>
    <w:rsid w:val="00173E3F"/>
    <w:rsid w:val="00174390"/>
    <w:rsid w:val="00175566"/>
    <w:rsid w:val="0017604C"/>
    <w:rsid w:val="00181B6A"/>
    <w:rsid w:val="00181E09"/>
    <w:rsid w:val="001825C8"/>
    <w:rsid w:val="00182928"/>
    <w:rsid w:val="001837AC"/>
    <w:rsid w:val="0018382E"/>
    <w:rsid w:val="00183A3B"/>
    <w:rsid w:val="00185059"/>
    <w:rsid w:val="001852B3"/>
    <w:rsid w:val="001868A5"/>
    <w:rsid w:val="00186BAD"/>
    <w:rsid w:val="00186BD1"/>
    <w:rsid w:val="00187CCA"/>
    <w:rsid w:val="00190FA3"/>
    <w:rsid w:val="001931A0"/>
    <w:rsid w:val="00194037"/>
    <w:rsid w:val="00195780"/>
    <w:rsid w:val="001968EB"/>
    <w:rsid w:val="00196DD1"/>
    <w:rsid w:val="00197188"/>
    <w:rsid w:val="0019768E"/>
    <w:rsid w:val="00197A27"/>
    <w:rsid w:val="001A0294"/>
    <w:rsid w:val="001A0692"/>
    <w:rsid w:val="001A0F82"/>
    <w:rsid w:val="001A14C4"/>
    <w:rsid w:val="001A1BFB"/>
    <w:rsid w:val="001A1D8A"/>
    <w:rsid w:val="001A2363"/>
    <w:rsid w:val="001A2A1F"/>
    <w:rsid w:val="001A4506"/>
    <w:rsid w:val="001A4EA4"/>
    <w:rsid w:val="001A4EF0"/>
    <w:rsid w:val="001A5648"/>
    <w:rsid w:val="001A63A4"/>
    <w:rsid w:val="001A65E3"/>
    <w:rsid w:val="001A72C4"/>
    <w:rsid w:val="001B02DB"/>
    <w:rsid w:val="001B04BB"/>
    <w:rsid w:val="001B1173"/>
    <w:rsid w:val="001B2438"/>
    <w:rsid w:val="001B257D"/>
    <w:rsid w:val="001B2C6D"/>
    <w:rsid w:val="001B3193"/>
    <w:rsid w:val="001B42CC"/>
    <w:rsid w:val="001B4643"/>
    <w:rsid w:val="001B4F7D"/>
    <w:rsid w:val="001B4FB7"/>
    <w:rsid w:val="001B602B"/>
    <w:rsid w:val="001B6F4B"/>
    <w:rsid w:val="001B72FB"/>
    <w:rsid w:val="001B7E37"/>
    <w:rsid w:val="001C0429"/>
    <w:rsid w:val="001C100D"/>
    <w:rsid w:val="001C113F"/>
    <w:rsid w:val="001C244B"/>
    <w:rsid w:val="001C2DD1"/>
    <w:rsid w:val="001C3865"/>
    <w:rsid w:val="001C442E"/>
    <w:rsid w:val="001C4ECE"/>
    <w:rsid w:val="001C5602"/>
    <w:rsid w:val="001C6087"/>
    <w:rsid w:val="001C6166"/>
    <w:rsid w:val="001C6261"/>
    <w:rsid w:val="001C65BF"/>
    <w:rsid w:val="001C66D8"/>
    <w:rsid w:val="001C66F3"/>
    <w:rsid w:val="001C7242"/>
    <w:rsid w:val="001D035C"/>
    <w:rsid w:val="001D0E05"/>
    <w:rsid w:val="001D18CB"/>
    <w:rsid w:val="001D20E4"/>
    <w:rsid w:val="001D3C6E"/>
    <w:rsid w:val="001D4F80"/>
    <w:rsid w:val="001D56B7"/>
    <w:rsid w:val="001D570C"/>
    <w:rsid w:val="001D5E7A"/>
    <w:rsid w:val="001D768F"/>
    <w:rsid w:val="001E09D9"/>
    <w:rsid w:val="001E0AB1"/>
    <w:rsid w:val="001E1518"/>
    <w:rsid w:val="001E20F0"/>
    <w:rsid w:val="001E28DF"/>
    <w:rsid w:val="001E3124"/>
    <w:rsid w:val="001E3532"/>
    <w:rsid w:val="001E4FFB"/>
    <w:rsid w:val="001E54BB"/>
    <w:rsid w:val="001E5F09"/>
    <w:rsid w:val="001E690D"/>
    <w:rsid w:val="001E6DFB"/>
    <w:rsid w:val="001E7428"/>
    <w:rsid w:val="001E7769"/>
    <w:rsid w:val="001E7FB8"/>
    <w:rsid w:val="001F0260"/>
    <w:rsid w:val="001F14B1"/>
    <w:rsid w:val="001F1BF9"/>
    <w:rsid w:val="001F2134"/>
    <w:rsid w:val="001F29AD"/>
    <w:rsid w:val="001F2CAF"/>
    <w:rsid w:val="001F2DC7"/>
    <w:rsid w:val="001F3B77"/>
    <w:rsid w:val="001F5391"/>
    <w:rsid w:val="001F54D7"/>
    <w:rsid w:val="001F5764"/>
    <w:rsid w:val="001F5922"/>
    <w:rsid w:val="001F5B0A"/>
    <w:rsid w:val="001F5D68"/>
    <w:rsid w:val="001F6A75"/>
    <w:rsid w:val="001F7351"/>
    <w:rsid w:val="001F7E30"/>
    <w:rsid w:val="00200027"/>
    <w:rsid w:val="0020054A"/>
    <w:rsid w:val="00200AF1"/>
    <w:rsid w:val="002015FE"/>
    <w:rsid w:val="00202517"/>
    <w:rsid w:val="002028A0"/>
    <w:rsid w:val="00202C50"/>
    <w:rsid w:val="00202D94"/>
    <w:rsid w:val="00202EE6"/>
    <w:rsid w:val="00203292"/>
    <w:rsid w:val="00203544"/>
    <w:rsid w:val="00203A52"/>
    <w:rsid w:val="002048A8"/>
    <w:rsid w:val="002049D8"/>
    <w:rsid w:val="00205231"/>
    <w:rsid w:val="00205B2E"/>
    <w:rsid w:val="00205B82"/>
    <w:rsid w:val="00205D08"/>
    <w:rsid w:val="00206312"/>
    <w:rsid w:val="002065EB"/>
    <w:rsid w:val="00206A20"/>
    <w:rsid w:val="0020701E"/>
    <w:rsid w:val="00211734"/>
    <w:rsid w:val="0021180A"/>
    <w:rsid w:val="00212CC1"/>
    <w:rsid w:val="00214A7F"/>
    <w:rsid w:val="00216950"/>
    <w:rsid w:val="0021716E"/>
    <w:rsid w:val="00217364"/>
    <w:rsid w:val="002179D7"/>
    <w:rsid w:val="00217D43"/>
    <w:rsid w:val="0022006B"/>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4CB"/>
    <w:rsid w:val="002255F3"/>
    <w:rsid w:val="00225799"/>
    <w:rsid w:val="00226B32"/>
    <w:rsid w:val="002270F0"/>
    <w:rsid w:val="002278D1"/>
    <w:rsid w:val="00227CB5"/>
    <w:rsid w:val="002302DB"/>
    <w:rsid w:val="00230486"/>
    <w:rsid w:val="0023152E"/>
    <w:rsid w:val="002317C8"/>
    <w:rsid w:val="002318D1"/>
    <w:rsid w:val="00232965"/>
    <w:rsid w:val="00232D3F"/>
    <w:rsid w:val="00232FD8"/>
    <w:rsid w:val="002334F7"/>
    <w:rsid w:val="002335DB"/>
    <w:rsid w:val="00234342"/>
    <w:rsid w:val="00235430"/>
    <w:rsid w:val="0023611A"/>
    <w:rsid w:val="0023661D"/>
    <w:rsid w:val="00236E76"/>
    <w:rsid w:val="00237AC3"/>
    <w:rsid w:val="00240400"/>
    <w:rsid w:val="00240550"/>
    <w:rsid w:val="00240EA5"/>
    <w:rsid w:val="0024144D"/>
    <w:rsid w:val="0024272D"/>
    <w:rsid w:val="00242CAC"/>
    <w:rsid w:val="00243078"/>
    <w:rsid w:val="0024329A"/>
    <w:rsid w:val="00243388"/>
    <w:rsid w:val="00244BC0"/>
    <w:rsid w:val="00244E3D"/>
    <w:rsid w:val="00245109"/>
    <w:rsid w:val="0024514A"/>
    <w:rsid w:val="00245A0E"/>
    <w:rsid w:val="00246C82"/>
    <w:rsid w:val="002476D4"/>
    <w:rsid w:val="00247741"/>
    <w:rsid w:val="002477E9"/>
    <w:rsid w:val="00247CF8"/>
    <w:rsid w:val="00247E39"/>
    <w:rsid w:val="00250DBE"/>
    <w:rsid w:val="00250DEF"/>
    <w:rsid w:val="00250E8F"/>
    <w:rsid w:val="00251591"/>
    <w:rsid w:val="00251774"/>
    <w:rsid w:val="002522A9"/>
    <w:rsid w:val="002523D7"/>
    <w:rsid w:val="0025246F"/>
    <w:rsid w:val="002527EC"/>
    <w:rsid w:val="00252DB8"/>
    <w:rsid w:val="00253620"/>
    <w:rsid w:val="00253DEE"/>
    <w:rsid w:val="00254D68"/>
    <w:rsid w:val="00254DF0"/>
    <w:rsid w:val="0025535D"/>
    <w:rsid w:val="002565A7"/>
    <w:rsid w:val="0025669D"/>
    <w:rsid w:val="00256775"/>
    <w:rsid w:val="0025740E"/>
    <w:rsid w:val="002616C6"/>
    <w:rsid w:val="00261A64"/>
    <w:rsid w:val="00261C0F"/>
    <w:rsid w:val="00262249"/>
    <w:rsid w:val="00262336"/>
    <w:rsid w:val="00262821"/>
    <w:rsid w:val="00263056"/>
    <w:rsid w:val="00264109"/>
    <w:rsid w:val="00264E72"/>
    <w:rsid w:val="002662DB"/>
    <w:rsid w:val="00266BFD"/>
    <w:rsid w:val="00267783"/>
    <w:rsid w:val="002703B0"/>
    <w:rsid w:val="00271632"/>
    <w:rsid w:val="002718B5"/>
    <w:rsid w:val="00271D60"/>
    <w:rsid w:val="00271F4E"/>
    <w:rsid w:val="00272398"/>
    <w:rsid w:val="00272F51"/>
    <w:rsid w:val="002734AD"/>
    <w:rsid w:val="00274B1B"/>
    <w:rsid w:val="002752C4"/>
    <w:rsid w:val="00276505"/>
    <w:rsid w:val="00276634"/>
    <w:rsid w:val="00276769"/>
    <w:rsid w:val="00277561"/>
    <w:rsid w:val="00280580"/>
    <w:rsid w:val="00280E0F"/>
    <w:rsid w:val="002814C4"/>
    <w:rsid w:val="00281D56"/>
    <w:rsid w:val="00282879"/>
    <w:rsid w:val="00282943"/>
    <w:rsid w:val="002837DF"/>
    <w:rsid w:val="00283DD8"/>
    <w:rsid w:val="002847D2"/>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D78"/>
    <w:rsid w:val="00294D5C"/>
    <w:rsid w:val="00295A44"/>
    <w:rsid w:val="00296A84"/>
    <w:rsid w:val="00296E0E"/>
    <w:rsid w:val="00297652"/>
    <w:rsid w:val="0029768D"/>
    <w:rsid w:val="00297E8A"/>
    <w:rsid w:val="002A0711"/>
    <w:rsid w:val="002A08B3"/>
    <w:rsid w:val="002A0E63"/>
    <w:rsid w:val="002A0F22"/>
    <w:rsid w:val="002A10B6"/>
    <w:rsid w:val="002A1428"/>
    <w:rsid w:val="002A19D7"/>
    <w:rsid w:val="002A1AA4"/>
    <w:rsid w:val="002A1D1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50F"/>
    <w:rsid w:val="002B178E"/>
    <w:rsid w:val="002B2177"/>
    <w:rsid w:val="002B3087"/>
    <w:rsid w:val="002B334D"/>
    <w:rsid w:val="002B336A"/>
    <w:rsid w:val="002B3B30"/>
    <w:rsid w:val="002B3D24"/>
    <w:rsid w:val="002B5737"/>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3034"/>
    <w:rsid w:val="002C354D"/>
    <w:rsid w:val="002C3819"/>
    <w:rsid w:val="002C442F"/>
    <w:rsid w:val="002C4AD9"/>
    <w:rsid w:val="002C56B3"/>
    <w:rsid w:val="002C699A"/>
    <w:rsid w:val="002C6CBE"/>
    <w:rsid w:val="002C6FB2"/>
    <w:rsid w:val="002C7E78"/>
    <w:rsid w:val="002D0F05"/>
    <w:rsid w:val="002D36D1"/>
    <w:rsid w:val="002D602E"/>
    <w:rsid w:val="002E0C03"/>
    <w:rsid w:val="002E0F6A"/>
    <w:rsid w:val="002E19CE"/>
    <w:rsid w:val="002E1F03"/>
    <w:rsid w:val="002E2EDF"/>
    <w:rsid w:val="002E30C0"/>
    <w:rsid w:val="002E3F23"/>
    <w:rsid w:val="002E403A"/>
    <w:rsid w:val="002E40B3"/>
    <w:rsid w:val="002E49A3"/>
    <w:rsid w:val="002E57EC"/>
    <w:rsid w:val="002E719B"/>
    <w:rsid w:val="002E725C"/>
    <w:rsid w:val="002F06B9"/>
    <w:rsid w:val="002F07AC"/>
    <w:rsid w:val="002F0A74"/>
    <w:rsid w:val="002F0B6E"/>
    <w:rsid w:val="002F0D79"/>
    <w:rsid w:val="002F1C51"/>
    <w:rsid w:val="002F204E"/>
    <w:rsid w:val="002F3BCB"/>
    <w:rsid w:val="002F407C"/>
    <w:rsid w:val="002F51F1"/>
    <w:rsid w:val="002F5490"/>
    <w:rsid w:val="002F74C9"/>
    <w:rsid w:val="002F7822"/>
    <w:rsid w:val="003010B8"/>
    <w:rsid w:val="003014A0"/>
    <w:rsid w:val="00302895"/>
    <w:rsid w:val="00302E6F"/>
    <w:rsid w:val="003039D9"/>
    <w:rsid w:val="00304748"/>
    <w:rsid w:val="00304CCB"/>
    <w:rsid w:val="00304E53"/>
    <w:rsid w:val="00305B5B"/>
    <w:rsid w:val="00305E40"/>
    <w:rsid w:val="003061E2"/>
    <w:rsid w:val="00306799"/>
    <w:rsid w:val="00307C0E"/>
    <w:rsid w:val="00307DD4"/>
    <w:rsid w:val="00307DDB"/>
    <w:rsid w:val="00310A7D"/>
    <w:rsid w:val="003116D9"/>
    <w:rsid w:val="0031178F"/>
    <w:rsid w:val="00311B97"/>
    <w:rsid w:val="00311F1C"/>
    <w:rsid w:val="00312F4C"/>
    <w:rsid w:val="0031360D"/>
    <w:rsid w:val="003136BD"/>
    <w:rsid w:val="003150EF"/>
    <w:rsid w:val="00315155"/>
    <w:rsid w:val="00315469"/>
    <w:rsid w:val="00315996"/>
    <w:rsid w:val="003159CE"/>
    <w:rsid w:val="00316142"/>
    <w:rsid w:val="00317059"/>
    <w:rsid w:val="00320C45"/>
    <w:rsid w:val="00322800"/>
    <w:rsid w:val="0032282C"/>
    <w:rsid w:val="003229B3"/>
    <w:rsid w:val="00322EF2"/>
    <w:rsid w:val="00322FC9"/>
    <w:rsid w:val="00323053"/>
    <w:rsid w:val="00323329"/>
    <w:rsid w:val="003240B1"/>
    <w:rsid w:val="003240BD"/>
    <w:rsid w:val="00325B26"/>
    <w:rsid w:val="00325BB7"/>
    <w:rsid w:val="003261A5"/>
    <w:rsid w:val="003262DD"/>
    <w:rsid w:val="003263D2"/>
    <w:rsid w:val="003267A7"/>
    <w:rsid w:val="00327170"/>
    <w:rsid w:val="00327441"/>
    <w:rsid w:val="0033030C"/>
    <w:rsid w:val="00330F79"/>
    <w:rsid w:val="003312F3"/>
    <w:rsid w:val="0033136F"/>
    <w:rsid w:val="003322DC"/>
    <w:rsid w:val="00333389"/>
    <w:rsid w:val="00333812"/>
    <w:rsid w:val="00333C86"/>
    <w:rsid w:val="00334D51"/>
    <w:rsid w:val="00335288"/>
    <w:rsid w:val="00335331"/>
    <w:rsid w:val="00335356"/>
    <w:rsid w:val="00335517"/>
    <w:rsid w:val="00335BD1"/>
    <w:rsid w:val="003366FA"/>
    <w:rsid w:val="003378CB"/>
    <w:rsid w:val="00340086"/>
    <w:rsid w:val="003405AA"/>
    <w:rsid w:val="00341650"/>
    <w:rsid w:val="003417B1"/>
    <w:rsid w:val="00342526"/>
    <w:rsid w:val="0034252B"/>
    <w:rsid w:val="003431EF"/>
    <w:rsid w:val="0034357F"/>
    <w:rsid w:val="003436DC"/>
    <w:rsid w:val="00343D84"/>
    <w:rsid w:val="0034549E"/>
    <w:rsid w:val="0034612A"/>
    <w:rsid w:val="00346548"/>
    <w:rsid w:val="003474DD"/>
    <w:rsid w:val="00347B40"/>
    <w:rsid w:val="00347BB2"/>
    <w:rsid w:val="00350670"/>
    <w:rsid w:val="00351270"/>
    <w:rsid w:val="003513C9"/>
    <w:rsid w:val="00351530"/>
    <w:rsid w:val="00351E88"/>
    <w:rsid w:val="00351F90"/>
    <w:rsid w:val="00353610"/>
    <w:rsid w:val="003542C2"/>
    <w:rsid w:val="00354D08"/>
    <w:rsid w:val="00355F30"/>
    <w:rsid w:val="00356427"/>
    <w:rsid w:val="0035697C"/>
    <w:rsid w:val="003602FD"/>
    <w:rsid w:val="0036164E"/>
    <w:rsid w:val="00361E8C"/>
    <w:rsid w:val="00362610"/>
    <w:rsid w:val="00362ADD"/>
    <w:rsid w:val="00362B9D"/>
    <w:rsid w:val="00363895"/>
    <w:rsid w:val="0036435B"/>
    <w:rsid w:val="00364552"/>
    <w:rsid w:val="00365AB4"/>
    <w:rsid w:val="00366BA9"/>
    <w:rsid w:val="00366E8F"/>
    <w:rsid w:val="0036711B"/>
    <w:rsid w:val="00370287"/>
    <w:rsid w:val="00370772"/>
    <w:rsid w:val="00371D76"/>
    <w:rsid w:val="00371F48"/>
    <w:rsid w:val="0037278F"/>
    <w:rsid w:val="003733D4"/>
    <w:rsid w:val="003737E5"/>
    <w:rsid w:val="003739B8"/>
    <w:rsid w:val="003744BD"/>
    <w:rsid w:val="003747E1"/>
    <w:rsid w:val="00374EB9"/>
    <w:rsid w:val="0037636E"/>
    <w:rsid w:val="003764A8"/>
    <w:rsid w:val="00376C59"/>
    <w:rsid w:val="00376F4A"/>
    <w:rsid w:val="00377139"/>
    <w:rsid w:val="00377ADD"/>
    <w:rsid w:val="00377C8C"/>
    <w:rsid w:val="003805D9"/>
    <w:rsid w:val="00380D4E"/>
    <w:rsid w:val="00380FC7"/>
    <w:rsid w:val="00381282"/>
    <w:rsid w:val="003813EA"/>
    <w:rsid w:val="00381498"/>
    <w:rsid w:val="00381519"/>
    <w:rsid w:val="00381887"/>
    <w:rsid w:val="00382C45"/>
    <w:rsid w:val="0038305D"/>
    <w:rsid w:val="00383875"/>
    <w:rsid w:val="00384228"/>
    <w:rsid w:val="0038540F"/>
    <w:rsid w:val="0038658C"/>
    <w:rsid w:val="00386752"/>
    <w:rsid w:val="00386E30"/>
    <w:rsid w:val="0038715E"/>
    <w:rsid w:val="00387227"/>
    <w:rsid w:val="003876FE"/>
    <w:rsid w:val="00387972"/>
    <w:rsid w:val="0039013D"/>
    <w:rsid w:val="00390D99"/>
    <w:rsid w:val="00391162"/>
    <w:rsid w:val="0039181F"/>
    <w:rsid w:val="00391A51"/>
    <w:rsid w:val="00391A7E"/>
    <w:rsid w:val="0039235E"/>
    <w:rsid w:val="0039276B"/>
    <w:rsid w:val="00392A9B"/>
    <w:rsid w:val="00392B1C"/>
    <w:rsid w:val="00392DF4"/>
    <w:rsid w:val="00393482"/>
    <w:rsid w:val="0039396E"/>
    <w:rsid w:val="003948BB"/>
    <w:rsid w:val="003949AA"/>
    <w:rsid w:val="00395260"/>
    <w:rsid w:val="00395BB7"/>
    <w:rsid w:val="00396E32"/>
    <w:rsid w:val="00396EC3"/>
    <w:rsid w:val="003A042C"/>
    <w:rsid w:val="003A05A7"/>
    <w:rsid w:val="003A1B75"/>
    <w:rsid w:val="003A1C1F"/>
    <w:rsid w:val="003A1FE5"/>
    <w:rsid w:val="003A2C1F"/>
    <w:rsid w:val="003A2E94"/>
    <w:rsid w:val="003A329B"/>
    <w:rsid w:val="003A52B0"/>
    <w:rsid w:val="003A6568"/>
    <w:rsid w:val="003A7360"/>
    <w:rsid w:val="003A73E4"/>
    <w:rsid w:val="003A7424"/>
    <w:rsid w:val="003B03A2"/>
    <w:rsid w:val="003B0B5A"/>
    <w:rsid w:val="003B1DAF"/>
    <w:rsid w:val="003B3019"/>
    <w:rsid w:val="003B373C"/>
    <w:rsid w:val="003B456B"/>
    <w:rsid w:val="003B4794"/>
    <w:rsid w:val="003B4A99"/>
    <w:rsid w:val="003B5863"/>
    <w:rsid w:val="003B6E05"/>
    <w:rsid w:val="003B6E6A"/>
    <w:rsid w:val="003C0108"/>
    <w:rsid w:val="003C05B8"/>
    <w:rsid w:val="003C10CD"/>
    <w:rsid w:val="003C1599"/>
    <w:rsid w:val="003C2979"/>
    <w:rsid w:val="003C2E27"/>
    <w:rsid w:val="003C33F2"/>
    <w:rsid w:val="003C374A"/>
    <w:rsid w:val="003C4316"/>
    <w:rsid w:val="003C4C2B"/>
    <w:rsid w:val="003C513E"/>
    <w:rsid w:val="003C58E5"/>
    <w:rsid w:val="003C67AC"/>
    <w:rsid w:val="003C6A24"/>
    <w:rsid w:val="003C6A91"/>
    <w:rsid w:val="003C6AFE"/>
    <w:rsid w:val="003C6B9B"/>
    <w:rsid w:val="003D0394"/>
    <w:rsid w:val="003D099E"/>
    <w:rsid w:val="003D0FE2"/>
    <w:rsid w:val="003D3441"/>
    <w:rsid w:val="003D3D72"/>
    <w:rsid w:val="003D512E"/>
    <w:rsid w:val="003D5441"/>
    <w:rsid w:val="003D57E8"/>
    <w:rsid w:val="003E00B5"/>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2B69"/>
    <w:rsid w:val="003F3635"/>
    <w:rsid w:val="003F3B57"/>
    <w:rsid w:val="003F3E06"/>
    <w:rsid w:val="003F4205"/>
    <w:rsid w:val="003F4B78"/>
    <w:rsid w:val="003F4E80"/>
    <w:rsid w:val="003F4F31"/>
    <w:rsid w:val="003F52F7"/>
    <w:rsid w:val="003F5951"/>
    <w:rsid w:val="003F61B0"/>
    <w:rsid w:val="003F6653"/>
    <w:rsid w:val="003F719E"/>
    <w:rsid w:val="003F7EBE"/>
    <w:rsid w:val="0040199D"/>
    <w:rsid w:val="00401D61"/>
    <w:rsid w:val="00402E41"/>
    <w:rsid w:val="00403504"/>
    <w:rsid w:val="00403535"/>
    <w:rsid w:val="00404981"/>
    <w:rsid w:val="00404A88"/>
    <w:rsid w:val="00405003"/>
    <w:rsid w:val="004054E5"/>
    <w:rsid w:val="0040620E"/>
    <w:rsid w:val="00406AF6"/>
    <w:rsid w:val="0040711F"/>
    <w:rsid w:val="004071F3"/>
    <w:rsid w:val="00410601"/>
    <w:rsid w:val="00410B2B"/>
    <w:rsid w:val="004118A7"/>
    <w:rsid w:val="00412A8A"/>
    <w:rsid w:val="004133E9"/>
    <w:rsid w:val="00413FDE"/>
    <w:rsid w:val="004149D9"/>
    <w:rsid w:val="004169D2"/>
    <w:rsid w:val="00417AE7"/>
    <w:rsid w:val="00417C90"/>
    <w:rsid w:val="00420275"/>
    <w:rsid w:val="00420625"/>
    <w:rsid w:val="0042248F"/>
    <w:rsid w:val="004225F8"/>
    <w:rsid w:val="004227E7"/>
    <w:rsid w:val="00422BC2"/>
    <w:rsid w:val="00422BF9"/>
    <w:rsid w:val="004230FD"/>
    <w:rsid w:val="004239FC"/>
    <w:rsid w:val="00423E70"/>
    <w:rsid w:val="00424EB1"/>
    <w:rsid w:val="00424F7A"/>
    <w:rsid w:val="00425EA3"/>
    <w:rsid w:val="0042629E"/>
    <w:rsid w:val="00426B41"/>
    <w:rsid w:val="004274B2"/>
    <w:rsid w:val="00430A7A"/>
    <w:rsid w:val="00430B1E"/>
    <w:rsid w:val="00431795"/>
    <w:rsid w:val="00432176"/>
    <w:rsid w:val="00433ABB"/>
    <w:rsid w:val="00435698"/>
    <w:rsid w:val="0043627B"/>
    <w:rsid w:val="00437BF2"/>
    <w:rsid w:val="00437F51"/>
    <w:rsid w:val="0044060E"/>
    <w:rsid w:val="00440F20"/>
    <w:rsid w:val="0044138C"/>
    <w:rsid w:val="00441A0B"/>
    <w:rsid w:val="00442C4F"/>
    <w:rsid w:val="004433E7"/>
    <w:rsid w:val="0044372A"/>
    <w:rsid w:val="00445381"/>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B92"/>
    <w:rsid w:val="00455B9B"/>
    <w:rsid w:val="00456C6C"/>
    <w:rsid w:val="00456EEC"/>
    <w:rsid w:val="00457052"/>
    <w:rsid w:val="0045775A"/>
    <w:rsid w:val="00457AC8"/>
    <w:rsid w:val="00460616"/>
    <w:rsid w:val="004609BC"/>
    <w:rsid w:val="00460A6D"/>
    <w:rsid w:val="004613AC"/>
    <w:rsid w:val="00461506"/>
    <w:rsid w:val="00461F8D"/>
    <w:rsid w:val="0046209C"/>
    <w:rsid w:val="0046237F"/>
    <w:rsid w:val="00462706"/>
    <w:rsid w:val="004627D6"/>
    <w:rsid w:val="00462933"/>
    <w:rsid w:val="00462992"/>
    <w:rsid w:val="00462D8E"/>
    <w:rsid w:val="004638D7"/>
    <w:rsid w:val="0046390D"/>
    <w:rsid w:val="00463BEC"/>
    <w:rsid w:val="00463EB7"/>
    <w:rsid w:val="0046424A"/>
    <w:rsid w:val="004652F7"/>
    <w:rsid w:val="004653EB"/>
    <w:rsid w:val="004656E3"/>
    <w:rsid w:val="004671AA"/>
    <w:rsid w:val="0046748A"/>
    <w:rsid w:val="00467BDE"/>
    <w:rsid w:val="00467CB4"/>
    <w:rsid w:val="004712FD"/>
    <w:rsid w:val="004717EE"/>
    <w:rsid w:val="0047180E"/>
    <w:rsid w:val="00471C9F"/>
    <w:rsid w:val="004721E5"/>
    <w:rsid w:val="004724E5"/>
    <w:rsid w:val="0047282A"/>
    <w:rsid w:val="00472C97"/>
    <w:rsid w:val="00472DA7"/>
    <w:rsid w:val="004736E9"/>
    <w:rsid w:val="0047425A"/>
    <w:rsid w:val="004752F4"/>
    <w:rsid w:val="00475427"/>
    <w:rsid w:val="00475A4A"/>
    <w:rsid w:val="00475EB1"/>
    <w:rsid w:val="004767B8"/>
    <w:rsid w:val="0047758A"/>
    <w:rsid w:val="00477684"/>
    <w:rsid w:val="00477924"/>
    <w:rsid w:val="004803E2"/>
    <w:rsid w:val="00482D83"/>
    <w:rsid w:val="004835B2"/>
    <w:rsid w:val="00483BEE"/>
    <w:rsid w:val="00484101"/>
    <w:rsid w:val="00485177"/>
    <w:rsid w:val="00485A7E"/>
    <w:rsid w:val="0048612D"/>
    <w:rsid w:val="0048648D"/>
    <w:rsid w:val="00487535"/>
    <w:rsid w:val="004876EB"/>
    <w:rsid w:val="00487AA9"/>
    <w:rsid w:val="00490D06"/>
    <w:rsid w:val="00491373"/>
    <w:rsid w:val="004918AF"/>
    <w:rsid w:val="00491C62"/>
    <w:rsid w:val="00492443"/>
    <w:rsid w:val="00492874"/>
    <w:rsid w:val="0049331C"/>
    <w:rsid w:val="0049452F"/>
    <w:rsid w:val="004946F4"/>
    <w:rsid w:val="00494ECF"/>
    <w:rsid w:val="0049639D"/>
    <w:rsid w:val="004966FE"/>
    <w:rsid w:val="004A00C1"/>
    <w:rsid w:val="004A00D7"/>
    <w:rsid w:val="004A0959"/>
    <w:rsid w:val="004A0EAB"/>
    <w:rsid w:val="004A203F"/>
    <w:rsid w:val="004A48B5"/>
    <w:rsid w:val="004A4A55"/>
    <w:rsid w:val="004A5390"/>
    <w:rsid w:val="004A5740"/>
    <w:rsid w:val="004A5D8F"/>
    <w:rsid w:val="004B0944"/>
    <w:rsid w:val="004B2CFD"/>
    <w:rsid w:val="004B3A62"/>
    <w:rsid w:val="004B3FFF"/>
    <w:rsid w:val="004B41B6"/>
    <w:rsid w:val="004B44C8"/>
    <w:rsid w:val="004B473A"/>
    <w:rsid w:val="004B5024"/>
    <w:rsid w:val="004B5234"/>
    <w:rsid w:val="004B5728"/>
    <w:rsid w:val="004B5734"/>
    <w:rsid w:val="004B5EF5"/>
    <w:rsid w:val="004B64C7"/>
    <w:rsid w:val="004B737B"/>
    <w:rsid w:val="004C0829"/>
    <w:rsid w:val="004C0B45"/>
    <w:rsid w:val="004C13B1"/>
    <w:rsid w:val="004C16F6"/>
    <w:rsid w:val="004C1BDF"/>
    <w:rsid w:val="004C20D6"/>
    <w:rsid w:val="004C2A8A"/>
    <w:rsid w:val="004C351C"/>
    <w:rsid w:val="004C35CA"/>
    <w:rsid w:val="004C3AA9"/>
    <w:rsid w:val="004C4523"/>
    <w:rsid w:val="004C4C9E"/>
    <w:rsid w:val="004C52CF"/>
    <w:rsid w:val="004C5EAC"/>
    <w:rsid w:val="004C6BD7"/>
    <w:rsid w:val="004C6F9B"/>
    <w:rsid w:val="004D005A"/>
    <w:rsid w:val="004D0112"/>
    <w:rsid w:val="004D1189"/>
    <w:rsid w:val="004D201B"/>
    <w:rsid w:val="004D2750"/>
    <w:rsid w:val="004D295D"/>
    <w:rsid w:val="004D2970"/>
    <w:rsid w:val="004D310B"/>
    <w:rsid w:val="004D369F"/>
    <w:rsid w:val="004D43C4"/>
    <w:rsid w:val="004D46F0"/>
    <w:rsid w:val="004D4EF8"/>
    <w:rsid w:val="004D5072"/>
    <w:rsid w:val="004D511C"/>
    <w:rsid w:val="004D79A7"/>
    <w:rsid w:val="004E0511"/>
    <w:rsid w:val="004E0EA9"/>
    <w:rsid w:val="004E1953"/>
    <w:rsid w:val="004E2154"/>
    <w:rsid w:val="004E228D"/>
    <w:rsid w:val="004E2851"/>
    <w:rsid w:val="004E3A65"/>
    <w:rsid w:val="004E3DD3"/>
    <w:rsid w:val="004E3EE7"/>
    <w:rsid w:val="004E3F90"/>
    <w:rsid w:val="004E42F4"/>
    <w:rsid w:val="004E4A9A"/>
    <w:rsid w:val="004E4B5B"/>
    <w:rsid w:val="004E5226"/>
    <w:rsid w:val="004E58FC"/>
    <w:rsid w:val="004E5B4E"/>
    <w:rsid w:val="004E6D88"/>
    <w:rsid w:val="004E6E53"/>
    <w:rsid w:val="004E709F"/>
    <w:rsid w:val="004E7AD7"/>
    <w:rsid w:val="004E7C7A"/>
    <w:rsid w:val="004E7D99"/>
    <w:rsid w:val="004F0C02"/>
    <w:rsid w:val="004F18EA"/>
    <w:rsid w:val="004F24DF"/>
    <w:rsid w:val="004F292D"/>
    <w:rsid w:val="004F3171"/>
    <w:rsid w:val="004F3A39"/>
    <w:rsid w:val="004F493E"/>
    <w:rsid w:val="004F4F18"/>
    <w:rsid w:val="004F501C"/>
    <w:rsid w:val="004F577F"/>
    <w:rsid w:val="004F5E00"/>
    <w:rsid w:val="004F623F"/>
    <w:rsid w:val="004F68AB"/>
    <w:rsid w:val="004F6F8F"/>
    <w:rsid w:val="004F72AA"/>
    <w:rsid w:val="004F74BA"/>
    <w:rsid w:val="004F799E"/>
    <w:rsid w:val="004F7D6A"/>
    <w:rsid w:val="00500890"/>
    <w:rsid w:val="00500EC5"/>
    <w:rsid w:val="00501393"/>
    <w:rsid w:val="005013B0"/>
    <w:rsid w:val="00501BC4"/>
    <w:rsid w:val="005021AA"/>
    <w:rsid w:val="005034C9"/>
    <w:rsid w:val="00503EFF"/>
    <w:rsid w:val="005042D6"/>
    <w:rsid w:val="005049BC"/>
    <w:rsid w:val="00504B14"/>
    <w:rsid w:val="00504CA4"/>
    <w:rsid w:val="00504F58"/>
    <w:rsid w:val="005054B9"/>
    <w:rsid w:val="00505575"/>
    <w:rsid w:val="005056CB"/>
    <w:rsid w:val="005058FB"/>
    <w:rsid w:val="00505A3B"/>
    <w:rsid w:val="00505C1B"/>
    <w:rsid w:val="00507960"/>
    <w:rsid w:val="00507961"/>
    <w:rsid w:val="00511F86"/>
    <w:rsid w:val="0051232E"/>
    <w:rsid w:val="0051323C"/>
    <w:rsid w:val="0051369E"/>
    <w:rsid w:val="0051388E"/>
    <w:rsid w:val="005138F4"/>
    <w:rsid w:val="00513EC1"/>
    <w:rsid w:val="00514390"/>
    <w:rsid w:val="005143DC"/>
    <w:rsid w:val="0051519F"/>
    <w:rsid w:val="00515A71"/>
    <w:rsid w:val="00515B40"/>
    <w:rsid w:val="00516755"/>
    <w:rsid w:val="00516B47"/>
    <w:rsid w:val="00516DDA"/>
    <w:rsid w:val="00516E0B"/>
    <w:rsid w:val="00516F33"/>
    <w:rsid w:val="00516F8B"/>
    <w:rsid w:val="005171C3"/>
    <w:rsid w:val="005171C5"/>
    <w:rsid w:val="00521B3D"/>
    <w:rsid w:val="00521F55"/>
    <w:rsid w:val="0052327D"/>
    <w:rsid w:val="0052368D"/>
    <w:rsid w:val="00523823"/>
    <w:rsid w:val="005242FA"/>
    <w:rsid w:val="005246D0"/>
    <w:rsid w:val="005257FF"/>
    <w:rsid w:val="0052621D"/>
    <w:rsid w:val="0052635B"/>
    <w:rsid w:val="005265D1"/>
    <w:rsid w:val="00526905"/>
    <w:rsid w:val="00526BF1"/>
    <w:rsid w:val="0052774A"/>
    <w:rsid w:val="00527B83"/>
    <w:rsid w:val="00527EB1"/>
    <w:rsid w:val="005300AD"/>
    <w:rsid w:val="0053016A"/>
    <w:rsid w:val="005308C3"/>
    <w:rsid w:val="00530C2D"/>
    <w:rsid w:val="005314DF"/>
    <w:rsid w:val="0053166B"/>
    <w:rsid w:val="005332FB"/>
    <w:rsid w:val="00533356"/>
    <w:rsid w:val="00533C53"/>
    <w:rsid w:val="00533DCD"/>
    <w:rsid w:val="00534397"/>
    <w:rsid w:val="00534F08"/>
    <w:rsid w:val="00535716"/>
    <w:rsid w:val="00535CCC"/>
    <w:rsid w:val="00537096"/>
    <w:rsid w:val="005371DE"/>
    <w:rsid w:val="00537A96"/>
    <w:rsid w:val="0054057F"/>
    <w:rsid w:val="005412ED"/>
    <w:rsid w:val="00541883"/>
    <w:rsid w:val="00542B32"/>
    <w:rsid w:val="00543152"/>
    <w:rsid w:val="00543332"/>
    <w:rsid w:val="00543602"/>
    <w:rsid w:val="00543BF7"/>
    <w:rsid w:val="00543EA1"/>
    <w:rsid w:val="005453FC"/>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284"/>
    <w:rsid w:val="00555BF3"/>
    <w:rsid w:val="005566A2"/>
    <w:rsid w:val="00556743"/>
    <w:rsid w:val="005568A1"/>
    <w:rsid w:val="00557B8A"/>
    <w:rsid w:val="00560A3C"/>
    <w:rsid w:val="005614FE"/>
    <w:rsid w:val="00561BDC"/>
    <w:rsid w:val="00561CA7"/>
    <w:rsid w:val="00562198"/>
    <w:rsid w:val="005627E9"/>
    <w:rsid w:val="00562AC2"/>
    <w:rsid w:val="00563558"/>
    <w:rsid w:val="00563D9E"/>
    <w:rsid w:val="00563E9D"/>
    <w:rsid w:val="0056435A"/>
    <w:rsid w:val="0056507B"/>
    <w:rsid w:val="00566DD9"/>
    <w:rsid w:val="00567243"/>
    <w:rsid w:val="005675E4"/>
    <w:rsid w:val="00570484"/>
    <w:rsid w:val="005708B9"/>
    <w:rsid w:val="00571B45"/>
    <w:rsid w:val="00571E42"/>
    <w:rsid w:val="005726CF"/>
    <w:rsid w:val="005726E5"/>
    <w:rsid w:val="0057331D"/>
    <w:rsid w:val="00573337"/>
    <w:rsid w:val="00573F7A"/>
    <w:rsid w:val="005746AB"/>
    <w:rsid w:val="00575097"/>
    <w:rsid w:val="005750F5"/>
    <w:rsid w:val="00575D9D"/>
    <w:rsid w:val="0057645D"/>
    <w:rsid w:val="005765CB"/>
    <w:rsid w:val="005769A8"/>
    <w:rsid w:val="00576BF6"/>
    <w:rsid w:val="00577DC1"/>
    <w:rsid w:val="00580D93"/>
    <w:rsid w:val="00581613"/>
    <w:rsid w:val="00581E06"/>
    <w:rsid w:val="005823E7"/>
    <w:rsid w:val="00582EAB"/>
    <w:rsid w:val="005833B9"/>
    <w:rsid w:val="005835F1"/>
    <w:rsid w:val="005846DD"/>
    <w:rsid w:val="00585674"/>
    <w:rsid w:val="0058601A"/>
    <w:rsid w:val="005865B3"/>
    <w:rsid w:val="00586639"/>
    <w:rsid w:val="0058702D"/>
    <w:rsid w:val="0058703C"/>
    <w:rsid w:val="005876AC"/>
    <w:rsid w:val="00590E3A"/>
    <w:rsid w:val="00591352"/>
    <w:rsid w:val="00592D98"/>
    <w:rsid w:val="005937F3"/>
    <w:rsid w:val="005941C8"/>
    <w:rsid w:val="00595D0D"/>
    <w:rsid w:val="00595DC2"/>
    <w:rsid w:val="0059602A"/>
    <w:rsid w:val="00596736"/>
    <w:rsid w:val="005A0BBD"/>
    <w:rsid w:val="005A0E67"/>
    <w:rsid w:val="005A26ED"/>
    <w:rsid w:val="005A3682"/>
    <w:rsid w:val="005A39F3"/>
    <w:rsid w:val="005A44E4"/>
    <w:rsid w:val="005A4781"/>
    <w:rsid w:val="005A5963"/>
    <w:rsid w:val="005A72B0"/>
    <w:rsid w:val="005A760B"/>
    <w:rsid w:val="005B07EF"/>
    <w:rsid w:val="005B0D1E"/>
    <w:rsid w:val="005B1A0A"/>
    <w:rsid w:val="005B26B1"/>
    <w:rsid w:val="005B280C"/>
    <w:rsid w:val="005B294B"/>
    <w:rsid w:val="005B2E01"/>
    <w:rsid w:val="005B317B"/>
    <w:rsid w:val="005B4B2B"/>
    <w:rsid w:val="005B56AD"/>
    <w:rsid w:val="005B5DA9"/>
    <w:rsid w:val="005B6085"/>
    <w:rsid w:val="005B6F5C"/>
    <w:rsid w:val="005B7245"/>
    <w:rsid w:val="005B7738"/>
    <w:rsid w:val="005B7962"/>
    <w:rsid w:val="005C0444"/>
    <w:rsid w:val="005C1B6F"/>
    <w:rsid w:val="005C32CE"/>
    <w:rsid w:val="005C3C92"/>
    <w:rsid w:val="005C4402"/>
    <w:rsid w:val="005C463A"/>
    <w:rsid w:val="005C4F38"/>
    <w:rsid w:val="005C5496"/>
    <w:rsid w:val="005C75F2"/>
    <w:rsid w:val="005C7DAD"/>
    <w:rsid w:val="005D00EB"/>
    <w:rsid w:val="005D043A"/>
    <w:rsid w:val="005D33E0"/>
    <w:rsid w:val="005D37AB"/>
    <w:rsid w:val="005D393A"/>
    <w:rsid w:val="005D3A42"/>
    <w:rsid w:val="005D4285"/>
    <w:rsid w:val="005D65C0"/>
    <w:rsid w:val="005D76E3"/>
    <w:rsid w:val="005E028F"/>
    <w:rsid w:val="005E1572"/>
    <w:rsid w:val="005E173F"/>
    <w:rsid w:val="005E17AC"/>
    <w:rsid w:val="005E1A01"/>
    <w:rsid w:val="005E38D9"/>
    <w:rsid w:val="005E476E"/>
    <w:rsid w:val="005E4A77"/>
    <w:rsid w:val="005E5A58"/>
    <w:rsid w:val="005E5F8E"/>
    <w:rsid w:val="005E5FE6"/>
    <w:rsid w:val="005E658D"/>
    <w:rsid w:val="005F03D9"/>
    <w:rsid w:val="005F05D4"/>
    <w:rsid w:val="005F067B"/>
    <w:rsid w:val="005F1B21"/>
    <w:rsid w:val="005F31EE"/>
    <w:rsid w:val="005F36C2"/>
    <w:rsid w:val="005F4229"/>
    <w:rsid w:val="005F4A78"/>
    <w:rsid w:val="005F50A7"/>
    <w:rsid w:val="005F51C3"/>
    <w:rsid w:val="005F51D6"/>
    <w:rsid w:val="005F5447"/>
    <w:rsid w:val="005F5C0B"/>
    <w:rsid w:val="005F5E84"/>
    <w:rsid w:val="005F63F5"/>
    <w:rsid w:val="005F740D"/>
    <w:rsid w:val="005F7AB6"/>
    <w:rsid w:val="006001E4"/>
    <w:rsid w:val="00601240"/>
    <w:rsid w:val="00602CEA"/>
    <w:rsid w:val="00602E6A"/>
    <w:rsid w:val="0060319A"/>
    <w:rsid w:val="0060355F"/>
    <w:rsid w:val="00603F06"/>
    <w:rsid w:val="00603FE4"/>
    <w:rsid w:val="00604337"/>
    <w:rsid w:val="00605045"/>
    <w:rsid w:val="00605A1C"/>
    <w:rsid w:val="00606D21"/>
    <w:rsid w:val="0060717D"/>
    <w:rsid w:val="0060722F"/>
    <w:rsid w:val="006073A9"/>
    <w:rsid w:val="0060796E"/>
    <w:rsid w:val="00607F90"/>
    <w:rsid w:val="0061028E"/>
    <w:rsid w:val="00610EB5"/>
    <w:rsid w:val="0061142A"/>
    <w:rsid w:val="006115CE"/>
    <w:rsid w:val="00612D52"/>
    <w:rsid w:val="00612DEA"/>
    <w:rsid w:val="0061353B"/>
    <w:rsid w:val="00613980"/>
    <w:rsid w:val="00613E91"/>
    <w:rsid w:val="00615AAB"/>
    <w:rsid w:val="00616EF7"/>
    <w:rsid w:val="006178D1"/>
    <w:rsid w:val="006201B2"/>
    <w:rsid w:val="00620E4F"/>
    <w:rsid w:val="00622212"/>
    <w:rsid w:val="00622A9C"/>
    <w:rsid w:val="00623A3A"/>
    <w:rsid w:val="00623FB1"/>
    <w:rsid w:val="00624398"/>
    <w:rsid w:val="006243EA"/>
    <w:rsid w:val="0062590B"/>
    <w:rsid w:val="006269FF"/>
    <w:rsid w:val="00626C4B"/>
    <w:rsid w:val="006270F9"/>
    <w:rsid w:val="00627699"/>
    <w:rsid w:val="00631A25"/>
    <w:rsid w:val="006327CD"/>
    <w:rsid w:val="00633450"/>
    <w:rsid w:val="0063359A"/>
    <w:rsid w:val="006336A2"/>
    <w:rsid w:val="00634260"/>
    <w:rsid w:val="0063493F"/>
    <w:rsid w:val="00634C98"/>
    <w:rsid w:val="00637D3F"/>
    <w:rsid w:val="00640565"/>
    <w:rsid w:val="0064101B"/>
    <w:rsid w:val="0064123A"/>
    <w:rsid w:val="006412BA"/>
    <w:rsid w:val="00641472"/>
    <w:rsid w:val="00641A8D"/>
    <w:rsid w:val="00642E13"/>
    <w:rsid w:val="00643938"/>
    <w:rsid w:val="00643DFC"/>
    <w:rsid w:val="00643FB3"/>
    <w:rsid w:val="00645ADA"/>
    <w:rsid w:val="00646215"/>
    <w:rsid w:val="00646557"/>
    <w:rsid w:val="00647BD2"/>
    <w:rsid w:val="00647FA0"/>
    <w:rsid w:val="00651078"/>
    <w:rsid w:val="00651144"/>
    <w:rsid w:val="006519D3"/>
    <w:rsid w:val="0065211B"/>
    <w:rsid w:val="006521D2"/>
    <w:rsid w:val="006522FD"/>
    <w:rsid w:val="00652C4F"/>
    <w:rsid w:val="00653384"/>
    <w:rsid w:val="006545C8"/>
    <w:rsid w:val="006546DA"/>
    <w:rsid w:val="0065525A"/>
    <w:rsid w:val="0065536C"/>
    <w:rsid w:val="00655706"/>
    <w:rsid w:val="00656236"/>
    <w:rsid w:val="00656E6F"/>
    <w:rsid w:val="0065700D"/>
    <w:rsid w:val="00657568"/>
    <w:rsid w:val="00660697"/>
    <w:rsid w:val="006607A3"/>
    <w:rsid w:val="00660A3D"/>
    <w:rsid w:val="00660BB2"/>
    <w:rsid w:val="006615F7"/>
    <w:rsid w:val="006617BD"/>
    <w:rsid w:val="0066273F"/>
    <w:rsid w:val="0066317B"/>
    <w:rsid w:val="00664421"/>
    <w:rsid w:val="0066453B"/>
    <w:rsid w:val="00664AFF"/>
    <w:rsid w:val="00664EB9"/>
    <w:rsid w:val="00665E2B"/>
    <w:rsid w:val="00666379"/>
    <w:rsid w:val="0066717F"/>
    <w:rsid w:val="0067006D"/>
    <w:rsid w:val="0067063C"/>
    <w:rsid w:val="00671E6A"/>
    <w:rsid w:val="00672796"/>
    <w:rsid w:val="006729BA"/>
    <w:rsid w:val="00673AAB"/>
    <w:rsid w:val="00673E13"/>
    <w:rsid w:val="00674516"/>
    <w:rsid w:val="00674AB3"/>
    <w:rsid w:val="006758B4"/>
    <w:rsid w:val="00675D4B"/>
    <w:rsid w:val="00676CA4"/>
    <w:rsid w:val="00677C4B"/>
    <w:rsid w:val="00680102"/>
    <w:rsid w:val="00681016"/>
    <w:rsid w:val="00681A93"/>
    <w:rsid w:val="00681CC4"/>
    <w:rsid w:val="00682DD5"/>
    <w:rsid w:val="006836C0"/>
    <w:rsid w:val="0068373B"/>
    <w:rsid w:val="0068389A"/>
    <w:rsid w:val="006843C7"/>
    <w:rsid w:val="006847C5"/>
    <w:rsid w:val="0068548F"/>
    <w:rsid w:val="00685BAA"/>
    <w:rsid w:val="00685D46"/>
    <w:rsid w:val="0068728A"/>
    <w:rsid w:val="006873DA"/>
    <w:rsid w:val="006876D3"/>
    <w:rsid w:val="00687926"/>
    <w:rsid w:val="006919FD"/>
    <w:rsid w:val="00692179"/>
    <w:rsid w:val="006938C7"/>
    <w:rsid w:val="00694E33"/>
    <w:rsid w:val="00695B52"/>
    <w:rsid w:val="00695D3B"/>
    <w:rsid w:val="006960EC"/>
    <w:rsid w:val="00696825"/>
    <w:rsid w:val="00696AB9"/>
    <w:rsid w:val="00696C69"/>
    <w:rsid w:val="00697C55"/>
    <w:rsid w:val="00697D1B"/>
    <w:rsid w:val="006A0738"/>
    <w:rsid w:val="006A078B"/>
    <w:rsid w:val="006A1401"/>
    <w:rsid w:val="006A15F3"/>
    <w:rsid w:val="006A1A13"/>
    <w:rsid w:val="006A1F53"/>
    <w:rsid w:val="006A24BF"/>
    <w:rsid w:val="006A2F47"/>
    <w:rsid w:val="006A325A"/>
    <w:rsid w:val="006A412E"/>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597"/>
    <w:rsid w:val="006B7F4D"/>
    <w:rsid w:val="006C0514"/>
    <w:rsid w:val="006C0571"/>
    <w:rsid w:val="006C05EA"/>
    <w:rsid w:val="006C1E31"/>
    <w:rsid w:val="006C2328"/>
    <w:rsid w:val="006C26EF"/>
    <w:rsid w:val="006C3964"/>
    <w:rsid w:val="006C3A2A"/>
    <w:rsid w:val="006C418C"/>
    <w:rsid w:val="006C5077"/>
    <w:rsid w:val="006C59FE"/>
    <w:rsid w:val="006C66E1"/>
    <w:rsid w:val="006C6F08"/>
    <w:rsid w:val="006C73BD"/>
    <w:rsid w:val="006C7784"/>
    <w:rsid w:val="006D065C"/>
    <w:rsid w:val="006D0BC7"/>
    <w:rsid w:val="006D12E6"/>
    <w:rsid w:val="006D1F79"/>
    <w:rsid w:val="006D23C5"/>
    <w:rsid w:val="006D2551"/>
    <w:rsid w:val="006D26DD"/>
    <w:rsid w:val="006D474E"/>
    <w:rsid w:val="006D5000"/>
    <w:rsid w:val="006D521F"/>
    <w:rsid w:val="006D5309"/>
    <w:rsid w:val="006D60F4"/>
    <w:rsid w:val="006D63AB"/>
    <w:rsid w:val="006D7B1F"/>
    <w:rsid w:val="006E00F0"/>
    <w:rsid w:val="006E0405"/>
    <w:rsid w:val="006E0496"/>
    <w:rsid w:val="006E080B"/>
    <w:rsid w:val="006E0933"/>
    <w:rsid w:val="006E10B9"/>
    <w:rsid w:val="006E171B"/>
    <w:rsid w:val="006E31D2"/>
    <w:rsid w:val="006E3C75"/>
    <w:rsid w:val="006E3DF5"/>
    <w:rsid w:val="006E3E02"/>
    <w:rsid w:val="006E42D3"/>
    <w:rsid w:val="006E443D"/>
    <w:rsid w:val="006E484F"/>
    <w:rsid w:val="006E4A30"/>
    <w:rsid w:val="006E5206"/>
    <w:rsid w:val="006E54C7"/>
    <w:rsid w:val="006E6BD9"/>
    <w:rsid w:val="006E6C36"/>
    <w:rsid w:val="006E6CC4"/>
    <w:rsid w:val="006E79EB"/>
    <w:rsid w:val="006E7FC1"/>
    <w:rsid w:val="006F0E3F"/>
    <w:rsid w:val="006F1115"/>
    <w:rsid w:val="006F13F9"/>
    <w:rsid w:val="006F1E2F"/>
    <w:rsid w:val="006F235C"/>
    <w:rsid w:val="006F3042"/>
    <w:rsid w:val="006F3B9B"/>
    <w:rsid w:val="006F44AC"/>
    <w:rsid w:val="006F45D6"/>
    <w:rsid w:val="006F47DE"/>
    <w:rsid w:val="006F5219"/>
    <w:rsid w:val="006F5428"/>
    <w:rsid w:val="006F5BED"/>
    <w:rsid w:val="006F64D6"/>
    <w:rsid w:val="006F6D0E"/>
    <w:rsid w:val="006F6D6E"/>
    <w:rsid w:val="006F6DA0"/>
    <w:rsid w:val="006F6F42"/>
    <w:rsid w:val="006F7634"/>
    <w:rsid w:val="006F7D02"/>
    <w:rsid w:val="006F7F1C"/>
    <w:rsid w:val="007011B9"/>
    <w:rsid w:val="007012FA"/>
    <w:rsid w:val="007013D1"/>
    <w:rsid w:val="00702193"/>
    <w:rsid w:val="00702DCF"/>
    <w:rsid w:val="00702F20"/>
    <w:rsid w:val="007042E3"/>
    <w:rsid w:val="00704FCD"/>
    <w:rsid w:val="007061E2"/>
    <w:rsid w:val="00706A64"/>
    <w:rsid w:val="00706EDF"/>
    <w:rsid w:val="007076E4"/>
    <w:rsid w:val="0070770B"/>
    <w:rsid w:val="00710A57"/>
    <w:rsid w:val="007120D9"/>
    <w:rsid w:val="00712969"/>
    <w:rsid w:val="007142CB"/>
    <w:rsid w:val="00714601"/>
    <w:rsid w:val="007146F4"/>
    <w:rsid w:val="00714CA6"/>
    <w:rsid w:val="00715830"/>
    <w:rsid w:val="00715934"/>
    <w:rsid w:val="00716AD9"/>
    <w:rsid w:val="00716D38"/>
    <w:rsid w:val="00720EC2"/>
    <w:rsid w:val="0072169C"/>
    <w:rsid w:val="00722412"/>
    <w:rsid w:val="007224D8"/>
    <w:rsid w:val="00722F7F"/>
    <w:rsid w:val="00723EF5"/>
    <w:rsid w:val="00725A1C"/>
    <w:rsid w:val="007264D1"/>
    <w:rsid w:val="0073005B"/>
    <w:rsid w:val="0073164C"/>
    <w:rsid w:val="00731A4E"/>
    <w:rsid w:val="00733A6C"/>
    <w:rsid w:val="00733D00"/>
    <w:rsid w:val="00733EDC"/>
    <w:rsid w:val="00734522"/>
    <w:rsid w:val="00734B67"/>
    <w:rsid w:val="007351BE"/>
    <w:rsid w:val="007354ED"/>
    <w:rsid w:val="007354FD"/>
    <w:rsid w:val="00736B3E"/>
    <w:rsid w:val="00736EF7"/>
    <w:rsid w:val="0073786E"/>
    <w:rsid w:val="00737D83"/>
    <w:rsid w:val="00737FF4"/>
    <w:rsid w:val="00740966"/>
    <w:rsid w:val="00740B08"/>
    <w:rsid w:val="00740DE7"/>
    <w:rsid w:val="00741115"/>
    <w:rsid w:val="00741CA6"/>
    <w:rsid w:val="0074302B"/>
    <w:rsid w:val="007430C0"/>
    <w:rsid w:val="00743925"/>
    <w:rsid w:val="00743944"/>
    <w:rsid w:val="00743B2B"/>
    <w:rsid w:val="00743BC9"/>
    <w:rsid w:val="007453E5"/>
    <w:rsid w:val="00745C2E"/>
    <w:rsid w:val="00745D36"/>
    <w:rsid w:val="00745DE6"/>
    <w:rsid w:val="00745F5D"/>
    <w:rsid w:val="00746C76"/>
    <w:rsid w:val="00750A64"/>
    <w:rsid w:val="007516F1"/>
    <w:rsid w:val="00751E92"/>
    <w:rsid w:val="0075209B"/>
    <w:rsid w:val="00752D5F"/>
    <w:rsid w:val="007530F2"/>
    <w:rsid w:val="0075364C"/>
    <w:rsid w:val="00753701"/>
    <w:rsid w:val="00753D97"/>
    <w:rsid w:val="0075564D"/>
    <w:rsid w:val="0075599F"/>
    <w:rsid w:val="00756B88"/>
    <w:rsid w:val="00761EB5"/>
    <w:rsid w:val="0076354C"/>
    <w:rsid w:val="007639E7"/>
    <w:rsid w:val="00765051"/>
    <w:rsid w:val="0076568A"/>
    <w:rsid w:val="00765912"/>
    <w:rsid w:val="00766D51"/>
    <w:rsid w:val="0076701E"/>
    <w:rsid w:val="00767090"/>
    <w:rsid w:val="0076764E"/>
    <w:rsid w:val="00767A00"/>
    <w:rsid w:val="00767A3E"/>
    <w:rsid w:val="00767E74"/>
    <w:rsid w:val="00770395"/>
    <w:rsid w:val="00771E51"/>
    <w:rsid w:val="00772EB0"/>
    <w:rsid w:val="007739D0"/>
    <w:rsid w:val="00774D13"/>
    <w:rsid w:val="00775C5E"/>
    <w:rsid w:val="00775E33"/>
    <w:rsid w:val="0077640B"/>
    <w:rsid w:val="00776B4B"/>
    <w:rsid w:val="00776D20"/>
    <w:rsid w:val="00777B16"/>
    <w:rsid w:val="00780102"/>
    <w:rsid w:val="00781047"/>
    <w:rsid w:val="00781132"/>
    <w:rsid w:val="00781755"/>
    <w:rsid w:val="00781C18"/>
    <w:rsid w:val="00781D02"/>
    <w:rsid w:val="0078222A"/>
    <w:rsid w:val="00782446"/>
    <w:rsid w:val="00784903"/>
    <w:rsid w:val="00784B0B"/>
    <w:rsid w:val="00784F5F"/>
    <w:rsid w:val="00785356"/>
    <w:rsid w:val="00785EE5"/>
    <w:rsid w:val="007863FF"/>
    <w:rsid w:val="00786DD9"/>
    <w:rsid w:val="007870FC"/>
    <w:rsid w:val="00787E2F"/>
    <w:rsid w:val="00787F96"/>
    <w:rsid w:val="00791FB5"/>
    <w:rsid w:val="00792E9B"/>
    <w:rsid w:val="0079326A"/>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B38"/>
    <w:rsid w:val="007A3D01"/>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3EB"/>
    <w:rsid w:val="007B0A95"/>
    <w:rsid w:val="007B0B5C"/>
    <w:rsid w:val="007B0BF1"/>
    <w:rsid w:val="007B117C"/>
    <w:rsid w:val="007B2490"/>
    <w:rsid w:val="007B24C3"/>
    <w:rsid w:val="007B27F0"/>
    <w:rsid w:val="007B2E1A"/>
    <w:rsid w:val="007B35BA"/>
    <w:rsid w:val="007B3C67"/>
    <w:rsid w:val="007B3F2E"/>
    <w:rsid w:val="007B47DE"/>
    <w:rsid w:val="007B482E"/>
    <w:rsid w:val="007B578B"/>
    <w:rsid w:val="007B66A1"/>
    <w:rsid w:val="007B7317"/>
    <w:rsid w:val="007C0699"/>
    <w:rsid w:val="007C16C2"/>
    <w:rsid w:val="007C1F96"/>
    <w:rsid w:val="007C2376"/>
    <w:rsid w:val="007C2A8B"/>
    <w:rsid w:val="007C2C03"/>
    <w:rsid w:val="007C32F4"/>
    <w:rsid w:val="007C336C"/>
    <w:rsid w:val="007C337C"/>
    <w:rsid w:val="007C3C1E"/>
    <w:rsid w:val="007C497C"/>
    <w:rsid w:val="007C4A1C"/>
    <w:rsid w:val="007C5F09"/>
    <w:rsid w:val="007C6007"/>
    <w:rsid w:val="007C67A6"/>
    <w:rsid w:val="007C6812"/>
    <w:rsid w:val="007C6EED"/>
    <w:rsid w:val="007D02C0"/>
    <w:rsid w:val="007D0B84"/>
    <w:rsid w:val="007D0D74"/>
    <w:rsid w:val="007D0F28"/>
    <w:rsid w:val="007D154B"/>
    <w:rsid w:val="007D2B32"/>
    <w:rsid w:val="007D32AC"/>
    <w:rsid w:val="007D337F"/>
    <w:rsid w:val="007D45AA"/>
    <w:rsid w:val="007D4979"/>
    <w:rsid w:val="007D4C2D"/>
    <w:rsid w:val="007D4FF6"/>
    <w:rsid w:val="007D772F"/>
    <w:rsid w:val="007E19CA"/>
    <w:rsid w:val="007E20CD"/>
    <w:rsid w:val="007E2B86"/>
    <w:rsid w:val="007E2F74"/>
    <w:rsid w:val="007E3342"/>
    <w:rsid w:val="007E4465"/>
    <w:rsid w:val="007E4D81"/>
    <w:rsid w:val="007E5085"/>
    <w:rsid w:val="007E658A"/>
    <w:rsid w:val="007E74B3"/>
    <w:rsid w:val="007F0358"/>
    <w:rsid w:val="007F0F14"/>
    <w:rsid w:val="007F337F"/>
    <w:rsid w:val="007F3566"/>
    <w:rsid w:val="007F4321"/>
    <w:rsid w:val="007F43B0"/>
    <w:rsid w:val="007F43E5"/>
    <w:rsid w:val="007F5615"/>
    <w:rsid w:val="007F56F4"/>
    <w:rsid w:val="007F5C7E"/>
    <w:rsid w:val="007F6522"/>
    <w:rsid w:val="007F67B8"/>
    <w:rsid w:val="007F76E7"/>
    <w:rsid w:val="007F7D70"/>
    <w:rsid w:val="008006F1"/>
    <w:rsid w:val="008008CC"/>
    <w:rsid w:val="0080113E"/>
    <w:rsid w:val="0080157E"/>
    <w:rsid w:val="00801597"/>
    <w:rsid w:val="008017F2"/>
    <w:rsid w:val="00801928"/>
    <w:rsid w:val="00802199"/>
    <w:rsid w:val="00802272"/>
    <w:rsid w:val="00802FEC"/>
    <w:rsid w:val="008035A8"/>
    <w:rsid w:val="00803C64"/>
    <w:rsid w:val="00804518"/>
    <w:rsid w:val="0080501B"/>
    <w:rsid w:val="00805443"/>
    <w:rsid w:val="0080597D"/>
    <w:rsid w:val="00805A31"/>
    <w:rsid w:val="0081012A"/>
    <w:rsid w:val="00810308"/>
    <w:rsid w:val="008111E7"/>
    <w:rsid w:val="0081178C"/>
    <w:rsid w:val="00811DDC"/>
    <w:rsid w:val="0081222C"/>
    <w:rsid w:val="00812AC3"/>
    <w:rsid w:val="00812B3C"/>
    <w:rsid w:val="00812C7D"/>
    <w:rsid w:val="008132FD"/>
    <w:rsid w:val="0081471C"/>
    <w:rsid w:val="0081483B"/>
    <w:rsid w:val="00814900"/>
    <w:rsid w:val="0081538E"/>
    <w:rsid w:val="0081635F"/>
    <w:rsid w:val="008170D7"/>
    <w:rsid w:val="008171F1"/>
    <w:rsid w:val="008176AB"/>
    <w:rsid w:val="00817B9D"/>
    <w:rsid w:val="008200C4"/>
    <w:rsid w:val="008201F8"/>
    <w:rsid w:val="00820433"/>
    <w:rsid w:val="00820BAE"/>
    <w:rsid w:val="00820E1C"/>
    <w:rsid w:val="00821737"/>
    <w:rsid w:val="00821C2D"/>
    <w:rsid w:val="00822038"/>
    <w:rsid w:val="0082249F"/>
    <w:rsid w:val="008227FE"/>
    <w:rsid w:val="00822872"/>
    <w:rsid w:val="00822DB7"/>
    <w:rsid w:val="00822ED6"/>
    <w:rsid w:val="00823633"/>
    <w:rsid w:val="00823852"/>
    <w:rsid w:val="00823C17"/>
    <w:rsid w:val="0082464D"/>
    <w:rsid w:val="00825853"/>
    <w:rsid w:val="0082601E"/>
    <w:rsid w:val="00826BDC"/>
    <w:rsid w:val="008271C6"/>
    <w:rsid w:val="00827327"/>
    <w:rsid w:val="0082756A"/>
    <w:rsid w:val="00827E46"/>
    <w:rsid w:val="00831765"/>
    <w:rsid w:val="00832BB1"/>
    <w:rsid w:val="00833941"/>
    <w:rsid w:val="00834266"/>
    <w:rsid w:val="008371F1"/>
    <w:rsid w:val="0083754E"/>
    <w:rsid w:val="008408FD"/>
    <w:rsid w:val="00840A65"/>
    <w:rsid w:val="00840DBB"/>
    <w:rsid w:val="00841270"/>
    <w:rsid w:val="00841C33"/>
    <w:rsid w:val="00841FDE"/>
    <w:rsid w:val="00843202"/>
    <w:rsid w:val="008449F9"/>
    <w:rsid w:val="008449FC"/>
    <w:rsid w:val="00845C3A"/>
    <w:rsid w:val="00845D1B"/>
    <w:rsid w:val="00845E65"/>
    <w:rsid w:val="00846371"/>
    <w:rsid w:val="00847892"/>
    <w:rsid w:val="00850214"/>
    <w:rsid w:val="008504CF"/>
    <w:rsid w:val="00850761"/>
    <w:rsid w:val="00850E9D"/>
    <w:rsid w:val="00851541"/>
    <w:rsid w:val="008519A8"/>
    <w:rsid w:val="00851F92"/>
    <w:rsid w:val="008527BF"/>
    <w:rsid w:val="008529BE"/>
    <w:rsid w:val="008545D9"/>
    <w:rsid w:val="0085491A"/>
    <w:rsid w:val="00856281"/>
    <w:rsid w:val="008574E2"/>
    <w:rsid w:val="00857676"/>
    <w:rsid w:val="00857DD7"/>
    <w:rsid w:val="00860717"/>
    <w:rsid w:val="00860C2A"/>
    <w:rsid w:val="008617ED"/>
    <w:rsid w:val="008623C4"/>
    <w:rsid w:val="0086345E"/>
    <w:rsid w:val="008636F6"/>
    <w:rsid w:val="00863767"/>
    <w:rsid w:val="008641A2"/>
    <w:rsid w:val="0086497B"/>
    <w:rsid w:val="008650E3"/>
    <w:rsid w:val="00865DFA"/>
    <w:rsid w:val="0086636A"/>
    <w:rsid w:val="008667DF"/>
    <w:rsid w:val="0086788D"/>
    <w:rsid w:val="00867B60"/>
    <w:rsid w:val="008706CD"/>
    <w:rsid w:val="00870F1D"/>
    <w:rsid w:val="0087159B"/>
    <w:rsid w:val="008716CF"/>
    <w:rsid w:val="00871DB2"/>
    <w:rsid w:val="00872663"/>
    <w:rsid w:val="0087276C"/>
    <w:rsid w:val="008727E7"/>
    <w:rsid w:val="008732DF"/>
    <w:rsid w:val="0087366F"/>
    <w:rsid w:val="00873731"/>
    <w:rsid w:val="00873821"/>
    <w:rsid w:val="00873F8E"/>
    <w:rsid w:val="008742B6"/>
    <w:rsid w:val="00874E69"/>
    <w:rsid w:val="0087538B"/>
    <w:rsid w:val="0087605E"/>
    <w:rsid w:val="0087655C"/>
    <w:rsid w:val="00876862"/>
    <w:rsid w:val="008772AC"/>
    <w:rsid w:val="008775C8"/>
    <w:rsid w:val="00877BD9"/>
    <w:rsid w:val="008809F6"/>
    <w:rsid w:val="0088191B"/>
    <w:rsid w:val="008823AE"/>
    <w:rsid w:val="0088247D"/>
    <w:rsid w:val="00883FF5"/>
    <w:rsid w:val="00884245"/>
    <w:rsid w:val="00884550"/>
    <w:rsid w:val="00890BE0"/>
    <w:rsid w:val="00891145"/>
    <w:rsid w:val="00891283"/>
    <w:rsid w:val="0089154A"/>
    <w:rsid w:val="00891A65"/>
    <w:rsid w:val="0089389B"/>
    <w:rsid w:val="00893C04"/>
    <w:rsid w:val="00894A64"/>
    <w:rsid w:val="0089674F"/>
    <w:rsid w:val="008970FD"/>
    <w:rsid w:val="00897FB7"/>
    <w:rsid w:val="008A1027"/>
    <w:rsid w:val="008A2A2E"/>
    <w:rsid w:val="008A2AEE"/>
    <w:rsid w:val="008A2C89"/>
    <w:rsid w:val="008A2D98"/>
    <w:rsid w:val="008A51C2"/>
    <w:rsid w:val="008A6372"/>
    <w:rsid w:val="008A7581"/>
    <w:rsid w:val="008B051E"/>
    <w:rsid w:val="008B06A3"/>
    <w:rsid w:val="008B06EF"/>
    <w:rsid w:val="008B0812"/>
    <w:rsid w:val="008B1931"/>
    <w:rsid w:val="008B1B85"/>
    <w:rsid w:val="008B375E"/>
    <w:rsid w:val="008B3DC9"/>
    <w:rsid w:val="008B63F3"/>
    <w:rsid w:val="008B6443"/>
    <w:rsid w:val="008B656D"/>
    <w:rsid w:val="008B7B4F"/>
    <w:rsid w:val="008C1B22"/>
    <w:rsid w:val="008C1C0F"/>
    <w:rsid w:val="008C29A4"/>
    <w:rsid w:val="008C2A34"/>
    <w:rsid w:val="008C3673"/>
    <w:rsid w:val="008C3A99"/>
    <w:rsid w:val="008C42FF"/>
    <w:rsid w:val="008C43EA"/>
    <w:rsid w:val="008C5017"/>
    <w:rsid w:val="008C50EC"/>
    <w:rsid w:val="008C57E9"/>
    <w:rsid w:val="008C58AB"/>
    <w:rsid w:val="008C5B6F"/>
    <w:rsid w:val="008C7362"/>
    <w:rsid w:val="008C777A"/>
    <w:rsid w:val="008C7F98"/>
    <w:rsid w:val="008D101E"/>
    <w:rsid w:val="008D1BAC"/>
    <w:rsid w:val="008D3601"/>
    <w:rsid w:val="008D3F04"/>
    <w:rsid w:val="008D4DFE"/>
    <w:rsid w:val="008D5017"/>
    <w:rsid w:val="008D5DFF"/>
    <w:rsid w:val="008D623D"/>
    <w:rsid w:val="008D6A40"/>
    <w:rsid w:val="008D6E72"/>
    <w:rsid w:val="008D78E6"/>
    <w:rsid w:val="008E09B7"/>
    <w:rsid w:val="008E0D13"/>
    <w:rsid w:val="008E0E23"/>
    <w:rsid w:val="008E17CF"/>
    <w:rsid w:val="008E1D17"/>
    <w:rsid w:val="008E1DB3"/>
    <w:rsid w:val="008E1DBB"/>
    <w:rsid w:val="008E45F0"/>
    <w:rsid w:val="008E4A48"/>
    <w:rsid w:val="008E535C"/>
    <w:rsid w:val="008E6DE5"/>
    <w:rsid w:val="008E743E"/>
    <w:rsid w:val="008E7799"/>
    <w:rsid w:val="008E7BCA"/>
    <w:rsid w:val="008F01C0"/>
    <w:rsid w:val="008F0823"/>
    <w:rsid w:val="008F09D1"/>
    <w:rsid w:val="008F1984"/>
    <w:rsid w:val="008F2D11"/>
    <w:rsid w:val="008F36CD"/>
    <w:rsid w:val="008F36E1"/>
    <w:rsid w:val="008F4427"/>
    <w:rsid w:val="008F459B"/>
    <w:rsid w:val="008F5A11"/>
    <w:rsid w:val="008F6493"/>
    <w:rsid w:val="008F65E2"/>
    <w:rsid w:val="008F6CDF"/>
    <w:rsid w:val="008F6E54"/>
    <w:rsid w:val="008F781E"/>
    <w:rsid w:val="008F795E"/>
    <w:rsid w:val="00900575"/>
    <w:rsid w:val="00900872"/>
    <w:rsid w:val="00901934"/>
    <w:rsid w:val="00901BB3"/>
    <w:rsid w:val="00901BBB"/>
    <w:rsid w:val="009022A2"/>
    <w:rsid w:val="00902B5A"/>
    <w:rsid w:val="0090359F"/>
    <w:rsid w:val="0090366F"/>
    <w:rsid w:val="00903C40"/>
    <w:rsid w:val="009059C1"/>
    <w:rsid w:val="00907AD9"/>
    <w:rsid w:val="009106B8"/>
    <w:rsid w:val="00911E1A"/>
    <w:rsid w:val="00912342"/>
    <w:rsid w:val="00912686"/>
    <w:rsid w:val="00913D66"/>
    <w:rsid w:val="00913E1F"/>
    <w:rsid w:val="0091494E"/>
    <w:rsid w:val="009149E0"/>
    <w:rsid w:val="009156C1"/>
    <w:rsid w:val="00915B12"/>
    <w:rsid w:val="0091607B"/>
    <w:rsid w:val="009163D2"/>
    <w:rsid w:val="00916B40"/>
    <w:rsid w:val="00916F11"/>
    <w:rsid w:val="00916FD7"/>
    <w:rsid w:val="00917AF4"/>
    <w:rsid w:val="00917C2C"/>
    <w:rsid w:val="00917C3A"/>
    <w:rsid w:val="00917E69"/>
    <w:rsid w:val="0092055D"/>
    <w:rsid w:val="009214C0"/>
    <w:rsid w:val="009224B9"/>
    <w:rsid w:val="00922605"/>
    <w:rsid w:val="0092272E"/>
    <w:rsid w:val="00922737"/>
    <w:rsid w:val="00922AC8"/>
    <w:rsid w:val="00924824"/>
    <w:rsid w:val="00925240"/>
    <w:rsid w:val="00925831"/>
    <w:rsid w:val="00925BE1"/>
    <w:rsid w:val="009260C5"/>
    <w:rsid w:val="00926880"/>
    <w:rsid w:val="00926997"/>
    <w:rsid w:val="00927408"/>
    <w:rsid w:val="0092770C"/>
    <w:rsid w:val="00927C06"/>
    <w:rsid w:val="00927D74"/>
    <w:rsid w:val="00931FAD"/>
    <w:rsid w:val="0093295D"/>
    <w:rsid w:val="00932C53"/>
    <w:rsid w:val="00932F45"/>
    <w:rsid w:val="0093367F"/>
    <w:rsid w:val="00933BB3"/>
    <w:rsid w:val="00933F00"/>
    <w:rsid w:val="00933F9E"/>
    <w:rsid w:val="0093406A"/>
    <w:rsid w:val="00934156"/>
    <w:rsid w:val="009351E7"/>
    <w:rsid w:val="00935ABB"/>
    <w:rsid w:val="009376C3"/>
    <w:rsid w:val="00940069"/>
    <w:rsid w:val="00940EE8"/>
    <w:rsid w:val="009413D3"/>
    <w:rsid w:val="00941A48"/>
    <w:rsid w:val="00941DA2"/>
    <w:rsid w:val="00942A86"/>
    <w:rsid w:val="00942B71"/>
    <w:rsid w:val="00943BCA"/>
    <w:rsid w:val="009446D4"/>
    <w:rsid w:val="009449B8"/>
    <w:rsid w:val="00944FC7"/>
    <w:rsid w:val="009458D4"/>
    <w:rsid w:val="00945D67"/>
    <w:rsid w:val="00947BDA"/>
    <w:rsid w:val="009501C9"/>
    <w:rsid w:val="00950D2E"/>
    <w:rsid w:val="00950FD9"/>
    <w:rsid w:val="0095115A"/>
    <w:rsid w:val="0095123E"/>
    <w:rsid w:val="00952D4C"/>
    <w:rsid w:val="009545E0"/>
    <w:rsid w:val="009547A7"/>
    <w:rsid w:val="00954C6B"/>
    <w:rsid w:val="00955500"/>
    <w:rsid w:val="00955526"/>
    <w:rsid w:val="00955D20"/>
    <w:rsid w:val="00956047"/>
    <w:rsid w:val="009563C4"/>
    <w:rsid w:val="009563D1"/>
    <w:rsid w:val="00957693"/>
    <w:rsid w:val="00957EFF"/>
    <w:rsid w:val="009613DB"/>
    <w:rsid w:val="00961F88"/>
    <w:rsid w:val="00962EBE"/>
    <w:rsid w:val="00965053"/>
    <w:rsid w:val="009652E6"/>
    <w:rsid w:val="00965956"/>
    <w:rsid w:val="00966A50"/>
    <w:rsid w:val="00970B45"/>
    <w:rsid w:val="00970F26"/>
    <w:rsid w:val="00971282"/>
    <w:rsid w:val="00971287"/>
    <w:rsid w:val="00971526"/>
    <w:rsid w:val="00971CCD"/>
    <w:rsid w:val="00972D42"/>
    <w:rsid w:val="00972E16"/>
    <w:rsid w:val="00972FB2"/>
    <w:rsid w:val="00973A46"/>
    <w:rsid w:val="00973C35"/>
    <w:rsid w:val="0097551E"/>
    <w:rsid w:val="009758D6"/>
    <w:rsid w:val="009800CC"/>
    <w:rsid w:val="00980DB7"/>
    <w:rsid w:val="009826EB"/>
    <w:rsid w:val="0098343A"/>
    <w:rsid w:val="00983BF5"/>
    <w:rsid w:val="00983C0C"/>
    <w:rsid w:val="00983FE2"/>
    <w:rsid w:val="009840C0"/>
    <w:rsid w:val="00984D03"/>
    <w:rsid w:val="0098619C"/>
    <w:rsid w:val="0098645D"/>
    <w:rsid w:val="0098670F"/>
    <w:rsid w:val="0098695D"/>
    <w:rsid w:val="0098745B"/>
    <w:rsid w:val="009904ED"/>
    <w:rsid w:val="00990E1B"/>
    <w:rsid w:val="009916D6"/>
    <w:rsid w:val="00992CBA"/>
    <w:rsid w:val="00993AED"/>
    <w:rsid w:val="00993C61"/>
    <w:rsid w:val="00993CD0"/>
    <w:rsid w:val="0099400A"/>
    <w:rsid w:val="0099433C"/>
    <w:rsid w:val="00994BA1"/>
    <w:rsid w:val="009950D2"/>
    <w:rsid w:val="00996EE5"/>
    <w:rsid w:val="009A01C6"/>
    <w:rsid w:val="009A06A7"/>
    <w:rsid w:val="009A1F5A"/>
    <w:rsid w:val="009A2392"/>
    <w:rsid w:val="009A4197"/>
    <w:rsid w:val="009A4CB5"/>
    <w:rsid w:val="009A4D84"/>
    <w:rsid w:val="009A56DB"/>
    <w:rsid w:val="009A5926"/>
    <w:rsid w:val="009A669B"/>
    <w:rsid w:val="009B079C"/>
    <w:rsid w:val="009B12B4"/>
    <w:rsid w:val="009B1A87"/>
    <w:rsid w:val="009B2034"/>
    <w:rsid w:val="009B2611"/>
    <w:rsid w:val="009B2B77"/>
    <w:rsid w:val="009B3346"/>
    <w:rsid w:val="009B347E"/>
    <w:rsid w:val="009B3A97"/>
    <w:rsid w:val="009B4D93"/>
    <w:rsid w:val="009B5472"/>
    <w:rsid w:val="009B5A59"/>
    <w:rsid w:val="009B6373"/>
    <w:rsid w:val="009B6A28"/>
    <w:rsid w:val="009B7C2A"/>
    <w:rsid w:val="009B7D90"/>
    <w:rsid w:val="009B7DE9"/>
    <w:rsid w:val="009B7EEA"/>
    <w:rsid w:val="009C07B7"/>
    <w:rsid w:val="009C1B03"/>
    <w:rsid w:val="009C1FFE"/>
    <w:rsid w:val="009C25E2"/>
    <w:rsid w:val="009C28FD"/>
    <w:rsid w:val="009C3475"/>
    <w:rsid w:val="009C401D"/>
    <w:rsid w:val="009C4885"/>
    <w:rsid w:val="009C5606"/>
    <w:rsid w:val="009C7611"/>
    <w:rsid w:val="009C77B3"/>
    <w:rsid w:val="009C7C4A"/>
    <w:rsid w:val="009D0EC7"/>
    <w:rsid w:val="009D0EF9"/>
    <w:rsid w:val="009D1156"/>
    <w:rsid w:val="009D1DF3"/>
    <w:rsid w:val="009D2467"/>
    <w:rsid w:val="009D2C18"/>
    <w:rsid w:val="009D303F"/>
    <w:rsid w:val="009D3D82"/>
    <w:rsid w:val="009D48A9"/>
    <w:rsid w:val="009D53D8"/>
    <w:rsid w:val="009D5BB2"/>
    <w:rsid w:val="009D6245"/>
    <w:rsid w:val="009D6401"/>
    <w:rsid w:val="009D7013"/>
    <w:rsid w:val="009D78A3"/>
    <w:rsid w:val="009D7B42"/>
    <w:rsid w:val="009E13C9"/>
    <w:rsid w:val="009E1B1E"/>
    <w:rsid w:val="009E1BAA"/>
    <w:rsid w:val="009E3F2C"/>
    <w:rsid w:val="009E4619"/>
    <w:rsid w:val="009E4B71"/>
    <w:rsid w:val="009E52A5"/>
    <w:rsid w:val="009E66F0"/>
    <w:rsid w:val="009E6D9E"/>
    <w:rsid w:val="009E7DD1"/>
    <w:rsid w:val="009E7E36"/>
    <w:rsid w:val="009F042F"/>
    <w:rsid w:val="009F0A7D"/>
    <w:rsid w:val="009F0BA8"/>
    <w:rsid w:val="009F10F7"/>
    <w:rsid w:val="009F163C"/>
    <w:rsid w:val="009F1B36"/>
    <w:rsid w:val="009F20E5"/>
    <w:rsid w:val="009F2373"/>
    <w:rsid w:val="009F2790"/>
    <w:rsid w:val="009F2C79"/>
    <w:rsid w:val="009F2D3D"/>
    <w:rsid w:val="009F33D8"/>
    <w:rsid w:val="009F38DB"/>
    <w:rsid w:val="009F395C"/>
    <w:rsid w:val="009F3AD8"/>
    <w:rsid w:val="009F4113"/>
    <w:rsid w:val="009F424E"/>
    <w:rsid w:val="009F4454"/>
    <w:rsid w:val="009F5D88"/>
    <w:rsid w:val="009F5FF5"/>
    <w:rsid w:val="009F7C5D"/>
    <w:rsid w:val="00A0021A"/>
    <w:rsid w:val="00A005C0"/>
    <w:rsid w:val="00A00687"/>
    <w:rsid w:val="00A00F21"/>
    <w:rsid w:val="00A02C89"/>
    <w:rsid w:val="00A02EA0"/>
    <w:rsid w:val="00A02FC5"/>
    <w:rsid w:val="00A0396C"/>
    <w:rsid w:val="00A03B19"/>
    <w:rsid w:val="00A04B07"/>
    <w:rsid w:val="00A05202"/>
    <w:rsid w:val="00A06C18"/>
    <w:rsid w:val="00A07F99"/>
    <w:rsid w:val="00A1054E"/>
    <w:rsid w:val="00A11E8D"/>
    <w:rsid w:val="00A120F0"/>
    <w:rsid w:val="00A12388"/>
    <w:rsid w:val="00A12710"/>
    <w:rsid w:val="00A131CF"/>
    <w:rsid w:val="00A1335A"/>
    <w:rsid w:val="00A13DE6"/>
    <w:rsid w:val="00A14721"/>
    <w:rsid w:val="00A15838"/>
    <w:rsid w:val="00A15DD3"/>
    <w:rsid w:val="00A16A2C"/>
    <w:rsid w:val="00A16FD0"/>
    <w:rsid w:val="00A17491"/>
    <w:rsid w:val="00A17725"/>
    <w:rsid w:val="00A177F7"/>
    <w:rsid w:val="00A17E04"/>
    <w:rsid w:val="00A2011A"/>
    <w:rsid w:val="00A207A4"/>
    <w:rsid w:val="00A20D12"/>
    <w:rsid w:val="00A21E2A"/>
    <w:rsid w:val="00A21F31"/>
    <w:rsid w:val="00A22DD5"/>
    <w:rsid w:val="00A240AE"/>
    <w:rsid w:val="00A24B83"/>
    <w:rsid w:val="00A261F5"/>
    <w:rsid w:val="00A272B7"/>
    <w:rsid w:val="00A27930"/>
    <w:rsid w:val="00A30248"/>
    <w:rsid w:val="00A30B54"/>
    <w:rsid w:val="00A30C99"/>
    <w:rsid w:val="00A30F24"/>
    <w:rsid w:val="00A31D2F"/>
    <w:rsid w:val="00A32118"/>
    <w:rsid w:val="00A321ED"/>
    <w:rsid w:val="00A336C0"/>
    <w:rsid w:val="00A33AE7"/>
    <w:rsid w:val="00A349AD"/>
    <w:rsid w:val="00A352B0"/>
    <w:rsid w:val="00A354DA"/>
    <w:rsid w:val="00A35D91"/>
    <w:rsid w:val="00A36045"/>
    <w:rsid w:val="00A36307"/>
    <w:rsid w:val="00A36456"/>
    <w:rsid w:val="00A36C2A"/>
    <w:rsid w:val="00A36FDA"/>
    <w:rsid w:val="00A40223"/>
    <w:rsid w:val="00A403A9"/>
    <w:rsid w:val="00A40976"/>
    <w:rsid w:val="00A40BAB"/>
    <w:rsid w:val="00A40D79"/>
    <w:rsid w:val="00A416D6"/>
    <w:rsid w:val="00A42232"/>
    <w:rsid w:val="00A42482"/>
    <w:rsid w:val="00A435BC"/>
    <w:rsid w:val="00A43726"/>
    <w:rsid w:val="00A438E3"/>
    <w:rsid w:val="00A4394F"/>
    <w:rsid w:val="00A4487D"/>
    <w:rsid w:val="00A449CD"/>
    <w:rsid w:val="00A4505F"/>
    <w:rsid w:val="00A451EE"/>
    <w:rsid w:val="00A45291"/>
    <w:rsid w:val="00A452F0"/>
    <w:rsid w:val="00A45801"/>
    <w:rsid w:val="00A46EAB"/>
    <w:rsid w:val="00A46FF8"/>
    <w:rsid w:val="00A473D9"/>
    <w:rsid w:val="00A479DB"/>
    <w:rsid w:val="00A50D15"/>
    <w:rsid w:val="00A50F31"/>
    <w:rsid w:val="00A51808"/>
    <w:rsid w:val="00A519AD"/>
    <w:rsid w:val="00A51A0E"/>
    <w:rsid w:val="00A51C55"/>
    <w:rsid w:val="00A51D43"/>
    <w:rsid w:val="00A52597"/>
    <w:rsid w:val="00A52B2D"/>
    <w:rsid w:val="00A530E5"/>
    <w:rsid w:val="00A536EE"/>
    <w:rsid w:val="00A53E71"/>
    <w:rsid w:val="00A5421E"/>
    <w:rsid w:val="00A542DD"/>
    <w:rsid w:val="00A54C91"/>
    <w:rsid w:val="00A5545A"/>
    <w:rsid w:val="00A556C0"/>
    <w:rsid w:val="00A55771"/>
    <w:rsid w:val="00A559D0"/>
    <w:rsid w:val="00A55AC7"/>
    <w:rsid w:val="00A55E42"/>
    <w:rsid w:val="00A56387"/>
    <w:rsid w:val="00A56829"/>
    <w:rsid w:val="00A56C3D"/>
    <w:rsid w:val="00A56F4D"/>
    <w:rsid w:val="00A57A96"/>
    <w:rsid w:val="00A57B64"/>
    <w:rsid w:val="00A57EFE"/>
    <w:rsid w:val="00A602FA"/>
    <w:rsid w:val="00A6156D"/>
    <w:rsid w:val="00A6252F"/>
    <w:rsid w:val="00A627E9"/>
    <w:rsid w:val="00A63981"/>
    <w:rsid w:val="00A63B11"/>
    <w:rsid w:val="00A64956"/>
    <w:rsid w:val="00A64D0D"/>
    <w:rsid w:val="00A65A5E"/>
    <w:rsid w:val="00A661AB"/>
    <w:rsid w:val="00A6770D"/>
    <w:rsid w:val="00A704AB"/>
    <w:rsid w:val="00A70F7B"/>
    <w:rsid w:val="00A71134"/>
    <w:rsid w:val="00A72CA3"/>
    <w:rsid w:val="00A73D54"/>
    <w:rsid w:val="00A74105"/>
    <w:rsid w:val="00A746F2"/>
    <w:rsid w:val="00A74804"/>
    <w:rsid w:val="00A753F7"/>
    <w:rsid w:val="00A7558A"/>
    <w:rsid w:val="00A75D7D"/>
    <w:rsid w:val="00A75E05"/>
    <w:rsid w:val="00A75E48"/>
    <w:rsid w:val="00A767D9"/>
    <w:rsid w:val="00A771FD"/>
    <w:rsid w:val="00A779BC"/>
    <w:rsid w:val="00A77D30"/>
    <w:rsid w:val="00A80290"/>
    <w:rsid w:val="00A8036D"/>
    <w:rsid w:val="00A80641"/>
    <w:rsid w:val="00A807B5"/>
    <w:rsid w:val="00A81113"/>
    <w:rsid w:val="00A81796"/>
    <w:rsid w:val="00A82331"/>
    <w:rsid w:val="00A82B11"/>
    <w:rsid w:val="00A832EC"/>
    <w:rsid w:val="00A839FD"/>
    <w:rsid w:val="00A83B16"/>
    <w:rsid w:val="00A853FA"/>
    <w:rsid w:val="00A854CB"/>
    <w:rsid w:val="00A858BF"/>
    <w:rsid w:val="00A85EA5"/>
    <w:rsid w:val="00A876D4"/>
    <w:rsid w:val="00A90503"/>
    <w:rsid w:val="00A90B35"/>
    <w:rsid w:val="00A92871"/>
    <w:rsid w:val="00A93788"/>
    <w:rsid w:val="00A94539"/>
    <w:rsid w:val="00A952E8"/>
    <w:rsid w:val="00A95726"/>
    <w:rsid w:val="00A96085"/>
    <w:rsid w:val="00A96813"/>
    <w:rsid w:val="00A968B2"/>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320A"/>
    <w:rsid w:val="00AB3F0A"/>
    <w:rsid w:val="00AB4413"/>
    <w:rsid w:val="00AB45AB"/>
    <w:rsid w:val="00AB4D8D"/>
    <w:rsid w:val="00AB50BF"/>
    <w:rsid w:val="00AB5A28"/>
    <w:rsid w:val="00AB6EE8"/>
    <w:rsid w:val="00AB77EE"/>
    <w:rsid w:val="00AB799B"/>
    <w:rsid w:val="00AB7BF2"/>
    <w:rsid w:val="00AC0511"/>
    <w:rsid w:val="00AC0CC9"/>
    <w:rsid w:val="00AC16D9"/>
    <w:rsid w:val="00AC174C"/>
    <w:rsid w:val="00AC23CC"/>
    <w:rsid w:val="00AC2ED5"/>
    <w:rsid w:val="00AC3296"/>
    <w:rsid w:val="00AC42D6"/>
    <w:rsid w:val="00AC4540"/>
    <w:rsid w:val="00AC480A"/>
    <w:rsid w:val="00AC4F32"/>
    <w:rsid w:val="00AC5317"/>
    <w:rsid w:val="00AC564C"/>
    <w:rsid w:val="00AC593D"/>
    <w:rsid w:val="00AC5B8E"/>
    <w:rsid w:val="00AC5C94"/>
    <w:rsid w:val="00AC5E5C"/>
    <w:rsid w:val="00AC5FCE"/>
    <w:rsid w:val="00AC6B5D"/>
    <w:rsid w:val="00AC6E74"/>
    <w:rsid w:val="00AC752F"/>
    <w:rsid w:val="00AC7D68"/>
    <w:rsid w:val="00AD051A"/>
    <w:rsid w:val="00AD0B82"/>
    <w:rsid w:val="00AD1F1B"/>
    <w:rsid w:val="00AD1F59"/>
    <w:rsid w:val="00AD2746"/>
    <w:rsid w:val="00AD2789"/>
    <w:rsid w:val="00AD2D0A"/>
    <w:rsid w:val="00AD319D"/>
    <w:rsid w:val="00AD3A10"/>
    <w:rsid w:val="00AD4F74"/>
    <w:rsid w:val="00AD76AB"/>
    <w:rsid w:val="00AE0504"/>
    <w:rsid w:val="00AE09A5"/>
    <w:rsid w:val="00AE09D0"/>
    <w:rsid w:val="00AE1520"/>
    <w:rsid w:val="00AE23C0"/>
    <w:rsid w:val="00AE2426"/>
    <w:rsid w:val="00AE2B15"/>
    <w:rsid w:val="00AE4F30"/>
    <w:rsid w:val="00AE516B"/>
    <w:rsid w:val="00AE549E"/>
    <w:rsid w:val="00AE59DC"/>
    <w:rsid w:val="00AE5D64"/>
    <w:rsid w:val="00AE6169"/>
    <w:rsid w:val="00AE73F4"/>
    <w:rsid w:val="00AE79A3"/>
    <w:rsid w:val="00AF0D21"/>
    <w:rsid w:val="00AF12B1"/>
    <w:rsid w:val="00AF1827"/>
    <w:rsid w:val="00AF1C1C"/>
    <w:rsid w:val="00AF25E2"/>
    <w:rsid w:val="00AF2A42"/>
    <w:rsid w:val="00AF3DBA"/>
    <w:rsid w:val="00AF4FA0"/>
    <w:rsid w:val="00AF500E"/>
    <w:rsid w:val="00AF56A0"/>
    <w:rsid w:val="00AF7620"/>
    <w:rsid w:val="00B0017F"/>
    <w:rsid w:val="00B003D0"/>
    <w:rsid w:val="00B00A00"/>
    <w:rsid w:val="00B012A2"/>
    <w:rsid w:val="00B0153A"/>
    <w:rsid w:val="00B020BA"/>
    <w:rsid w:val="00B023FF"/>
    <w:rsid w:val="00B02451"/>
    <w:rsid w:val="00B03029"/>
    <w:rsid w:val="00B03497"/>
    <w:rsid w:val="00B039C3"/>
    <w:rsid w:val="00B054C8"/>
    <w:rsid w:val="00B06F72"/>
    <w:rsid w:val="00B112C3"/>
    <w:rsid w:val="00B1187F"/>
    <w:rsid w:val="00B12A4C"/>
    <w:rsid w:val="00B133B6"/>
    <w:rsid w:val="00B13A49"/>
    <w:rsid w:val="00B146D1"/>
    <w:rsid w:val="00B14B5A"/>
    <w:rsid w:val="00B15BA5"/>
    <w:rsid w:val="00B1638E"/>
    <w:rsid w:val="00B16BB5"/>
    <w:rsid w:val="00B16E91"/>
    <w:rsid w:val="00B172A0"/>
    <w:rsid w:val="00B17BEE"/>
    <w:rsid w:val="00B17D41"/>
    <w:rsid w:val="00B17EF8"/>
    <w:rsid w:val="00B17F7F"/>
    <w:rsid w:val="00B17FC3"/>
    <w:rsid w:val="00B20168"/>
    <w:rsid w:val="00B203AD"/>
    <w:rsid w:val="00B205C3"/>
    <w:rsid w:val="00B20A5D"/>
    <w:rsid w:val="00B214E8"/>
    <w:rsid w:val="00B21E7B"/>
    <w:rsid w:val="00B21F40"/>
    <w:rsid w:val="00B220AA"/>
    <w:rsid w:val="00B221E9"/>
    <w:rsid w:val="00B22864"/>
    <w:rsid w:val="00B22B69"/>
    <w:rsid w:val="00B22FBC"/>
    <w:rsid w:val="00B2315D"/>
    <w:rsid w:val="00B23709"/>
    <w:rsid w:val="00B23F72"/>
    <w:rsid w:val="00B2487E"/>
    <w:rsid w:val="00B24CCF"/>
    <w:rsid w:val="00B25380"/>
    <w:rsid w:val="00B2551B"/>
    <w:rsid w:val="00B25E41"/>
    <w:rsid w:val="00B2686A"/>
    <w:rsid w:val="00B26D69"/>
    <w:rsid w:val="00B26E7F"/>
    <w:rsid w:val="00B26F25"/>
    <w:rsid w:val="00B2725D"/>
    <w:rsid w:val="00B27843"/>
    <w:rsid w:val="00B30E91"/>
    <w:rsid w:val="00B31122"/>
    <w:rsid w:val="00B31D6B"/>
    <w:rsid w:val="00B31EE1"/>
    <w:rsid w:val="00B32DFE"/>
    <w:rsid w:val="00B32EF6"/>
    <w:rsid w:val="00B33DCD"/>
    <w:rsid w:val="00B340AA"/>
    <w:rsid w:val="00B34306"/>
    <w:rsid w:val="00B35494"/>
    <w:rsid w:val="00B36041"/>
    <w:rsid w:val="00B365E4"/>
    <w:rsid w:val="00B366A5"/>
    <w:rsid w:val="00B36BFD"/>
    <w:rsid w:val="00B377D5"/>
    <w:rsid w:val="00B37826"/>
    <w:rsid w:val="00B378FC"/>
    <w:rsid w:val="00B37EA0"/>
    <w:rsid w:val="00B40091"/>
    <w:rsid w:val="00B4024D"/>
    <w:rsid w:val="00B40382"/>
    <w:rsid w:val="00B40468"/>
    <w:rsid w:val="00B4055C"/>
    <w:rsid w:val="00B410F9"/>
    <w:rsid w:val="00B41776"/>
    <w:rsid w:val="00B423D7"/>
    <w:rsid w:val="00B42545"/>
    <w:rsid w:val="00B42592"/>
    <w:rsid w:val="00B43A5A"/>
    <w:rsid w:val="00B441F0"/>
    <w:rsid w:val="00B44855"/>
    <w:rsid w:val="00B44E67"/>
    <w:rsid w:val="00B45353"/>
    <w:rsid w:val="00B45FD3"/>
    <w:rsid w:val="00B46435"/>
    <w:rsid w:val="00B4645E"/>
    <w:rsid w:val="00B4690E"/>
    <w:rsid w:val="00B479E0"/>
    <w:rsid w:val="00B501C1"/>
    <w:rsid w:val="00B50729"/>
    <w:rsid w:val="00B50AF8"/>
    <w:rsid w:val="00B50C92"/>
    <w:rsid w:val="00B5162A"/>
    <w:rsid w:val="00B51DA6"/>
    <w:rsid w:val="00B5208F"/>
    <w:rsid w:val="00B52623"/>
    <w:rsid w:val="00B526DD"/>
    <w:rsid w:val="00B52B19"/>
    <w:rsid w:val="00B52EC6"/>
    <w:rsid w:val="00B52ED8"/>
    <w:rsid w:val="00B534A7"/>
    <w:rsid w:val="00B53714"/>
    <w:rsid w:val="00B54A16"/>
    <w:rsid w:val="00B553CD"/>
    <w:rsid w:val="00B55A77"/>
    <w:rsid w:val="00B56069"/>
    <w:rsid w:val="00B56F0E"/>
    <w:rsid w:val="00B56FBC"/>
    <w:rsid w:val="00B572B2"/>
    <w:rsid w:val="00B578EE"/>
    <w:rsid w:val="00B60743"/>
    <w:rsid w:val="00B60A01"/>
    <w:rsid w:val="00B61183"/>
    <w:rsid w:val="00B61F37"/>
    <w:rsid w:val="00B62EF9"/>
    <w:rsid w:val="00B6355F"/>
    <w:rsid w:val="00B63927"/>
    <w:rsid w:val="00B63D10"/>
    <w:rsid w:val="00B651B1"/>
    <w:rsid w:val="00B65BD3"/>
    <w:rsid w:val="00B65DA8"/>
    <w:rsid w:val="00B65F27"/>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4CB"/>
    <w:rsid w:val="00B75594"/>
    <w:rsid w:val="00B75FE4"/>
    <w:rsid w:val="00B760EC"/>
    <w:rsid w:val="00B76354"/>
    <w:rsid w:val="00B763A5"/>
    <w:rsid w:val="00B771DC"/>
    <w:rsid w:val="00B80CF8"/>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C77"/>
    <w:rsid w:val="00B92B10"/>
    <w:rsid w:val="00B94111"/>
    <w:rsid w:val="00B9495D"/>
    <w:rsid w:val="00B94A72"/>
    <w:rsid w:val="00B94BCC"/>
    <w:rsid w:val="00B94D0D"/>
    <w:rsid w:val="00B94DB8"/>
    <w:rsid w:val="00B9503C"/>
    <w:rsid w:val="00B957DE"/>
    <w:rsid w:val="00B95CB9"/>
    <w:rsid w:val="00B96F96"/>
    <w:rsid w:val="00B97C97"/>
    <w:rsid w:val="00BA010C"/>
    <w:rsid w:val="00BA01B3"/>
    <w:rsid w:val="00BA02B3"/>
    <w:rsid w:val="00BA07CF"/>
    <w:rsid w:val="00BA0BAD"/>
    <w:rsid w:val="00BA0C6A"/>
    <w:rsid w:val="00BA0FCB"/>
    <w:rsid w:val="00BA19F7"/>
    <w:rsid w:val="00BA20E8"/>
    <w:rsid w:val="00BA26F5"/>
    <w:rsid w:val="00BA2B68"/>
    <w:rsid w:val="00BA3AE0"/>
    <w:rsid w:val="00BA435F"/>
    <w:rsid w:val="00BA5971"/>
    <w:rsid w:val="00BA625C"/>
    <w:rsid w:val="00BB026A"/>
    <w:rsid w:val="00BB0BC8"/>
    <w:rsid w:val="00BB0D68"/>
    <w:rsid w:val="00BB147B"/>
    <w:rsid w:val="00BB1ECE"/>
    <w:rsid w:val="00BB1FC6"/>
    <w:rsid w:val="00BB293A"/>
    <w:rsid w:val="00BB34AC"/>
    <w:rsid w:val="00BB34CB"/>
    <w:rsid w:val="00BB5148"/>
    <w:rsid w:val="00BB58D7"/>
    <w:rsid w:val="00BB5A97"/>
    <w:rsid w:val="00BB62A8"/>
    <w:rsid w:val="00BB6F2C"/>
    <w:rsid w:val="00BB7E3C"/>
    <w:rsid w:val="00BC047A"/>
    <w:rsid w:val="00BC04F6"/>
    <w:rsid w:val="00BC066B"/>
    <w:rsid w:val="00BC0B62"/>
    <w:rsid w:val="00BC0C68"/>
    <w:rsid w:val="00BC1D6F"/>
    <w:rsid w:val="00BC2CEC"/>
    <w:rsid w:val="00BC2DD4"/>
    <w:rsid w:val="00BC36A9"/>
    <w:rsid w:val="00BC3978"/>
    <w:rsid w:val="00BC3D13"/>
    <w:rsid w:val="00BC42B1"/>
    <w:rsid w:val="00BC4E1F"/>
    <w:rsid w:val="00BC5097"/>
    <w:rsid w:val="00BC56A9"/>
    <w:rsid w:val="00BC5855"/>
    <w:rsid w:val="00BC5B77"/>
    <w:rsid w:val="00BC5E1E"/>
    <w:rsid w:val="00BC5EF5"/>
    <w:rsid w:val="00BC681B"/>
    <w:rsid w:val="00BC7687"/>
    <w:rsid w:val="00BC7D53"/>
    <w:rsid w:val="00BD084A"/>
    <w:rsid w:val="00BD0CAC"/>
    <w:rsid w:val="00BD189D"/>
    <w:rsid w:val="00BD1D27"/>
    <w:rsid w:val="00BD24C1"/>
    <w:rsid w:val="00BD268A"/>
    <w:rsid w:val="00BD2D35"/>
    <w:rsid w:val="00BD3170"/>
    <w:rsid w:val="00BD389C"/>
    <w:rsid w:val="00BD3BB5"/>
    <w:rsid w:val="00BD43F4"/>
    <w:rsid w:val="00BD4D5F"/>
    <w:rsid w:val="00BD4E84"/>
    <w:rsid w:val="00BD7302"/>
    <w:rsid w:val="00BE02FB"/>
    <w:rsid w:val="00BE034F"/>
    <w:rsid w:val="00BE08BC"/>
    <w:rsid w:val="00BE1DD9"/>
    <w:rsid w:val="00BE1F2F"/>
    <w:rsid w:val="00BE25DD"/>
    <w:rsid w:val="00BE2679"/>
    <w:rsid w:val="00BE2F18"/>
    <w:rsid w:val="00BE34EE"/>
    <w:rsid w:val="00BE3A2A"/>
    <w:rsid w:val="00BE6492"/>
    <w:rsid w:val="00BF043E"/>
    <w:rsid w:val="00BF089B"/>
    <w:rsid w:val="00BF1DA1"/>
    <w:rsid w:val="00BF2904"/>
    <w:rsid w:val="00BF37D3"/>
    <w:rsid w:val="00BF3B22"/>
    <w:rsid w:val="00BF3E4B"/>
    <w:rsid w:val="00BF579D"/>
    <w:rsid w:val="00BF5909"/>
    <w:rsid w:val="00BF5993"/>
    <w:rsid w:val="00BF5B79"/>
    <w:rsid w:val="00BF5C91"/>
    <w:rsid w:val="00BF789F"/>
    <w:rsid w:val="00C01041"/>
    <w:rsid w:val="00C01D33"/>
    <w:rsid w:val="00C028C2"/>
    <w:rsid w:val="00C03419"/>
    <w:rsid w:val="00C03420"/>
    <w:rsid w:val="00C034A0"/>
    <w:rsid w:val="00C03D4F"/>
    <w:rsid w:val="00C04EAE"/>
    <w:rsid w:val="00C04FB7"/>
    <w:rsid w:val="00C0583D"/>
    <w:rsid w:val="00C05DEB"/>
    <w:rsid w:val="00C066A7"/>
    <w:rsid w:val="00C06C61"/>
    <w:rsid w:val="00C10A83"/>
    <w:rsid w:val="00C10C50"/>
    <w:rsid w:val="00C10E54"/>
    <w:rsid w:val="00C11209"/>
    <w:rsid w:val="00C11A80"/>
    <w:rsid w:val="00C11E1B"/>
    <w:rsid w:val="00C12FA1"/>
    <w:rsid w:val="00C131EF"/>
    <w:rsid w:val="00C137D9"/>
    <w:rsid w:val="00C1403D"/>
    <w:rsid w:val="00C14166"/>
    <w:rsid w:val="00C156AB"/>
    <w:rsid w:val="00C159F2"/>
    <w:rsid w:val="00C15D3D"/>
    <w:rsid w:val="00C164C0"/>
    <w:rsid w:val="00C17B47"/>
    <w:rsid w:val="00C20653"/>
    <w:rsid w:val="00C20CB1"/>
    <w:rsid w:val="00C20D9E"/>
    <w:rsid w:val="00C22E21"/>
    <w:rsid w:val="00C232DD"/>
    <w:rsid w:val="00C24537"/>
    <w:rsid w:val="00C2560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60B"/>
    <w:rsid w:val="00C344E0"/>
    <w:rsid w:val="00C34CC0"/>
    <w:rsid w:val="00C35444"/>
    <w:rsid w:val="00C361F5"/>
    <w:rsid w:val="00C363A4"/>
    <w:rsid w:val="00C3660A"/>
    <w:rsid w:val="00C36F57"/>
    <w:rsid w:val="00C37987"/>
    <w:rsid w:val="00C406B9"/>
    <w:rsid w:val="00C40AAF"/>
    <w:rsid w:val="00C40EE6"/>
    <w:rsid w:val="00C41783"/>
    <w:rsid w:val="00C41A8A"/>
    <w:rsid w:val="00C42220"/>
    <w:rsid w:val="00C42AFC"/>
    <w:rsid w:val="00C42B7F"/>
    <w:rsid w:val="00C42BE2"/>
    <w:rsid w:val="00C438E6"/>
    <w:rsid w:val="00C4487B"/>
    <w:rsid w:val="00C4487F"/>
    <w:rsid w:val="00C453D7"/>
    <w:rsid w:val="00C46272"/>
    <w:rsid w:val="00C46ABC"/>
    <w:rsid w:val="00C46EE3"/>
    <w:rsid w:val="00C46EF1"/>
    <w:rsid w:val="00C4796B"/>
    <w:rsid w:val="00C5031F"/>
    <w:rsid w:val="00C50FFA"/>
    <w:rsid w:val="00C51086"/>
    <w:rsid w:val="00C51644"/>
    <w:rsid w:val="00C5239D"/>
    <w:rsid w:val="00C523B7"/>
    <w:rsid w:val="00C5394C"/>
    <w:rsid w:val="00C53B0A"/>
    <w:rsid w:val="00C5474B"/>
    <w:rsid w:val="00C557D4"/>
    <w:rsid w:val="00C557E1"/>
    <w:rsid w:val="00C55DBD"/>
    <w:rsid w:val="00C56917"/>
    <w:rsid w:val="00C56A71"/>
    <w:rsid w:val="00C572EC"/>
    <w:rsid w:val="00C5735E"/>
    <w:rsid w:val="00C5795E"/>
    <w:rsid w:val="00C57994"/>
    <w:rsid w:val="00C61A51"/>
    <w:rsid w:val="00C620E6"/>
    <w:rsid w:val="00C62EC0"/>
    <w:rsid w:val="00C63A40"/>
    <w:rsid w:val="00C65038"/>
    <w:rsid w:val="00C65705"/>
    <w:rsid w:val="00C65B32"/>
    <w:rsid w:val="00C65CB5"/>
    <w:rsid w:val="00C6665D"/>
    <w:rsid w:val="00C66AAC"/>
    <w:rsid w:val="00C67068"/>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71D9"/>
    <w:rsid w:val="00C80458"/>
    <w:rsid w:val="00C804AF"/>
    <w:rsid w:val="00C809B9"/>
    <w:rsid w:val="00C80B7C"/>
    <w:rsid w:val="00C810A7"/>
    <w:rsid w:val="00C83716"/>
    <w:rsid w:val="00C8398A"/>
    <w:rsid w:val="00C84A24"/>
    <w:rsid w:val="00C84E6B"/>
    <w:rsid w:val="00C85AA9"/>
    <w:rsid w:val="00C876A6"/>
    <w:rsid w:val="00C90570"/>
    <w:rsid w:val="00C90BFA"/>
    <w:rsid w:val="00C9112B"/>
    <w:rsid w:val="00C9120A"/>
    <w:rsid w:val="00C91647"/>
    <w:rsid w:val="00C91D43"/>
    <w:rsid w:val="00C9206E"/>
    <w:rsid w:val="00C92075"/>
    <w:rsid w:val="00C92402"/>
    <w:rsid w:val="00C92801"/>
    <w:rsid w:val="00C9288F"/>
    <w:rsid w:val="00C92C58"/>
    <w:rsid w:val="00C936FD"/>
    <w:rsid w:val="00C93B0A"/>
    <w:rsid w:val="00C93CF5"/>
    <w:rsid w:val="00C947E9"/>
    <w:rsid w:val="00C9488C"/>
    <w:rsid w:val="00C94EBE"/>
    <w:rsid w:val="00C95245"/>
    <w:rsid w:val="00C95615"/>
    <w:rsid w:val="00C95703"/>
    <w:rsid w:val="00C95824"/>
    <w:rsid w:val="00C95E95"/>
    <w:rsid w:val="00C969F3"/>
    <w:rsid w:val="00CA131E"/>
    <w:rsid w:val="00CA18A5"/>
    <w:rsid w:val="00CA2214"/>
    <w:rsid w:val="00CA2FB7"/>
    <w:rsid w:val="00CA36A9"/>
    <w:rsid w:val="00CA388A"/>
    <w:rsid w:val="00CA4100"/>
    <w:rsid w:val="00CA4CE3"/>
    <w:rsid w:val="00CA535E"/>
    <w:rsid w:val="00CA6934"/>
    <w:rsid w:val="00CA6D36"/>
    <w:rsid w:val="00CB0258"/>
    <w:rsid w:val="00CB0954"/>
    <w:rsid w:val="00CB174D"/>
    <w:rsid w:val="00CB20E3"/>
    <w:rsid w:val="00CB2400"/>
    <w:rsid w:val="00CB29DD"/>
    <w:rsid w:val="00CB2B0C"/>
    <w:rsid w:val="00CB2E80"/>
    <w:rsid w:val="00CB3467"/>
    <w:rsid w:val="00CB5870"/>
    <w:rsid w:val="00CB5B4D"/>
    <w:rsid w:val="00CB6588"/>
    <w:rsid w:val="00CB6B0D"/>
    <w:rsid w:val="00CC01E8"/>
    <w:rsid w:val="00CC08D7"/>
    <w:rsid w:val="00CC0902"/>
    <w:rsid w:val="00CC0FE7"/>
    <w:rsid w:val="00CC1D00"/>
    <w:rsid w:val="00CC2EE4"/>
    <w:rsid w:val="00CC31CB"/>
    <w:rsid w:val="00CC3B8C"/>
    <w:rsid w:val="00CC3D78"/>
    <w:rsid w:val="00CC460B"/>
    <w:rsid w:val="00CC4705"/>
    <w:rsid w:val="00CC4742"/>
    <w:rsid w:val="00CC5B81"/>
    <w:rsid w:val="00CC7901"/>
    <w:rsid w:val="00CD059A"/>
    <w:rsid w:val="00CD104A"/>
    <w:rsid w:val="00CD119A"/>
    <w:rsid w:val="00CD1502"/>
    <w:rsid w:val="00CD1BD2"/>
    <w:rsid w:val="00CD29E1"/>
    <w:rsid w:val="00CD2FAB"/>
    <w:rsid w:val="00CD3095"/>
    <w:rsid w:val="00CD31A2"/>
    <w:rsid w:val="00CD32E6"/>
    <w:rsid w:val="00CD3B80"/>
    <w:rsid w:val="00CD43BA"/>
    <w:rsid w:val="00CD4AB6"/>
    <w:rsid w:val="00CD4FCE"/>
    <w:rsid w:val="00CD53F2"/>
    <w:rsid w:val="00CD5768"/>
    <w:rsid w:val="00CD5779"/>
    <w:rsid w:val="00CD57CE"/>
    <w:rsid w:val="00CD5A2A"/>
    <w:rsid w:val="00CD759A"/>
    <w:rsid w:val="00CE0623"/>
    <w:rsid w:val="00CE0625"/>
    <w:rsid w:val="00CE2250"/>
    <w:rsid w:val="00CE2C18"/>
    <w:rsid w:val="00CE48DD"/>
    <w:rsid w:val="00CE5546"/>
    <w:rsid w:val="00CE5716"/>
    <w:rsid w:val="00CE60A8"/>
    <w:rsid w:val="00CE6148"/>
    <w:rsid w:val="00CE6499"/>
    <w:rsid w:val="00CE6FD8"/>
    <w:rsid w:val="00CF0168"/>
    <w:rsid w:val="00CF0F33"/>
    <w:rsid w:val="00CF2141"/>
    <w:rsid w:val="00CF2DA3"/>
    <w:rsid w:val="00CF3607"/>
    <w:rsid w:val="00CF3734"/>
    <w:rsid w:val="00CF38AE"/>
    <w:rsid w:val="00CF3AAC"/>
    <w:rsid w:val="00CF475E"/>
    <w:rsid w:val="00CF5916"/>
    <w:rsid w:val="00CF5AAB"/>
    <w:rsid w:val="00CF5ABD"/>
    <w:rsid w:val="00CF6126"/>
    <w:rsid w:val="00CF63C4"/>
    <w:rsid w:val="00CF658F"/>
    <w:rsid w:val="00CF70A0"/>
    <w:rsid w:val="00CF73A4"/>
    <w:rsid w:val="00CF73B6"/>
    <w:rsid w:val="00CF7BE6"/>
    <w:rsid w:val="00D00439"/>
    <w:rsid w:val="00D012F4"/>
    <w:rsid w:val="00D042C3"/>
    <w:rsid w:val="00D04613"/>
    <w:rsid w:val="00D0666D"/>
    <w:rsid w:val="00D07537"/>
    <w:rsid w:val="00D0774C"/>
    <w:rsid w:val="00D078CF"/>
    <w:rsid w:val="00D07920"/>
    <w:rsid w:val="00D10DB1"/>
    <w:rsid w:val="00D111E8"/>
    <w:rsid w:val="00D12151"/>
    <w:rsid w:val="00D1336B"/>
    <w:rsid w:val="00D13C1E"/>
    <w:rsid w:val="00D13F0D"/>
    <w:rsid w:val="00D13F34"/>
    <w:rsid w:val="00D1429D"/>
    <w:rsid w:val="00D14ECE"/>
    <w:rsid w:val="00D14F6D"/>
    <w:rsid w:val="00D150EB"/>
    <w:rsid w:val="00D153E7"/>
    <w:rsid w:val="00D15418"/>
    <w:rsid w:val="00D154E3"/>
    <w:rsid w:val="00D15D03"/>
    <w:rsid w:val="00D15F15"/>
    <w:rsid w:val="00D17FF3"/>
    <w:rsid w:val="00D20768"/>
    <w:rsid w:val="00D20AFA"/>
    <w:rsid w:val="00D20C79"/>
    <w:rsid w:val="00D21F26"/>
    <w:rsid w:val="00D22FDF"/>
    <w:rsid w:val="00D23419"/>
    <w:rsid w:val="00D24273"/>
    <w:rsid w:val="00D24288"/>
    <w:rsid w:val="00D25328"/>
    <w:rsid w:val="00D26300"/>
    <w:rsid w:val="00D26FBF"/>
    <w:rsid w:val="00D27602"/>
    <w:rsid w:val="00D32FFE"/>
    <w:rsid w:val="00D3352B"/>
    <w:rsid w:val="00D33CDA"/>
    <w:rsid w:val="00D354D2"/>
    <w:rsid w:val="00D36821"/>
    <w:rsid w:val="00D36BCC"/>
    <w:rsid w:val="00D37401"/>
    <w:rsid w:val="00D37763"/>
    <w:rsid w:val="00D37F48"/>
    <w:rsid w:val="00D40CE7"/>
    <w:rsid w:val="00D40F81"/>
    <w:rsid w:val="00D41F3D"/>
    <w:rsid w:val="00D420E1"/>
    <w:rsid w:val="00D42479"/>
    <w:rsid w:val="00D428F9"/>
    <w:rsid w:val="00D43012"/>
    <w:rsid w:val="00D446D1"/>
    <w:rsid w:val="00D461CF"/>
    <w:rsid w:val="00D46FD0"/>
    <w:rsid w:val="00D47092"/>
    <w:rsid w:val="00D5042B"/>
    <w:rsid w:val="00D505E8"/>
    <w:rsid w:val="00D50B91"/>
    <w:rsid w:val="00D50D44"/>
    <w:rsid w:val="00D51281"/>
    <w:rsid w:val="00D517E6"/>
    <w:rsid w:val="00D51E6D"/>
    <w:rsid w:val="00D52223"/>
    <w:rsid w:val="00D52A27"/>
    <w:rsid w:val="00D52E59"/>
    <w:rsid w:val="00D53285"/>
    <w:rsid w:val="00D534B0"/>
    <w:rsid w:val="00D53855"/>
    <w:rsid w:val="00D53A83"/>
    <w:rsid w:val="00D54C8F"/>
    <w:rsid w:val="00D54E7D"/>
    <w:rsid w:val="00D55272"/>
    <w:rsid w:val="00D5593C"/>
    <w:rsid w:val="00D56125"/>
    <w:rsid w:val="00D61B8E"/>
    <w:rsid w:val="00D636D3"/>
    <w:rsid w:val="00D63AC7"/>
    <w:rsid w:val="00D64579"/>
    <w:rsid w:val="00D667A3"/>
    <w:rsid w:val="00D6683E"/>
    <w:rsid w:val="00D6692D"/>
    <w:rsid w:val="00D67419"/>
    <w:rsid w:val="00D700BF"/>
    <w:rsid w:val="00D71160"/>
    <w:rsid w:val="00D7148F"/>
    <w:rsid w:val="00D716E9"/>
    <w:rsid w:val="00D72461"/>
    <w:rsid w:val="00D728A5"/>
    <w:rsid w:val="00D729EE"/>
    <w:rsid w:val="00D7368D"/>
    <w:rsid w:val="00D73FB9"/>
    <w:rsid w:val="00D747C9"/>
    <w:rsid w:val="00D760BE"/>
    <w:rsid w:val="00D77BC9"/>
    <w:rsid w:val="00D77BF3"/>
    <w:rsid w:val="00D77C7D"/>
    <w:rsid w:val="00D805C7"/>
    <w:rsid w:val="00D80B1D"/>
    <w:rsid w:val="00D812B7"/>
    <w:rsid w:val="00D81F3C"/>
    <w:rsid w:val="00D820B9"/>
    <w:rsid w:val="00D82451"/>
    <w:rsid w:val="00D82CAD"/>
    <w:rsid w:val="00D83036"/>
    <w:rsid w:val="00D830FD"/>
    <w:rsid w:val="00D836A6"/>
    <w:rsid w:val="00D83C6F"/>
    <w:rsid w:val="00D8412C"/>
    <w:rsid w:val="00D84401"/>
    <w:rsid w:val="00D84DB3"/>
    <w:rsid w:val="00D85E65"/>
    <w:rsid w:val="00D860CF"/>
    <w:rsid w:val="00D86472"/>
    <w:rsid w:val="00D87567"/>
    <w:rsid w:val="00D87A26"/>
    <w:rsid w:val="00D90114"/>
    <w:rsid w:val="00D9187D"/>
    <w:rsid w:val="00D91AA0"/>
    <w:rsid w:val="00D925EC"/>
    <w:rsid w:val="00D9321F"/>
    <w:rsid w:val="00D933AE"/>
    <w:rsid w:val="00D9422A"/>
    <w:rsid w:val="00D95236"/>
    <w:rsid w:val="00D953B8"/>
    <w:rsid w:val="00D95616"/>
    <w:rsid w:val="00D96105"/>
    <w:rsid w:val="00D96BC0"/>
    <w:rsid w:val="00D96D56"/>
    <w:rsid w:val="00D97A36"/>
    <w:rsid w:val="00D97A51"/>
    <w:rsid w:val="00DA06BB"/>
    <w:rsid w:val="00DA07E3"/>
    <w:rsid w:val="00DA1215"/>
    <w:rsid w:val="00DA1772"/>
    <w:rsid w:val="00DA1FC9"/>
    <w:rsid w:val="00DA34FC"/>
    <w:rsid w:val="00DA463F"/>
    <w:rsid w:val="00DA5AA7"/>
    <w:rsid w:val="00DA6934"/>
    <w:rsid w:val="00DA7EEC"/>
    <w:rsid w:val="00DB01CD"/>
    <w:rsid w:val="00DB029E"/>
    <w:rsid w:val="00DB0BF6"/>
    <w:rsid w:val="00DB20A8"/>
    <w:rsid w:val="00DB26DD"/>
    <w:rsid w:val="00DB4BB2"/>
    <w:rsid w:val="00DB4EE1"/>
    <w:rsid w:val="00DB5A4C"/>
    <w:rsid w:val="00DB5F32"/>
    <w:rsid w:val="00DB69A2"/>
    <w:rsid w:val="00DB6CE9"/>
    <w:rsid w:val="00DB71BE"/>
    <w:rsid w:val="00DC086D"/>
    <w:rsid w:val="00DC13E4"/>
    <w:rsid w:val="00DC15F3"/>
    <w:rsid w:val="00DC1D19"/>
    <w:rsid w:val="00DC1DC5"/>
    <w:rsid w:val="00DC2A98"/>
    <w:rsid w:val="00DC31E4"/>
    <w:rsid w:val="00DC3224"/>
    <w:rsid w:val="00DC34AA"/>
    <w:rsid w:val="00DC3F0F"/>
    <w:rsid w:val="00DC4C13"/>
    <w:rsid w:val="00DC4E6A"/>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5810"/>
    <w:rsid w:val="00DD6523"/>
    <w:rsid w:val="00DD670F"/>
    <w:rsid w:val="00DD717C"/>
    <w:rsid w:val="00DD74B2"/>
    <w:rsid w:val="00DE0374"/>
    <w:rsid w:val="00DE1CE2"/>
    <w:rsid w:val="00DE1E99"/>
    <w:rsid w:val="00DE229A"/>
    <w:rsid w:val="00DE274D"/>
    <w:rsid w:val="00DE39C2"/>
    <w:rsid w:val="00DE4954"/>
    <w:rsid w:val="00DE4C81"/>
    <w:rsid w:val="00DE4F38"/>
    <w:rsid w:val="00DE5460"/>
    <w:rsid w:val="00DE5F17"/>
    <w:rsid w:val="00DE6184"/>
    <w:rsid w:val="00DE64C9"/>
    <w:rsid w:val="00DE6D61"/>
    <w:rsid w:val="00DE783E"/>
    <w:rsid w:val="00DE79A3"/>
    <w:rsid w:val="00DF0442"/>
    <w:rsid w:val="00DF0D51"/>
    <w:rsid w:val="00DF1401"/>
    <w:rsid w:val="00DF212A"/>
    <w:rsid w:val="00DF2E0A"/>
    <w:rsid w:val="00DF3194"/>
    <w:rsid w:val="00DF3BC5"/>
    <w:rsid w:val="00DF4512"/>
    <w:rsid w:val="00DF5282"/>
    <w:rsid w:val="00DF563C"/>
    <w:rsid w:val="00DF6241"/>
    <w:rsid w:val="00DF67DA"/>
    <w:rsid w:val="00DF6846"/>
    <w:rsid w:val="00DF68AB"/>
    <w:rsid w:val="00DF6D87"/>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406"/>
    <w:rsid w:val="00E0371A"/>
    <w:rsid w:val="00E03A14"/>
    <w:rsid w:val="00E04066"/>
    <w:rsid w:val="00E04092"/>
    <w:rsid w:val="00E0620A"/>
    <w:rsid w:val="00E103F3"/>
    <w:rsid w:val="00E105C5"/>
    <w:rsid w:val="00E109C4"/>
    <w:rsid w:val="00E10A8A"/>
    <w:rsid w:val="00E118F6"/>
    <w:rsid w:val="00E11F21"/>
    <w:rsid w:val="00E12BDC"/>
    <w:rsid w:val="00E14041"/>
    <w:rsid w:val="00E14687"/>
    <w:rsid w:val="00E146AD"/>
    <w:rsid w:val="00E14ACA"/>
    <w:rsid w:val="00E14E1F"/>
    <w:rsid w:val="00E14F4D"/>
    <w:rsid w:val="00E16C75"/>
    <w:rsid w:val="00E17D75"/>
    <w:rsid w:val="00E20588"/>
    <w:rsid w:val="00E2172C"/>
    <w:rsid w:val="00E21D5D"/>
    <w:rsid w:val="00E236B7"/>
    <w:rsid w:val="00E237AE"/>
    <w:rsid w:val="00E24856"/>
    <w:rsid w:val="00E25A9B"/>
    <w:rsid w:val="00E2600E"/>
    <w:rsid w:val="00E260C3"/>
    <w:rsid w:val="00E26638"/>
    <w:rsid w:val="00E2703D"/>
    <w:rsid w:val="00E3026E"/>
    <w:rsid w:val="00E311F1"/>
    <w:rsid w:val="00E31657"/>
    <w:rsid w:val="00E318E3"/>
    <w:rsid w:val="00E31B77"/>
    <w:rsid w:val="00E32B80"/>
    <w:rsid w:val="00E32E22"/>
    <w:rsid w:val="00E3330E"/>
    <w:rsid w:val="00E33648"/>
    <w:rsid w:val="00E34B36"/>
    <w:rsid w:val="00E34E2A"/>
    <w:rsid w:val="00E34FAF"/>
    <w:rsid w:val="00E3649B"/>
    <w:rsid w:val="00E37645"/>
    <w:rsid w:val="00E37939"/>
    <w:rsid w:val="00E37C38"/>
    <w:rsid w:val="00E37FA2"/>
    <w:rsid w:val="00E4047D"/>
    <w:rsid w:val="00E406C3"/>
    <w:rsid w:val="00E41346"/>
    <w:rsid w:val="00E413F4"/>
    <w:rsid w:val="00E4227B"/>
    <w:rsid w:val="00E426AC"/>
    <w:rsid w:val="00E433DC"/>
    <w:rsid w:val="00E447A7"/>
    <w:rsid w:val="00E449AA"/>
    <w:rsid w:val="00E45407"/>
    <w:rsid w:val="00E459C8"/>
    <w:rsid w:val="00E45DAA"/>
    <w:rsid w:val="00E47C79"/>
    <w:rsid w:val="00E504F1"/>
    <w:rsid w:val="00E506F3"/>
    <w:rsid w:val="00E50DEE"/>
    <w:rsid w:val="00E51675"/>
    <w:rsid w:val="00E51E54"/>
    <w:rsid w:val="00E5229D"/>
    <w:rsid w:val="00E528F7"/>
    <w:rsid w:val="00E545CE"/>
    <w:rsid w:val="00E54863"/>
    <w:rsid w:val="00E54B16"/>
    <w:rsid w:val="00E551A3"/>
    <w:rsid w:val="00E5533C"/>
    <w:rsid w:val="00E557D7"/>
    <w:rsid w:val="00E55817"/>
    <w:rsid w:val="00E561A5"/>
    <w:rsid w:val="00E56A61"/>
    <w:rsid w:val="00E56AFC"/>
    <w:rsid w:val="00E57136"/>
    <w:rsid w:val="00E6062C"/>
    <w:rsid w:val="00E6278D"/>
    <w:rsid w:val="00E631CC"/>
    <w:rsid w:val="00E643BF"/>
    <w:rsid w:val="00E64B86"/>
    <w:rsid w:val="00E64D47"/>
    <w:rsid w:val="00E65965"/>
    <w:rsid w:val="00E659B1"/>
    <w:rsid w:val="00E66A11"/>
    <w:rsid w:val="00E6703B"/>
    <w:rsid w:val="00E6758A"/>
    <w:rsid w:val="00E67BAD"/>
    <w:rsid w:val="00E67E94"/>
    <w:rsid w:val="00E70302"/>
    <w:rsid w:val="00E706D1"/>
    <w:rsid w:val="00E712E4"/>
    <w:rsid w:val="00E7158C"/>
    <w:rsid w:val="00E71E44"/>
    <w:rsid w:val="00E72387"/>
    <w:rsid w:val="00E72958"/>
    <w:rsid w:val="00E7466F"/>
    <w:rsid w:val="00E746F6"/>
    <w:rsid w:val="00E76932"/>
    <w:rsid w:val="00E76EF0"/>
    <w:rsid w:val="00E77CE3"/>
    <w:rsid w:val="00E77F56"/>
    <w:rsid w:val="00E77F85"/>
    <w:rsid w:val="00E80172"/>
    <w:rsid w:val="00E8067B"/>
    <w:rsid w:val="00E80CBE"/>
    <w:rsid w:val="00E8129C"/>
    <w:rsid w:val="00E82530"/>
    <w:rsid w:val="00E82C60"/>
    <w:rsid w:val="00E82E15"/>
    <w:rsid w:val="00E8358C"/>
    <w:rsid w:val="00E836F0"/>
    <w:rsid w:val="00E83970"/>
    <w:rsid w:val="00E83B7E"/>
    <w:rsid w:val="00E8415F"/>
    <w:rsid w:val="00E84DAE"/>
    <w:rsid w:val="00E86975"/>
    <w:rsid w:val="00E86A0A"/>
    <w:rsid w:val="00E86F4E"/>
    <w:rsid w:val="00E87C92"/>
    <w:rsid w:val="00E914EF"/>
    <w:rsid w:val="00E91781"/>
    <w:rsid w:val="00E92E22"/>
    <w:rsid w:val="00E93A75"/>
    <w:rsid w:val="00E94003"/>
    <w:rsid w:val="00E94109"/>
    <w:rsid w:val="00E9414F"/>
    <w:rsid w:val="00E94FF0"/>
    <w:rsid w:val="00E9536E"/>
    <w:rsid w:val="00E955A4"/>
    <w:rsid w:val="00E95994"/>
    <w:rsid w:val="00E965F1"/>
    <w:rsid w:val="00E96E33"/>
    <w:rsid w:val="00E96FC5"/>
    <w:rsid w:val="00E974CB"/>
    <w:rsid w:val="00E97F39"/>
    <w:rsid w:val="00EA05C1"/>
    <w:rsid w:val="00EA241E"/>
    <w:rsid w:val="00EA26DD"/>
    <w:rsid w:val="00EA2F4E"/>
    <w:rsid w:val="00EA3C11"/>
    <w:rsid w:val="00EA4425"/>
    <w:rsid w:val="00EA4451"/>
    <w:rsid w:val="00EA4A6D"/>
    <w:rsid w:val="00EA68BC"/>
    <w:rsid w:val="00EA6DA5"/>
    <w:rsid w:val="00EA7AD5"/>
    <w:rsid w:val="00EB00FB"/>
    <w:rsid w:val="00EB01E2"/>
    <w:rsid w:val="00EB0865"/>
    <w:rsid w:val="00EB1FB1"/>
    <w:rsid w:val="00EB214F"/>
    <w:rsid w:val="00EB2F1F"/>
    <w:rsid w:val="00EB319D"/>
    <w:rsid w:val="00EB3742"/>
    <w:rsid w:val="00EB38C6"/>
    <w:rsid w:val="00EB55C0"/>
    <w:rsid w:val="00EB638F"/>
    <w:rsid w:val="00EB6605"/>
    <w:rsid w:val="00EB6CAA"/>
    <w:rsid w:val="00EB6FCA"/>
    <w:rsid w:val="00EB7670"/>
    <w:rsid w:val="00EB7BD2"/>
    <w:rsid w:val="00EC02AA"/>
    <w:rsid w:val="00EC039F"/>
    <w:rsid w:val="00EC0AE8"/>
    <w:rsid w:val="00EC0C78"/>
    <w:rsid w:val="00EC0F06"/>
    <w:rsid w:val="00EC13AE"/>
    <w:rsid w:val="00EC1706"/>
    <w:rsid w:val="00EC2002"/>
    <w:rsid w:val="00EC2D12"/>
    <w:rsid w:val="00EC31EC"/>
    <w:rsid w:val="00EC32DA"/>
    <w:rsid w:val="00EC36F9"/>
    <w:rsid w:val="00EC385C"/>
    <w:rsid w:val="00EC393F"/>
    <w:rsid w:val="00EC3ACF"/>
    <w:rsid w:val="00EC4041"/>
    <w:rsid w:val="00EC4A85"/>
    <w:rsid w:val="00EC4C3F"/>
    <w:rsid w:val="00EC52B0"/>
    <w:rsid w:val="00EC6490"/>
    <w:rsid w:val="00EC6F5E"/>
    <w:rsid w:val="00ED01E5"/>
    <w:rsid w:val="00ED0245"/>
    <w:rsid w:val="00ED0856"/>
    <w:rsid w:val="00ED08CC"/>
    <w:rsid w:val="00ED1590"/>
    <w:rsid w:val="00ED1900"/>
    <w:rsid w:val="00ED226D"/>
    <w:rsid w:val="00ED2890"/>
    <w:rsid w:val="00ED28DD"/>
    <w:rsid w:val="00ED31FC"/>
    <w:rsid w:val="00ED495E"/>
    <w:rsid w:val="00ED4CF0"/>
    <w:rsid w:val="00ED52DD"/>
    <w:rsid w:val="00ED532A"/>
    <w:rsid w:val="00ED57E5"/>
    <w:rsid w:val="00ED624E"/>
    <w:rsid w:val="00ED6D73"/>
    <w:rsid w:val="00ED78E5"/>
    <w:rsid w:val="00ED7FAC"/>
    <w:rsid w:val="00EE03D1"/>
    <w:rsid w:val="00EE04DB"/>
    <w:rsid w:val="00EE0D4A"/>
    <w:rsid w:val="00EE366A"/>
    <w:rsid w:val="00EE4137"/>
    <w:rsid w:val="00EE4645"/>
    <w:rsid w:val="00EE5534"/>
    <w:rsid w:val="00EE57A8"/>
    <w:rsid w:val="00EF0031"/>
    <w:rsid w:val="00EF0D39"/>
    <w:rsid w:val="00EF14CB"/>
    <w:rsid w:val="00EF2107"/>
    <w:rsid w:val="00EF22C0"/>
    <w:rsid w:val="00EF2806"/>
    <w:rsid w:val="00EF28E7"/>
    <w:rsid w:val="00EF2F56"/>
    <w:rsid w:val="00EF31AF"/>
    <w:rsid w:val="00EF3B29"/>
    <w:rsid w:val="00EF3D3E"/>
    <w:rsid w:val="00EF62B4"/>
    <w:rsid w:val="00EF6BE5"/>
    <w:rsid w:val="00EF6BFC"/>
    <w:rsid w:val="00EF7558"/>
    <w:rsid w:val="00EF775D"/>
    <w:rsid w:val="00EF7C16"/>
    <w:rsid w:val="00F00A3A"/>
    <w:rsid w:val="00F00A9E"/>
    <w:rsid w:val="00F01484"/>
    <w:rsid w:val="00F01626"/>
    <w:rsid w:val="00F019D4"/>
    <w:rsid w:val="00F01F34"/>
    <w:rsid w:val="00F0214E"/>
    <w:rsid w:val="00F021DA"/>
    <w:rsid w:val="00F02661"/>
    <w:rsid w:val="00F02CCF"/>
    <w:rsid w:val="00F0314E"/>
    <w:rsid w:val="00F03ED8"/>
    <w:rsid w:val="00F03FC0"/>
    <w:rsid w:val="00F056E6"/>
    <w:rsid w:val="00F0664F"/>
    <w:rsid w:val="00F103D0"/>
    <w:rsid w:val="00F104DD"/>
    <w:rsid w:val="00F10F79"/>
    <w:rsid w:val="00F11227"/>
    <w:rsid w:val="00F14B92"/>
    <w:rsid w:val="00F14D97"/>
    <w:rsid w:val="00F15487"/>
    <w:rsid w:val="00F15C50"/>
    <w:rsid w:val="00F15E01"/>
    <w:rsid w:val="00F16FD5"/>
    <w:rsid w:val="00F20312"/>
    <w:rsid w:val="00F21257"/>
    <w:rsid w:val="00F22AF1"/>
    <w:rsid w:val="00F23AE4"/>
    <w:rsid w:val="00F24B3A"/>
    <w:rsid w:val="00F25F2B"/>
    <w:rsid w:val="00F27149"/>
    <w:rsid w:val="00F30351"/>
    <w:rsid w:val="00F309D0"/>
    <w:rsid w:val="00F30AA8"/>
    <w:rsid w:val="00F3126D"/>
    <w:rsid w:val="00F31331"/>
    <w:rsid w:val="00F324D4"/>
    <w:rsid w:val="00F3259A"/>
    <w:rsid w:val="00F327AD"/>
    <w:rsid w:val="00F3393A"/>
    <w:rsid w:val="00F34C00"/>
    <w:rsid w:val="00F34E04"/>
    <w:rsid w:val="00F35B41"/>
    <w:rsid w:val="00F35C00"/>
    <w:rsid w:val="00F361A3"/>
    <w:rsid w:val="00F367DE"/>
    <w:rsid w:val="00F36A92"/>
    <w:rsid w:val="00F40352"/>
    <w:rsid w:val="00F40641"/>
    <w:rsid w:val="00F411F8"/>
    <w:rsid w:val="00F41BC9"/>
    <w:rsid w:val="00F424D7"/>
    <w:rsid w:val="00F429BC"/>
    <w:rsid w:val="00F43D65"/>
    <w:rsid w:val="00F44EDD"/>
    <w:rsid w:val="00F45AF2"/>
    <w:rsid w:val="00F45FCE"/>
    <w:rsid w:val="00F46EBD"/>
    <w:rsid w:val="00F50E05"/>
    <w:rsid w:val="00F513D3"/>
    <w:rsid w:val="00F52BD5"/>
    <w:rsid w:val="00F5313E"/>
    <w:rsid w:val="00F5338D"/>
    <w:rsid w:val="00F5358E"/>
    <w:rsid w:val="00F55BD9"/>
    <w:rsid w:val="00F55F66"/>
    <w:rsid w:val="00F5618B"/>
    <w:rsid w:val="00F563FD"/>
    <w:rsid w:val="00F56B77"/>
    <w:rsid w:val="00F570DA"/>
    <w:rsid w:val="00F57218"/>
    <w:rsid w:val="00F60802"/>
    <w:rsid w:val="00F61287"/>
    <w:rsid w:val="00F62116"/>
    <w:rsid w:val="00F62EF9"/>
    <w:rsid w:val="00F632D9"/>
    <w:rsid w:val="00F63D15"/>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743"/>
    <w:rsid w:val="00F77F47"/>
    <w:rsid w:val="00F8058F"/>
    <w:rsid w:val="00F8143A"/>
    <w:rsid w:val="00F81764"/>
    <w:rsid w:val="00F81CC2"/>
    <w:rsid w:val="00F83151"/>
    <w:rsid w:val="00F838ED"/>
    <w:rsid w:val="00F83A64"/>
    <w:rsid w:val="00F83DEA"/>
    <w:rsid w:val="00F8432A"/>
    <w:rsid w:val="00F86CE6"/>
    <w:rsid w:val="00F87A26"/>
    <w:rsid w:val="00F87E6E"/>
    <w:rsid w:val="00F900B7"/>
    <w:rsid w:val="00F90215"/>
    <w:rsid w:val="00F907BC"/>
    <w:rsid w:val="00F90F1A"/>
    <w:rsid w:val="00F90FC1"/>
    <w:rsid w:val="00F911B0"/>
    <w:rsid w:val="00F91CB4"/>
    <w:rsid w:val="00F92F2D"/>
    <w:rsid w:val="00F92F83"/>
    <w:rsid w:val="00F9353B"/>
    <w:rsid w:val="00F9410C"/>
    <w:rsid w:val="00F9434F"/>
    <w:rsid w:val="00F94535"/>
    <w:rsid w:val="00F95D17"/>
    <w:rsid w:val="00F96198"/>
    <w:rsid w:val="00F9657D"/>
    <w:rsid w:val="00F96724"/>
    <w:rsid w:val="00F97691"/>
    <w:rsid w:val="00F97ABF"/>
    <w:rsid w:val="00FA04CC"/>
    <w:rsid w:val="00FA0911"/>
    <w:rsid w:val="00FA0979"/>
    <w:rsid w:val="00FA098E"/>
    <w:rsid w:val="00FA099D"/>
    <w:rsid w:val="00FA131A"/>
    <w:rsid w:val="00FA19E7"/>
    <w:rsid w:val="00FA30E7"/>
    <w:rsid w:val="00FA440D"/>
    <w:rsid w:val="00FA51A1"/>
    <w:rsid w:val="00FA52EC"/>
    <w:rsid w:val="00FA540B"/>
    <w:rsid w:val="00FA5437"/>
    <w:rsid w:val="00FA5CEB"/>
    <w:rsid w:val="00FA6031"/>
    <w:rsid w:val="00FA6217"/>
    <w:rsid w:val="00FA6731"/>
    <w:rsid w:val="00FA677A"/>
    <w:rsid w:val="00FA7B02"/>
    <w:rsid w:val="00FB045E"/>
    <w:rsid w:val="00FB070C"/>
    <w:rsid w:val="00FB0BDA"/>
    <w:rsid w:val="00FB2521"/>
    <w:rsid w:val="00FB3BFF"/>
    <w:rsid w:val="00FB5477"/>
    <w:rsid w:val="00FB5944"/>
    <w:rsid w:val="00FB6E24"/>
    <w:rsid w:val="00FB7AF8"/>
    <w:rsid w:val="00FB7B02"/>
    <w:rsid w:val="00FC002B"/>
    <w:rsid w:val="00FC0F6F"/>
    <w:rsid w:val="00FC110A"/>
    <w:rsid w:val="00FC1F5A"/>
    <w:rsid w:val="00FC2A92"/>
    <w:rsid w:val="00FC3219"/>
    <w:rsid w:val="00FC5889"/>
    <w:rsid w:val="00FC63EC"/>
    <w:rsid w:val="00FC67A4"/>
    <w:rsid w:val="00FD0C1E"/>
    <w:rsid w:val="00FD0DC1"/>
    <w:rsid w:val="00FD14DA"/>
    <w:rsid w:val="00FD1EEF"/>
    <w:rsid w:val="00FD2AC7"/>
    <w:rsid w:val="00FD368B"/>
    <w:rsid w:val="00FD3CF0"/>
    <w:rsid w:val="00FD3E65"/>
    <w:rsid w:val="00FD47B4"/>
    <w:rsid w:val="00FD4D0A"/>
    <w:rsid w:val="00FD4FBB"/>
    <w:rsid w:val="00FD6382"/>
    <w:rsid w:val="00FD6A05"/>
    <w:rsid w:val="00FD6C06"/>
    <w:rsid w:val="00FD72C3"/>
    <w:rsid w:val="00FD786A"/>
    <w:rsid w:val="00FE0284"/>
    <w:rsid w:val="00FE0951"/>
    <w:rsid w:val="00FE0C96"/>
    <w:rsid w:val="00FE14EE"/>
    <w:rsid w:val="00FE2B6A"/>
    <w:rsid w:val="00FE2D13"/>
    <w:rsid w:val="00FE4EEF"/>
    <w:rsid w:val="00FE55AC"/>
    <w:rsid w:val="00FE66F4"/>
    <w:rsid w:val="00FF1278"/>
    <w:rsid w:val="00FF130A"/>
    <w:rsid w:val="00FF16B6"/>
    <w:rsid w:val="00FF1C2F"/>
    <w:rsid w:val="00FF2384"/>
    <w:rsid w:val="00FF25A5"/>
    <w:rsid w:val="00FF2994"/>
    <w:rsid w:val="00FF3589"/>
    <w:rsid w:val="00FF3B6C"/>
    <w:rsid w:val="00FF5DE8"/>
    <w:rsid w:val="00FF6358"/>
    <w:rsid w:val="00FF6439"/>
    <w:rsid w:val="00FF6C2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0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43E9-5812-4A41-B732-677DF6E9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Miller, Sara</cp:lastModifiedBy>
  <cp:revision>8</cp:revision>
  <cp:lastPrinted>2012-06-07T16:56:00Z</cp:lastPrinted>
  <dcterms:created xsi:type="dcterms:W3CDTF">2012-05-02T20:25:00Z</dcterms:created>
  <dcterms:modified xsi:type="dcterms:W3CDTF">2012-06-07T16:56:00Z</dcterms:modified>
</cp:coreProperties>
</file>