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4B6" w:rsidRDefault="002654B6" w:rsidP="00085F47">
      <w:pPr>
        <w:spacing w:line="240" w:lineRule="auto"/>
        <w:contextualSpacing/>
        <w:rPr>
          <w:b/>
        </w:rPr>
      </w:pPr>
      <w:r>
        <w:rPr>
          <w:b/>
        </w:rPr>
        <w:t>BEFORE THE</w:t>
      </w:r>
    </w:p>
    <w:p w:rsidR="002654B6" w:rsidRDefault="002654B6" w:rsidP="00085F47">
      <w:pPr>
        <w:spacing w:line="240" w:lineRule="auto"/>
        <w:contextualSpacing/>
        <w:rPr>
          <w:b/>
        </w:rPr>
      </w:pPr>
      <w:r>
        <w:rPr>
          <w:b/>
        </w:rPr>
        <w:t>PENNSYLVANIA PUBLIC UTILITY COMMISSION</w:t>
      </w:r>
    </w:p>
    <w:p w:rsidR="002654B6" w:rsidRDefault="002654B6" w:rsidP="00085F47">
      <w:pPr>
        <w:spacing w:line="240" w:lineRule="auto"/>
        <w:contextualSpacing/>
        <w:rPr>
          <w:b/>
        </w:rPr>
      </w:pPr>
    </w:p>
    <w:p w:rsidR="002654B6" w:rsidRDefault="002654B6" w:rsidP="00085F47">
      <w:pPr>
        <w:spacing w:line="240" w:lineRule="auto"/>
        <w:contextualSpacing/>
        <w:rPr>
          <w:b/>
        </w:rPr>
      </w:pPr>
    </w:p>
    <w:p w:rsidR="00085F47" w:rsidRDefault="00085F47" w:rsidP="00085F47">
      <w:pPr>
        <w:spacing w:line="240" w:lineRule="auto"/>
        <w:contextualSpacing/>
        <w:rPr>
          <w:b/>
        </w:rPr>
      </w:pPr>
    </w:p>
    <w:p w:rsidR="002654B6" w:rsidRDefault="002654B6" w:rsidP="00085F47">
      <w:pPr>
        <w:spacing w:line="240" w:lineRule="auto"/>
        <w:contextualSpacing/>
        <w:jc w:val="left"/>
      </w:pPr>
      <w:r>
        <w:t xml:space="preserve">Pennsylvania Public Utility Commission </w:t>
      </w:r>
      <w:r>
        <w:tab/>
      </w:r>
      <w:r>
        <w:tab/>
        <w:t>:</w:t>
      </w:r>
    </w:p>
    <w:p w:rsidR="002654B6" w:rsidRDefault="002654B6" w:rsidP="00085F47">
      <w:pPr>
        <w:spacing w:line="240" w:lineRule="auto"/>
        <w:contextualSpacing/>
        <w:jc w:val="left"/>
      </w:pPr>
      <w:r>
        <w:tab/>
      </w:r>
      <w:r>
        <w:tab/>
      </w:r>
      <w:r>
        <w:tab/>
      </w:r>
      <w:r>
        <w:tab/>
      </w:r>
      <w:r>
        <w:tab/>
      </w:r>
      <w:r>
        <w:tab/>
      </w:r>
      <w:r>
        <w:tab/>
        <w:t>:</w:t>
      </w:r>
    </w:p>
    <w:p w:rsidR="002654B6" w:rsidRDefault="002654B6" w:rsidP="00085F47">
      <w:pPr>
        <w:spacing w:line="240" w:lineRule="auto"/>
        <w:contextualSpacing/>
        <w:jc w:val="left"/>
      </w:pPr>
      <w:r>
        <w:tab/>
        <w:t>v.</w:t>
      </w:r>
      <w:r>
        <w:tab/>
      </w:r>
      <w:r>
        <w:tab/>
      </w:r>
      <w:r>
        <w:tab/>
      </w:r>
      <w:r>
        <w:tab/>
      </w:r>
      <w:r>
        <w:tab/>
      </w:r>
      <w:r>
        <w:tab/>
        <w:t>:</w:t>
      </w:r>
      <w:r>
        <w:tab/>
      </w:r>
      <w:r>
        <w:tab/>
        <w:t>R-2011-2264771</w:t>
      </w:r>
    </w:p>
    <w:p w:rsidR="002654B6" w:rsidRDefault="002654B6" w:rsidP="00085F47">
      <w:pPr>
        <w:spacing w:line="240" w:lineRule="auto"/>
        <w:contextualSpacing/>
        <w:jc w:val="left"/>
      </w:pPr>
      <w:r>
        <w:tab/>
      </w:r>
      <w:r>
        <w:tab/>
      </w:r>
      <w:r>
        <w:tab/>
      </w:r>
      <w:r>
        <w:tab/>
      </w:r>
      <w:r>
        <w:tab/>
      </w:r>
      <w:r>
        <w:tab/>
      </w:r>
      <w:r>
        <w:tab/>
        <w:t>:</w:t>
      </w:r>
    </w:p>
    <w:p w:rsidR="002654B6" w:rsidRDefault="002654B6" w:rsidP="00085F47">
      <w:pPr>
        <w:spacing w:line="240" w:lineRule="auto"/>
        <w:contextualSpacing/>
        <w:jc w:val="left"/>
      </w:pPr>
      <w:r>
        <w:t>PPL Electric Utilities Corporation</w:t>
      </w:r>
      <w:r>
        <w:tab/>
      </w:r>
      <w:r>
        <w:tab/>
      </w:r>
      <w:r>
        <w:tab/>
        <w:t>:</w:t>
      </w:r>
    </w:p>
    <w:p w:rsidR="002654B6" w:rsidRDefault="002654B6" w:rsidP="00085F47">
      <w:pPr>
        <w:spacing w:line="240" w:lineRule="auto"/>
        <w:contextualSpacing/>
        <w:jc w:val="left"/>
      </w:pPr>
    </w:p>
    <w:p w:rsidR="002654B6" w:rsidRDefault="002654B6" w:rsidP="00085F47">
      <w:pPr>
        <w:spacing w:line="240" w:lineRule="auto"/>
        <w:contextualSpacing/>
        <w:jc w:val="left"/>
      </w:pPr>
      <w:r>
        <w:t>Office of Consumer Advocate</w:t>
      </w:r>
      <w:r>
        <w:tab/>
      </w:r>
      <w:r>
        <w:tab/>
      </w:r>
      <w:r>
        <w:tab/>
        <w:t>:</w:t>
      </w:r>
    </w:p>
    <w:p w:rsidR="002654B6" w:rsidRDefault="002654B6" w:rsidP="00085F47">
      <w:pPr>
        <w:spacing w:line="240" w:lineRule="auto"/>
        <w:contextualSpacing/>
        <w:jc w:val="left"/>
      </w:pPr>
      <w:r>
        <w:tab/>
      </w:r>
      <w:r>
        <w:tab/>
      </w:r>
      <w:r>
        <w:tab/>
      </w:r>
      <w:r>
        <w:tab/>
      </w:r>
      <w:r>
        <w:tab/>
      </w:r>
      <w:r>
        <w:tab/>
      </w:r>
      <w:r>
        <w:tab/>
      </w:r>
      <w:bookmarkStart w:id="0" w:name="_GoBack"/>
      <w:bookmarkEnd w:id="0"/>
      <w:r>
        <w:t>:</w:t>
      </w:r>
    </w:p>
    <w:p w:rsidR="002654B6" w:rsidRDefault="002654B6" w:rsidP="00085F47">
      <w:pPr>
        <w:spacing w:line="240" w:lineRule="auto"/>
        <w:contextualSpacing/>
        <w:jc w:val="left"/>
      </w:pPr>
      <w:r>
        <w:tab/>
        <w:t>v.</w:t>
      </w:r>
      <w:r>
        <w:tab/>
      </w:r>
      <w:r>
        <w:tab/>
      </w:r>
      <w:r>
        <w:tab/>
      </w:r>
      <w:r>
        <w:tab/>
      </w:r>
      <w:r>
        <w:tab/>
      </w:r>
      <w:r>
        <w:tab/>
        <w:t>:</w:t>
      </w:r>
      <w:r>
        <w:tab/>
      </w:r>
      <w:r>
        <w:tab/>
        <w:t>C-2011-2267808</w:t>
      </w:r>
    </w:p>
    <w:p w:rsidR="002654B6" w:rsidRDefault="002654B6" w:rsidP="00085F47">
      <w:pPr>
        <w:spacing w:line="240" w:lineRule="auto"/>
        <w:contextualSpacing/>
        <w:jc w:val="left"/>
      </w:pPr>
      <w:r>
        <w:tab/>
      </w:r>
      <w:r>
        <w:tab/>
      </w:r>
      <w:r>
        <w:tab/>
      </w:r>
      <w:r>
        <w:tab/>
      </w:r>
      <w:r>
        <w:tab/>
      </w:r>
      <w:r>
        <w:tab/>
      </w:r>
      <w:r>
        <w:tab/>
        <w:t>:</w:t>
      </w:r>
    </w:p>
    <w:p w:rsidR="002654B6" w:rsidRDefault="002654B6" w:rsidP="00085F47">
      <w:pPr>
        <w:spacing w:line="240" w:lineRule="auto"/>
        <w:contextualSpacing/>
        <w:jc w:val="left"/>
      </w:pPr>
      <w:r>
        <w:t>PPL Electric Utilities Corporation</w:t>
      </w:r>
      <w:r>
        <w:tab/>
      </w:r>
      <w:r>
        <w:tab/>
      </w:r>
      <w:r>
        <w:tab/>
        <w:t>:</w:t>
      </w:r>
    </w:p>
    <w:p w:rsidR="002654B6" w:rsidRDefault="002654B6" w:rsidP="00085F47">
      <w:pPr>
        <w:spacing w:line="240" w:lineRule="auto"/>
        <w:contextualSpacing/>
        <w:jc w:val="left"/>
      </w:pPr>
    </w:p>
    <w:p w:rsidR="002654B6" w:rsidRDefault="002654B6" w:rsidP="00085F47">
      <w:pPr>
        <w:spacing w:line="240" w:lineRule="auto"/>
        <w:contextualSpacing/>
        <w:jc w:val="left"/>
      </w:pPr>
      <w:r>
        <w:t>Office of Small Business Advocate</w:t>
      </w:r>
      <w:r>
        <w:tab/>
      </w:r>
      <w:r>
        <w:tab/>
      </w:r>
      <w:r>
        <w:tab/>
        <w:t>:</w:t>
      </w:r>
    </w:p>
    <w:p w:rsidR="002654B6" w:rsidRDefault="002654B6" w:rsidP="00085F47">
      <w:pPr>
        <w:spacing w:line="240" w:lineRule="auto"/>
        <w:contextualSpacing/>
        <w:jc w:val="left"/>
      </w:pPr>
      <w:r>
        <w:tab/>
      </w:r>
      <w:r>
        <w:tab/>
      </w:r>
      <w:r>
        <w:tab/>
      </w:r>
      <w:r>
        <w:tab/>
      </w:r>
      <w:r>
        <w:tab/>
      </w:r>
      <w:r>
        <w:tab/>
      </w:r>
      <w:r>
        <w:tab/>
        <w:t>:</w:t>
      </w:r>
    </w:p>
    <w:p w:rsidR="002654B6" w:rsidRDefault="002654B6" w:rsidP="00085F47">
      <w:pPr>
        <w:spacing w:line="240" w:lineRule="auto"/>
        <w:contextualSpacing/>
        <w:jc w:val="left"/>
      </w:pPr>
      <w:r>
        <w:tab/>
        <w:t>v.</w:t>
      </w:r>
      <w:r>
        <w:tab/>
      </w:r>
      <w:r>
        <w:tab/>
      </w:r>
      <w:r>
        <w:tab/>
      </w:r>
      <w:r>
        <w:tab/>
      </w:r>
      <w:r>
        <w:tab/>
      </w:r>
      <w:r>
        <w:tab/>
        <w:t>:</w:t>
      </w:r>
      <w:r>
        <w:tab/>
      </w:r>
      <w:r>
        <w:tab/>
        <w:t>C-2011-2268983</w:t>
      </w:r>
    </w:p>
    <w:p w:rsidR="002654B6" w:rsidRDefault="002654B6" w:rsidP="00085F47">
      <w:pPr>
        <w:spacing w:line="240" w:lineRule="auto"/>
        <w:contextualSpacing/>
        <w:jc w:val="left"/>
      </w:pPr>
      <w:r>
        <w:tab/>
      </w:r>
      <w:r>
        <w:tab/>
      </w:r>
      <w:r>
        <w:tab/>
      </w:r>
      <w:r>
        <w:tab/>
      </w:r>
      <w:r>
        <w:tab/>
      </w:r>
      <w:r>
        <w:tab/>
      </w:r>
      <w:r>
        <w:tab/>
        <w:t>:</w:t>
      </w:r>
    </w:p>
    <w:p w:rsidR="002654B6" w:rsidRDefault="002654B6" w:rsidP="00085F47">
      <w:pPr>
        <w:spacing w:line="240" w:lineRule="auto"/>
        <w:contextualSpacing/>
        <w:jc w:val="left"/>
      </w:pPr>
      <w:r>
        <w:t>PPL Electric Utilities Corporation</w:t>
      </w:r>
      <w:r>
        <w:tab/>
      </w:r>
      <w:r>
        <w:tab/>
      </w:r>
      <w:r>
        <w:tab/>
        <w:t>:</w:t>
      </w:r>
    </w:p>
    <w:p w:rsidR="002654B6" w:rsidRDefault="002654B6" w:rsidP="00085F47">
      <w:pPr>
        <w:spacing w:line="240" w:lineRule="auto"/>
        <w:contextualSpacing/>
        <w:jc w:val="left"/>
      </w:pPr>
    </w:p>
    <w:p w:rsidR="002654B6" w:rsidRDefault="002654B6" w:rsidP="00085F47">
      <w:pPr>
        <w:spacing w:line="240" w:lineRule="auto"/>
        <w:contextualSpacing/>
        <w:jc w:val="left"/>
      </w:pPr>
    </w:p>
    <w:p w:rsidR="00085F47" w:rsidRDefault="00085F47" w:rsidP="00085F47">
      <w:pPr>
        <w:spacing w:line="240" w:lineRule="auto"/>
        <w:contextualSpacing/>
        <w:jc w:val="left"/>
      </w:pPr>
    </w:p>
    <w:p w:rsidR="002654B6" w:rsidRPr="00886726" w:rsidRDefault="002654B6" w:rsidP="00085F47">
      <w:pPr>
        <w:spacing w:line="240" w:lineRule="auto"/>
        <w:contextualSpacing/>
        <w:rPr>
          <w:b/>
          <w:u w:val="single"/>
        </w:rPr>
      </w:pPr>
      <w:r w:rsidRPr="00886726">
        <w:rPr>
          <w:b/>
          <w:u w:val="single"/>
        </w:rPr>
        <w:t>RECOMMENDED DECISION</w:t>
      </w:r>
    </w:p>
    <w:p w:rsidR="002654B6" w:rsidRPr="00886726" w:rsidRDefault="002654B6" w:rsidP="00085F47">
      <w:pPr>
        <w:spacing w:line="240" w:lineRule="auto"/>
        <w:contextualSpacing/>
        <w:rPr>
          <w:b/>
          <w:u w:val="single"/>
        </w:rPr>
      </w:pPr>
    </w:p>
    <w:p w:rsidR="00085F47" w:rsidRDefault="00085F47" w:rsidP="00085F47">
      <w:pPr>
        <w:spacing w:line="240" w:lineRule="auto"/>
        <w:contextualSpacing/>
        <w:rPr>
          <w:b/>
        </w:rPr>
      </w:pPr>
    </w:p>
    <w:p w:rsidR="002654B6" w:rsidRDefault="002654B6" w:rsidP="00085F47">
      <w:pPr>
        <w:spacing w:line="240" w:lineRule="auto"/>
        <w:contextualSpacing/>
      </w:pPr>
      <w:r>
        <w:t>Before</w:t>
      </w:r>
    </w:p>
    <w:p w:rsidR="002654B6" w:rsidRDefault="002654B6" w:rsidP="00085F47">
      <w:pPr>
        <w:spacing w:line="240" w:lineRule="auto"/>
        <w:contextualSpacing/>
      </w:pPr>
      <w:r>
        <w:t>Susan D. Colwell</w:t>
      </w:r>
    </w:p>
    <w:p w:rsidR="002654B6" w:rsidRDefault="002654B6" w:rsidP="00085F47">
      <w:pPr>
        <w:spacing w:line="240" w:lineRule="auto"/>
        <w:contextualSpacing/>
      </w:pPr>
      <w:r>
        <w:t>Administrative Law Judge</w:t>
      </w:r>
    </w:p>
    <w:p w:rsidR="002654B6" w:rsidRDefault="002654B6" w:rsidP="00085F47">
      <w:pPr>
        <w:spacing w:line="240" w:lineRule="auto"/>
        <w:contextualSpacing/>
      </w:pPr>
    </w:p>
    <w:p w:rsidR="002654B6" w:rsidRDefault="002654B6" w:rsidP="00085F47">
      <w:pPr>
        <w:spacing w:line="240" w:lineRule="auto"/>
        <w:contextualSpacing/>
      </w:pPr>
    </w:p>
    <w:p w:rsidR="002654B6" w:rsidRPr="002654B6" w:rsidRDefault="002654B6" w:rsidP="00085F47">
      <w:pPr>
        <w:spacing w:line="240" w:lineRule="auto"/>
        <w:contextualSpacing/>
        <w:rPr>
          <w:u w:val="single"/>
        </w:rPr>
      </w:pPr>
      <w:r>
        <w:rPr>
          <w:u w:val="single"/>
        </w:rPr>
        <w:t>HISTORY OF THE PROCEEDING</w:t>
      </w:r>
    </w:p>
    <w:p w:rsidR="002654B6" w:rsidRDefault="002654B6" w:rsidP="00085F47">
      <w:pPr>
        <w:spacing w:line="240" w:lineRule="auto"/>
        <w:contextualSpacing/>
        <w:jc w:val="left"/>
      </w:pPr>
    </w:p>
    <w:p w:rsidR="00085F47" w:rsidRDefault="00085F47" w:rsidP="00085F47">
      <w:pPr>
        <w:spacing w:line="240" w:lineRule="auto"/>
        <w:contextualSpacing/>
        <w:jc w:val="left"/>
      </w:pPr>
    </w:p>
    <w:p w:rsidR="002654B6" w:rsidRDefault="002654B6" w:rsidP="00085F47">
      <w:pPr>
        <w:contextualSpacing/>
        <w:jc w:val="left"/>
      </w:pPr>
      <w:r>
        <w:tab/>
      </w:r>
      <w:r>
        <w:tab/>
        <w:t>On September 26, 2011, PPL Electric Utilities Corporation (Company or PPL) filed Supplement No. 110 to Tariff Electric Pa. P.U.C. No. 201 containing proposed changes in rates, rules, and regulations proposing to implement a new Time-of-Use (TOU) program for its residential and small commercial and industrial customer classes.</w:t>
      </w:r>
    </w:p>
    <w:p w:rsidR="002654B6" w:rsidRDefault="002654B6" w:rsidP="00085F47">
      <w:pPr>
        <w:contextualSpacing/>
        <w:jc w:val="left"/>
      </w:pPr>
    </w:p>
    <w:p w:rsidR="002654B6" w:rsidRDefault="002654B6" w:rsidP="00085F47">
      <w:pPr>
        <w:contextualSpacing/>
        <w:jc w:val="left"/>
      </w:pPr>
      <w:r>
        <w:tab/>
      </w:r>
      <w:r>
        <w:tab/>
        <w:t xml:space="preserve">The filing was in response to the Commission Order entered August 25, 2011 at Docket No. M-2011-2258733, which directed the Company to submit a revised TOU plan within </w:t>
      </w:r>
      <w:r>
        <w:lastRenderedPageBreak/>
        <w:t xml:space="preserve">30 days, and directed that the Company's currently effective TOU rates remain in effect for up to a six-month period. </w:t>
      </w:r>
    </w:p>
    <w:p w:rsidR="002654B6" w:rsidRDefault="002654B6" w:rsidP="00085F47">
      <w:pPr>
        <w:contextualSpacing/>
        <w:jc w:val="left"/>
      </w:pPr>
    </w:p>
    <w:p w:rsidR="002654B6" w:rsidRDefault="002654B6" w:rsidP="00085F47">
      <w:pPr>
        <w:contextualSpacing/>
        <w:jc w:val="left"/>
      </w:pPr>
      <w:r>
        <w:tab/>
      </w:r>
      <w:r>
        <w:tab/>
        <w:t xml:space="preserve">On October 18, 2011, the Office of Consumer Advocate (OCA) filed a formal Complaint at docket no. </w:t>
      </w:r>
      <w:proofErr w:type="gramStart"/>
      <w:r>
        <w:t>C-2011-2267808,</w:t>
      </w:r>
      <w:proofErr w:type="gramEnd"/>
      <w:r>
        <w:t xml:space="preserve"> and the Office of Small Business Advocate (OSBA) filed a formal Complaint at </w:t>
      </w:r>
      <w:r w:rsidR="001A19C5">
        <w:t>Docket N</w:t>
      </w:r>
      <w:r>
        <w:t xml:space="preserve">o. </w:t>
      </w:r>
      <w:proofErr w:type="gramStart"/>
      <w:r>
        <w:t>C-2011-2268983.</w:t>
      </w:r>
      <w:proofErr w:type="gramEnd"/>
      <w:r>
        <w:t xml:space="preserve">  PPL filed its Answer to the OCA Complaint on October 31, 2011, and </w:t>
      </w:r>
      <w:proofErr w:type="gramStart"/>
      <w:r>
        <w:t>its</w:t>
      </w:r>
      <w:proofErr w:type="gramEnd"/>
      <w:r>
        <w:t xml:space="preserve"> Answer to the OSBA Complaint on November 7, 2011.  </w:t>
      </w:r>
    </w:p>
    <w:p w:rsidR="002654B6" w:rsidRDefault="002654B6" w:rsidP="00085F47">
      <w:pPr>
        <w:contextualSpacing/>
        <w:jc w:val="left"/>
      </w:pPr>
    </w:p>
    <w:p w:rsidR="002654B6" w:rsidRDefault="002654B6" w:rsidP="00085F47">
      <w:pPr>
        <w:contextualSpacing/>
        <w:jc w:val="left"/>
      </w:pPr>
      <w:r>
        <w:tab/>
      </w:r>
      <w:r>
        <w:tab/>
        <w:t>Petitions to Intervene were filed on October 5, 2011, by Dominion Retail, Inc. d/b/a Dominion Energy Solutions</w:t>
      </w:r>
      <w:r w:rsidR="0087214B">
        <w:t xml:space="preserve"> (DR)</w:t>
      </w:r>
      <w:r>
        <w:t xml:space="preserve">, on October 21, 2011 by Eric Joseph Epstein (Mr. Epstein), and on October 27, 2011 by the Sustainable Energy Fund of Central Eastern Pennsylvania (SEF).  The Commission's Bureau of Investigation and Enforcement (I&amp;E) filed its Notice of Appearance on October 12, 2011.  </w:t>
      </w:r>
    </w:p>
    <w:p w:rsidR="002654B6" w:rsidRDefault="002654B6" w:rsidP="00085F47">
      <w:pPr>
        <w:contextualSpacing/>
        <w:jc w:val="left"/>
      </w:pPr>
    </w:p>
    <w:p w:rsidR="002654B6" w:rsidRDefault="002654B6" w:rsidP="00085F47">
      <w:pPr>
        <w:contextualSpacing/>
        <w:jc w:val="left"/>
      </w:pPr>
      <w:r>
        <w:tab/>
      </w:r>
      <w:r>
        <w:tab/>
        <w:t xml:space="preserve">By Notice issued November 28, 2011, a prehearing conference was scheduled for December 9, 2011, and the matter was assigned to me.  </w:t>
      </w:r>
    </w:p>
    <w:p w:rsidR="002654B6" w:rsidRDefault="002654B6" w:rsidP="00085F47">
      <w:pPr>
        <w:contextualSpacing/>
        <w:jc w:val="left"/>
      </w:pPr>
    </w:p>
    <w:p w:rsidR="002654B6" w:rsidRDefault="002654B6" w:rsidP="00085F47">
      <w:pPr>
        <w:contextualSpacing/>
        <w:jc w:val="left"/>
      </w:pPr>
      <w:r>
        <w:tab/>
      </w:r>
      <w:r>
        <w:tab/>
        <w:t xml:space="preserve">Prehearing memos were filed by each of the above-listed parties, and the conference was held as scheduled.  The following participated:  on behalf of the Company, David B. MacGregor, Esq., Paul E. Russell, Esq., and Anthony Kanagy, Esq.; on behalf of I&amp;E, Richard A. Kanaskie, Esq.; on behalf of OCA, Aron Beatty, Esq.; on behalf of OSBA, Sharon Webb, Esq.; on behalf of SEF, Kenneth J. Mickens, Esq.; on behalf of Dominion Retail, Todd S. Stewart, Esq.; and Mr. Epstein appeared on his own behalf.  </w:t>
      </w:r>
    </w:p>
    <w:p w:rsidR="002B67BA" w:rsidRDefault="002B67BA" w:rsidP="00085F47">
      <w:pPr>
        <w:contextualSpacing/>
        <w:jc w:val="left"/>
      </w:pPr>
    </w:p>
    <w:p w:rsidR="002654B6" w:rsidRDefault="002654B6" w:rsidP="00085F47">
      <w:pPr>
        <w:contextualSpacing/>
        <w:jc w:val="left"/>
      </w:pPr>
      <w:r>
        <w:tab/>
      </w:r>
      <w:r>
        <w:tab/>
        <w:t xml:space="preserve">The petitions to intervene were granted without opposition.  </w:t>
      </w:r>
    </w:p>
    <w:p w:rsidR="002654B6" w:rsidRDefault="002654B6" w:rsidP="00085F47">
      <w:pPr>
        <w:contextualSpacing/>
        <w:jc w:val="left"/>
      </w:pPr>
    </w:p>
    <w:p w:rsidR="002654B6" w:rsidRDefault="002654B6" w:rsidP="00085F47">
      <w:pPr>
        <w:contextualSpacing/>
        <w:jc w:val="left"/>
      </w:pPr>
      <w:r>
        <w:tab/>
      </w:r>
      <w:r>
        <w:tab/>
        <w:t xml:space="preserve">The parties agreed upon a litigation schedule and modifications to the discovery regulations, which were memorialized in a Scheduling Order issued December 12, 2011.  </w:t>
      </w:r>
    </w:p>
    <w:p w:rsidR="002654B6" w:rsidRDefault="002654B6" w:rsidP="00085F47">
      <w:pPr>
        <w:contextualSpacing/>
        <w:jc w:val="left"/>
      </w:pPr>
    </w:p>
    <w:p w:rsidR="002654B6" w:rsidRDefault="002654B6" w:rsidP="00085F47">
      <w:pPr>
        <w:contextualSpacing/>
        <w:jc w:val="left"/>
      </w:pPr>
      <w:r>
        <w:tab/>
      </w:r>
      <w:r>
        <w:tab/>
        <w:t>The evidentiary hearing was held on February 22, 2012, and the following testimony was accepted into the record:</w:t>
      </w:r>
    </w:p>
    <w:p w:rsidR="00085F47" w:rsidRDefault="00085F47" w:rsidP="00085F47">
      <w:pPr>
        <w:contextualSpacing/>
        <w:jc w:val="left"/>
      </w:pPr>
    </w:p>
    <w:p w:rsidR="002654B6" w:rsidRDefault="002654B6" w:rsidP="00085F47">
      <w:pPr>
        <w:spacing w:line="240" w:lineRule="auto"/>
        <w:ind w:firstLine="720"/>
        <w:contextualSpacing/>
        <w:jc w:val="left"/>
      </w:pPr>
      <w:r>
        <w:t>For PPL Electric:</w:t>
      </w:r>
    </w:p>
    <w:p w:rsidR="00085F47" w:rsidRDefault="00085F47" w:rsidP="00085F47">
      <w:pPr>
        <w:spacing w:line="240" w:lineRule="auto"/>
        <w:contextualSpacing/>
        <w:jc w:val="left"/>
      </w:pPr>
    </w:p>
    <w:p w:rsidR="002654B6" w:rsidRDefault="007D01CE" w:rsidP="00085F47">
      <w:pPr>
        <w:spacing w:line="240" w:lineRule="auto"/>
        <w:ind w:left="1440"/>
        <w:contextualSpacing/>
        <w:jc w:val="left"/>
      </w:pPr>
      <w:r>
        <w:t>PPL Statement 1</w:t>
      </w:r>
      <w:r>
        <w:tab/>
        <w:t xml:space="preserve">Direct </w:t>
      </w:r>
      <w:r w:rsidR="002654B6">
        <w:t>of Joseph M. Kleha</w:t>
      </w:r>
    </w:p>
    <w:p w:rsidR="007D01CE" w:rsidRDefault="007D01CE" w:rsidP="00085F47">
      <w:pPr>
        <w:spacing w:line="240" w:lineRule="auto"/>
        <w:ind w:left="1440"/>
        <w:contextualSpacing/>
        <w:jc w:val="left"/>
      </w:pPr>
      <w:r>
        <w:t>PPL Statement 1-R</w:t>
      </w:r>
      <w:r>
        <w:tab/>
        <w:t>Rebuttal of Joseph M. Kleha</w:t>
      </w:r>
    </w:p>
    <w:p w:rsidR="002654B6" w:rsidRDefault="002654B6" w:rsidP="00085F47">
      <w:pPr>
        <w:spacing w:line="240" w:lineRule="auto"/>
        <w:ind w:left="1440"/>
        <w:contextualSpacing/>
        <w:jc w:val="left"/>
      </w:pPr>
      <w:r>
        <w:t>PPL Statement 2</w:t>
      </w:r>
      <w:r>
        <w:tab/>
        <w:t xml:space="preserve">Direct of David R. Woodruff  </w:t>
      </w:r>
    </w:p>
    <w:p w:rsidR="007D01CE" w:rsidRDefault="007D01CE" w:rsidP="00085F47">
      <w:pPr>
        <w:spacing w:line="240" w:lineRule="auto"/>
        <w:ind w:left="1440"/>
        <w:contextualSpacing/>
        <w:jc w:val="left"/>
      </w:pPr>
      <w:r>
        <w:t>PPL Statement 2-R</w:t>
      </w:r>
      <w:r>
        <w:tab/>
        <w:t>Rebuttal of David R. Woodruff</w:t>
      </w:r>
    </w:p>
    <w:p w:rsidR="00085F47" w:rsidRDefault="00085F47" w:rsidP="00085F47">
      <w:pPr>
        <w:spacing w:line="240" w:lineRule="auto"/>
        <w:ind w:left="1440"/>
        <w:contextualSpacing/>
        <w:jc w:val="left"/>
      </w:pPr>
    </w:p>
    <w:p w:rsidR="007D01CE" w:rsidRDefault="007D01CE" w:rsidP="00085F47">
      <w:pPr>
        <w:spacing w:line="240" w:lineRule="auto"/>
        <w:ind w:firstLine="720"/>
        <w:contextualSpacing/>
        <w:jc w:val="left"/>
      </w:pPr>
      <w:r>
        <w:t>For I&amp;E</w:t>
      </w:r>
    </w:p>
    <w:p w:rsidR="00085F47" w:rsidRDefault="00085F47" w:rsidP="00085F47">
      <w:pPr>
        <w:spacing w:line="240" w:lineRule="auto"/>
        <w:contextualSpacing/>
        <w:jc w:val="left"/>
      </w:pPr>
    </w:p>
    <w:p w:rsidR="007D01CE" w:rsidRDefault="007D01CE" w:rsidP="00085F47">
      <w:pPr>
        <w:spacing w:line="240" w:lineRule="auto"/>
        <w:ind w:left="1440"/>
        <w:contextualSpacing/>
        <w:jc w:val="left"/>
      </w:pPr>
      <w:r>
        <w:t>I&amp;E Statement 1</w:t>
      </w:r>
      <w:r>
        <w:tab/>
        <w:t>Direct of Scott Granger</w:t>
      </w:r>
    </w:p>
    <w:p w:rsidR="00085F47" w:rsidRDefault="00085F47" w:rsidP="00085F47">
      <w:pPr>
        <w:spacing w:line="240" w:lineRule="auto"/>
        <w:ind w:left="1440"/>
        <w:contextualSpacing/>
        <w:jc w:val="left"/>
      </w:pPr>
    </w:p>
    <w:p w:rsidR="007D01CE" w:rsidRDefault="007D01CE" w:rsidP="00085F47">
      <w:pPr>
        <w:spacing w:line="240" w:lineRule="auto"/>
        <w:ind w:left="720"/>
        <w:contextualSpacing/>
        <w:jc w:val="left"/>
      </w:pPr>
      <w:r>
        <w:t>For Dominion Retail</w:t>
      </w:r>
    </w:p>
    <w:p w:rsidR="00085F47" w:rsidRDefault="00085F47" w:rsidP="00085F47">
      <w:pPr>
        <w:spacing w:line="240" w:lineRule="auto"/>
        <w:contextualSpacing/>
        <w:jc w:val="left"/>
      </w:pPr>
    </w:p>
    <w:p w:rsidR="007D01CE" w:rsidRDefault="007D01CE" w:rsidP="00085F47">
      <w:pPr>
        <w:spacing w:line="240" w:lineRule="auto"/>
        <w:ind w:left="1440"/>
        <w:contextualSpacing/>
        <w:jc w:val="left"/>
      </w:pPr>
      <w:r>
        <w:t>DR Statement 1</w:t>
      </w:r>
      <w:r>
        <w:tab/>
        <w:t>Direct of Thomas J. Butler</w:t>
      </w:r>
    </w:p>
    <w:p w:rsidR="00085F47" w:rsidRDefault="00085F47" w:rsidP="00085F47">
      <w:pPr>
        <w:spacing w:line="240" w:lineRule="auto"/>
        <w:ind w:left="1440"/>
        <w:contextualSpacing/>
        <w:jc w:val="left"/>
      </w:pPr>
    </w:p>
    <w:p w:rsidR="007D01CE" w:rsidRDefault="007D01CE" w:rsidP="00085F47">
      <w:pPr>
        <w:spacing w:line="240" w:lineRule="auto"/>
        <w:ind w:left="720"/>
        <w:contextualSpacing/>
        <w:jc w:val="left"/>
      </w:pPr>
      <w:r>
        <w:t>For OSBA</w:t>
      </w:r>
    </w:p>
    <w:p w:rsidR="00085F47" w:rsidRDefault="00085F47" w:rsidP="00085F47">
      <w:pPr>
        <w:spacing w:line="240" w:lineRule="auto"/>
        <w:contextualSpacing/>
        <w:jc w:val="left"/>
      </w:pPr>
    </w:p>
    <w:p w:rsidR="007D01CE" w:rsidRDefault="007D01CE" w:rsidP="00085F47">
      <w:pPr>
        <w:spacing w:line="240" w:lineRule="auto"/>
        <w:ind w:left="1440"/>
        <w:contextualSpacing/>
        <w:jc w:val="left"/>
      </w:pPr>
      <w:r>
        <w:t>OSBA Statement 1</w:t>
      </w:r>
      <w:r>
        <w:tab/>
        <w:t>Direct and exhibits of Robert D. Knecht</w:t>
      </w:r>
    </w:p>
    <w:p w:rsidR="007D01CE" w:rsidRDefault="007D01CE" w:rsidP="00085F47">
      <w:pPr>
        <w:spacing w:line="240" w:lineRule="auto"/>
        <w:ind w:left="1440"/>
        <w:contextualSpacing/>
        <w:jc w:val="left"/>
      </w:pPr>
      <w:r>
        <w:t>OSBA Statement 2</w:t>
      </w:r>
      <w:r>
        <w:tab/>
        <w:t>Rebuttal and exhibits of Robert D. Knecht</w:t>
      </w:r>
    </w:p>
    <w:p w:rsidR="00085F47" w:rsidRDefault="00085F47" w:rsidP="00085F47">
      <w:pPr>
        <w:spacing w:line="240" w:lineRule="auto"/>
        <w:contextualSpacing/>
        <w:jc w:val="left"/>
      </w:pPr>
    </w:p>
    <w:p w:rsidR="007D01CE" w:rsidRDefault="007D01CE" w:rsidP="00085F47">
      <w:pPr>
        <w:spacing w:line="240" w:lineRule="auto"/>
        <w:ind w:left="720"/>
        <w:contextualSpacing/>
        <w:jc w:val="left"/>
      </w:pPr>
      <w:r>
        <w:t>For OCA</w:t>
      </w:r>
    </w:p>
    <w:p w:rsidR="00085F47" w:rsidRDefault="00085F47" w:rsidP="00085F47">
      <w:pPr>
        <w:spacing w:line="240" w:lineRule="auto"/>
        <w:contextualSpacing/>
        <w:jc w:val="left"/>
      </w:pPr>
    </w:p>
    <w:p w:rsidR="007D01CE" w:rsidRDefault="007D01CE" w:rsidP="00085F47">
      <w:pPr>
        <w:spacing w:line="240" w:lineRule="auto"/>
        <w:ind w:left="1440"/>
        <w:contextualSpacing/>
        <w:jc w:val="left"/>
      </w:pPr>
      <w:r>
        <w:t>OCA Statement 1</w:t>
      </w:r>
      <w:r>
        <w:tab/>
        <w:t>Direct of Richard Hahn</w:t>
      </w:r>
    </w:p>
    <w:p w:rsidR="00085F47" w:rsidRDefault="00085F47" w:rsidP="00085F47">
      <w:pPr>
        <w:spacing w:line="240" w:lineRule="auto"/>
        <w:contextualSpacing/>
        <w:jc w:val="left"/>
      </w:pPr>
    </w:p>
    <w:p w:rsidR="007D01CE" w:rsidRDefault="007D01CE" w:rsidP="00085F47">
      <w:pPr>
        <w:spacing w:line="240" w:lineRule="auto"/>
        <w:ind w:left="720"/>
        <w:contextualSpacing/>
        <w:jc w:val="left"/>
      </w:pPr>
      <w:r>
        <w:t>For SEF</w:t>
      </w:r>
    </w:p>
    <w:p w:rsidR="00085F47" w:rsidRDefault="00085F47" w:rsidP="00085F47">
      <w:pPr>
        <w:spacing w:line="240" w:lineRule="auto"/>
        <w:contextualSpacing/>
        <w:jc w:val="left"/>
      </w:pPr>
    </w:p>
    <w:p w:rsidR="007D01CE" w:rsidRDefault="007D01CE" w:rsidP="00085F47">
      <w:pPr>
        <w:spacing w:line="240" w:lineRule="auto"/>
        <w:ind w:left="1440"/>
        <w:contextualSpacing/>
        <w:jc w:val="left"/>
      </w:pPr>
      <w:r>
        <w:t>SEF Statement 1</w:t>
      </w:r>
      <w:r>
        <w:tab/>
        <w:t>Direct of John M. Costlow</w:t>
      </w:r>
    </w:p>
    <w:p w:rsidR="007D01CE" w:rsidRDefault="007D01CE" w:rsidP="00085F47">
      <w:pPr>
        <w:spacing w:line="240" w:lineRule="auto"/>
        <w:ind w:left="1440"/>
        <w:contextualSpacing/>
        <w:jc w:val="left"/>
      </w:pPr>
      <w:r>
        <w:t>SEF Statement 1-R</w:t>
      </w:r>
      <w:r>
        <w:tab/>
        <w:t>Rebuttal of John M. Costlow</w:t>
      </w:r>
    </w:p>
    <w:p w:rsidR="007D01CE" w:rsidRDefault="007D01CE" w:rsidP="00085F47">
      <w:pPr>
        <w:contextualSpacing/>
        <w:jc w:val="left"/>
      </w:pPr>
    </w:p>
    <w:p w:rsidR="005818CD" w:rsidRDefault="007D01CE" w:rsidP="00085F47">
      <w:pPr>
        <w:contextualSpacing/>
        <w:jc w:val="left"/>
      </w:pPr>
      <w:r>
        <w:tab/>
      </w:r>
      <w:r>
        <w:tab/>
        <w:t>The transcript of</w:t>
      </w:r>
      <w:r w:rsidR="004939E6">
        <w:t xml:space="preserve"> 150</w:t>
      </w:r>
      <w:r>
        <w:t xml:space="preserve"> pages was generated, and it was filed on </w:t>
      </w:r>
      <w:r w:rsidR="004939E6">
        <w:t>February 27, 2012</w:t>
      </w:r>
      <w:r>
        <w:t xml:space="preserve">.  The parties filed main and reply briefs.  The record closed upon receipt of reply briefs on </w:t>
      </w:r>
    </w:p>
    <w:p w:rsidR="007D01CE" w:rsidRDefault="002B67BA" w:rsidP="00085F47">
      <w:pPr>
        <w:contextualSpacing/>
        <w:jc w:val="left"/>
      </w:pPr>
      <w:r>
        <w:t>April 11, 2012</w:t>
      </w:r>
      <w:r w:rsidR="007D01CE">
        <w:t>.  The matter is now ready for recommendation.</w:t>
      </w:r>
    </w:p>
    <w:p w:rsidR="007D01CE" w:rsidRDefault="007D01CE" w:rsidP="00085F47">
      <w:pPr>
        <w:contextualSpacing/>
        <w:jc w:val="left"/>
      </w:pPr>
    </w:p>
    <w:p w:rsidR="007D01CE" w:rsidRDefault="007D01CE" w:rsidP="00085F47">
      <w:pPr>
        <w:contextualSpacing/>
        <w:rPr>
          <w:u w:val="single"/>
        </w:rPr>
      </w:pPr>
      <w:r>
        <w:rPr>
          <w:u w:val="single"/>
        </w:rPr>
        <w:t>FINDINGS OF FACT</w:t>
      </w:r>
    </w:p>
    <w:p w:rsidR="007D01CE" w:rsidRDefault="007D01CE" w:rsidP="00085F47">
      <w:pPr>
        <w:contextualSpacing/>
        <w:rPr>
          <w:u w:val="single"/>
        </w:rPr>
      </w:pPr>
    </w:p>
    <w:p w:rsidR="002B67BA" w:rsidRDefault="002B67BA" w:rsidP="00085F47">
      <w:pPr>
        <w:pStyle w:val="Pleading2L3"/>
        <w:numPr>
          <w:ilvl w:val="0"/>
          <w:numId w:val="0"/>
        </w:numPr>
        <w:tabs>
          <w:tab w:val="num" w:pos="0"/>
        </w:tabs>
        <w:spacing w:line="360" w:lineRule="auto"/>
        <w:contextualSpacing/>
        <w:rPr>
          <w:szCs w:val="24"/>
        </w:rPr>
      </w:pPr>
      <w:r>
        <w:tab/>
      </w:r>
      <w:r>
        <w:tab/>
        <w:t>1.</w:t>
      </w:r>
      <w:r>
        <w:tab/>
      </w:r>
      <w:r w:rsidRPr="007C4E34">
        <w:rPr>
          <w:szCs w:val="24"/>
        </w:rPr>
        <w:t xml:space="preserve">PPL Electric Utilities Corporation is an electric distribution company providing service to approximately 1.4 million customers in its certificated service territory over about 10,000 square miles in 29 counties of the Commonwealth.  </w:t>
      </w:r>
    </w:p>
    <w:p w:rsidR="004939E6" w:rsidRPr="007C4E34" w:rsidRDefault="004939E6" w:rsidP="00085F47">
      <w:pPr>
        <w:pStyle w:val="Pleading2L3"/>
        <w:numPr>
          <w:ilvl w:val="0"/>
          <w:numId w:val="0"/>
        </w:numPr>
        <w:tabs>
          <w:tab w:val="num" w:pos="0"/>
        </w:tabs>
        <w:spacing w:line="360" w:lineRule="auto"/>
        <w:contextualSpacing/>
        <w:rPr>
          <w:szCs w:val="24"/>
        </w:rPr>
      </w:pPr>
    </w:p>
    <w:p w:rsidR="002B67BA" w:rsidRPr="007C4E34" w:rsidRDefault="002B67BA" w:rsidP="00085F47">
      <w:pPr>
        <w:pStyle w:val="Pleading2L3"/>
        <w:numPr>
          <w:ilvl w:val="0"/>
          <w:numId w:val="0"/>
        </w:numPr>
        <w:tabs>
          <w:tab w:val="num" w:pos="0"/>
        </w:tabs>
        <w:spacing w:line="360" w:lineRule="auto"/>
        <w:contextualSpacing/>
        <w:rPr>
          <w:szCs w:val="24"/>
        </w:rPr>
      </w:pPr>
      <w:r w:rsidRPr="007C4E34">
        <w:rPr>
          <w:szCs w:val="24"/>
        </w:rPr>
        <w:tab/>
      </w:r>
      <w:r w:rsidRPr="007C4E34">
        <w:rPr>
          <w:szCs w:val="24"/>
        </w:rPr>
        <w:tab/>
        <w:t>2.</w:t>
      </w:r>
      <w:r w:rsidRPr="007C4E34">
        <w:rPr>
          <w:szCs w:val="24"/>
        </w:rPr>
        <w:tab/>
        <w:t xml:space="preserve">OCA is a statutorily created public advocate empowered to represent the interests of consumers before the Public Utility Commission pursuant to Act 161 of the General Assembly, as amended, 71 P.S. §§ 309-1 </w:t>
      </w:r>
      <w:r w:rsidRPr="007C4E34">
        <w:rPr>
          <w:i/>
          <w:szCs w:val="24"/>
        </w:rPr>
        <w:t>et seq.</w:t>
      </w:r>
      <w:r w:rsidRPr="007C4E34">
        <w:rPr>
          <w:szCs w:val="24"/>
        </w:rPr>
        <w:t xml:space="preserve">  </w:t>
      </w:r>
      <w:proofErr w:type="gramStart"/>
      <w:r w:rsidRPr="007C4E34">
        <w:rPr>
          <w:szCs w:val="24"/>
        </w:rPr>
        <w:t>OCA Complaint and Notice of Intervention.</w:t>
      </w:r>
      <w:proofErr w:type="gramEnd"/>
    </w:p>
    <w:p w:rsidR="002B67BA" w:rsidRPr="007C4E34" w:rsidRDefault="002B67BA" w:rsidP="00085F47">
      <w:pPr>
        <w:pStyle w:val="Pleading2L3"/>
        <w:numPr>
          <w:ilvl w:val="0"/>
          <w:numId w:val="0"/>
        </w:numPr>
        <w:tabs>
          <w:tab w:val="num" w:pos="0"/>
        </w:tabs>
        <w:spacing w:line="360" w:lineRule="auto"/>
        <w:contextualSpacing/>
        <w:rPr>
          <w:szCs w:val="24"/>
        </w:rPr>
      </w:pPr>
    </w:p>
    <w:p w:rsidR="002B67BA" w:rsidRPr="007C4E34" w:rsidRDefault="002B67BA" w:rsidP="00085F47">
      <w:pPr>
        <w:pStyle w:val="Pleading2L3"/>
        <w:numPr>
          <w:ilvl w:val="0"/>
          <w:numId w:val="0"/>
        </w:numPr>
        <w:tabs>
          <w:tab w:val="num" w:pos="0"/>
        </w:tabs>
        <w:spacing w:line="360" w:lineRule="auto"/>
        <w:contextualSpacing/>
        <w:rPr>
          <w:szCs w:val="24"/>
        </w:rPr>
      </w:pPr>
      <w:r w:rsidRPr="007C4E34">
        <w:rPr>
          <w:szCs w:val="24"/>
        </w:rPr>
        <w:tab/>
      </w:r>
      <w:r w:rsidRPr="007C4E34">
        <w:rPr>
          <w:szCs w:val="24"/>
        </w:rPr>
        <w:tab/>
        <w:t>3.</w:t>
      </w:r>
      <w:r w:rsidRPr="007C4E34">
        <w:rPr>
          <w:szCs w:val="24"/>
        </w:rPr>
        <w:tab/>
        <w:t xml:space="preserve">The Commission's Office of Trial Staff filed its Notice of Appearance.  The name of this Commission office was renamed pursuant to an internal reorganization and is known as the Bureau of Investigation &amp; Enforcement (I&amp;E).  </w:t>
      </w:r>
      <w:r w:rsidRPr="007C4E34">
        <w:rPr>
          <w:i/>
          <w:szCs w:val="24"/>
        </w:rPr>
        <w:t xml:space="preserve">Implementation of Act 129 of 2008 Organization of Bureaus and Offices, </w:t>
      </w:r>
      <w:r w:rsidRPr="007C4E34">
        <w:rPr>
          <w:szCs w:val="24"/>
        </w:rPr>
        <w:t>Docket No. M-2008-2071852 (Order entered August 11,</w:t>
      </w:r>
      <w:r w:rsidR="00085F47">
        <w:rPr>
          <w:szCs w:val="24"/>
        </w:rPr>
        <w:t> </w:t>
      </w:r>
      <w:r w:rsidRPr="007C4E34">
        <w:rPr>
          <w:szCs w:val="24"/>
        </w:rPr>
        <w:t>2011).</w:t>
      </w:r>
    </w:p>
    <w:p w:rsidR="002B67BA" w:rsidRPr="007C4E34" w:rsidRDefault="002B67BA" w:rsidP="00085F47">
      <w:pPr>
        <w:pStyle w:val="Pleading2L3"/>
        <w:numPr>
          <w:ilvl w:val="0"/>
          <w:numId w:val="0"/>
        </w:numPr>
        <w:tabs>
          <w:tab w:val="num" w:pos="0"/>
        </w:tabs>
        <w:spacing w:line="360" w:lineRule="auto"/>
        <w:contextualSpacing/>
        <w:rPr>
          <w:szCs w:val="24"/>
        </w:rPr>
      </w:pPr>
    </w:p>
    <w:p w:rsidR="002B67BA" w:rsidRPr="007C4E34" w:rsidRDefault="002B67BA" w:rsidP="00085F47">
      <w:pPr>
        <w:pStyle w:val="Pleading2L3"/>
        <w:numPr>
          <w:ilvl w:val="0"/>
          <w:numId w:val="0"/>
        </w:numPr>
        <w:tabs>
          <w:tab w:val="num" w:pos="0"/>
        </w:tabs>
        <w:spacing w:line="360" w:lineRule="auto"/>
        <w:contextualSpacing/>
        <w:rPr>
          <w:szCs w:val="24"/>
        </w:rPr>
      </w:pPr>
      <w:r w:rsidRPr="007C4E34">
        <w:rPr>
          <w:szCs w:val="24"/>
        </w:rPr>
        <w:tab/>
      </w:r>
      <w:r w:rsidRPr="007C4E34">
        <w:rPr>
          <w:szCs w:val="24"/>
        </w:rPr>
        <w:tab/>
        <w:t>4.</w:t>
      </w:r>
      <w:r w:rsidRPr="007C4E34">
        <w:rPr>
          <w:szCs w:val="24"/>
        </w:rPr>
        <w:tab/>
        <w:t xml:space="preserve">OSBA is authorized to represent the interests of small business customers of utility services before the Commission pursuant to the provisions of the Small Business Advocate Act, Act 181 of 1988, 73 P.S. §§ 399.41-399.50.  </w:t>
      </w:r>
      <w:proofErr w:type="gramStart"/>
      <w:r w:rsidRPr="007C4E34">
        <w:rPr>
          <w:szCs w:val="24"/>
        </w:rPr>
        <w:t>OSBA Prehearing Memo at 1.</w:t>
      </w:r>
      <w:proofErr w:type="gramEnd"/>
    </w:p>
    <w:p w:rsidR="002B67BA" w:rsidRDefault="002B67BA" w:rsidP="00085F47">
      <w:pPr>
        <w:contextualSpacing/>
        <w:jc w:val="left"/>
      </w:pPr>
    </w:p>
    <w:p w:rsidR="002B67BA" w:rsidRDefault="002B67BA" w:rsidP="00085F47">
      <w:pPr>
        <w:contextualSpacing/>
        <w:jc w:val="left"/>
      </w:pPr>
      <w:r>
        <w:tab/>
      </w:r>
      <w:r>
        <w:tab/>
        <w:t>5.</w:t>
      </w:r>
      <w:r>
        <w:tab/>
        <w:t xml:space="preserve">SEF is a Pennsylvania corporation established at the conclusion of PPL Electric’s restructuring proceeding and pursuant to the terms of the joint settlement filed in that proceeding.  Its mission is to promote and invest in energy efficiency, renewable energy and energy conservation in order to provide opportunities and benefits for PPL Electric’s ratepayers.  </w:t>
      </w:r>
    </w:p>
    <w:p w:rsidR="002B67BA" w:rsidRDefault="002B67BA" w:rsidP="00085F47">
      <w:pPr>
        <w:contextualSpacing/>
        <w:jc w:val="left"/>
      </w:pPr>
    </w:p>
    <w:p w:rsidR="002B67BA" w:rsidRDefault="002B67BA" w:rsidP="00085F47">
      <w:pPr>
        <w:pStyle w:val="Pleading2L3"/>
        <w:numPr>
          <w:ilvl w:val="0"/>
          <w:numId w:val="0"/>
        </w:numPr>
        <w:tabs>
          <w:tab w:val="num" w:pos="0"/>
        </w:tabs>
        <w:spacing w:line="360" w:lineRule="auto"/>
        <w:contextualSpacing/>
        <w:jc w:val="both"/>
      </w:pPr>
      <w:r>
        <w:tab/>
      </w:r>
      <w:r>
        <w:tab/>
        <w:t>6.</w:t>
      </w:r>
      <w:r>
        <w:tab/>
        <w:t xml:space="preserve">Dominion Retail, Inc., is a licensed electric generation supplier in PPL Electric’s service territory and currently serves over 200,000 residential, commercial and industrial customers in that territory.  </w:t>
      </w:r>
    </w:p>
    <w:p w:rsidR="002B67BA" w:rsidRDefault="002B67BA" w:rsidP="00085F47">
      <w:pPr>
        <w:contextualSpacing/>
        <w:jc w:val="left"/>
      </w:pPr>
    </w:p>
    <w:p w:rsidR="002B67BA" w:rsidRDefault="002B67BA" w:rsidP="00085F47">
      <w:pPr>
        <w:contextualSpacing/>
        <w:jc w:val="left"/>
      </w:pPr>
      <w:r>
        <w:tab/>
      </w:r>
      <w:r>
        <w:tab/>
        <w:t>7.</w:t>
      </w:r>
      <w:r>
        <w:tab/>
        <w:t xml:space="preserve">Eric Joseph Epstein is a residential customer of PPL Electric with a history of intervention in PPL Electric’s cases before the Commission.  </w:t>
      </w:r>
    </w:p>
    <w:p w:rsidR="002B67BA" w:rsidRDefault="002B67BA" w:rsidP="00085F47">
      <w:pPr>
        <w:contextualSpacing/>
        <w:jc w:val="left"/>
      </w:pPr>
    </w:p>
    <w:p w:rsidR="002B67BA" w:rsidRDefault="002B67BA" w:rsidP="00085F47">
      <w:pPr>
        <w:contextualSpacing/>
        <w:jc w:val="left"/>
      </w:pPr>
      <w:r>
        <w:tab/>
      </w:r>
      <w:r>
        <w:tab/>
        <w:t>8.</w:t>
      </w:r>
      <w:r>
        <w:tab/>
      </w:r>
      <w:r w:rsidR="004811A2">
        <w:t xml:space="preserve">On September 26, 2011, PPL Electric filed Supplement No. 10 to the Company's Tariff Electric – Pa. P.U.C. No. 201 ("Supplement No. 110").  </w:t>
      </w:r>
      <w:proofErr w:type="gramStart"/>
      <w:r w:rsidR="004811A2">
        <w:t>PPL Electric Ex. 1.</w:t>
      </w:r>
      <w:proofErr w:type="gramEnd"/>
    </w:p>
    <w:p w:rsidR="004811A2" w:rsidRDefault="004811A2" w:rsidP="00085F47">
      <w:pPr>
        <w:contextualSpacing/>
        <w:jc w:val="left"/>
      </w:pPr>
    </w:p>
    <w:p w:rsidR="004811A2" w:rsidRDefault="004811A2" w:rsidP="00085F47">
      <w:pPr>
        <w:contextualSpacing/>
        <w:jc w:val="left"/>
      </w:pPr>
      <w:r>
        <w:tab/>
      </w:r>
      <w:r>
        <w:tab/>
        <w:t>9.</w:t>
      </w:r>
      <w:r>
        <w:tab/>
        <w:t xml:space="preserve">Supplement No. </w:t>
      </w:r>
      <w:r w:rsidR="00DD7674">
        <w:t>1</w:t>
      </w:r>
      <w:r>
        <w:t xml:space="preserve">10 contains the Company's proposal to modify its Time of Use (TOU) program for residential and small commercial and industrial customers.  </w:t>
      </w:r>
      <w:proofErr w:type="gramStart"/>
      <w:r>
        <w:t>PPL Electric Stmt. 1 at 6.</w:t>
      </w:r>
      <w:proofErr w:type="gramEnd"/>
    </w:p>
    <w:p w:rsidR="004811A2" w:rsidRDefault="004811A2" w:rsidP="00085F47">
      <w:pPr>
        <w:contextualSpacing/>
        <w:jc w:val="left"/>
      </w:pPr>
    </w:p>
    <w:p w:rsidR="004811A2" w:rsidRDefault="004811A2" w:rsidP="00085F47">
      <w:pPr>
        <w:contextualSpacing/>
        <w:jc w:val="left"/>
      </w:pPr>
      <w:r>
        <w:tab/>
      </w:r>
      <w:r>
        <w:tab/>
        <w:t>10.</w:t>
      </w:r>
      <w:r>
        <w:tab/>
      </w:r>
      <w:r w:rsidR="003B1EA5">
        <w:t>The TOU rate option is a separate default service rate option for customers.  PPL Electric Stmt. 1 at 4-5.</w:t>
      </w:r>
    </w:p>
    <w:p w:rsidR="003B1EA5" w:rsidRDefault="003B1EA5" w:rsidP="00085F47">
      <w:pPr>
        <w:contextualSpacing/>
        <w:jc w:val="left"/>
      </w:pPr>
    </w:p>
    <w:p w:rsidR="003B1EA5" w:rsidRPr="0001430C" w:rsidRDefault="003B1EA5" w:rsidP="00085F47">
      <w:pPr>
        <w:contextualSpacing/>
        <w:jc w:val="left"/>
      </w:pPr>
      <w:r>
        <w:tab/>
      </w:r>
      <w:r>
        <w:tab/>
        <w:t>11.</w:t>
      </w:r>
      <w:r>
        <w:tab/>
        <w:t xml:space="preserve">The Company filed its first TOU program on July 31, 2009.  </w:t>
      </w:r>
      <w:proofErr w:type="gramStart"/>
      <w:r>
        <w:t>PPL Electric Stmt. 1 at 4.</w:t>
      </w:r>
      <w:proofErr w:type="gramEnd"/>
      <w:r>
        <w:t xml:space="preserve">  </w:t>
      </w:r>
      <w:r w:rsidR="0001430C">
        <w:rPr>
          <w:i/>
        </w:rPr>
        <w:t>Pa. Publ. Util. Comm'n v. PPL Electric Utilities Corporation,</w:t>
      </w:r>
      <w:r w:rsidR="0001430C">
        <w:t xml:space="preserve"> Docket No. R-2009-2122718 (Order entered March 9, 2010).</w:t>
      </w:r>
    </w:p>
    <w:p w:rsidR="003B1EA5" w:rsidRDefault="003B1EA5" w:rsidP="00085F47">
      <w:pPr>
        <w:contextualSpacing/>
        <w:jc w:val="left"/>
      </w:pPr>
    </w:p>
    <w:p w:rsidR="003B1EA5" w:rsidRDefault="003B1EA5" w:rsidP="00085F47">
      <w:pPr>
        <w:contextualSpacing/>
        <w:jc w:val="left"/>
      </w:pPr>
      <w:r>
        <w:tab/>
      </w:r>
      <w:r>
        <w:tab/>
        <w:t>12.</w:t>
      </w:r>
      <w:r>
        <w:tab/>
        <w:t xml:space="preserve">The Commission approved the first TOU program as modified by the Order entered March 9, 2010.  </w:t>
      </w:r>
      <w:r w:rsidR="0001430C">
        <w:rPr>
          <w:i/>
        </w:rPr>
        <w:t>Pa. Publ. Util. Comm'n v. PPL Electric Utilities Corporation,</w:t>
      </w:r>
      <w:r w:rsidR="0001430C">
        <w:t xml:space="preserve"> Docket No. R-2009-2122718 (Order entered March 9, 2010).</w:t>
      </w:r>
    </w:p>
    <w:p w:rsidR="0001430C" w:rsidRDefault="0001430C" w:rsidP="00085F47">
      <w:pPr>
        <w:contextualSpacing/>
        <w:jc w:val="left"/>
      </w:pPr>
    </w:p>
    <w:p w:rsidR="003B1EA5" w:rsidRDefault="003B1EA5" w:rsidP="00085F47">
      <w:pPr>
        <w:contextualSpacing/>
        <w:jc w:val="left"/>
      </w:pPr>
      <w:r>
        <w:tab/>
      </w:r>
      <w:r>
        <w:tab/>
        <w:t>13.</w:t>
      </w:r>
      <w:r>
        <w:tab/>
        <w:t xml:space="preserve">The March 9, 2010, Order prohibited PPL Electric from reconciling any over/under-recoveries resulting from increased or decreased revenues due to shifted demand from the TOU program through the proposed cost recovery mechanism.  </w:t>
      </w:r>
      <w:r w:rsidR="0001430C">
        <w:rPr>
          <w:i/>
        </w:rPr>
        <w:t>Pa. Publ. Util. Comm'n v. PPL Electric Utilities Corporation,</w:t>
      </w:r>
      <w:r w:rsidR="0001430C">
        <w:t xml:space="preserve"> Docket No. R-2009-2122718 (Order entered March 9, 2010).</w:t>
      </w:r>
    </w:p>
    <w:p w:rsidR="003B1EA5" w:rsidRDefault="003B1EA5" w:rsidP="00085F47">
      <w:pPr>
        <w:contextualSpacing/>
        <w:jc w:val="left"/>
      </w:pPr>
    </w:p>
    <w:p w:rsidR="003B1EA5" w:rsidRDefault="003B1EA5" w:rsidP="00085F47">
      <w:pPr>
        <w:contextualSpacing/>
        <w:jc w:val="left"/>
      </w:pPr>
      <w:r>
        <w:tab/>
      </w:r>
      <w:r>
        <w:tab/>
        <w:t>14.</w:t>
      </w:r>
      <w:r>
        <w:tab/>
      </w:r>
      <w:r w:rsidR="00726FC4">
        <w:t>On September 23, 2010,</w:t>
      </w:r>
      <w:r w:rsidR="001A19C5">
        <w:t xml:space="preserve"> the Company filed Supplement No</w:t>
      </w:r>
      <w:r w:rsidR="00726FC4">
        <w:t xml:space="preserve">. 94 to its Tariff-Electric Pa. P.U.C. No. 201, which contained a revised TOU program for default service beginning in 2011.  </w:t>
      </w:r>
      <w:proofErr w:type="gramStart"/>
      <w:r w:rsidR="00726FC4">
        <w:t>PPL Electric Stmt. 1 at 5.</w:t>
      </w:r>
      <w:proofErr w:type="gramEnd"/>
    </w:p>
    <w:p w:rsidR="00726FC4" w:rsidRDefault="00726FC4" w:rsidP="00085F47">
      <w:pPr>
        <w:contextualSpacing/>
        <w:jc w:val="left"/>
      </w:pPr>
    </w:p>
    <w:p w:rsidR="00726FC4" w:rsidRDefault="00726FC4" w:rsidP="00085F47">
      <w:pPr>
        <w:contextualSpacing/>
        <w:jc w:val="left"/>
      </w:pPr>
      <w:r>
        <w:tab/>
      </w:r>
      <w:r>
        <w:tab/>
        <w:t>15.</w:t>
      </w:r>
      <w:r>
        <w:tab/>
        <w:t>On December 2, 2010, the Commission entered an Order at Docket No. R-2010-2201138 approving Supplement No. 94 for service rendered on and after January 1, 2011.</w:t>
      </w:r>
    </w:p>
    <w:p w:rsidR="00726FC4" w:rsidRDefault="00726FC4" w:rsidP="00085F47">
      <w:pPr>
        <w:contextualSpacing/>
        <w:jc w:val="left"/>
      </w:pPr>
    </w:p>
    <w:p w:rsidR="00726FC4" w:rsidRDefault="00726FC4" w:rsidP="00085F47">
      <w:pPr>
        <w:contextualSpacing/>
        <w:jc w:val="left"/>
      </w:pPr>
      <w:r>
        <w:tab/>
      </w:r>
      <w:r>
        <w:tab/>
        <w:t>16.</w:t>
      </w:r>
      <w:r>
        <w:tab/>
        <w:t>On August 22, 2011, PPL Electric submitted its quarterly Generation Supply Charge-1 (GSC-1) filing that reflected proposed updates to its default service rates, including TOU rates, which would become effective on September 1, 2011, for the application period September 1, 2011 through November 30, 2011.</w:t>
      </w:r>
    </w:p>
    <w:p w:rsidR="00726FC4" w:rsidRDefault="00726FC4" w:rsidP="00085F47">
      <w:pPr>
        <w:contextualSpacing/>
        <w:jc w:val="left"/>
      </w:pPr>
    </w:p>
    <w:p w:rsidR="009E334C" w:rsidRDefault="009E334C" w:rsidP="00085F47">
      <w:pPr>
        <w:contextualSpacing/>
        <w:jc w:val="left"/>
      </w:pPr>
      <w:r>
        <w:tab/>
      </w:r>
      <w:r>
        <w:tab/>
        <w:t>17.</w:t>
      </w:r>
      <w:r>
        <w:tab/>
        <w:t xml:space="preserve">The proposed TOU default service rates submitted on August 22, 2011 were significantly higher than the Company's proposed fixed price default service rates.  </w:t>
      </w:r>
      <w:proofErr w:type="gramStart"/>
      <w:r>
        <w:t>PPL Electric Stmt. 1 at 6.</w:t>
      </w:r>
      <w:proofErr w:type="gramEnd"/>
    </w:p>
    <w:p w:rsidR="009E334C" w:rsidRDefault="009E334C" w:rsidP="00085F47">
      <w:pPr>
        <w:contextualSpacing/>
        <w:jc w:val="left"/>
      </w:pPr>
    </w:p>
    <w:p w:rsidR="009E334C" w:rsidRDefault="009E334C" w:rsidP="00085F47">
      <w:pPr>
        <w:contextualSpacing/>
        <w:jc w:val="left"/>
      </w:pPr>
      <w:r>
        <w:tab/>
      </w:r>
      <w:r>
        <w:tab/>
        <w:t>18.</w:t>
      </w:r>
      <w:r>
        <w:tab/>
        <w:t>By Order entered on August 25, 2011, the Commission suspended the proposed TOU default service rates contained in the August 22, 2011 filing; ordered that the Company's currently effective TOU rates remain in effect for up to a six-month period and ordered PPL Electric to submit a revised TOU plan within 30 days.  PPL Electric Stmt. 1 at 6-7.</w:t>
      </w:r>
    </w:p>
    <w:p w:rsidR="009E334C" w:rsidRDefault="009E334C" w:rsidP="00085F47">
      <w:pPr>
        <w:contextualSpacing/>
        <w:jc w:val="left"/>
      </w:pPr>
    </w:p>
    <w:p w:rsidR="009E334C" w:rsidRDefault="009E334C" w:rsidP="00085F47">
      <w:pPr>
        <w:contextualSpacing/>
        <w:jc w:val="left"/>
      </w:pPr>
      <w:r>
        <w:tab/>
      </w:r>
      <w:r>
        <w:tab/>
        <w:t>19.</w:t>
      </w:r>
      <w:r>
        <w:tab/>
        <w:t xml:space="preserve">The proposed program is not reasonably calculated to attract customers and incent load shifting, as it provides a limited opportunity for saving.  </w:t>
      </w:r>
      <w:proofErr w:type="gramStart"/>
      <w:r>
        <w:t>OCA Stmt. 1 at 11.</w:t>
      </w:r>
      <w:proofErr w:type="gramEnd"/>
    </w:p>
    <w:p w:rsidR="009E334C" w:rsidRDefault="009E334C" w:rsidP="00085F47">
      <w:pPr>
        <w:contextualSpacing/>
        <w:jc w:val="left"/>
      </w:pPr>
    </w:p>
    <w:p w:rsidR="009E334C" w:rsidRDefault="009E334C" w:rsidP="00085F47">
      <w:pPr>
        <w:contextualSpacing/>
        <w:jc w:val="left"/>
      </w:pPr>
      <w:r>
        <w:tab/>
      </w:r>
      <w:r>
        <w:tab/>
        <w:t>20.</w:t>
      </w:r>
      <w:r>
        <w:tab/>
      </w:r>
      <w:r w:rsidR="00CE619B">
        <w:t xml:space="preserve">Basing on and off-peak differentials directly on the ratios between seasonal period prices and average prices results in rates which are revenue neutral only for average customers who remain on the rate for an entire year, which creates the possibility of customers staying on the rate for only half a year.  </w:t>
      </w:r>
      <w:proofErr w:type="gramStart"/>
      <w:r w:rsidR="00CE619B">
        <w:t>OCA Stmt. 1 at 13.</w:t>
      </w:r>
      <w:proofErr w:type="gramEnd"/>
    </w:p>
    <w:p w:rsidR="00CE619B" w:rsidRDefault="00CE619B" w:rsidP="00085F47">
      <w:pPr>
        <w:contextualSpacing/>
        <w:jc w:val="left"/>
      </w:pPr>
    </w:p>
    <w:p w:rsidR="00CE619B" w:rsidRDefault="00CE619B" w:rsidP="00085F47">
      <w:pPr>
        <w:contextualSpacing/>
        <w:jc w:val="left"/>
      </w:pPr>
      <w:r>
        <w:tab/>
      </w:r>
      <w:r>
        <w:tab/>
        <w:t>21.</w:t>
      </w:r>
      <w:r>
        <w:tab/>
        <w:t>Variations in hourly energy prices in the wholesale market, as well as generation capacity costs, are based on overall market supply and demand conditions, which are not differentiated by rate class.  OSBA Stmt. 1 at 16-17.</w:t>
      </w:r>
    </w:p>
    <w:p w:rsidR="00CE619B" w:rsidRDefault="00CE619B" w:rsidP="00085F47">
      <w:pPr>
        <w:contextualSpacing/>
        <w:jc w:val="left"/>
      </w:pPr>
    </w:p>
    <w:p w:rsidR="00CE619B" w:rsidRDefault="00CE619B" w:rsidP="00085F47">
      <w:pPr>
        <w:contextualSpacing/>
        <w:jc w:val="left"/>
      </w:pPr>
      <w:r>
        <w:tab/>
      </w:r>
      <w:r>
        <w:tab/>
        <w:t>22.</w:t>
      </w:r>
      <w:r>
        <w:tab/>
        <w:t xml:space="preserve">PPL Electric has not analyzed the cost effectiveness, energy demand reduction, energy consumption reductions, effect on peak load contribution or total reduction in peak demand by rate schedule, or effect on energy demand by rate schedule.  </w:t>
      </w:r>
      <w:proofErr w:type="gramStart"/>
      <w:r>
        <w:t>SEF Stmt. 1 at 12.</w:t>
      </w:r>
      <w:proofErr w:type="gramEnd"/>
    </w:p>
    <w:p w:rsidR="00CE619B" w:rsidRDefault="00CE619B" w:rsidP="00085F47">
      <w:pPr>
        <w:contextualSpacing/>
        <w:jc w:val="left"/>
      </w:pPr>
    </w:p>
    <w:p w:rsidR="00CE619B" w:rsidRDefault="00CE619B" w:rsidP="00085F47">
      <w:pPr>
        <w:contextualSpacing/>
        <w:jc w:val="left"/>
      </w:pPr>
      <w:r>
        <w:tab/>
      </w:r>
      <w:r>
        <w:tab/>
        <w:t>23.</w:t>
      </w:r>
      <w:r>
        <w:tab/>
        <w:t xml:space="preserve">The TOU program as designed will not attract many customers.  </w:t>
      </w:r>
      <w:proofErr w:type="gramStart"/>
      <w:r>
        <w:t>OCA Stmt. 1 at 15.</w:t>
      </w:r>
      <w:proofErr w:type="gramEnd"/>
    </w:p>
    <w:p w:rsidR="00CE619B" w:rsidRDefault="00CE619B" w:rsidP="00085F47">
      <w:pPr>
        <w:contextualSpacing/>
        <w:jc w:val="left"/>
      </w:pPr>
    </w:p>
    <w:p w:rsidR="00CE619B" w:rsidRDefault="00CE619B" w:rsidP="00085F47">
      <w:pPr>
        <w:contextualSpacing/>
        <w:jc w:val="left"/>
      </w:pPr>
      <w:r>
        <w:tab/>
      </w:r>
      <w:r>
        <w:tab/>
        <w:t>24.</w:t>
      </w:r>
      <w:r>
        <w:tab/>
        <w:t xml:space="preserve">Legitimately incurred </w:t>
      </w:r>
      <w:proofErr w:type="spellStart"/>
      <w:r>
        <w:t>undercollections</w:t>
      </w:r>
      <w:proofErr w:type="spellEnd"/>
      <w:r>
        <w:t xml:space="preserve"> for a properly implemented and Commission-approved default service program are recoverable from default service customers.</w:t>
      </w:r>
    </w:p>
    <w:p w:rsidR="00886726" w:rsidRDefault="00886726" w:rsidP="002D34B2">
      <w:pPr>
        <w:contextualSpacing/>
        <w:jc w:val="both"/>
        <w:rPr>
          <w:u w:val="single"/>
        </w:rPr>
      </w:pPr>
    </w:p>
    <w:p w:rsidR="007D01CE" w:rsidRDefault="007D01CE" w:rsidP="00085F47">
      <w:pPr>
        <w:contextualSpacing/>
        <w:rPr>
          <w:u w:val="single"/>
        </w:rPr>
      </w:pPr>
      <w:r>
        <w:rPr>
          <w:u w:val="single"/>
        </w:rPr>
        <w:t>DISCUSSION</w:t>
      </w:r>
    </w:p>
    <w:p w:rsidR="00085F47" w:rsidRDefault="00085F47" w:rsidP="00085F47">
      <w:pPr>
        <w:contextualSpacing/>
        <w:rPr>
          <w:u w:val="single"/>
        </w:rPr>
      </w:pPr>
    </w:p>
    <w:p w:rsidR="007D01CE" w:rsidRPr="00FA2FAE" w:rsidRDefault="00FA2FAE" w:rsidP="00085F47">
      <w:pPr>
        <w:contextualSpacing/>
        <w:jc w:val="left"/>
        <w:rPr>
          <w:b/>
        </w:rPr>
      </w:pPr>
      <w:r>
        <w:rPr>
          <w:b/>
        </w:rPr>
        <w:t>1.</w:t>
      </w:r>
      <w:r>
        <w:rPr>
          <w:b/>
        </w:rPr>
        <w:tab/>
      </w:r>
      <w:r w:rsidR="006D5E82" w:rsidRPr="00FA2FAE">
        <w:rPr>
          <w:b/>
        </w:rPr>
        <w:t>Burden of Proof</w:t>
      </w:r>
    </w:p>
    <w:p w:rsidR="006D5E82" w:rsidRDefault="006D5E82" w:rsidP="00085F47">
      <w:pPr>
        <w:contextualSpacing/>
        <w:jc w:val="left"/>
      </w:pPr>
    </w:p>
    <w:p w:rsidR="006D5E82" w:rsidRPr="00085F47" w:rsidRDefault="006D5E82" w:rsidP="00085F47">
      <w:pPr>
        <w:contextualSpacing/>
        <w:jc w:val="left"/>
        <w:rPr>
          <w:spacing w:val="-3"/>
        </w:rPr>
      </w:pPr>
      <w:r>
        <w:tab/>
      </w:r>
      <w:r>
        <w:tab/>
      </w:r>
      <w:r w:rsidRPr="005D5C96">
        <w:t xml:space="preserve">Section 1301 of the Public Utility Code, </w:t>
      </w:r>
      <w:proofErr w:type="gramStart"/>
      <w:r w:rsidRPr="005D5C96">
        <w:t>66 Pa.C.S</w:t>
      </w:r>
      <w:proofErr w:type="gramEnd"/>
      <w:r w:rsidRPr="005D5C96">
        <w:t xml:space="preserve">. § 1301, provides:  “every rate made, demanded, or received by any public utility, or by any two or more public utilities jointly, shall be just and reasonable, and in conformity with regulations or orders of the commission.”  </w:t>
      </w:r>
    </w:p>
    <w:p w:rsidR="006D5E82" w:rsidRPr="005D5C96" w:rsidRDefault="006D5E82" w:rsidP="00085F47">
      <w:pPr>
        <w:widowControl w:val="0"/>
        <w:ind w:firstLine="1440"/>
        <w:jc w:val="left"/>
      </w:pPr>
    </w:p>
    <w:p w:rsidR="006D5E82" w:rsidRPr="005D5C96" w:rsidRDefault="006D5E82" w:rsidP="00085F47">
      <w:pPr>
        <w:widowControl w:val="0"/>
        <w:jc w:val="left"/>
        <w:rPr>
          <w:color w:val="000000"/>
        </w:rPr>
      </w:pPr>
      <w:r w:rsidRPr="005D5C96">
        <w:tab/>
      </w:r>
      <w:r w:rsidRPr="005D5C96">
        <w:tab/>
        <w:t xml:space="preserve">While the burden of proof remains with the public utility throughout the rate proceeding, the Commission has stated that where a party proposes an adjustment to a ratemaking claim of a utility, the proposing party bears the </w:t>
      </w:r>
      <w:r w:rsidRPr="005D5C96">
        <w:rPr>
          <w:bCs/>
        </w:rPr>
        <w:t>burden</w:t>
      </w:r>
      <w:r w:rsidRPr="005D5C96">
        <w:t xml:space="preserve"> of presenting some evidence or analysis tending to demonstrate the reasonableness of the adjustment.  </w:t>
      </w:r>
      <w:r w:rsidRPr="005D5C96">
        <w:rPr>
          <w:i/>
        </w:rPr>
        <w:t>P</w:t>
      </w:r>
      <w:r w:rsidR="001A19C5">
        <w:rPr>
          <w:i/>
        </w:rPr>
        <w:t>a</w:t>
      </w:r>
      <w:r w:rsidRPr="005D5C96">
        <w:rPr>
          <w:i/>
        </w:rPr>
        <w:t xml:space="preserve"> Pub. Util. Comm’n v. Aqua Pennsylvania, Inc</w:t>
      </w:r>
      <w:r w:rsidRPr="005D5C96">
        <w:t xml:space="preserve">., Docket No. R-00072711 (Commission Opinion and Order entered July 17, 2008).  As stated in </w:t>
      </w:r>
      <w:r w:rsidR="001A19C5">
        <w:rPr>
          <w:i/>
        </w:rPr>
        <w:t>Pa Publ. Util. Comm'</w:t>
      </w:r>
      <w:r w:rsidRPr="005D5C96">
        <w:rPr>
          <w:i/>
        </w:rPr>
        <w:t>n</w:t>
      </w:r>
      <w:r w:rsidRPr="005D5C96">
        <w:t xml:space="preserve"> v. </w:t>
      </w:r>
      <w:r w:rsidRPr="005D5C96">
        <w:rPr>
          <w:i/>
        </w:rPr>
        <w:t>Philadelphia Gas Works</w:t>
      </w:r>
      <w:r w:rsidRPr="005D5C96">
        <w:t xml:space="preserve">, Docket No. R-00061931 (Commission Opinion </w:t>
      </w:r>
      <w:r>
        <w:t>and Order entered September 28, </w:t>
      </w:r>
      <w:r w:rsidRPr="005D5C96">
        <w:t>2007) at 12:  “</w:t>
      </w:r>
      <w:r w:rsidRPr="005D5C96">
        <w:rPr>
          <w:color w:val="000000"/>
        </w:rPr>
        <w:t>Section 315(a) of the Code, 66 Pa.C.S. § 315(a), applies since this is a proceeding on Commission Motion.  However, after the utility establishes a prima facie case, the burden of going forward or the burden of persuasion shifts to the other parties to rebut the prima facie case.”</w:t>
      </w:r>
    </w:p>
    <w:p w:rsidR="006D5E82" w:rsidRDefault="006D5E82" w:rsidP="00085F47">
      <w:pPr>
        <w:contextualSpacing/>
        <w:jc w:val="left"/>
      </w:pPr>
    </w:p>
    <w:p w:rsidR="006D5E82" w:rsidRPr="00B6588E" w:rsidRDefault="006D5E82" w:rsidP="00085F47">
      <w:pPr>
        <w:jc w:val="left"/>
      </w:pPr>
      <w:r>
        <w:tab/>
      </w:r>
      <w:r>
        <w:tab/>
      </w:r>
      <w:r w:rsidRPr="00B6588E">
        <w:t>Section 332(a) of the Code, 66 Pa.</w:t>
      </w:r>
      <w:r>
        <w:t xml:space="preserve"> </w:t>
      </w:r>
      <w:r w:rsidRPr="00B6588E">
        <w:t xml:space="preserve">C.S. §332(a), provides that the party seeking a rule or order from the Commission has the burden of proof in that proceeding.  It is </w:t>
      </w:r>
      <w:r>
        <w:t>well-established</w:t>
      </w:r>
      <w:r w:rsidRPr="00B6588E">
        <w:t xml:space="preserve"> that “[a] litigant’s burden of proof before administrative tribunals as well as before most civil proceedings is satisfied by establishing a preponderance of evidence which is substantial and legally credible.”  </w:t>
      </w:r>
      <w:proofErr w:type="gramStart"/>
      <w:r w:rsidRPr="00B6588E">
        <w:rPr>
          <w:i/>
        </w:rPr>
        <w:t>Samuel J. Lansberry, Inc. v. Pa. P</w:t>
      </w:r>
      <w:r w:rsidR="001A19C5">
        <w:rPr>
          <w:i/>
        </w:rPr>
        <w:t xml:space="preserve">ubl. </w:t>
      </w:r>
      <w:r w:rsidRPr="00B6588E">
        <w:rPr>
          <w:i/>
        </w:rPr>
        <w:t>U</w:t>
      </w:r>
      <w:r w:rsidR="001A19C5">
        <w:rPr>
          <w:i/>
        </w:rPr>
        <w:t>til. Comm'n</w:t>
      </w:r>
      <w:r w:rsidRPr="00B6588E">
        <w:t>, 578 A.2d 600, 602 (Pa. Cmwlth. 1990).</w:t>
      </w:r>
      <w:proofErr w:type="gramEnd"/>
      <w:r w:rsidRPr="00B6588E">
        <w:t xml:space="preserve">  </w:t>
      </w:r>
    </w:p>
    <w:p w:rsidR="006D5E82" w:rsidRDefault="006D5E82" w:rsidP="00085F47">
      <w:pPr>
        <w:jc w:val="left"/>
      </w:pPr>
    </w:p>
    <w:p w:rsidR="006D5E82" w:rsidRDefault="006D5E82" w:rsidP="00085F47">
      <w:pPr>
        <w:jc w:val="left"/>
      </w:pPr>
      <w:r>
        <w:tab/>
      </w:r>
      <w:r>
        <w:tab/>
        <w:t xml:space="preserve">The burden of proof is comprised of two distinct burdens:  the burden of production and the burden of persuasion.  The burden of production tells the adjudicator which party must come forward with evidence to support a particular proposition.  See </w:t>
      </w:r>
      <w:r>
        <w:rPr>
          <w:i/>
        </w:rPr>
        <w:t xml:space="preserve">In re </w:t>
      </w:r>
      <w:proofErr w:type="spellStart"/>
      <w:r>
        <w:rPr>
          <w:i/>
        </w:rPr>
        <w:t>Loudenslager’s</w:t>
      </w:r>
      <w:proofErr w:type="spellEnd"/>
      <w:r>
        <w:rPr>
          <w:i/>
        </w:rPr>
        <w:t xml:space="preserve"> Estate</w:t>
      </w:r>
      <w:r>
        <w:t xml:space="preserve">, 430 Pa. 33, 240 A.2d 477, 482 (1968).  The burden of persuasion determines which party must produce sufficient evidence to convince a judge that a fact has been established, and it never leaves the party on whom it is originally cast.  </w:t>
      </w:r>
      <w:proofErr w:type="spellStart"/>
      <w:proofErr w:type="gramStart"/>
      <w:r>
        <w:rPr>
          <w:i/>
        </w:rPr>
        <w:t>Reidel</w:t>
      </w:r>
      <w:proofErr w:type="spellEnd"/>
      <w:r>
        <w:rPr>
          <w:i/>
        </w:rPr>
        <w:t xml:space="preserve"> v. County of Allegheny</w:t>
      </w:r>
      <w:r>
        <w:t>, 633 A.2d 1325, 1329 n. 11 (Pa. Cmwlth. Ct. 1993).</w:t>
      </w:r>
      <w:proofErr w:type="gramEnd"/>
      <w:r>
        <w:t xml:space="preserve">  </w:t>
      </w:r>
    </w:p>
    <w:p w:rsidR="006D5E82" w:rsidRDefault="006D5E82" w:rsidP="00085F47">
      <w:pPr>
        <w:jc w:val="left"/>
      </w:pPr>
    </w:p>
    <w:p w:rsidR="006D5E82" w:rsidRDefault="008752B2" w:rsidP="00085F47">
      <w:pPr>
        <w:contextualSpacing/>
        <w:jc w:val="left"/>
      </w:pPr>
      <w:r>
        <w:tab/>
      </w:r>
      <w:r>
        <w:tab/>
        <w:t>Therefore, the Company has the burden of proving that its proposed TOU filing is just and reasonable, and any party contesting it has the burden of persuading the Commission that the filing is not just and reasonable.</w:t>
      </w:r>
    </w:p>
    <w:p w:rsidR="008752B2" w:rsidRDefault="008752B2" w:rsidP="00085F47">
      <w:pPr>
        <w:contextualSpacing/>
        <w:jc w:val="left"/>
      </w:pPr>
    </w:p>
    <w:p w:rsidR="009364B5" w:rsidRPr="00FA2FAE" w:rsidRDefault="00917649" w:rsidP="00085F47">
      <w:pPr>
        <w:contextualSpacing/>
        <w:jc w:val="left"/>
        <w:rPr>
          <w:b/>
        </w:rPr>
      </w:pPr>
      <w:r w:rsidRPr="00917649">
        <w:rPr>
          <w:b/>
        </w:rPr>
        <w:t>2.</w:t>
      </w:r>
      <w:r w:rsidRPr="00917649">
        <w:rPr>
          <w:b/>
        </w:rPr>
        <w:tab/>
        <w:t>Legal Standard</w:t>
      </w:r>
      <w:r w:rsidR="009364B5" w:rsidRPr="00FA2FAE">
        <w:rPr>
          <w:b/>
        </w:rPr>
        <w:t xml:space="preserve"> for TOU Programs</w:t>
      </w:r>
    </w:p>
    <w:p w:rsidR="009364B5" w:rsidRDefault="009364B5" w:rsidP="00085F47">
      <w:pPr>
        <w:contextualSpacing/>
        <w:jc w:val="left"/>
      </w:pPr>
    </w:p>
    <w:p w:rsidR="00917649" w:rsidRDefault="009364B5" w:rsidP="00085F47">
      <w:pPr>
        <w:contextualSpacing/>
        <w:jc w:val="left"/>
      </w:pPr>
      <w:r>
        <w:tab/>
      </w:r>
      <w:r>
        <w:tab/>
      </w:r>
      <w:r w:rsidR="00917649">
        <w:t>The Public Utility Code requires electric distribution companies (EDCs) to offer TOU rates and real time pricing plans to customers who have smart meter technology:</w:t>
      </w:r>
    </w:p>
    <w:p w:rsidR="00085F47" w:rsidRDefault="00085F47" w:rsidP="00085F47">
      <w:pPr>
        <w:contextualSpacing/>
        <w:jc w:val="left"/>
      </w:pPr>
    </w:p>
    <w:p w:rsidR="00762408" w:rsidRDefault="00917649" w:rsidP="00085F47">
      <w:pPr>
        <w:spacing w:line="240" w:lineRule="auto"/>
        <w:ind w:left="1440" w:right="1440"/>
        <w:contextualSpacing/>
        <w:jc w:val="left"/>
      </w:pPr>
      <w:r>
        <w:t>(5)</w:t>
      </w:r>
      <w:r>
        <w:tab/>
        <w:t>By January 1, 2010, or at the end of the applicable generation rate cap period, whichever is later, a default service provider shall submit to the commission one or more proposed time-of-use rates and real-time pricing plans.  The commission shall approve or modify the time-of-use rates and the provider shall offer the time-of-use rates and real-time price plan to all customer that have been provided with smart meter technology under paragraph (2</w:t>
      </w:r>
      <w:proofErr w:type="gramStart"/>
      <w:r>
        <w:t>)(</w:t>
      </w:r>
      <w:proofErr w:type="gramEnd"/>
      <w:r>
        <w:t xml:space="preserve">iii).  Residential or commercial customers may elect to participate in time-of-use rates or real-time pricing.  The default service provider shall submit an annual report to the price </w:t>
      </w:r>
    </w:p>
    <w:p w:rsidR="00917649" w:rsidRDefault="00917649" w:rsidP="00085F47">
      <w:pPr>
        <w:spacing w:line="240" w:lineRule="auto"/>
        <w:ind w:left="1440" w:right="1440"/>
        <w:contextualSpacing/>
        <w:jc w:val="left"/>
      </w:pPr>
      <w:proofErr w:type="gramStart"/>
      <w:r>
        <w:t>programs</w:t>
      </w:r>
      <w:proofErr w:type="gramEnd"/>
      <w:r>
        <w:t xml:space="preserve"> and the efficacy of the programs in affecting energy demand and consumption and the effect on wholesale market prices.</w:t>
      </w:r>
    </w:p>
    <w:p w:rsidR="00917649" w:rsidRDefault="00917649" w:rsidP="00085F47">
      <w:pPr>
        <w:contextualSpacing/>
        <w:jc w:val="left"/>
      </w:pPr>
      <w:r>
        <w:t>66 Pa. C.S. § 2807(f</w:t>
      </w:r>
      <w:proofErr w:type="gramStart"/>
      <w:r>
        <w:t>)(</w:t>
      </w:r>
      <w:proofErr w:type="gramEnd"/>
      <w:r>
        <w:t>5).</w:t>
      </w:r>
      <w:r>
        <w:rPr>
          <w:rStyle w:val="FootnoteReference"/>
        </w:rPr>
        <w:footnoteReference w:id="2"/>
      </w:r>
    </w:p>
    <w:p w:rsidR="008752B2" w:rsidRDefault="008752B2" w:rsidP="00085F47">
      <w:pPr>
        <w:contextualSpacing/>
        <w:jc w:val="left"/>
      </w:pPr>
    </w:p>
    <w:p w:rsidR="004A0F1D" w:rsidRDefault="004A0F1D" w:rsidP="00085F47">
      <w:pPr>
        <w:contextualSpacing/>
        <w:jc w:val="left"/>
      </w:pPr>
      <w:r>
        <w:tab/>
      </w:r>
      <w:r>
        <w:tab/>
        <w:t xml:space="preserve">Dominion Retail argues that the Company's proposal may be approved based on its compliance with this section, and that it has met that standard by proposing a rate structure that is differentiated based upon the time of day that the energy is consumed.  </w:t>
      </w:r>
      <w:proofErr w:type="gramStart"/>
      <w:r>
        <w:t xml:space="preserve">DR </w:t>
      </w:r>
      <w:r w:rsidR="00837604">
        <w:t>MB at 3.</w:t>
      </w:r>
      <w:proofErr w:type="gramEnd"/>
      <w:r w:rsidR="00837604">
        <w:t xml:space="preserve">  However, the basic requirements of ratemaking still apply, and the analysis will include a discussion on the reasonableness of the rates and whether this program is in the public interest.</w:t>
      </w:r>
    </w:p>
    <w:p w:rsidR="00837604" w:rsidRDefault="00837604" w:rsidP="00085F47">
      <w:pPr>
        <w:contextualSpacing/>
        <w:jc w:val="left"/>
      </w:pPr>
    </w:p>
    <w:p w:rsidR="00102A11" w:rsidRDefault="00102A11" w:rsidP="00085F47">
      <w:pPr>
        <w:contextualSpacing/>
        <w:jc w:val="left"/>
        <w:rPr>
          <w:b/>
        </w:rPr>
      </w:pPr>
      <w:r>
        <w:rPr>
          <w:b/>
        </w:rPr>
        <w:t>3.</w:t>
      </w:r>
      <w:r>
        <w:rPr>
          <w:b/>
        </w:rPr>
        <w:tab/>
        <w:t>Company's Purpose</w:t>
      </w:r>
    </w:p>
    <w:p w:rsidR="00102A11" w:rsidRDefault="00102A11" w:rsidP="00085F47">
      <w:pPr>
        <w:contextualSpacing/>
        <w:jc w:val="left"/>
        <w:rPr>
          <w:b/>
        </w:rPr>
      </w:pPr>
    </w:p>
    <w:p w:rsidR="00102A11" w:rsidRDefault="00102A11" w:rsidP="00085F47">
      <w:pPr>
        <w:contextualSpacing/>
        <w:jc w:val="left"/>
      </w:pPr>
      <w:r>
        <w:rPr>
          <w:b/>
        </w:rPr>
        <w:tab/>
      </w:r>
      <w:r>
        <w:rPr>
          <w:b/>
        </w:rPr>
        <w:tab/>
      </w:r>
      <w:r>
        <w:t>PPL Electric states the following as the guiding principles in developing their proposed TOU program:</w:t>
      </w:r>
    </w:p>
    <w:p w:rsidR="00102A11" w:rsidRDefault="00102A11" w:rsidP="00085F47">
      <w:pPr>
        <w:contextualSpacing/>
        <w:jc w:val="left"/>
      </w:pPr>
    </w:p>
    <w:p w:rsidR="00102A11" w:rsidRDefault="00102A11" w:rsidP="00085F47">
      <w:pPr>
        <w:spacing w:line="240" w:lineRule="auto"/>
        <w:ind w:left="1440" w:right="1440"/>
        <w:contextualSpacing/>
        <w:jc w:val="left"/>
      </w:pPr>
      <w:r>
        <w:tab/>
        <w:t xml:space="preserve">The objective of the TOU defaults service program is to comply with the Commission approved settlement at Docket No. </w:t>
      </w:r>
      <w:proofErr w:type="gramStart"/>
      <w:r>
        <w:t>P-2008-2060309</w:t>
      </w:r>
      <w:r w:rsidR="00F90B14">
        <w:t xml:space="preserve"> </w:t>
      </w:r>
      <w:r>
        <w:t>and Act 129.</w:t>
      </w:r>
      <w:proofErr w:type="gramEnd"/>
      <w:r>
        <w:t xml:space="preserve">  A TOU default service program provides pricing that encourages customers </w:t>
      </w:r>
      <w:r w:rsidR="00F90B14">
        <w:t>to shif</w:t>
      </w:r>
      <w:r>
        <w:t xml:space="preserve">t electricity usage from on-peak periods, when wholesale electricity demands and prices are generally higher, to off-peak periods, when demands and prices are generally lower.  The shifting of use from on-peak to off-peak periods reduces peak demands on generation resources, contributes to reducing wholesale electricity prices during the hours of highest demand, and provides customers with an opportunity to reduce their monthly electric bills.  </w:t>
      </w:r>
      <w:r w:rsidR="00F90B14">
        <w:t>However, such a program also requires participants to pay closer attention to when they use electricity in order for the program to achieve these benefits and for the participants themselves to save money.</w:t>
      </w:r>
    </w:p>
    <w:p w:rsidR="00F90B14" w:rsidRPr="00102A11" w:rsidRDefault="00F90B14" w:rsidP="00085F47">
      <w:pPr>
        <w:contextualSpacing/>
        <w:jc w:val="left"/>
      </w:pPr>
      <w:proofErr w:type="gramStart"/>
      <w:r>
        <w:t>PPL Electric Stmt. 2 at 3.</w:t>
      </w:r>
      <w:proofErr w:type="gramEnd"/>
    </w:p>
    <w:p w:rsidR="002D34B2" w:rsidRDefault="002D34B2" w:rsidP="00085F47">
      <w:pPr>
        <w:jc w:val="left"/>
        <w:rPr>
          <w:b/>
        </w:rPr>
      </w:pPr>
    </w:p>
    <w:p w:rsidR="00FA2FAE" w:rsidRPr="00FA2FAE" w:rsidRDefault="00920622" w:rsidP="00085F47">
      <w:pPr>
        <w:jc w:val="left"/>
        <w:rPr>
          <w:b/>
        </w:rPr>
      </w:pPr>
      <w:r>
        <w:rPr>
          <w:b/>
        </w:rPr>
        <w:tab/>
        <w:t>a</w:t>
      </w:r>
      <w:r w:rsidR="00917649">
        <w:rPr>
          <w:b/>
        </w:rPr>
        <w:t>.</w:t>
      </w:r>
      <w:r w:rsidR="00917649">
        <w:rPr>
          <w:b/>
        </w:rPr>
        <w:tab/>
      </w:r>
      <w:r w:rsidR="00FA2FAE" w:rsidRPr="00FA2FAE">
        <w:rPr>
          <w:b/>
        </w:rPr>
        <w:t xml:space="preserve">Comparison of the Company's </w:t>
      </w:r>
      <w:r w:rsidR="00F90B14">
        <w:rPr>
          <w:b/>
        </w:rPr>
        <w:t>Prior</w:t>
      </w:r>
      <w:r w:rsidR="00FA2FAE" w:rsidRPr="00FA2FAE">
        <w:rPr>
          <w:b/>
        </w:rPr>
        <w:t xml:space="preserve"> TOU Programs</w:t>
      </w:r>
    </w:p>
    <w:p w:rsidR="00FA2FAE" w:rsidRDefault="00FA2FAE" w:rsidP="00085F47">
      <w:pPr>
        <w:jc w:val="left"/>
      </w:pPr>
    </w:p>
    <w:p w:rsidR="00EC2F20" w:rsidRDefault="00956BD5" w:rsidP="00085F47">
      <w:pPr>
        <w:jc w:val="left"/>
      </w:pPr>
      <w:r>
        <w:tab/>
      </w:r>
      <w:r>
        <w:tab/>
      </w:r>
      <w:r w:rsidR="00EC2F20">
        <w:t>The Company's</w:t>
      </w:r>
      <w:r>
        <w:t xml:space="preserve"> first TOU program (Supplement 71), filed July 31, 2009, </w:t>
      </w:r>
      <w:proofErr w:type="gramStart"/>
      <w:r w:rsidR="00EC2F20">
        <w:t>had</w:t>
      </w:r>
      <w:proofErr w:type="gramEnd"/>
      <w:r w:rsidR="00EC2F20">
        <w:t xml:space="preserve"> the following features:</w:t>
      </w:r>
    </w:p>
    <w:p w:rsidR="00762408" w:rsidRDefault="00762408" w:rsidP="00085F47">
      <w:pPr>
        <w:jc w:val="left"/>
      </w:pPr>
    </w:p>
    <w:p w:rsidR="00EC2F20" w:rsidRDefault="00762408" w:rsidP="00085F47">
      <w:pPr>
        <w:spacing w:line="240" w:lineRule="auto"/>
        <w:ind w:left="1440"/>
        <w:jc w:val="left"/>
      </w:pPr>
      <w:r>
        <w:t>1.</w:t>
      </w:r>
      <w:r>
        <w:tab/>
      </w:r>
      <w:r w:rsidR="00EC2F20">
        <w:t>D</w:t>
      </w:r>
      <w:r w:rsidR="00956BD5">
        <w:t xml:space="preserve">efault supplies for TOU customers </w:t>
      </w:r>
      <w:r w:rsidR="00EC2F20">
        <w:t xml:space="preserve">were procured </w:t>
      </w:r>
      <w:r w:rsidR="00956BD5">
        <w:t>through the Compan</w:t>
      </w:r>
      <w:r w:rsidR="00EC2F20">
        <w:t>y's default service plan;</w:t>
      </w:r>
    </w:p>
    <w:p w:rsidR="00F90B14" w:rsidRDefault="00F90B14" w:rsidP="00085F47">
      <w:pPr>
        <w:spacing w:line="240" w:lineRule="auto"/>
        <w:ind w:left="1440"/>
        <w:jc w:val="left"/>
      </w:pPr>
    </w:p>
    <w:p w:rsidR="00EC2F20" w:rsidRDefault="00762408" w:rsidP="00085F47">
      <w:pPr>
        <w:spacing w:line="240" w:lineRule="auto"/>
        <w:ind w:left="1440"/>
        <w:jc w:val="left"/>
      </w:pPr>
      <w:r>
        <w:t>2.</w:t>
      </w:r>
      <w:r>
        <w:tab/>
      </w:r>
      <w:r w:rsidR="00EC2F20">
        <w:t>TOU program pricing was based on the Company's fixed price default service rate.</w:t>
      </w:r>
    </w:p>
    <w:p w:rsidR="00F90B14" w:rsidRDefault="00F90B14" w:rsidP="00085F47">
      <w:pPr>
        <w:spacing w:line="240" w:lineRule="auto"/>
        <w:ind w:left="1440"/>
        <w:jc w:val="left"/>
      </w:pPr>
    </w:p>
    <w:p w:rsidR="00EC2F20" w:rsidRDefault="00762408" w:rsidP="00085F47">
      <w:pPr>
        <w:spacing w:line="240" w:lineRule="auto"/>
        <w:ind w:left="1440"/>
        <w:jc w:val="left"/>
      </w:pPr>
      <w:r>
        <w:t>3.</w:t>
      </w:r>
      <w:r>
        <w:tab/>
      </w:r>
      <w:r w:rsidR="00EC2F20">
        <w:t>TOU customers would pay higher default service prices in on-peak periods and lower default service prices in off-peak periods.</w:t>
      </w:r>
    </w:p>
    <w:p w:rsidR="00F90B14" w:rsidRDefault="00F90B14" w:rsidP="00085F47">
      <w:pPr>
        <w:spacing w:line="240" w:lineRule="auto"/>
        <w:ind w:left="1440"/>
        <w:jc w:val="left"/>
      </w:pPr>
    </w:p>
    <w:p w:rsidR="00EC2F20" w:rsidRDefault="00762408" w:rsidP="00085F47">
      <w:pPr>
        <w:spacing w:line="240" w:lineRule="auto"/>
        <w:ind w:left="1440"/>
        <w:jc w:val="left"/>
      </w:pPr>
      <w:r>
        <w:t>4.</w:t>
      </w:r>
      <w:r>
        <w:tab/>
      </w:r>
      <w:r w:rsidR="00EC2F20">
        <w:t>TOU costs and recoveries were reconciled with other default service costs and recovers under the Company's Generation Supply Charge (GSC).</w:t>
      </w:r>
    </w:p>
    <w:p w:rsidR="00F90B14" w:rsidRDefault="00F90B14" w:rsidP="00085F47">
      <w:pPr>
        <w:spacing w:line="240" w:lineRule="auto"/>
        <w:ind w:left="1440"/>
        <w:jc w:val="left"/>
      </w:pPr>
    </w:p>
    <w:p w:rsidR="00EC2F20" w:rsidRDefault="00762408" w:rsidP="00085F47">
      <w:pPr>
        <w:spacing w:line="240" w:lineRule="auto"/>
        <w:ind w:left="1440"/>
        <w:jc w:val="left"/>
      </w:pPr>
      <w:r>
        <w:t>5.</w:t>
      </w:r>
      <w:r>
        <w:tab/>
      </w:r>
      <w:r w:rsidR="00EC2F20">
        <w:t>The Company could not recover lost or decreased revenues due to reduced or shifted demand.</w:t>
      </w:r>
    </w:p>
    <w:p w:rsidR="00F90B14" w:rsidRDefault="00F90B14" w:rsidP="00085F47">
      <w:pPr>
        <w:ind w:left="1440"/>
        <w:jc w:val="left"/>
      </w:pPr>
    </w:p>
    <w:p w:rsidR="00EC2F20" w:rsidRDefault="00EC2F20" w:rsidP="00085F47">
      <w:pPr>
        <w:jc w:val="left"/>
      </w:pPr>
      <w:r>
        <w:t xml:space="preserve">PPL Electric Stmt. 1 at 4; PPL Electric MB at 13; </w:t>
      </w:r>
      <w:r>
        <w:rPr>
          <w:i/>
        </w:rPr>
        <w:t>Pa. PUC v. PPL Electric Utilities Corporation</w:t>
      </w:r>
      <w:r>
        <w:t>, Docket No. R-2009-2122718 (Order entered March 9, 2010</w:t>
      </w:r>
      <w:proofErr w:type="gramStart"/>
      <w:r>
        <w:t>)(</w:t>
      </w:r>
      <w:proofErr w:type="gramEnd"/>
      <w:r>
        <w:t>2010 TOU Order).</w:t>
      </w:r>
    </w:p>
    <w:p w:rsidR="00EC2F20" w:rsidRDefault="00EC2F20" w:rsidP="00085F47">
      <w:pPr>
        <w:jc w:val="left"/>
      </w:pPr>
    </w:p>
    <w:p w:rsidR="00EC2F20" w:rsidRDefault="00EC2F20" w:rsidP="00085F47">
      <w:pPr>
        <w:jc w:val="left"/>
      </w:pPr>
      <w:r>
        <w:tab/>
      </w:r>
      <w:r>
        <w:tab/>
        <w:t>The second TOU filing, Supplement No. 94 (Second TOU Program), had the following features:</w:t>
      </w:r>
    </w:p>
    <w:p w:rsidR="00085F47" w:rsidRDefault="00085F47" w:rsidP="00085F47">
      <w:pPr>
        <w:jc w:val="left"/>
      </w:pPr>
    </w:p>
    <w:p w:rsidR="00EC2F20" w:rsidRDefault="00085F47" w:rsidP="00085F47">
      <w:pPr>
        <w:spacing w:line="240" w:lineRule="auto"/>
        <w:ind w:left="1440"/>
        <w:jc w:val="left"/>
      </w:pPr>
      <w:r>
        <w:t>1.</w:t>
      </w:r>
      <w:r>
        <w:tab/>
      </w:r>
      <w:r w:rsidR="00EC2F20">
        <w:t>The same 2010 on-peak</w:t>
      </w:r>
      <w:r w:rsidR="006D7201">
        <w:t xml:space="preserve"> and off-peak periods were kept:</w:t>
      </w:r>
    </w:p>
    <w:p w:rsidR="00085F47" w:rsidRDefault="00085F47" w:rsidP="00085F47">
      <w:pPr>
        <w:spacing w:line="240" w:lineRule="auto"/>
        <w:ind w:left="1440"/>
        <w:jc w:val="left"/>
      </w:pPr>
    </w:p>
    <w:p w:rsidR="006D7201" w:rsidRDefault="006D7201" w:rsidP="00085F47">
      <w:pPr>
        <w:spacing w:line="240" w:lineRule="auto"/>
        <w:ind w:left="2160"/>
        <w:jc w:val="left"/>
      </w:pPr>
      <w:r>
        <w:t>Residential summer peak hours are 1:00 pm to 6:00 pm</w:t>
      </w:r>
    </w:p>
    <w:p w:rsidR="006D7201" w:rsidRDefault="006D7201" w:rsidP="00085F47">
      <w:pPr>
        <w:spacing w:line="240" w:lineRule="auto"/>
        <w:ind w:left="2160"/>
        <w:jc w:val="left"/>
      </w:pPr>
      <w:r>
        <w:t>Residential non-summer peak hours are 5:00 pm to 7:00 pm</w:t>
      </w:r>
    </w:p>
    <w:p w:rsidR="006D7201" w:rsidRDefault="006D7201" w:rsidP="00085F47">
      <w:pPr>
        <w:spacing w:line="240" w:lineRule="auto"/>
        <w:ind w:left="1440"/>
        <w:jc w:val="left"/>
      </w:pPr>
    </w:p>
    <w:p w:rsidR="00EC2F20" w:rsidRDefault="00085F47" w:rsidP="00085F47">
      <w:pPr>
        <w:spacing w:line="240" w:lineRule="auto"/>
        <w:ind w:left="1440" w:right="1440"/>
        <w:jc w:val="left"/>
      </w:pPr>
      <w:r>
        <w:t>2.</w:t>
      </w:r>
      <w:r>
        <w:tab/>
      </w:r>
      <w:r w:rsidR="00EC2F20">
        <w:t>TOU default service would be supplied through spot market purchases under the default service plan;</w:t>
      </w:r>
    </w:p>
    <w:p w:rsidR="00042776" w:rsidRDefault="00042776" w:rsidP="00085F47">
      <w:pPr>
        <w:spacing w:line="240" w:lineRule="auto"/>
        <w:ind w:left="1440" w:right="1440"/>
        <w:jc w:val="left"/>
      </w:pPr>
    </w:p>
    <w:p w:rsidR="00EC2F20" w:rsidRDefault="00085F47" w:rsidP="00085F47">
      <w:pPr>
        <w:spacing w:line="240" w:lineRule="auto"/>
        <w:ind w:left="1440" w:right="1440"/>
        <w:jc w:val="left"/>
      </w:pPr>
      <w:r>
        <w:t>3.</w:t>
      </w:r>
      <w:r>
        <w:tab/>
      </w:r>
      <w:r w:rsidR="00EC2F20">
        <w:t>Rates would be established by the Company:</w:t>
      </w:r>
    </w:p>
    <w:p w:rsidR="00085F47" w:rsidRDefault="00085F47" w:rsidP="00085F47">
      <w:pPr>
        <w:spacing w:line="240" w:lineRule="auto"/>
        <w:ind w:left="1440" w:right="1440"/>
        <w:jc w:val="left"/>
      </w:pPr>
    </w:p>
    <w:p w:rsidR="00EC2F20" w:rsidRDefault="00EC2F20" w:rsidP="00085F47">
      <w:pPr>
        <w:spacing w:line="240" w:lineRule="auto"/>
        <w:ind w:left="1440" w:right="1440"/>
        <w:jc w:val="left"/>
      </w:pPr>
      <w:r>
        <w:tab/>
      </w:r>
      <w:r w:rsidR="00085F47">
        <w:t>(a)</w:t>
      </w:r>
      <w:r w:rsidR="00085F47">
        <w:tab/>
      </w:r>
      <w:r>
        <w:t>Obtaining market quotes on forward contracts for on-peak and off-peak wholesale energy within the PPL zone;</w:t>
      </w:r>
    </w:p>
    <w:p w:rsidR="00F90B14" w:rsidRDefault="00F90B14" w:rsidP="00085F47">
      <w:pPr>
        <w:spacing w:line="240" w:lineRule="auto"/>
        <w:ind w:left="1440" w:right="1440"/>
        <w:jc w:val="left"/>
      </w:pPr>
    </w:p>
    <w:p w:rsidR="00EC2F20" w:rsidRDefault="00EC2F20" w:rsidP="00085F47">
      <w:pPr>
        <w:spacing w:line="240" w:lineRule="auto"/>
        <w:ind w:left="1440" w:right="1440"/>
        <w:jc w:val="left"/>
      </w:pPr>
      <w:r>
        <w:tab/>
      </w:r>
      <w:r w:rsidR="00085F47">
        <w:t>(b)</w:t>
      </w:r>
      <w:r w:rsidR="00085F47">
        <w:tab/>
      </w:r>
      <w:r>
        <w:t>Using the historical variation in PJM prices to develop hourly prices;</w:t>
      </w:r>
    </w:p>
    <w:p w:rsidR="00A54A77" w:rsidRDefault="00A54A77" w:rsidP="00085F47">
      <w:pPr>
        <w:spacing w:line="240" w:lineRule="auto"/>
        <w:ind w:left="1440" w:right="1440"/>
        <w:jc w:val="left"/>
      </w:pPr>
      <w:r>
        <w:tab/>
      </w:r>
    </w:p>
    <w:p w:rsidR="00EC2F20" w:rsidRDefault="00A54A77" w:rsidP="00085F47">
      <w:pPr>
        <w:spacing w:line="240" w:lineRule="auto"/>
        <w:ind w:left="1440" w:right="1440"/>
        <w:jc w:val="left"/>
      </w:pPr>
      <w:r>
        <w:tab/>
        <w:t>(c)</w:t>
      </w:r>
      <w:r>
        <w:tab/>
      </w:r>
      <w:r w:rsidR="00EC2F20">
        <w:t>Establishing the rates from hour</w:t>
      </w:r>
      <w:r w:rsidR="00C91C7D">
        <w:t>ly prices for the on-peak and off-peak periods.</w:t>
      </w:r>
    </w:p>
    <w:p w:rsidR="00F90B14" w:rsidRDefault="00F90B14" w:rsidP="00085F47">
      <w:pPr>
        <w:spacing w:line="240" w:lineRule="auto"/>
        <w:ind w:left="1440" w:right="1440"/>
        <w:jc w:val="left"/>
      </w:pPr>
    </w:p>
    <w:p w:rsidR="00C91C7D" w:rsidRDefault="00C91C7D" w:rsidP="00085F47">
      <w:pPr>
        <w:spacing w:line="240" w:lineRule="auto"/>
        <w:ind w:left="1440" w:right="1440"/>
        <w:jc w:val="left"/>
      </w:pPr>
      <w:r>
        <w:tab/>
      </w:r>
      <w:r w:rsidR="00085F47">
        <w:t>(</w:t>
      </w:r>
      <w:r w:rsidR="00A54A77">
        <w:t>d</w:t>
      </w:r>
      <w:r w:rsidR="00085F47">
        <w:t>)</w:t>
      </w:r>
      <w:r w:rsidR="00085F47">
        <w:tab/>
      </w:r>
      <w:r>
        <w:t>Adjusting the prices to reflect capacity ancillary services, administrative costs, alternative energy credits, gross receipts, taxes and losses.</w:t>
      </w:r>
    </w:p>
    <w:p w:rsidR="00042776" w:rsidRDefault="00042776" w:rsidP="00085F47">
      <w:pPr>
        <w:spacing w:line="240" w:lineRule="auto"/>
        <w:ind w:left="1440"/>
        <w:jc w:val="left"/>
      </w:pPr>
    </w:p>
    <w:p w:rsidR="00C91C7D" w:rsidRDefault="00C91C7D" w:rsidP="00A96D89">
      <w:pPr>
        <w:spacing w:line="240" w:lineRule="auto"/>
        <w:jc w:val="left"/>
      </w:pPr>
      <w:r>
        <w:rPr>
          <w:i/>
        </w:rPr>
        <w:t>PPL Electric Utilities Corporation Supplement No. 94 to Tariff Electric – Pa. P.U.C. N</w:t>
      </w:r>
      <w:r w:rsidR="00062F68">
        <w:rPr>
          <w:i/>
        </w:rPr>
        <w:t>o</w:t>
      </w:r>
      <w:r>
        <w:rPr>
          <w:i/>
        </w:rPr>
        <w:t xml:space="preserve">. 201-Time of Use Rates, </w:t>
      </w:r>
      <w:r>
        <w:t>Docket No. R-2010-2201138 (Order entered December 2, 2010).</w:t>
      </w:r>
    </w:p>
    <w:p w:rsidR="00C91C7D" w:rsidRDefault="00C91C7D" w:rsidP="00085F47">
      <w:pPr>
        <w:jc w:val="left"/>
      </w:pPr>
    </w:p>
    <w:p w:rsidR="00C91C7D" w:rsidRDefault="00C91C7D" w:rsidP="00085F47">
      <w:pPr>
        <w:jc w:val="left"/>
      </w:pPr>
      <w:r>
        <w:tab/>
      </w:r>
      <w:r>
        <w:tab/>
        <w:t xml:space="preserve">The first TOU program did not pose significant problems.  The second, however, did not fare as well.  </w:t>
      </w:r>
    </w:p>
    <w:p w:rsidR="00C91C7D" w:rsidRDefault="00C91C7D" w:rsidP="00085F47">
      <w:pPr>
        <w:jc w:val="left"/>
      </w:pPr>
    </w:p>
    <w:p w:rsidR="00C91C7D" w:rsidRDefault="00FA2FAE" w:rsidP="00085F47">
      <w:pPr>
        <w:jc w:val="left"/>
      </w:pPr>
      <w:r>
        <w:tab/>
      </w:r>
      <w:r>
        <w:tab/>
        <w:t>The s</w:t>
      </w:r>
      <w:r w:rsidR="00C91C7D">
        <w:t>econd TOU program ran from January 1, 2011 through May 31, 2011.  Both the on-peak and off-peak TOU rates were lower than the fixed price default service rate</w:t>
      </w:r>
      <w:r w:rsidR="00EC26FA">
        <w:t>, meaning that customers could switch to TOU rates and save money without adjusting their usage</w:t>
      </w:r>
      <w:r w:rsidR="00C91C7D">
        <w:t>.</w:t>
      </w:r>
      <w:r w:rsidR="00EC26FA">
        <w:t xml:space="preserve">  As of May 2011, approximately 21,000 customers switched to the TOU program.  </w:t>
      </w:r>
      <w:proofErr w:type="gramStart"/>
      <w:r w:rsidR="00EC26FA">
        <w:t>PPL Electric Stmt. 1-R at 7; PPL Electric MB at 15.</w:t>
      </w:r>
      <w:proofErr w:type="gramEnd"/>
    </w:p>
    <w:p w:rsidR="00EC26FA" w:rsidRDefault="00EC26FA" w:rsidP="00085F47">
      <w:pPr>
        <w:jc w:val="left"/>
      </w:pPr>
    </w:p>
    <w:p w:rsidR="00EC26FA" w:rsidRDefault="00EC26FA" w:rsidP="00085F47">
      <w:pPr>
        <w:jc w:val="left"/>
      </w:pPr>
      <w:r>
        <w:tab/>
      </w:r>
      <w:r>
        <w:tab/>
        <w:t>From June 1, 2011 through August 31, 2011, both on-peak and off-peak TOU rates were higher than the fixed price default se</w:t>
      </w:r>
      <w:r w:rsidR="00807B78">
        <w:t xml:space="preserve">rvice rate.  </w:t>
      </w:r>
      <w:proofErr w:type="gramStart"/>
      <w:r w:rsidR="00807B78">
        <w:t>PPL Electric Ex. No</w:t>
      </w:r>
      <w:r>
        <w:t>. 1 at 2; PPL Electric MB at 15.</w:t>
      </w:r>
      <w:proofErr w:type="gramEnd"/>
      <w:r w:rsidR="00807B78">
        <w:t xml:space="preserve">  As this presented no advantage to the customers, most dropped the TOU rate option and returned to fixed rate default service.  At the time of the hearing, the number of customers being served on the TOU schedule was approximately 3,200.  </w:t>
      </w:r>
      <w:proofErr w:type="gramStart"/>
      <w:r w:rsidR="00807B78">
        <w:t>Tr. 27; PPL Electric MB at 14.</w:t>
      </w:r>
      <w:proofErr w:type="gramEnd"/>
      <w:r w:rsidR="00807B78">
        <w:t xml:space="preserve">  </w:t>
      </w:r>
    </w:p>
    <w:p w:rsidR="00807B78" w:rsidRDefault="00807B78" w:rsidP="00085F47">
      <w:pPr>
        <w:jc w:val="left"/>
      </w:pPr>
    </w:p>
    <w:p w:rsidR="00807B78" w:rsidRDefault="00807B78" w:rsidP="00085F47">
      <w:pPr>
        <w:jc w:val="left"/>
      </w:pPr>
      <w:r>
        <w:tab/>
      </w:r>
      <w:r>
        <w:tab/>
        <w:t xml:space="preserve">During this time, the Company reported a substantial undercollection for its TOU program for the January 1, 2011 through May 31, 2011 application period.  </w:t>
      </w:r>
      <w:r w:rsidR="006D7201">
        <w:t xml:space="preserve">The Company reported that the size of the undercollection and the reduced size of the customer base would have resulted in rates of approximately four times the fixed price default service rate.  The Commission granted the Company's request to suspend the TOU rates that would have become effective on September 1, 2011, to keep the TOU rates in effect at that time, and allow the Company to submit a revised TOU program within 30 days.  See Docket No. M-2011-2258733 (Order entered August 25, 2011).  </w:t>
      </w:r>
    </w:p>
    <w:p w:rsidR="006D7201" w:rsidRDefault="006D7201" w:rsidP="00085F47">
      <w:pPr>
        <w:jc w:val="left"/>
      </w:pPr>
    </w:p>
    <w:p w:rsidR="006D7201" w:rsidRDefault="006D7201" w:rsidP="00085F47">
      <w:pPr>
        <w:jc w:val="left"/>
      </w:pPr>
      <w:r>
        <w:tab/>
      </w:r>
      <w:r>
        <w:tab/>
        <w:t>Pursuant to that Order, PPL Electric filed the subject TOU plan.  The subject TOU plan has the following features:</w:t>
      </w:r>
    </w:p>
    <w:p w:rsidR="00085F47" w:rsidRDefault="00085F47" w:rsidP="00085F47">
      <w:pPr>
        <w:jc w:val="left"/>
      </w:pPr>
    </w:p>
    <w:p w:rsidR="006D7201" w:rsidRDefault="006D7201" w:rsidP="00085F47">
      <w:pPr>
        <w:spacing w:line="240" w:lineRule="auto"/>
        <w:ind w:left="1440"/>
        <w:jc w:val="left"/>
      </w:pPr>
      <w:r>
        <w:t>1.</w:t>
      </w:r>
      <w:r>
        <w:tab/>
        <w:t>Peak time periods which are consistent throughout the year:</w:t>
      </w:r>
    </w:p>
    <w:p w:rsidR="00085F47" w:rsidRDefault="00085F47" w:rsidP="00085F47">
      <w:pPr>
        <w:spacing w:line="240" w:lineRule="auto"/>
        <w:ind w:left="1440"/>
        <w:jc w:val="left"/>
      </w:pPr>
    </w:p>
    <w:p w:rsidR="006D7201" w:rsidRDefault="006D7201" w:rsidP="00085F47">
      <w:pPr>
        <w:spacing w:line="240" w:lineRule="auto"/>
        <w:ind w:left="1440"/>
        <w:jc w:val="left"/>
      </w:pPr>
      <w:r>
        <w:tab/>
        <w:t>Residential peak is from 12:00 pm to 7:00 pm</w:t>
      </w:r>
    </w:p>
    <w:p w:rsidR="006D7201" w:rsidRDefault="006D7201" w:rsidP="00085F47">
      <w:pPr>
        <w:spacing w:line="240" w:lineRule="auto"/>
        <w:ind w:left="1440"/>
        <w:jc w:val="left"/>
      </w:pPr>
      <w:r>
        <w:tab/>
        <w:t>Small Commercial and Industrial (C&amp;I) peak is 7:00 am to 7:00 pm</w:t>
      </w:r>
    </w:p>
    <w:p w:rsidR="006D7201" w:rsidRDefault="006D7201" w:rsidP="00085F47">
      <w:pPr>
        <w:spacing w:line="240" w:lineRule="auto"/>
        <w:ind w:left="1440"/>
        <w:jc w:val="left"/>
      </w:pPr>
      <w:r>
        <w:tab/>
        <w:t>Both schedules exclude weekends and holidays</w:t>
      </w:r>
    </w:p>
    <w:p w:rsidR="00BE7B4E" w:rsidRDefault="00BE7B4E" w:rsidP="00085F47">
      <w:pPr>
        <w:spacing w:line="240" w:lineRule="auto"/>
        <w:ind w:left="1440"/>
        <w:jc w:val="left"/>
      </w:pPr>
    </w:p>
    <w:p w:rsidR="006D7201" w:rsidRDefault="006D7201" w:rsidP="00085F47">
      <w:pPr>
        <w:spacing w:line="240" w:lineRule="auto"/>
        <w:ind w:left="1440"/>
        <w:jc w:val="left"/>
      </w:pPr>
      <w:r>
        <w:t>2.</w:t>
      </w:r>
      <w:r>
        <w:tab/>
      </w:r>
      <w:r w:rsidR="00A83E8E">
        <w:t>TOU rates are based on the fixed rate default service rate as follows:</w:t>
      </w:r>
    </w:p>
    <w:p w:rsidR="00085F47" w:rsidRDefault="00085F47" w:rsidP="00085F47">
      <w:pPr>
        <w:spacing w:line="240" w:lineRule="auto"/>
        <w:ind w:left="1440"/>
        <w:jc w:val="left"/>
      </w:pPr>
    </w:p>
    <w:p w:rsidR="00A83E8E" w:rsidRDefault="00A83E8E" w:rsidP="00085F47">
      <w:pPr>
        <w:spacing w:line="240" w:lineRule="auto"/>
        <w:ind w:left="1440"/>
        <w:jc w:val="left"/>
      </w:pPr>
      <w:r>
        <w:tab/>
        <w:t xml:space="preserve">Residential </w:t>
      </w:r>
      <w:r>
        <w:tab/>
        <w:t>On-peak premium 20%</w:t>
      </w:r>
      <w:r>
        <w:tab/>
        <w:t>Off-peak discount 5%</w:t>
      </w:r>
    </w:p>
    <w:p w:rsidR="00A83E8E" w:rsidRDefault="00A83E8E" w:rsidP="00085F47">
      <w:pPr>
        <w:spacing w:line="240" w:lineRule="auto"/>
        <w:ind w:left="1440"/>
        <w:jc w:val="left"/>
      </w:pPr>
      <w:r>
        <w:tab/>
        <w:t>Small C&amp;I</w:t>
      </w:r>
      <w:r>
        <w:tab/>
        <w:t>On-peak premium 12%</w:t>
      </w:r>
      <w:r>
        <w:tab/>
        <w:t>Off-peak discount 8%</w:t>
      </w:r>
    </w:p>
    <w:p w:rsidR="00A83E8E" w:rsidRDefault="00A83E8E" w:rsidP="00085F47">
      <w:pPr>
        <w:spacing w:line="240" w:lineRule="auto"/>
        <w:ind w:left="1440"/>
        <w:jc w:val="left"/>
      </w:pPr>
    </w:p>
    <w:p w:rsidR="00A83E8E" w:rsidRDefault="00A83E8E" w:rsidP="00085F47">
      <w:pPr>
        <w:spacing w:line="240" w:lineRule="auto"/>
        <w:ind w:left="1440"/>
        <w:jc w:val="left"/>
      </w:pPr>
      <w:r>
        <w:t>3.</w:t>
      </w:r>
      <w:r>
        <w:tab/>
        <w:t>Over or under collections will be reconciled through GSC-1 rates for the next Application period.</w:t>
      </w:r>
    </w:p>
    <w:p w:rsidR="00BE7B4E" w:rsidRDefault="00BE7B4E" w:rsidP="00085F47">
      <w:pPr>
        <w:spacing w:line="240" w:lineRule="auto"/>
        <w:ind w:left="1440"/>
        <w:jc w:val="left"/>
      </w:pPr>
    </w:p>
    <w:p w:rsidR="00A83E8E" w:rsidRDefault="00A83E8E" w:rsidP="00085F47">
      <w:pPr>
        <w:spacing w:line="240" w:lineRule="auto"/>
        <w:ind w:left="1440"/>
        <w:jc w:val="left"/>
      </w:pPr>
      <w:r>
        <w:t>4.</w:t>
      </w:r>
      <w:r>
        <w:tab/>
        <w:t>Reconciliation will not reflect amounts for reduced consumption or shifted demand.</w:t>
      </w:r>
    </w:p>
    <w:p w:rsidR="00A83E8E" w:rsidRDefault="00A83E8E" w:rsidP="00085F47">
      <w:pPr>
        <w:jc w:val="left"/>
      </w:pPr>
    </w:p>
    <w:p w:rsidR="00BE7B4E" w:rsidRDefault="00BE7B4E" w:rsidP="00085F47">
      <w:pPr>
        <w:jc w:val="left"/>
      </w:pPr>
      <w:r>
        <w:tab/>
      </w:r>
      <w:r>
        <w:tab/>
        <w:t>The advantage to the Company is that the under and over collection of default service co</w:t>
      </w:r>
      <w:r w:rsidR="00DC4D82">
        <w:t>s</w:t>
      </w:r>
      <w:r>
        <w:t xml:space="preserve">ts will not vary with the enrollment for the TOU program because the TOU rates are tied to the default service rate.  </w:t>
      </w:r>
      <w:proofErr w:type="gramStart"/>
      <w:r>
        <w:t>OCA St. 1 at 4.</w:t>
      </w:r>
      <w:proofErr w:type="gramEnd"/>
      <w:r>
        <w:t xml:space="preserve">  In addition, for reconciliation purposes, the Company would treat all TOU service as though billed at straight default service rates.  </w:t>
      </w:r>
      <w:proofErr w:type="gramStart"/>
      <w:r>
        <w:t>PPL Stmt. 1 at 7.</w:t>
      </w:r>
      <w:proofErr w:type="gramEnd"/>
      <w:r>
        <w:t xml:space="preserve">  </w:t>
      </w:r>
    </w:p>
    <w:p w:rsidR="00920622" w:rsidRDefault="00920622" w:rsidP="00085F47">
      <w:pPr>
        <w:jc w:val="left"/>
      </w:pPr>
    </w:p>
    <w:p w:rsidR="00920622" w:rsidRDefault="00920622" w:rsidP="00085F47">
      <w:pPr>
        <w:jc w:val="left"/>
      </w:pPr>
      <w:r>
        <w:tab/>
      </w:r>
      <w:r>
        <w:tab/>
        <w:t>Pro se intervenor Epstein sought more detailed comparisons, asking the Company whether TOU customers received higher or lower bills as a result of the program, and the average demand savings per customer</w:t>
      </w:r>
      <w:r w:rsidR="0087214B">
        <w:t>.</w:t>
      </w:r>
      <w:r>
        <w:t xml:space="preserve">  The Company indicated that it had not engaged in this level of analysis.  </w:t>
      </w:r>
      <w:proofErr w:type="gramStart"/>
      <w:r>
        <w:t>Epstein MB at 5.</w:t>
      </w:r>
      <w:proofErr w:type="gramEnd"/>
      <w:r>
        <w:t xml:space="preserve">  </w:t>
      </w:r>
    </w:p>
    <w:p w:rsidR="002D34B2" w:rsidRDefault="002D34B2" w:rsidP="00085F47">
      <w:pPr>
        <w:jc w:val="left"/>
        <w:rPr>
          <w:b/>
        </w:rPr>
      </w:pPr>
    </w:p>
    <w:p w:rsidR="00A83E8E" w:rsidRPr="00FA2FAE" w:rsidRDefault="00920622" w:rsidP="00085F47">
      <w:pPr>
        <w:jc w:val="left"/>
        <w:rPr>
          <w:b/>
        </w:rPr>
      </w:pPr>
      <w:r>
        <w:rPr>
          <w:b/>
        </w:rPr>
        <w:tab/>
        <w:t>b</w:t>
      </w:r>
      <w:r w:rsidR="00FA2FAE" w:rsidRPr="00FA2FAE">
        <w:rPr>
          <w:b/>
        </w:rPr>
        <w:t>.</w:t>
      </w:r>
      <w:r w:rsidR="00FA2FAE" w:rsidRPr="00FA2FAE">
        <w:rPr>
          <w:b/>
        </w:rPr>
        <w:tab/>
      </w:r>
      <w:r w:rsidR="00A83E8E" w:rsidRPr="00FA2FAE">
        <w:rPr>
          <w:b/>
        </w:rPr>
        <w:t>Issues</w:t>
      </w:r>
    </w:p>
    <w:p w:rsidR="006D7201" w:rsidRDefault="006D7201" w:rsidP="00085F47">
      <w:pPr>
        <w:jc w:val="left"/>
      </w:pPr>
    </w:p>
    <w:p w:rsidR="00CD4B7C" w:rsidRDefault="00042776" w:rsidP="00085F47">
      <w:pPr>
        <w:jc w:val="left"/>
      </w:pPr>
      <w:r>
        <w:tab/>
      </w:r>
      <w:r>
        <w:tab/>
        <w:t>The Company's current program sets summer peak hours of 1:00 pm to 6:00 pm and non-summer peak hours of 5:00 pm to 7:00 pm</w:t>
      </w:r>
      <w:r w:rsidR="00DC4D82">
        <w:t>.  T</w:t>
      </w:r>
      <w:r>
        <w:t>he proposal is to change the peak time period to run from 12:00 pm to 7:00 pm year round.</w:t>
      </w:r>
      <w:r w:rsidR="00A96D89">
        <w:t xml:space="preserve">  </w:t>
      </w:r>
      <w:r w:rsidR="00FA2FAE">
        <w:tab/>
      </w:r>
    </w:p>
    <w:p w:rsidR="00085F47" w:rsidRDefault="00085F47" w:rsidP="00085F47">
      <w:pPr>
        <w:jc w:val="left"/>
      </w:pPr>
    </w:p>
    <w:p w:rsidR="00CD4B7C" w:rsidRDefault="00CD4B7C" w:rsidP="00085F47">
      <w:pPr>
        <w:jc w:val="left"/>
      </w:pPr>
      <w:r>
        <w:tab/>
      </w:r>
      <w:r>
        <w:tab/>
        <w:t>The Company explains the approach it used in developing the program as follows:</w:t>
      </w:r>
    </w:p>
    <w:p w:rsidR="00085F47" w:rsidRDefault="00085F47" w:rsidP="00085F47">
      <w:pPr>
        <w:jc w:val="left"/>
      </w:pPr>
    </w:p>
    <w:p w:rsidR="00CD4B7C" w:rsidRDefault="00CD4B7C" w:rsidP="00085F47">
      <w:pPr>
        <w:spacing w:line="240" w:lineRule="auto"/>
        <w:ind w:left="1440" w:right="1440"/>
        <w:jc w:val="left"/>
      </w:pPr>
      <w:r>
        <w:tab/>
        <w:t xml:space="preserve">A TOU program looks at more than just historic on-peak periods in developing on-peak periods.  In addition to looking at historic on-peak periods, a reasonable TOU program should adopt a reasonable timeframe, a reasonable premium and a reasonable discount to encourage customer participation.  </w:t>
      </w:r>
      <w:proofErr w:type="gramStart"/>
      <w:r>
        <w:t xml:space="preserve">PPL Electric </w:t>
      </w:r>
      <w:proofErr w:type="spellStart"/>
      <w:r>
        <w:t>Exh</w:t>
      </w:r>
      <w:proofErr w:type="spellEnd"/>
      <w:r>
        <w:t>.</w:t>
      </w:r>
      <w:proofErr w:type="gramEnd"/>
      <w:r>
        <w:t xml:space="preserve"> No. 1, p.</w:t>
      </w:r>
      <w:r w:rsidR="002D34B2">
        <w:t xml:space="preserve"> </w:t>
      </w:r>
      <w:r>
        <w:t>9.  In addition, a default service provider should offer a simple TOU program that does not inhibit competition.  PPL Electric St. No. 2-R, p. 5.  PPL Electric has considered all of these factors in developing its TOU program, including its on-peak and off-peak periods.</w:t>
      </w:r>
    </w:p>
    <w:p w:rsidR="00CD4B7C" w:rsidRDefault="00CD4B7C" w:rsidP="00A54A77">
      <w:pPr>
        <w:spacing w:line="240" w:lineRule="auto"/>
        <w:jc w:val="left"/>
      </w:pPr>
      <w:r>
        <w:t>PPL Electric MB at 26</w:t>
      </w:r>
    </w:p>
    <w:p w:rsidR="00CD4B7C" w:rsidRDefault="00CD4B7C" w:rsidP="00085F47">
      <w:pPr>
        <w:jc w:val="left"/>
      </w:pPr>
    </w:p>
    <w:p w:rsidR="00183719" w:rsidRDefault="00183719" w:rsidP="00085F47">
      <w:pPr>
        <w:jc w:val="left"/>
      </w:pPr>
      <w:r>
        <w:tab/>
      </w:r>
      <w:r>
        <w:tab/>
        <w:t>Because of the problems which occurred when both on and off peak times were higher or lower than the default service rates, the Company states that:</w:t>
      </w:r>
    </w:p>
    <w:p w:rsidR="00085F47" w:rsidRDefault="00085F47" w:rsidP="00085F47">
      <w:pPr>
        <w:jc w:val="left"/>
      </w:pPr>
    </w:p>
    <w:p w:rsidR="00183719" w:rsidRDefault="00183719" w:rsidP="00085F47">
      <w:pPr>
        <w:spacing w:line="240" w:lineRule="auto"/>
        <w:ind w:left="1440" w:right="1440"/>
        <w:jc w:val="left"/>
      </w:pPr>
      <w:r>
        <w:t>. . . it is now clear that any reasonable TOU plan must be designed around the applicable fixed price default service rate so that the TOU on-peak rate is higher than the fixed price default service rate so that the TOU on-peak rate is higher than the fixed price default service rate and the TOU off-peak rate is lower than the fixed price default service rate.  PPL Electric's proposed TOU default service program adds a percentage charge or premium to the fixed price default service rate in on-peak periods and provides a percentage discount off of the fixed price default service rate in off-peak periods.  This methodology will maintain the appropriate relationship between TOU rates and fixed price default service rates, and should provide the appropriate incentive for customers to shift load from on-peak to off-peak periods.</w:t>
      </w:r>
    </w:p>
    <w:p w:rsidR="00183719" w:rsidRDefault="00183719" w:rsidP="00085F47">
      <w:pPr>
        <w:jc w:val="left"/>
      </w:pPr>
      <w:proofErr w:type="gramStart"/>
      <w:r>
        <w:t>PPL Electric Stmt. 2 at 7.</w:t>
      </w:r>
      <w:proofErr w:type="gramEnd"/>
    </w:p>
    <w:p w:rsidR="00183719" w:rsidRDefault="00183719" w:rsidP="00085F47">
      <w:pPr>
        <w:jc w:val="left"/>
      </w:pPr>
    </w:p>
    <w:p w:rsidR="00183719" w:rsidRDefault="00183719" w:rsidP="00085F47">
      <w:pPr>
        <w:jc w:val="left"/>
      </w:pPr>
      <w:r>
        <w:tab/>
      </w:r>
      <w:r>
        <w:tab/>
        <w:t>Therefore, in deciding upon the on-peak periods proposed, PPL Electric evaluated:</w:t>
      </w:r>
    </w:p>
    <w:p w:rsidR="00085F47" w:rsidRDefault="00085F47" w:rsidP="00085F47">
      <w:pPr>
        <w:jc w:val="left"/>
      </w:pPr>
    </w:p>
    <w:p w:rsidR="00183719" w:rsidRDefault="00183719" w:rsidP="00085F47">
      <w:pPr>
        <w:spacing w:line="240" w:lineRule="auto"/>
        <w:ind w:left="1440" w:right="1440"/>
        <w:jc w:val="left"/>
      </w:pPr>
      <w:r>
        <w:t>1.</w:t>
      </w:r>
      <w:r>
        <w:tab/>
        <w:t>Sufficient premium discount to encourage shifting of load and/or conservation;</w:t>
      </w:r>
    </w:p>
    <w:p w:rsidR="00183719" w:rsidRDefault="00183719" w:rsidP="00085F47">
      <w:pPr>
        <w:spacing w:line="240" w:lineRule="auto"/>
        <w:ind w:left="1440" w:right="1440"/>
        <w:jc w:val="left"/>
      </w:pPr>
    </w:p>
    <w:p w:rsidR="00183719" w:rsidRDefault="00183719" w:rsidP="00085F47">
      <w:pPr>
        <w:spacing w:line="240" w:lineRule="auto"/>
        <w:ind w:left="1440" w:right="1440"/>
        <w:jc w:val="left"/>
      </w:pPr>
      <w:r>
        <w:t>2.</w:t>
      </w:r>
      <w:r>
        <w:tab/>
        <w:t>Reasonable time frame to encourage participation, but long enough to provide reasonable price differentials; and</w:t>
      </w:r>
    </w:p>
    <w:p w:rsidR="00183719" w:rsidRDefault="00183719" w:rsidP="00085F47">
      <w:pPr>
        <w:spacing w:line="240" w:lineRule="auto"/>
        <w:ind w:left="1440" w:right="1440"/>
        <w:jc w:val="left"/>
      </w:pPr>
    </w:p>
    <w:p w:rsidR="00183719" w:rsidRDefault="00183719" w:rsidP="00085F47">
      <w:pPr>
        <w:spacing w:line="240" w:lineRule="auto"/>
        <w:ind w:left="1440" w:right="1440"/>
        <w:jc w:val="left"/>
      </w:pPr>
      <w:r>
        <w:t>3.</w:t>
      </w:r>
      <w:r>
        <w:tab/>
        <w:t>Periods to include the typical summer and winter peak load time periods.</w:t>
      </w:r>
    </w:p>
    <w:p w:rsidR="00183719" w:rsidRDefault="00183719" w:rsidP="00085F47">
      <w:pPr>
        <w:spacing w:line="240" w:lineRule="auto"/>
        <w:jc w:val="left"/>
      </w:pPr>
      <w:proofErr w:type="gramStart"/>
      <w:r>
        <w:t>PPL Electric Stmt. 2 at 8.</w:t>
      </w:r>
      <w:proofErr w:type="gramEnd"/>
    </w:p>
    <w:p w:rsidR="00085F47" w:rsidRDefault="00085F47" w:rsidP="00085F47">
      <w:pPr>
        <w:jc w:val="left"/>
      </w:pPr>
    </w:p>
    <w:p w:rsidR="00837604" w:rsidRDefault="00837604" w:rsidP="00085F47">
      <w:pPr>
        <w:jc w:val="left"/>
      </w:pPr>
      <w:r>
        <w:tab/>
      </w:r>
      <w:r>
        <w:tab/>
        <w:t xml:space="preserve">No specific details are required by the statute, and accordingly, DR believes the Company's proposal to be "a rational response to the requirements of Act 129 and should be approved as proposed."  </w:t>
      </w:r>
      <w:proofErr w:type="gramStart"/>
      <w:r>
        <w:t>DR MB at 4.</w:t>
      </w:r>
      <w:proofErr w:type="gramEnd"/>
      <w:r w:rsidR="00A96D89">
        <w:t xml:space="preserve">  </w:t>
      </w:r>
    </w:p>
    <w:p w:rsidR="00837604" w:rsidRDefault="00837604" w:rsidP="00085F47">
      <w:pPr>
        <w:jc w:val="left"/>
      </w:pPr>
    </w:p>
    <w:p w:rsidR="00CD4B7C" w:rsidRDefault="00183719" w:rsidP="00085F47">
      <w:pPr>
        <w:jc w:val="left"/>
      </w:pPr>
      <w:r>
        <w:tab/>
      </w:r>
      <w:r>
        <w:tab/>
      </w:r>
      <w:r w:rsidR="00CD4B7C">
        <w:t xml:space="preserve">OCA and OSBA recommend that the Company adopt different peak periods in the summer and non-summer time periods.  </w:t>
      </w:r>
      <w:proofErr w:type="gramStart"/>
      <w:r w:rsidR="00CD4B7C">
        <w:t>OCA Stmt. 1 at 6; OSBA St. 1 at 18.</w:t>
      </w:r>
      <w:proofErr w:type="gramEnd"/>
      <w:r w:rsidR="00CD4B7C">
        <w:t xml:space="preserve">  </w:t>
      </w:r>
    </w:p>
    <w:p w:rsidR="001D7177" w:rsidRDefault="001D7177" w:rsidP="00085F47">
      <w:pPr>
        <w:jc w:val="left"/>
      </w:pPr>
    </w:p>
    <w:p w:rsidR="001D7177" w:rsidRDefault="001D7177" w:rsidP="00085F47">
      <w:pPr>
        <w:jc w:val="left"/>
      </w:pPr>
      <w:r>
        <w:tab/>
      </w:r>
      <w:r>
        <w:tab/>
        <w:t xml:space="preserve">OCA states that a TOU program should be designed to reflect time periods when energy costs are highest during the course of a day.  This would shift usage away from high cost periods, aiding the goal of reducing average energy cost.  </w:t>
      </w:r>
      <w:proofErr w:type="gramStart"/>
      <w:r>
        <w:t>OCA MB at 9.</w:t>
      </w:r>
      <w:proofErr w:type="gramEnd"/>
      <w:r>
        <w:t xml:space="preserve">  </w:t>
      </w:r>
    </w:p>
    <w:p w:rsidR="001D7177" w:rsidRDefault="001D7177" w:rsidP="00085F47">
      <w:pPr>
        <w:jc w:val="left"/>
      </w:pPr>
    </w:p>
    <w:p w:rsidR="00B2319D" w:rsidRDefault="001D7177" w:rsidP="00085F47">
      <w:pPr>
        <w:jc w:val="left"/>
      </w:pPr>
      <w:r>
        <w:tab/>
      </w:r>
      <w:r>
        <w:tab/>
        <w:t xml:space="preserve">OCA Witness Hahn </w:t>
      </w:r>
      <w:r w:rsidR="00B2319D">
        <w:t xml:space="preserve">testified that his analysis of average hourly loads for all summer months and non-summer months resulted in a finding that the load shapes were quite different.  He found that in the summer, the highest peak loads occur between 11 am and 7 pm, and accordingly, he recommends those hours for summer peak.  </w:t>
      </w:r>
      <w:proofErr w:type="gramStart"/>
      <w:r w:rsidR="00B2319D">
        <w:t>OCA Stmt. 1 at 6; OCA MB at 10.</w:t>
      </w:r>
      <w:proofErr w:type="gramEnd"/>
      <w:r w:rsidR="00B2319D">
        <w:t xml:space="preserve">  Non-summer peak should be 5 pm to 9 pm.  These times are so different that using two different peaks are justified.  </w:t>
      </w:r>
      <w:proofErr w:type="gramStart"/>
      <w:r w:rsidR="00B2319D">
        <w:t>OCA Stmt. 1 at 10.</w:t>
      </w:r>
      <w:proofErr w:type="gramEnd"/>
      <w:r w:rsidR="00A96D89">
        <w:t xml:space="preserve">  </w:t>
      </w:r>
      <w:r w:rsidR="00B2319D">
        <w:t xml:space="preserve">This two-peak system should not be overly complicated for customers who should be able to understand that heating and air conditioning will be used at different hours.  </w:t>
      </w:r>
      <w:proofErr w:type="gramStart"/>
      <w:r w:rsidR="00B2319D">
        <w:t>OCA MB at 12.</w:t>
      </w:r>
      <w:proofErr w:type="gramEnd"/>
    </w:p>
    <w:p w:rsidR="00042776" w:rsidRDefault="00042776" w:rsidP="00085F47">
      <w:pPr>
        <w:jc w:val="left"/>
      </w:pPr>
    </w:p>
    <w:p w:rsidR="00762408" w:rsidRDefault="00762408" w:rsidP="00085F47">
      <w:pPr>
        <w:jc w:val="left"/>
      </w:pPr>
      <w:r>
        <w:br w:type="page"/>
      </w:r>
    </w:p>
    <w:p w:rsidR="00042776" w:rsidRDefault="00837604" w:rsidP="00085F47">
      <w:pPr>
        <w:jc w:val="left"/>
      </w:pPr>
      <w:r>
        <w:tab/>
      </w:r>
      <w:r>
        <w:tab/>
        <w:t>DR agrees with the Company, however, and states:</w:t>
      </w:r>
    </w:p>
    <w:p w:rsidR="00085F47" w:rsidRDefault="00085F47" w:rsidP="00085F47">
      <w:pPr>
        <w:jc w:val="left"/>
      </w:pPr>
    </w:p>
    <w:p w:rsidR="00837604" w:rsidRDefault="00837604" w:rsidP="00085F47">
      <w:pPr>
        <w:spacing w:line="240" w:lineRule="auto"/>
        <w:ind w:left="1440" w:right="1440"/>
        <w:jc w:val="left"/>
      </w:pPr>
      <w:r>
        <w:t xml:space="preserve">. . . while it is not a perfect puritan's perspective, it certainly will provide customers with the upfront, known pricing signals to conserve during peak hours and to use the majority of their energy during off-peak hours."  </w:t>
      </w:r>
    </w:p>
    <w:p w:rsidR="00837604" w:rsidRDefault="00837604" w:rsidP="00085F47">
      <w:pPr>
        <w:jc w:val="left"/>
      </w:pPr>
      <w:proofErr w:type="gramStart"/>
      <w:r>
        <w:t>DR Stmt. 1 at 4; DR MB at 4.</w:t>
      </w:r>
      <w:proofErr w:type="gramEnd"/>
    </w:p>
    <w:p w:rsidR="00042776" w:rsidRDefault="00042776" w:rsidP="00085F47">
      <w:pPr>
        <w:jc w:val="left"/>
      </w:pPr>
    </w:p>
    <w:p w:rsidR="004370D7" w:rsidRDefault="00EC2F20" w:rsidP="00085F47">
      <w:pPr>
        <w:jc w:val="left"/>
      </w:pPr>
      <w:r>
        <w:tab/>
      </w:r>
      <w:r>
        <w:tab/>
      </w:r>
      <w:r w:rsidR="00D30BCA">
        <w:t>OCA agrees th</w:t>
      </w:r>
      <w:r w:rsidR="001D6EFE">
        <w:t>at</w:t>
      </w:r>
      <w:r w:rsidR="00D30BCA">
        <w:t xml:space="preserve"> the Company</w:t>
      </w:r>
      <w:r w:rsidR="00427CA9">
        <w:t>'s proposal to</w:t>
      </w:r>
      <w:r w:rsidR="00D30BCA">
        <w:t xml:space="preserve"> link the TOU rate to the default service rate is appropriate for this program.</w:t>
      </w:r>
      <w:r w:rsidR="00C428BB">
        <w:t xml:space="preserve">  "</w:t>
      </w:r>
      <w:proofErr w:type="gramStart"/>
      <w:r w:rsidR="00C428BB">
        <w:t>Percentage modifications to the standard flat default service rate allows</w:t>
      </w:r>
      <w:proofErr w:type="gramEnd"/>
      <w:r w:rsidR="00C428BB">
        <w:t xml:space="preserve"> the TOU rates to track changes in the default rate, while providing customers the opportunity to reduce their bills through changing their usage patterns away from the most expensive periods."  </w:t>
      </w:r>
      <w:proofErr w:type="gramStart"/>
      <w:r w:rsidR="00C428BB">
        <w:t>OCA Stmt. 1 at 5.</w:t>
      </w:r>
      <w:proofErr w:type="gramEnd"/>
      <w:r w:rsidR="00C428BB">
        <w:t xml:space="preserve">  However, OCA also believes that the proposal is not reasonably calculated to attract customers and incent load shifting, as it provides a limited opportunity for saving.  </w:t>
      </w:r>
      <w:r w:rsidR="00B2319D">
        <w:t xml:space="preserve">In addition, the premiums and discounts should reflect market conditions during the on-peak and off-peak periods while providing incentives for shifting usage.  </w:t>
      </w:r>
      <w:proofErr w:type="gramStart"/>
      <w:r w:rsidR="00106251">
        <w:t>OCA Stmt. 1 at 11; OCA MB at 13.</w:t>
      </w:r>
      <w:proofErr w:type="gramEnd"/>
      <w:r w:rsidR="00990D3A">
        <w:t xml:space="preserve">  OCA witness Hahn testified:</w:t>
      </w:r>
    </w:p>
    <w:p w:rsidR="00990D3A" w:rsidRDefault="00990D3A" w:rsidP="00085F47">
      <w:pPr>
        <w:jc w:val="left"/>
      </w:pPr>
    </w:p>
    <w:p w:rsidR="00106251" w:rsidRDefault="00990D3A" w:rsidP="00085F47">
      <w:pPr>
        <w:spacing w:line="240" w:lineRule="auto"/>
        <w:ind w:left="1440" w:right="1440"/>
        <w:jc w:val="left"/>
      </w:pPr>
      <w:r>
        <w:t xml:space="preserve">The premium should be more directly related to the energy cost differentials from the high cost to low cost periods.  </w:t>
      </w:r>
      <w:proofErr w:type="gramStart"/>
      <w:r>
        <w:t>The Company's proposed TOU rate charges 20% more than the default rate for use during the peak period and 5% less during the off-peak period.</w:t>
      </w:r>
      <w:proofErr w:type="gramEnd"/>
      <w:r>
        <w:t xml:space="preserve">  For instance, if the peak period price in the summer months in PPL territory is 70% higher and the off-peak price is 5% lower than the average day price, the proposed rate would </w:t>
      </w:r>
      <w:r>
        <w:rPr>
          <w:u w:val="single"/>
        </w:rPr>
        <w:t>not</w:t>
      </w:r>
      <w:r>
        <w:t xml:space="preserve"> reflect the actual price differential in the summer season.  It also provides much less incentive to reduce load during the peak period than a differential tha</w:t>
      </w:r>
      <w:r w:rsidR="00660F85">
        <w:t>t</w:t>
      </w:r>
      <w:r>
        <w:t xml:space="preserve"> more closely reflected actual price differences for the particular peak/off peak period.  The proposed rate will not meet the Company's fundamental </w:t>
      </w:r>
      <w:r w:rsidR="00660F85">
        <w:t>criteria of incenting customers to shift load off peak times.</w:t>
      </w:r>
    </w:p>
    <w:p w:rsidR="00660F85" w:rsidRDefault="00660F85" w:rsidP="00085F47">
      <w:pPr>
        <w:jc w:val="left"/>
      </w:pPr>
      <w:proofErr w:type="gramStart"/>
      <w:r>
        <w:t>OCA Stmt. 1 at 11; OCA MB at 14.</w:t>
      </w:r>
      <w:proofErr w:type="gramEnd"/>
    </w:p>
    <w:p w:rsidR="00660F85" w:rsidRDefault="00660F85" w:rsidP="00085F47">
      <w:pPr>
        <w:jc w:val="left"/>
      </w:pPr>
    </w:p>
    <w:p w:rsidR="00660F85" w:rsidRDefault="00660F85" w:rsidP="00085F47">
      <w:pPr>
        <w:jc w:val="left"/>
      </w:pPr>
      <w:r>
        <w:tab/>
      </w:r>
      <w:r>
        <w:tab/>
        <w:t>However, Mr. Hahn admitted that basing the differentials directly on the ratios between seasonal period prices and average prices results in rates which are revenue neutral only for average customers who remain on the rate for an entire year.  Th</w:t>
      </w:r>
      <w:r w:rsidR="0087214B">
        <w:t>is</w:t>
      </w:r>
      <w:r>
        <w:t xml:space="preserve"> creates the possibility that savvy customers could choose the TOU rate in the non-summer months but switch back to the default rate for the summer.  </w:t>
      </w:r>
      <w:proofErr w:type="gramStart"/>
      <w:r>
        <w:t>OCA Stmt. 1 at 13; OCA MB at 14.</w:t>
      </w:r>
      <w:proofErr w:type="gramEnd"/>
      <w:r>
        <w:t xml:space="preserve">  </w:t>
      </w:r>
    </w:p>
    <w:p w:rsidR="00361714" w:rsidRDefault="00361714" w:rsidP="00085F47">
      <w:pPr>
        <w:jc w:val="left"/>
      </w:pPr>
    </w:p>
    <w:p w:rsidR="00361714" w:rsidRDefault="00361714" w:rsidP="00085F47">
      <w:pPr>
        <w:jc w:val="left"/>
      </w:pPr>
      <w:r>
        <w:tab/>
        <w:t>PPL Electric's proposal:</w:t>
      </w:r>
    </w:p>
    <w:p w:rsidR="00085F47" w:rsidRDefault="00085F47" w:rsidP="00085F47">
      <w:pPr>
        <w:jc w:val="left"/>
      </w:pPr>
    </w:p>
    <w:p w:rsidR="00361714" w:rsidRDefault="00361714" w:rsidP="00085F47">
      <w:pPr>
        <w:spacing w:line="240" w:lineRule="auto"/>
        <w:ind w:left="1440"/>
        <w:jc w:val="left"/>
      </w:pPr>
      <w:r>
        <w:t xml:space="preserve">Residential </w:t>
      </w:r>
      <w:r>
        <w:tab/>
        <w:t>On-peak premium 20%</w:t>
      </w:r>
      <w:r>
        <w:tab/>
        <w:t>Off-peak discount 5%</w:t>
      </w:r>
    </w:p>
    <w:p w:rsidR="00361714" w:rsidRDefault="00361714" w:rsidP="00085F47">
      <w:pPr>
        <w:spacing w:line="240" w:lineRule="auto"/>
        <w:ind w:left="1440"/>
        <w:jc w:val="left"/>
      </w:pPr>
      <w:r>
        <w:t>Small C&amp;I</w:t>
      </w:r>
      <w:r>
        <w:tab/>
        <w:t>On-peak premium 12%</w:t>
      </w:r>
      <w:r>
        <w:tab/>
        <w:t>Off-peak discount 8%</w:t>
      </w:r>
    </w:p>
    <w:p w:rsidR="00085F47" w:rsidRDefault="00085F47" w:rsidP="00085F47">
      <w:pPr>
        <w:spacing w:line="240" w:lineRule="auto"/>
        <w:ind w:left="1440"/>
        <w:jc w:val="left"/>
      </w:pPr>
    </w:p>
    <w:p w:rsidR="00361714" w:rsidRDefault="00361714" w:rsidP="00E51064">
      <w:pPr>
        <w:spacing w:line="240" w:lineRule="auto"/>
        <w:ind w:left="720"/>
        <w:jc w:val="left"/>
      </w:pPr>
      <w:r>
        <w:t>OCA's proposal:</w:t>
      </w:r>
    </w:p>
    <w:p w:rsidR="00085F47" w:rsidRDefault="00085F47" w:rsidP="00085F47">
      <w:pPr>
        <w:spacing w:line="240" w:lineRule="auto"/>
        <w:ind w:left="1440"/>
        <w:jc w:val="left"/>
      </w:pPr>
    </w:p>
    <w:p w:rsidR="00361714" w:rsidRDefault="00361714" w:rsidP="00E51064">
      <w:pPr>
        <w:spacing w:line="240" w:lineRule="auto"/>
        <w:ind w:left="1440" w:hanging="90"/>
        <w:jc w:val="left"/>
      </w:pPr>
      <w:r>
        <w:t>Summer Residential</w:t>
      </w:r>
      <w:r>
        <w:tab/>
        <w:t>On-peak premium 50%</w:t>
      </w:r>
      <w:r>
        <w:tab/>
        <w:t>Off-peak discount -20%</w:t>
      </w:r>
    </w:p>
    <w:p w:rsidR="00361714" w:rsidRDefault="00361714" w:rsidP="00E51064">
      <w:pPr>
        <w:spacing w:line="240" w:lineRule="auto"/>
        <w:ind w:left="1440"/>
        <w:jc w:val="left"/>
      </w:pPr>
      <w:r>
        <w:t>Non-summer</w:t>
      </w:r>
      <w:r>
        <w:tab/>
      </w:r>
      <w:r>
        <w:tab/>
        <w:t>On-peak premium 25%</w:t>
      </w:r>
      <w:r>
        <w:tab/>
        <w:t>Off-peak discount -4%</w:t>
      </w:r>
    </w:p>
    <w:p w:rsidR="00361714" w:rsidRDefault="00361714" w:rsidP="00085F47">
      <w:pPr>
        <w:jc w:val="left"/>
      </w:pPr>
      <w:proofErr w:type="gramStart"/>
      <w:r>
        <w:t>OCA Stmt. 1 at 14; OCA MB at 15.</w:t>
      </w:r>
      <w:proofErr w:type="gramEnd"/>
    </w:p>
    <w:p w:rsidR="00361714" w:rsidRDefault="00361714" w:rsidP="00085F47">
      <w:pPr>
        <w:jc w:val="left"/>
      </w:pPr>
    </w:p>
    <w:p w:rsidR="00EF70EA" w:rsidRDefault="004A0F1D" w:rsidP="00085F47">
      <w:pPr>
        <w:jc w:val="left"/>
      </w:pPr>
      <w:r>
        <w:tab/>
      </w:r>
      <w:r>
        <w:tab/>
        <w:t xml:space="preserve">OSBA </w:t>
      </w:r>
      <w:r w:rsidR="00EF70EA">
        <w:t>takes issue with establishing different peak times for residential and commercial customers:</w:t>
      </w:r>
    </w:p>
    <w:p w:rsidR="00EF70EA" w:rsidRDefault="00EF70EA" w:rsidP="00085F47">
      <w:pPr>
        <w:jc w:val="left"/>
      </w:pPr>
    </w:p>
    <w:p w:rsidR="00EF70EA" w:rsidRDefault="00EF70EA" w:rsidP="00085F47">
      <w:pPr>
        <w:spacing w:line="240" w:lineRule="auto"/>
        <w:ind w:left="1440" w:right="1440"/>
        <w:jc w:val="left"/>
      </w:pPr>
      <w:r>
        <w:t>TOU differentials should reflect market price differentials, and both Residential and Small C&amp;I participate in the same market.  Therefore, there is no economic reason for establishing different on-peak and off-peak periods for regular residential, RTS residential and Small C&amp;I TOU customers.  As  [OSBA witness] Mr. Knecht notes, variations in hourly energy prices in the wholesale market, as well as generation capacity costs, are based on overall market supply and demand conditions – they are not differentiated by rate class.</w:t>
      </w:r>
    </w:p>
    <w:p w:rsidR="00EF70EA" w:rsidRDefault="00EF70EA" w:rsidP="00085F47">
      <w:pPr>
        <w:jc w:val="left"/>
      </w:pPr>
      <w:r>
        <w:t>OSBA Stmt. 1 at 16-17; OSBA MB at 6-7.</w:t>
      </w:r>
      <w:r w:rsidR="00A96D89">
        <w:t xml:space="preserve">  </w:t>
      </w:r>
    </w:p>
    <w:p w:rsidR="00EF70EA" w:rsidRDefault="00EF70EA" w:rsidP="00085F47">
      <w:pPr>
        <w:jc w:val="left"/>
      </w:pPr>
    </w:p>
    <w:p w:rsidR="0061181A" w:rsidRDefault="0061181A" w:rsidP="00085F47">
      <w:pPr>
        <w:jc w:val="left"/>
      </w:pPr>
      <w:r>
        <w:tab/>
      </w:r>
      <w:r>
        <w:tab/>
        <w:t xml:space="preserve">The Company believes that using the same peak times year round will discourage "free riders," i.e., those customers who can save money without shifting their usage, from being on TOU rates only half of the year.  </w:t>
      </w:r>
      <w:proofErr w:type="gramStart"/>
      <w:r>
        <w:t>PPL Electric Stmt. 2-R at 8.</w:t>
      </w:r>
      <w:proofErr w:type="gramEnd"/>
    </w:p>
    <w:p w:rsidR="0061181A" w:rsidRDefault="0061181A" w:rsidP="00085F47">
      <w:pPr>
        <w:jc w:val="left"/>
      </w:pPr>
    </w:p>
    <w:p w:rsidR="001F1D55" w:rsidRDefault="00361714" w:rsidP="00085F47">
      <w:pPr>
        <w:jc w:val="left"/>
      </w:pPr>
      <w:r>
        <w:tab/>
      </w:r>
      <w:r>
        <w:tab/>
        <w:t xml:space="preserve">OCA believes that </w:t>
      </w:r>
      <w:r w:rsidR="00EF70EA">
        <w:t>its</w:t>
      </w:r>
      <w:r>
        <w:t xml:space="preserve"> plan will reduce "free riders</w:t>
      </w:r>
      <w:r w:rsidR="0061181A">
        <w:t>" as well, and can do so without penalties to participating ratepayers.  It notes that</w:t>
      </w:r>
      <w:r w:rsidR="007E28ED">
        <w:t xml:space="preserve"> the Company's plan is designed to penalize the customer who signs up for the TOU program but does not shift usage.  </w:t>
      </w:r>
      <w:proofErr w:type="gramStart"/>
      <w:r w:rsidR="007E28ED">
        <w:t>OCA Stmt. 1 at 14015; 1-S at 2-4; OCA RB at 2.</w:t>
      </w:r>
      <w:proofErr w:type="gramEnd"/>
      <w:r w:rsidR="007E28ED">
        <w:t xml:space="preserve">  </w:t>
      </w:r>
      <w:r w:rsidR="001F1D55">
        <w:t>OCA does not believe that this is the correct approach:</w:t>
      </w:r>
    </w:p>
    <w:p w:rsidR="00085F47" w:rsidRDefault="00085F47" w:rsidP="00085F47">
      <w:pPr>
        <w:jc w:val="left"/>
      </w:pPr>
    </w:p>
    <w:p w:rsidR="006766D4" w:rsidRDefault="001F1D55" w:rsidP="00085F47">
      <w:pPr>
        <w:spacing w:line="240" w:lineRule="auto"/>
        <w:ind w:left="1440" w:right="1440"/>
        <w:jc w:val="left"/>
      </w:pPr>
      <w:r>
        <w:tab/>
        <w:t xml:space="preserve">The OCA submits that the Company's position on this issue is flawed.  As OCA witness Hahn explained, the Company will not see any increase in the cost to serve the average customer that selects TOU service if they do not shift load.  </w:t>
      </w:r>
      <w:proofErr w:type="gramStart"/>
      <w:r>
        <w:rPr>
          <w:u w:val="single"/>
        </w:rPr>
        <w:t>See</w:t>
      </w:r>
      <w:r>
        <w:t xml:space="preserve"> OCA St. 1-S at 2-3.</w:t>
      </w:r>
      <w:proofErr w:type="gramEnd"/>
      <w:r>
        <w:t xml:space="preserve">  The OCA</w:t>
      </w:r>
      <w:r w:rsidR="00361714">
        <w:t xml:space="preserve"> </w:t>
      </w:r>
      <w:r>
        <w:t>submits that PPL should not be permitted to create a level of excess revenues above the costs to serve TOU customers, simply to incent them to shift load to lower peak period.</w:t>
      </w:r>
    </w:p>
    <w:p w:rsidR="00085F47" w:rsidRDefault="00085F47" w:rsidP="00085F47">
      <w:pPr>
        <w:spacing w:line="240" w:lineRule="auto"/>
        <w:ind w:left="1440" w:right="1440"/>
        <w:jc w:val="left"/>
      </w:pPr>
    </w:p>
    <w:p w:rsidR="006766D4" w:rsidRDefault="006766D4" w:rsidP="00085F47">
      <w:pPr>
        <w:spacing w:line="240" w:lineRule="auto"/>
        <w:ind w:left="1440" w:right="1440"/>
        <w:jc w:val="left"/>
      </w:pPr>
      <w:r>
        <w:tab/>
        <w:t xml:space="preserve">As the Company has recognized, the Commission prohibited the Company from recovering lost revenues as a result of implementation of TOU service in its 2009 TOU plan.  </w:t>
      </w:r>
      <w:proofErr w:type="gramStart"/>
      <w:r>
        <w:t xml:space="preserve">PPL MB at 23; </w:t>
      </w:r>
      <w:r>
        <w:rPr>
          <w:u w:val="single"/>
        </w:rPr>
        <w:t>see,</w:t>
      </w:r>
      <w:r>
        <w:t xml:space="preserve"> </w:t>
      </w:r>
      <w:r>
        <w:rPr>
          <w:u w:val="single"/>
        </w:rPr>
        <w:t>Pa. P.U.C. v. PPL Electric Utilities Corp.</w:t>
      </w:r>
      <w:r>
        <w:t>, Docket Nos.</w:t>
      </w:r>
      <w:proofErr w:type="gramEnd"/>
      <w:r>
        <w:t xml:space="preserve"> R-2009-2122718,</w:t>
      </w:r>
      <w:r>
        <w:rPr>
          <w:i/>
        </w:rPr>
        <w:t xml:space="preserve"> et al.</w:t>
      </w:r>
      <w:r>
        <w:t xml:space="preserve"> (Order entered March 9, 2010</w:t>
      </w:r>
      <w:proofErr w:type="gramStart"/>
      <w:r>
        <w:t>)(</w:t>
      </w:r>
      <w:proofErr w:type="gramEnd"/>
      <w:r>
        <w:rPr>
          <w:u w:val="single"/>
        </w:rPr>
        <w:t>March 2010 Order</w:t>
      </w:r>
      <w:r>
        <w:t xml:space="preserve">).  In making its determination in PPL's 2010 proceeding, the Commission found that PPL's proposed cost recovery method would allow it to recover as "costs" the savings enjoyed by customers who shifted usage under the TOU plan.  </w:t>
      </w:r>
      <w:proofErr w:type="gramStart"/>
      <w:r>
        <w:t>March 2010 Order at 18.</w:t>
      </w:r>
      <w:proofErr w:type="gramEnd"/>
      <w:r>
        <w:t xml:space="preserve">  The Commission specifically cited Act 129 of 2008, which states:</w:t>
      </w:r>
    </w:p>
    <w:p w:rsidR="006766D4" w:rsidRDefault="006766D4" w:rsidP="00085F47">
      <w:pPr>
        <w:jc w:val="left"/>
      </w:pPr>
    </w:p>
    <w:p w:rsidR="006766D4" w:rsidRDefault="00085F47" w:rsidP="00085F47">
      <w:pPr>
        <w:spacing w:line="240" w:lineRule="auto"/>
        <w:ind w:left="2160" w:right="1440"/>
        <w:jc w:val="left"/>
      </w:pPr>
      <w:r>
        <w:t>(4)</w:t>
      </w:r>
      <w:r>
        <w:tab/>
      </w:r>
      <w:r w:rsidR="006766D4">
        <w:t>In no event shall lost or decreased revenues by an electric distribution company due to reduced electricity consumption or shifting energy demand be considered any of the following:</w:t>
      </w:r>
    </w:p>
    <w:p w:rsidR="00361714" w:rsidRDefault="006766D4" w:rsidP="00085F47">
      <w:pPr>
        <w:spacing w:line="240" w:lineRule="auto"/>
        <w:ind w:left="2160" w:right="1440"/>
      </w:pPr>
      <w:r>
        <w:t>* * * * *</w:t>
      </w:r>
    </w:p>
    <w:p w:rsidR="006766D4" w:rsidRDefault="00085F47" w:rsidP="00085F47">
      <w:pPr>
        <w:spacing w:line="240" w:lineRule="auto"/>
        <w:ind w:left="2160" w:right="1440"/>
        <w:jc w:val="left"/>
      </w:pPr>
      <w:r>
        <w:tab/>
        <w:t>(ii)</w:t>
      </w:r>
      <w:r>
        <w:tab/>
      </w:r>
      <w:r w:rsidR="006766D4">
        <w:t>A recoverable cost.</w:t>
      </w:r>
    </w:p>
    <w:p w:rsidR="002D34B2" w:rsidRDefault="002D34B2" w:rsidP="00085F47">
      <w:pPr>
        <w:spacing w:line="240" w:lineRule="auto"/>
        <w:ind w:left="2160" w:right="1440"/>
        <w:jc w:val="left"/>
      </w:pPr>
    </w:p>
    <w:p w:rsidR="006766D4" w:rsidRDefault="006766D4" w:rsidP="00085F47">
      <w:pPr>
        <w:spacing w:line="240" w:lineRule="auto"/>
        <w:ind w:left="1440" w:right="1440"/>
        <w:jc w:val="left"/>
      </w:pPr>
      <w:r>
        <w:t>66 Pa. C.S. § 2807(f</w:t>
      </w:r>
      <w:proofErr w:type="gramStart"/>
      <w:r>
        <w:t>)(</w:t>
      </w:r>
      <w:proofErr w:type="gramEnd"/>
      <w:r>
        <w:t>4).  The Commission concluded that section 2807(f</w:t>
      </w:r>
      <w:proofErr w:type="gramStart"/>
      <w:r>
        <w:t>)(</w:t>
      </w:r>
      <w:proofErr w:type="gramEnd"/>
      <w:r>
        <w:t xml:space="preserve">4) prohibited PPL from recovering any decreased revenues resulting from customers shifting demand.  </w:t>
      </w:r>
      <w:proofErr w:type="gramStart"/>
      <w:r>
        <w:rPr>
          <w:u w:val="single"/>
        </w:rPr>
        <w:t>March 2010 Order</w:t>
      </w:r>
      <w:r>
        <w:t xml:space="preserve"> at</w:t>
      </w:r>
      <w:r w:rsidR="00E51064">
        <w:t> </w:t>
      </w:r>
      <w:r>
        <w:t>18.</w:t>
      </w:r>
      <w:proofErr w:type="gramEnd"/>
    </w:p>
    <w:p w:rsidR="002D34B2" w:rsidRDefault="002D34B2" w:rsidP="00085F47">
      <w:pPr>
        <w:spacing w:line="240" w:lineRule="auto"/>
        <w:ind w:left="1440" w:right="1440"/>
        <w:jc w:val="left"/>
      </w:pPr>
    </w:p>
    <w:p w:rsidR="006766D4" w:rsidRDefault="006766D4" w:rsidP="00085F47">
      <w:pPr>
        <w:spacing w:line="240" w:lineRule="auto"/>
        <w:ind w:left="1440" w:right="1440"/>
        <w:jc w:val="left"/>
      </w:pPr>
      <w:r>
        <w:tab/>
        <w:t>Act 129 requires that energy efficiency and time of use programs be designed to reduce customer costs, and that the Electric Distribution Company (in this proceeding, PPL) running the program should not recover decreased revenues that are, in essence, customer "savings."  As OCA witness Hahn testified, there are no "costs" underlying the proposed TOU "adder."  Mr. Hahn testified as follows:</w:t>
      </w:r>
    </w:p>
    <w:p w:rsidR="00085F47" w:rsidRDefault="00085F47" w:rsidP="00085F47">
      <w:pPr>
        <w:spacing w:line="240" w:lineRule="auto"/>
        <w:ind w:left="1440" w:right="1440"/>
        <w:jc w:val="left"/>
      </w:pPr>
    </w:p>
    <w:p w:rsidR="006766D4" w:rsidRDefault="006766D4" w:rsidP="00085F47">
      <w:pPr>
        <w:spacing w:line="240" w:lineRule="auto"/>
        <w:ind w:left="2160" w:right="1440"/>
        <w:jc w:val="left"/>
      </w:pPr>
      <w:r>
        <w:t>If no load shifting occurs, the cost to serve that load will not change from the cost to serve non-TOU rates, so there is no reason to charge higher revenues.  TOU rates should provide an incentive to shift usage to the off-peak hours, not penalize customers for not shifting usage.  A penalty feature such as this would make TOU rates unattractive to customers.</w:t>
      </w:r>
    </w:p>
    <w:p w:rsidR="006766D4" w:rsidRDefault="00D73A6D" w:rsidP="00085F47">
      <w:pPr>
        <w:spacing w:line="240" w:lineRule="auto"/>
        <w:jc w:val="left"/>
      </w:pPr>
      <w:r>
        <w:tab/>
      </w:r>
      <w:r>
        <w:tab/>
      </w:r>
      <w:r w:rsidR="006766D4">
        <w:t>OCA St. 1-S at 2-3.</w:t>
      </w:r>
    </w:p>
    <w:p w:rsidR="00085F47" w:rsidRPr="006766D4" w:rsidRDefault="00085F47" w:rsidP="00085F47">
      <w:pPr>
        <w:spacing w:line="240" w:lineRule="auto"/>
        <w:jc w:val="left"/>
      </w:pPr>
    </w:p>
    <w:p w:rsidR="00D73A6D" w:rsidRDefault="00D73A6D" w:rsidP="00085F47">
      <w:pPr>
        <w:spacing w:line="240" w:lineRule="auto"/>
        <w:ind w:left="1440" w:right="1440"/>
        <w:jc w:val="left"/>
      </w:pPr>
      <w:r>
        <w:tab/>
        <w:t>In this proceeding, including an artificial adder would undercut the Commission's prior finding that PPL cannot collect the "savings" realized by customers at a later time through rates.  PPL's proposal would build the prohibited recovery of customer "savings" into TOU rates at the front end, requiring customers to pay a non-cost-based adder.  The customer would then have to change usage just to get back to square one, with savings only resulting from further energy shifting.</w:t>
      </w:r>
    </w:p>
    <w:p w:rsidR="00361714" w:rsidRDefault="00D73A6D" w:rsidP="00085F47">
      <w:pPr>
        <w:jc w:val="left"/>
      </w:pPr>
      <w:r>
        <w:t>OCA RB at 2-4.</w:t>
      </w:r>
    </w:p>
    <w:p w:rsidR="00FA660E" w:rsidRDefault="00FA660E" w:rsidP="00085F47">
      <w:pPr>
        <w:jc w:val="left"/>
      </w:pPr>
    </w:p>
    <w:p w:rsidR="00106251" w:rsidRDefault="00FA660E" w:rsidP="00085F47">
      <w:pPr>
        <w:jc w:val="left"/>
      </w:pPr>
      <w:r>
        <w:tab/>
      </w:r>
      <w:r>
        <w:tab/>
        <w:t xml:space="preserve">OCA recommends that a revenue neutral methodology should be adopted in this proceeding in order to match costs and savings with customer behavior.  </w:t>
      </w:r>
      <w:proofErr w:type="gramStart"/>
      <w:r>
        <w:t>OCA RB at 5.</w:t>
      </w:r>
      <w:proofErr w:type="gramEnd"/>
      <w:r w:rsidR="009E05BC">
        <w:t xml:space="preserve">  </w:t>
      </w:r>
      <w:r w:rsidR="003D0DA6">
        <w:t xml:space="preserve">The TOU program should reflect actual cost savings but should not introduce costs where they are absent.  Customers should not be required to pay more for generation based on non-cost based considerations.  </w:t>
      </w:r>
      <w:proofErr w:type="gramStart"/>
      <w:r w:rsidR="003D0DA6">
        <w:t>OCA MB at 17.</w:t>
      </w:r>
      <w:proofErr w:type="gramEnd"/>
    </w:p>
    <w:p w:rsidR="004370D7" w:rsidRDefault="004370D7" w:rsidP="00085F47">
      <w:pPr>
        <w:jc w:val="left"/>
      </w:pPr>
    </w:p>
    <w:p w:rsidR="0061181A" w:rsidRDefault="0061181A" w:rsidP="00085F47">
      <w:pPr>
        <w:jc w:val="left"/>
      </w:pPr>
      <w:r>
        <w:tab/>
      </w:r>
      <w:r>
        <w:tab/>
        <w:t>OCA makes a valid point.  If TOU is indeed a default service provision, then it is bound by the same requirements of default service as the rest of the statutory sections.  As generation costs are now "pass-through," and not a source of profit for the EDC, neither can a TOU program be a source of such profit.</w:t>
      </w:r>
      <w:r w:rsidR="00AC62A6">
        <w:rPr>
          <w:rStyle w:val="FootnoteReference"/>
        </w:rPr>
        <w:footnoteReference w:id="3"/>
      </w:r>
      <w:r>
        <w:t xml:space="preserve">  </w:t>
      </w:r>
      <w:r w:rsidR="006F1186">
        <w:t>In the alternative, neither should a successful TOU program be used to subsidize the rates of other default service customers, as this is not consistent with the goals of a TOU plan.</w:t>
      </w:r>
    </w:p>
    <w:p w:rsidR="0061181A" w:rsidRDefault="0061181A" w:rsidP="00085F47">
      <w:pPr>
        <w:jc w:val="left"/>
      </w:pPr>
    </w:p>
    <w:p w:rsidR="009C3948" w:rsidRDefault="007F02C3" w:rsidP="00085F47">
      <w:pPr>
        <w:jc w:val="left"/>
      </w:pPr>
      <w:r>
        <w:tab/>
      </w:r>
      <w:r>
        <w:tab/>
        <w:t>The SEF argues that it does not oppose TOU pricing mechanisms in theory but that this one should be denied because the Company has failed to analyze the cost effectiveness of the TOU program, has failed to analyze the energy demand reduction, has failed to analyze energy consumption reductions, and has committed a critical error in the design of off-peak periods.  There is no cost/benefit analysis, no projection of the impact on peak load contribution or total reduction in peak demand by rate schedule, and no analysis on energy demand by rate schedule.  SEF Stmt. 1 at 3-12.  As the Company is including a new TOU proposal with its default service provider case, now pending</w:t>
      </w:r>
      <w:r>
        <w:rPr>
          <w:rStyle w:val="FootnoteReference"/>
        </w:rPr>
        <w:footnoteReference w:id="4"/>
      </w:r>
      <w:r w:rsidR="009C3948">
        <w:t>, SEF recommends evaluation of the Company's new TOU proposal in the context of that case:</w:t>
      </w:r>
    </w:p>
    <w:p w:rsidR="00085F47" w:rsidRDefault="00085F47" w:rsidP="00085F47">
      <w:pPr>
        <w:jc w:val="left"/>
      </w:pPr>
    </w:p>
    <w:p w:rsidR="009C3948" w:rsidRDefault="009C3948" w:rsidP="00085F47">
      <w:pPr>
        <w:spacing w:line="240" w:lineRule="auto"/>
        <w:ind w:left="1440" w:right="1440"/>
        <w:jc w:val="left"/>
      </w:pPr>
      <w:r>
        <w:t>Filing of the Time of Use program with the Default Service Plan would best serve ratepayer's interest in obtaining the least cost electricity over time since one of the ongoing core issues with PPL Electric's Time of Use rates has been the relationship between Time of Use rates and the flat rate defaults service procurement.  Consequently, including the Time of Use rate in the filing of the Default Service Plan provides an opportunity for parties to the proceeding, including PPL Electric, to evaluate the interaction between the default Service tariff, the default service procurement and the Time of Use tariff.</w:t>
      </w:r>
    </w:p>
    <w:p w:rsidR="007F02C3" w:rsidRDefault="009C3948" w:rsidP="00085F47">
      <w:pPr>
        <w:jc w:val="left"/>
      </w:pPr>
      <w:proofErr w:type="gramStart"/>
      <w:r>
        <w:t>SEF Stmt. 1 at 12.</w:t>
      </w:r>
      <w:proofErr w:type="gramEnd"/>
      <w:r w:rsidR="00A96D89">
        <w:t xml:space="preserve">  </w:t>
      </w:r>
      <w:r w:rsidR="007F02C3">
        <w:t xml:space="preserve"> </w:t>
      </w:r>
    </w:p>
    <w:p w:rsidR="007F02C3" w:rsidRDefault="007F02C3" w:rsidP="00085F47">
      <w:pPr>
        <w:jc w:val="left"/>
      </w:pPr>
    </w:p>
    <w:p w:rsidR="004370D7" w:rsidRDefault="00427CA9" w:rsidP="00085F47">
      <w:pPr>
        <w:jc w:val="left"/>
        <w:rPr>
          <w:b/>
        </w:rPr>
      </w:pPr>
      <w:r>
        <w:rPr>
          <w:b/>
        </w:rPr>
        <w:tab/>
      </w:r>
      <w:r w:rsidR="00606D4F">
        <w:rPr>
          <w:b/>
        </w:rPr>
        <w:t>c</w:t>
      </w:r>
      <w:r w:rsidR="0061181A">
        <w:rPr>
          <w:b/>
        </w:rPr>
        <w:t>.</w:t>
      </w:r>
      <w:r w:rsidR="00085F47">
        <w:rPr>
          <w:b/>
        </w:rPr>
        <w:tab/>
      </w:r>
      <w:r w:rsidR="004370D7">
        <w:rPr>
          <w:b/>
        </w:rPr>
        <w:t>Anticipated participation</w:t>
      </w:r>
    </w:p>
    <w:p w:rsidR="004370D7" w:rsidRDefault="004370D7" w:rsidP="00085F47">
      <w:pPr>
        <w:jc w:val="left"/>
        <w:rPr>
          <w:b/>
        </w:rPr>
      </w:pPr>
    </w:p>
    <w:p w:rsidR="00ED297E" w:rsidRDefault="004370D7" w:rsidP="00085F47">
      <w:pPr>
        <w:jc w:val="left"/>
      </w:pPr>
      <w:r>
        <w:tab/>
      </w:r>
      <w:r>
        <w:tab/>
        <w:t xml:space="preserve">OCA agrees </w:t>
      </w:r>
      <w:r w:rsidR="00ED297E">
        <w:t xml:space="preserve">with the Company </w:t>
      </w:r>
      <w:r>
        <w:t xml:space="preserve">that the rate option </w:t>
      </w:r>
      <w:r w:rsidR="00ED297E">
        <w:t xml:space="preserve">will </w:t>
      </w:r>
      <w:r w:rsidR="003D6E8A">
        <w:t xml:space="preserve">not </w:t>
      </w:r>
      <w:r w:rsidR="00ED297E">
        <w:t xml:space="preserve">attract many customers as proposed.  </w:t>
      </w:r>
      <w:proofErr w:type="gramStart"/>
      <w:r w:rsidR="00ED297E">
        <w:t>PPL Stmt. 2-R at 7; OCA MB at 7.</w:t>
      </w:r>
      <w:proofErr w:type="gramEnd"/>
      <w:r w:rsidR="00ED297E">
        <w:t xml:space="preserve">  OCA witness Hahn testified:</w:t>
      </w:r>
    </w:p>
    <w:p w:rsidR="00085F47" w:rsidRDefault="00085F47" w:rsidP="00085F47">
      <w:pPr>
        <w:jc w:val="left"/>
      </w:pPr>
    </w:p>
    <w:p w:rsidR="002D34B2" w:rsidRDefault="00ED297E" w:rsidP="00085F47">
      <w:pPr>
        <w:spacing w:line="240" w:lineRule="auto"/>
        <w:ind w:left="1440" w:right="1440"/>
        <w:jc w:val="left"/>
      </w:pPr>
      <w:r>
        <w:t>I have calculated that a customer would have to use 7.6% less energy on peak than a typical customer in order to just come out even on this TOU rate.  This suggests this rate will be attractive to very fe</w:t>
      </w:r>
      <w:r w:rsidR="000D1727">
        <w:t>w customers.  Even for customer</w:t>
      </w:r>
      <w:r>
        <w:t>s</w:t>
      </w:r>
      <w:r w:rsidR="000D1727">
        <w:t xml:space="preserve"> w</w:t>
      </w:r>
      <w:r>
        <w:t>ho could use less energy on peak, the proposed rate differential is too small to have much of an impact on load shifting.  The premium is only being applied to the default service rate, so that a 20% adder to default service will only result in an increase to the total rate of about 11%.  I have estimated the impact that this may have on load.  The result is that I would expect the reduction in summer peak period usage fr</w:t>
      </w:r>
      <w:r w:rsidR="0087214B">
        <w:t>o</w:t>
      </w:r>
      <w:r>
        <w:t xml:space="preserve">m the proposed premium would be from one to two percent, while there might be a very small increase in off-peak </w:t>
      </w:r>
    </w:p>
    <w:p w:rsidR="00D30BCA" w:rsidRDefault="00ED297E" w:rsidP="00085F47">
      <w:pPr>
        <w:spacing w:line="240" w:lineRule="auto"/>
        <w:ind w:left="1440" w:right="1440"/>
        <w:jc w:val="left"/>
      </w:pPr>
      <w:proofErr w:type="gramStart"/>
      <w:r>
        <w:t>usage</w:t>
      </w:r>
      <w:proofErr w:type="gramEnd"/>
      <w:r>
        <w:t>.  The dollar savings from this load shift would also be small, making it unlikely that the TOU rate would attract many customers.</w:t>
      </w:r>
    </w:p>
    <w:p w:rsidR="00ED297E" w:rsidRPr="00D30BCA" w:rsidRDefault="00ED297E" w:rsidP="00085F47">
      <w:pPr>
        <w:jc w:val="left"/>
      </w:pPr>
      <w:proofErr w:type="gramStart"/>
      <w:r>
        <w:t>OCA Stmt. 1 at 15; OCA MB at 8.</w:t>
      </w:r>
      <w:proofErr w:type="gramEnd"/>
    </w:p>
    <w:p w:rsidR="008752B2" w:rsidRDefault="008752B2" w:rsidP="00085F47">
      <w:pPr>
        <w:contextualSpacing/>
        <w:jc w:val="left"/>
      </w:pPr>
    </w:p>
    <w:p w:rsidR="00F81C4C" w:rsidRDefault="00F81C4C" w:rsidP="00085F47">
      <w:pPr>
        <w:contextualSpacing/>
        <w:jc w:val="left"/>
      </w:pPr>
      <w:r>
        <w:tab/>
      </w:r>
      <w:r>
        <w:tab/>
        <w:t xml:space="preserve">As Mr. Epstein points out, the Company had not estimated the number of customers who would participate, and there was no point where the Company believed that the number of participants would indicate that the program was a success.  Rather, the Company thought that success could be measured by the shift in usage.  Epstein MB at 11-12.  </w:t>
      </w:r>
    </w:p>
    <w:p w:rsidR="00F81C4C" w:rsidRDefault="00F81C4C" w:rsidP="00085F47">
      <w:pPr>
        <w:contextualSpacing/>
        <w:jc w:val="left"/>
      </w:pPr>
    </w:p>
    <w:p w:rsidR="00F81C4C" w:rsidRDefault="00606D4F" w:rsidP="00085F47">
      <w:pPr>
        <w:contextualSpacing/>
        <w:jc w:val="left"/>
      </w:pPr>
      <w:r>
        <w:tab/>
      </w:r>
      <w:r>
        <w:tab/>
        <w:t xml:space="preserve">In fact, the overall proposal seems to be geared towards discouraging participation while protecting the Company from incurring </w:t>
      </w:r>
      <w:r w:rsidR="0010345F">
        <w:t xml:space="preserve">future </w:t>
      </w:r>
      <w:proofErr w:type="spellStart"/>
      <w:r w:rsidR="0010345F">
        <w:t>undercollections</w:t>
      </w:r>
      <w:proofErr w:type="spellEnd"/>
      <w:r w:rsidR="0010345F">
        <w:t xml:space="preserve"> that the Commission may or may not permit it to recoup.  Considering the utility's experience with the prior TOU program, its reluctance to propose a bold, attractive, and thus risky, program is understandable. </w:t>
      </w:r>
      <w:r w:rsidR="00F81C4C">
        <w:t xml:space="preserve"> However, there is no evidence that the Company sought to develop anything other than a stop-gap program to meet the minimum standards required, that is, a time of use program that offers rates which are differentiated based upon the time of day that the energy is consumed.</w:t>
      </w:r>
      <w:r w:rsidR="00F81C4C">
        <w:rPr>
          <w:rStyle w:val="FootnoteReference"/>
        </w:rPr>
        <w:footnoteReference w:id="5"/>
      </w:r>
      <w:r w:rsidR="00F81C4C">
        <w:t xml:space="preserve">  </w:t>
      </w:r>
    </w:p>
    <w:p w:rsidR="00F81C4C" w:rsidRDefault="00F81C4C" w:rsidP="00085F47">
      <w:pPr>
        <w:contextualSpacing/>
        <w:jc w:val="left"/>
      </w:pPr>
    </w:p>
    <w:p w:rsidR="00606D4F" w:rsidRDefault="0010345F" w:rsidP="00085F47">
      <w:pPr>
        <w:contextualSpacing/>
        <w:jc w:val="left"/>
      </w:pPr>
      <w:r>
        <w:t xml:space="preserve"> </w:t>
      </w:r>
      <w:r w:rsidR="00F81C4C">
        <w:tab/>
      </w:r>
      <w:r w:rsidR="00F81C4C">
        <w:tab/>
        <w:t>T</w:t>
      </w:r>
      <w:r w:rsidR="00726FC4">
        <w:t>his program would be effective for less than one calendar year.  There is another</w:t>
      </w:r>
      <w:r>
        <w:t xml:space="preserve"> propos</w:t>
      </w:r>
      <w:r w:rsidR="00726FC4">
        <w:t>al in PPL Electric's</w:t>
      </w:r>
      <w:r>
        <w:t xml:space="preserve"> pending default service provider case</w:t>
      </w:r>
      <w:r w:rsidR="00726FC4">
        <w:t>.</w:t>
      </w:r>
      <w:r>
        <w:t xml:space="preserve">  The effectiveness of </w:t>
      </w:r>
      <w:r w:rsidR="00920622">
        <w:t>this program would</w:t>
      </w:r>
      <w:r>
        <w:t xml:space="preserve"> not be evident until after the litigation of the DSP case is finished, and therefore, the lessons learned will not be available in time to apply them.</w:t>
      </w:r>
      <w:r w:rsidR="00A96D89">
        <w:t xml:space="preserve">  </w:t>
      </w:r>
      <w:r>
        <w:t>What is certain is that the implementation of any new program incurs costs</w:t>
      </w:r>
      <w:r w:rsidR="00726FC4">
        <w:t>.  F</w:t>
      </w:r>
      <w:r>
        <w:t xml:space="preserve">or the instant program, those costs </w:t>
      </w:r>
      <w:r w:rsidR="00920622">
        <w:t xml:space="preserve">would be </w:t>
      </w:r>
      <w:r>
        <w:t>for minimal or no benefit, considering the length of time that the program would run.  This is not in the public interest.  The proposed TOU program should be denied</w:t>
      </w:r>
      <w:r w:rsidR="00920622">
        <w:t>.</w:t>
      </w:r>
      <w:r w:rsidR="00A96D89">
        <w:t xml:space="preserve">  </w:t>
      </w:r>
      <w:r w:rsidR="00920622">
        <w:t>T</w:t>
      </w:r>
      <w:r>
        <w:t>he parties</w:t>
      </w:r>
      <w:r w:rsidR="00920622">
        <w:t xml:space="preserve"> are</w:t>
      </w:r>
      <w:r>
        <w:t xml:space="preserve"> encouraged to take their </w:t>
      </w:r>
      <w:r w:rsidR="00920622">
        <w:t xml:space="preserve">thoughtful and </w:t>
      </w:r>
      <w:r>
        <w:t>well-developed positions to the negotiations table in the pending DSP case</w:t>
      </w:r>
      <w:r w:rsidR="00920622">
        <w:t xml:space="preserve"> to develop the best TOU program possible for the Company's ratepayers.</w:t>
      </w:r>
      <w:r>
        <w:t xml:space="preserve"> </w:t>
      </w:r>
    </w:p>
    <w:p w:rsidR="002D34B2" w:rsidRDefault="002D34B2" w:rsidP="00085F47">
      <w:pPr>
        <w:contextualSpacing/>
        <w:jc w:val="left"/>
        <w:rPr>
          <w:b/>
        </w:rPr>
      </w:pPr>
    </w:p>
    <w:p w:rsidR="003D6E8A" w:rsidRDefault="00920622" w:rsidP="00085F47">
      <w:pPr>
        <w:contextualSpacing/>
        <w:jc w:val="left"/>
        <w:rPr>
          <w:b/>
        </w:rPr>
      </w:pPr>
      <w:r>
        <w:rPr>
          <w:b/>
        </w:rPr>
        <w:t>4</w:t>
      </w:r>
      <w:r w:rsidR="00085F47">
        <w:rPr>
          <w:b/>
        </w:rPr>
        <w:t>.</w:t>
      </w:r>
      <w:r w:rsidR="00085F47">
        <w:rPr>
          <w:b/>
        </w:rPr>
        <w:tab/>
      </w:r>
      <w:r w:rsidR="003D6E8A">
        <w:rPr>
          <w:b/>
        </w:rPr>
        <w:t>Cost recovery</w:t>
      </w:r>
    </w:p>
    <w:p w:rsidR="003D6E8A" w:rsidRDefault="003D6E8A" w:rsidP="00085F47">
      <w:pPr>
        <w:contextualSpacing/>
        <w:jc w:val="left"/>
        <w:rPr>
          <w:b/>
        </w:rPr>
      </w:pPr>
    </w:p>
    <w:p w:rsidR="00DE3616" w:rsidRDefault="003D6E8A" w:rsidP="00085F47">
      <w:pPr>
        <w:contextualSpacing/>
        <w:jc w:val="left"/>
      </w:pPr>
      <w:r>
        <w:rPr>
          <w:b/>
        </w:rPr>
        <w:tab/>
      </w:r>
      <w:r>
        <w:rPr>
          <w:b/>
        </w:rPr>
        <w:tab/>
      </w:r>
      <w:r>
        <w:t xml:space="preserve">The Company has asked for the Commission's approval to </w:t>
      </w:r>
      <w:r w:rsidR="00BE0F7B">
        <w:t xml:space="preserve">recover the existing TOU undercollection from all non-shopping customers.  The request was made first in </w:t>
      </w:r>
      <w:r w:rsidR="00BE0F7B">
        <w:rPr>
          <w:i/>
        </w:rPr>
        <w:t>Petition of PPL Electric Utility Corporation  for Approval to Implement a Reconciliation Rider for Default Service Supply,</w:t>
      </w:r>
      <w:r w:rsidR="00BE0F7B" w:rsidRPr="00BE0F7B">
        <w:rPr>
          <w:i/>
        </w:rPr>
        <w:t xml:space="preserve"> </w:t>
      </w:r>
      <w:r w:rsidR="00BE0F7B">
        <w:t xml:space="preserve">P-2011-2256365, amended to include a Competitive Transition Rider </w:t>
      </w:r>
      <w:r w:rsidR="004A1719">
        <w:t xml:space="preserve">(CTC) </w:t>
      </w:r>
      <w:r w:rsidR="00BE0F7B">
        <w:t xml:space="preserve">which is proposed to recoup all "historic" costs through the 1307(e) reconciliation method from all distribution customers on an "once and done" basis.  The Commission has not yet considered the matter, which includes a Recommended Decision that </w:t>
      </w:r>
      <w:r w:rsidR="004A1719">
        <w:t xml:space="preserve">the request for CTC </w:t>
      </w:r>
      <w:proofErr w:type="gramStart"/>
      <w:r w:rsidR="004A1719">
        <w:t>be</w:t>
      </w:r>
      <w:proofErr w:type="gramEnd"/>
      <w:r w:rsidR="004A1719">
        <w:t xml:space="preserve"> denied and the recovery of the TOU undercollection be deferred to the present proceeding. </w:t>
      </w:r>
    </w:p>
    <w:p w:rsidR="00085F47" w:rsidRDefault="00085F47" w:rsidP="00085F47">
      <w:pPr>
        <w:contextualSpacing/>
        <w:jc w:val="left"/>
      </w:pPr>
    </w:p>
    <w:p w:rsidR="00837604" w:rsidRPr="00BE0F7B" w:rsidRDefault="00837604" w:rsidP="00085F47">
      <w:pPr>
        <w:contextualSpacing/>
        <w:jc w:val="left"/>
      </w:pPr>
      <w:r>
        <w:tab/>
      </w:r>
      <w:r>
        <w:tab/>
        <w:t>DR argues that there is no basis in the record to support the Company's recovery of prior period balances</w:t>
      </w:r>
      <w:r w:rsidR="00DE3616">
        <w:t>, and that the matter should be decided in the CTC proceeding.  In any case, DR argues that it is inappropriate to recover previously unrecovered TOU rates fr</w:t>
      </w:r>
      <w:r w:rsidR="0087214B">
        <w:t>o</w:t>
      </w:r>
      <w:r w:rsidR="00DE3616">
        <w:t xml:space="preserve">m present-day shopping customers.  </w:t>
      </w:r>
      <w:proofErr w:type="gramStart"/>
      <w:r w:rsidR="00DE3616">
        <w:t>DR MB at 5.</w:t>
      </w:r>
      <w:proofErr w:type="gramEnd"/>
      <w:r w:rsidR="00DE3616">
        <w:t xml:space="preserve">  </w:t>
      </w:r>
    </w:p>
    <w:p w:rsidR="003D6E8A" w:rsidRDefault="003D6E8A" w:rsidP="00085F47">
      <w:pPr>
        <w:contextualSpacing/>
        <w:jc w:val="left"/>
      </w:pPr>
    </w:p>
    <w:p w:rsidR="00DE3616" w:rsidRDefault="003D0DA6" w:rsidP="00085F47">
      <w:pPr>
        <w:contextualSpacing/>
        <w:jc w:val="left"/>
      </w:pPr>
      <w:r>
        <w:tab/>
      </w:r>
      <w:r>
        <w:tab/>
        <w:t xml:space="preserve">OCA submits that it is also premature, as the Commission has not ruled on the CTC filing.  </w:t>
      </w:r>
      <w:proofErr w:type="gramStart"/>
      <w:r>
        <w:t>OCA MB at 19.</w:t>
      </w:r>
      <w:proofErr w:type="gramEnd"/>
    </w:p>
    <w:p w:rsidR="00DE3616" w:rsidRDefault="00DE3616" w:rsidP="00085F47">
      <w:pPr>
        <w:contextualSpacing/>
        <w:jc w:val="left"/>
      </w:pPr>
    </w:p>
    <w:p w:rsidR="00DE3616" w:rsidRDefault="00DE3616" w:rsidP="00085F47">
      <w:pPr>
        <w:contextualSpacing/>
        <w:jc w:val="left"/>
      </w:pPr>
      <w:r>
        <w:tab/>
      </w:r>
      <w:r>
        <w:tab/>
        <w:t xml:space="preserve">While the parties point out that the request in this proceeding is duplicative, it would be disingenuous of the undersigned to defer consideration of an issue in one proceeding and then, when faced with it in the proceeding to which it had been deferred, refuse to address it because it had been raised in the earlier case.  Accordingly, this matter is considered and a recommendation made with the understanding that the Commission may choose to deal with it in the CTC case, thus mooting its relevance here.  As this is a Recommended Decision, which requires the Commission's approval to have any legal effect, and not an initial decision, which has the potential to become binding as a matter of law without Commission action, there is no risk of any finding here accidentally conflicting with the Commission's holdings in the CTC case.  The Commission must actively adopt its findings in both cases.  </w:t>
      </w:r>
    </w:p>
    <w:p w:rsidR="00DE3616" w:rsidRDefault="00DE3616" w:rsidP="00085F47">
      <w:pPr>
        <w:contextualSpacing/>
        <w:jc w:val="left"/>
      </w:pPr>
    </w:p>
    <w:p w:rsidR="003D0DA6" w:rsidRDefault="00DE3616" w:rsidP="00085F47">
      <w:pPr>
        <w:contextualSpacing/>
        <w:jc w:val="left"/>
      </w:pPr>
      <w:r>
        <w:tab/>
      </w:r>
      <w:r>
        <w:tab/>
      </w:r>
      <w:r w:rsidR="009F7B07">
        <w:t>Going forward, however, the OCA agrees with the Company's proposal to include the TOU over and under collections in the appropriate rate schedule reconciliations.  OCA MB at</w:t>
      </w:r>
      <w:r w:rsidR="00085F47">
        <w:t> </w:t>
      </w:r>
      <w:r w:rsidR="009F7B07">
        <w:t>18-19.</w:t>
      </w:r>
    </w:p>
    <w:p w:rsidR="009F7B07" w:rsidRDefault="009F7B07" w:rsidP="00085F47">
      <w:pPr>
        <w:contextualSpacing/>
        <w:jc w:val="left"/>
      </w:pPr>
    </w:p>
    <w:p w:rsidR="004A5A04" w:rsidRDefault="004A5A04" w:rsidP="00085F47">
      <w:pPr>
        <w:contextualSpacing/>
        <w:jc w:val="left"/>
      </w:pPr>
      <w:r>
        <w:tab/>
      </w:r>
      <w:r>
        <w:tab/>
        <w:t>OSBA stresses that it supports recovering variances from the customers who caused those variances, the circumstances surrounding the present TOU undercollection do not permit it here as most of those customers who were served by the TOU program when the undercollection occurred are no longer served by the TOU rate.  Therefore, in the present circumstances, the OSBA does not oppose "socializing the variances within the respective rate class default ser</w:t>
      </w:r>
      <w:r w:rsidR="00085F47">
        <w:t>vice groups."  OSBA MB at 7-8.</w:t>
      </w:r>
    </w:p>
    <w:p w:rsidR="004A5A04" w:rsidRDefault="004A5A04" w:rsidP="00085F47">
      <w:pPr>
        <w:contextualSpacing/>
        <w:jc w:val="left"/>
      </w:pPr>
    </w:p>
    <w:p w:rsidR="006C2A99" w:rsidRDefault="0043638B" w:rsidP="00085F47">
      <w:pPr>
        <w:contextualSpacing/>
        <w:jc w:val="left"/>
      </w:pPr>
      <w:r>
        <w:tab/>
      </w:r>
      <w:r>
        <w:tab/>
        <w:t xml:space="preserve">While the preference is to recover the variances from the customers who caused them, or </w:t>
      </w:r>
      <w:r w:rsidR="006C2A99">
        <w:t xml:space="preserve">to </w:t>
      </w:r>
      <w:r>
        <w:t>retur</w:t>
      </w:r>
      <w:r w:rsidR="006C2A99">
        <w:t>n</w:t>
      </w:r>
      <w:r>
        <w:t xml:space="preserve"> the over collections to those who overpaid, the OSBA and the Company are correct in pointing out that the circumstances here do not permit it.  As of October 31, 2011, the </w:t>
      </w:r>
      <w:r w:rsidR="00427CA9">
        <w:t xml:space="preserve">claimed </w:t>
      </w:r>
      <w:r>
        <w:t xml:space="preserve">under collection was approximately $1,889,460 for residential customers and $8,237 for Small C&amp;I customers.  "If PPL </w:t>
      </w:r>
      <w:r w:rsidR="006C2A99">
        <w:t xml:space="preserve">Electric attempted to recover this undercollection from existing TOU customer, it would add approximately 13.15 cents per kWh to the residential TOU rates if the undercollection was reconciled on a quarterly basis under the Company's current reconciliation methodology."  </w:t>
      </w:r>
      <w:proofErr w:type="gramStart"/>
      <w:r w:rsidR="006C2A99">
        <w:t>PPL Electric Stmt. 1 at 8.</w:t>
      </w:r>
      <w:proofErr w:type="gramEnd"/>
      <w:r w:rsidR="006C2A99">
        <w:t xml:space="preserve">  That does not result in "just and reasonable" rates under Section 1301 of the Code.  </w:t>
      </w:r>
      <w:proofErr w:type="gramStart"/>
      <w:r w:rsidR="006C2A99">
        <w:t>66 Pa. C.S. § 1301.</w:t>
      </w:r>
      <w:proofErr w:type="gramEnd"/>
      <w:r w:rsidR="006C2A99">
        <w:t xml:space="preserve">  </w:t>
      </w:r>
    </w:p>
    <w:p w:rsidR="00DE3616" w:rsidRDefault="00DE3616" w:rsidP="00085F47">
      <w:pPr>
        <w:contextualSpacing/>
        <w:jc w:val="left"/>
      </w:pPr>
    </w:p>
    <w:p w:rsidR="00DE3616" w:rsidRDefault="00DE3616" w:rsidP="00085F47">
      <w:pPr>
        <w:contextualSpacing/>
        <w:jc w:val="left"/>
      </w:pPr>
      <w:r>
        <w:tab/>
      </w:r>
      <w:r>
        <w:tab/>
        <w:t>While it is tempting to place the blame on the utility for what turned out to be a flawed program, it is crucial to note that the Company's actions were fully sanctioned by the Commission.  Thus, the under collection incurred in its implementation should be fully recoverable, once the amount of the under collection is confirmed by Commission auditors.</w:t>
      </w:r>
      <w:r w:rsidR="00427CA9">
        <w:rPr>
          <w:rStyle w:val="FootnoteReference"/>
        </w:rPr>
        <w:footnoteReference w:id="6"/>
      </w:r>
      <w:r>
        <w:t xml:space="preserve">  </w:t>
      </w:r>
    </w:p>
    <w:p w:rsidR="006C2A99" w:rsidRDefault="006C2A99" w:rsidP="00085F47">
      <w:pPr>
        <w:contextualSpacing/>
        <w:jc w:val="left"/>
      </w:pPr>
    </w:p>
    <w:p w:rsidR="000A3286" w:rsidRDefault="006C2A99" w:rsidP="00085F47">
      <w:pPr>
        <w:contextualSpacing/>
        <w:jc w:val="left"/>
      </w:pPr>
      <w:r>
        <w:tab/>
      </w:r>
      <w:r>
        <w:tab/>
      </w:r>
      <w:r w:rsidR="0043638B">
        <w:t xml:space="preserve">The reasoning offered by the Company is </w:t>
      </w:r>
      <w:r>
        <w:t xml:space="preserve">persuasive and is adopted here.  </w:t>
      </w:r>
      <w:r w:rsidR="000A3286">
        <w:t xml:space="preserve">The proposed reconciliation methodology, including recovering existing under collections from all default service customers in the respective service groups, is reasonable because all customers benefit from TOU rates over time.  Shifting energy use from on-peak periods to off-peak periods ultimately will reduce the cost of that energy for all customers.  That reduction in the cost of energy should be reflected in a lower default service rate for all non-shopping customers because customer load shapes will reflect lower usage during on-peak periods.  It is important to remember that all residential and small C&amp;I customers have the option of participating in the TOU default rate option, which has the potential to lower their costs immediately.  </w:t>
      </w:r>
      <w:proofErr w:type="gramStart"/>
      <w:r w:rsidR="000A3286">
        <w:t>PPL Electric Stmt. 1 at 21.</w:t>
      </w:r>
      <w:proofErr w:type="gramEnd"/>
      <w:r w:rsidR="000A3286">
        <w:t xml:space="preserve">  </w:t>
      </w:r>
    </w:p>
    <w:p w:rsidR="000A3286" w:rsidRDefault="000A3286" w:rsidP="00085F47">
      <w:pPr>
        <w:contextualSpacing/>
        <w:jc w:val="left"/>
      </w:pPr>
    </w:p>
    <w:p w:rsidR="0043638B" w:rsidRDefault="000A3286" w:rsidP="00085F47">
      <w:pPr>
        <w:contextualSpacing/>
        <w:jc w:val="left"/>
      </w:pPr>
      <w:r>
        <w:tab/>
      </w:r>
      <w:r>
        <w:tab/>
        <w:t xml:space="preserve">Accordingly, the existing under collection may be collected from the default service customers of the same usage group, i.e., residential or small C&amp;I, after the Commission has </w:t>
      </w:r>
      <w:r w:rsidR="0047588D">
        <w:t>ensured that the undercollection numbers are legitimate and the amounts correct.</w:t>
      </w:r>
    </w:p>
    <w:p w:rsidR="00886726" w:rsidRDefault="00886726" w:rsidP="002D34B2">
      <w:pPr>
        <w:contextualSpacing/>
        <w:jc w:val="both"/>
        <w:rPr>
          <w:u w:val="single"/>
        </w:rPr>
      </w:pPr>
    </w:p>
    <w:p w:rsidR="007D01CE" w:rsidRDefault="007D01CE" w:rsidP="00085F47">
      <w:pPr>
        <w:contextualSpacing/>
        <w:rPr>
          <w:u w:val="single"/>
        </w:rPr>
      </w:pPr>
      <w:r>
        <w:rPr>
          <w:u w:val="single"/>
        </w:rPr>
        <w:t>CONCLUSIONS OF LAW</w:t>
      </w:r>
    </w:p>
    <w:p w:rsidR="007D01CE" w:rsidRDefault="007D01CE" w:rsidP="00085F47">
      <w:pPr>
        <w:contextualSpacing/>
        <w:rPr>
          <w:u w:val="single"/>
        </w:rPr>
      </w:pPr>
    </w:p>
    <w:p w:rsidR="00427CA9" w:rsidRDefault="00427CA9" w:rsidP="00085F47">
      <w:pPr>
        <w:contextualSpacing/>
        <w:jc w:val="left"/>
      </w:pPr>
      <w:r>
        <w:tab/>
      </w:r>
      <w:r>
        <w:tab/>
        <w:t>1.</w:t>
      </w:r>
      <w:r>
        <w:tab/>
        <w:t xml:space="preserve">The Commission has jurisdiction over the subject matter and the parties to this proceeding.  </w:t>
      </w:r>
      <w:proofErr w:type="gramStart"/>
      <w:r>
        <w:t>66 Pa. C.S. §§ 501, et seq.</w:t>
      </w:r>
      <w:proofErr w:type="gramEnd"/>
    </w:p>
    <w:p w:rsidR="00427CA9" w:rsidRDefault="00427CA9" w:rsidP="00085F47">
      <w:pPr>
        <w:contextualSpacing/>
        <w:jc w:val="left"/>
      </w:pPr>
    </w:p>
    <w:p w:rsidR="00D16769" w:rsidRPr="00B6588E" w:rsidRDefault="00427CA9" w:rsidP="00085F47">
      <w:pPr>
        <w:jc w:val="left"/>
      </w:pPr>
      <w:r>
        <w:tab/>
      </w:r>
      <w:r>
        <w:tab/>
        <w:t>2.</w:t>
      </w:r>
      <w:r>
        <w:tab/>
      </w:r>
      <w:r w:rsidR="00D16769" w:rsidRPr="00B6588E">
        <w:t>Section 332(a) of the Code, 66 Pa.</w:t>
      </w:r>
      <w:r w:rsidR="00D16769">
        <w:t xml:space="preserve"> </w:t>
      </w:r>
      <w:r w:rsidR="00D16769" w:rsidRPr="00B6588E">
        <w:t xml:space="preserve">C.S. §332(a), provides that the party seeking a rule or order from the Commission has the burden of proof in that proceeding.  It is </w:t>
      </w:r>
      <w:r w:rsidR="00D16769">
        <w:t>well-established</w:t>
      </w:r>
      <w:r w:rsidR="00D16769" w:rsidRPr="00B6588E">
        <w:t xml:space="preserve"> that “[a] litigant’s burden of proof before administrative tribunals as well as before most civil proceedings is satisfied by establishing a preponderance of evidence which is substantial and legally credible.”  </w:t>
      </w:r>
      <w:proofErr w:type="gramStart"/>
      <w:r w:rsidR="00D16769" w:rsidRPr="00B6588E">
        <w:rPr>
          <w:i/>
        </w:rPr>
        <w:t>Samuel J. Lansberry, Inc. v. Pa. PUC</w:t>
      </w:r>
      <w:r w:rsidR="00D16769" w:rsidRPr="00B6588E">
        <w:t>, 578 A.2d 600, 602 (Pa. Cmwlth. 1990).</w:t>
      </w:r>
      <w:proofErr w:type="gramEnd"/>
      <w:r w:rsidR="00D16769" w:rsidRPr="00B6588E">
        <w:t xml:space="preserve">  </w:t>
      </w:r>
    </w:p>
    <w:p w:rsidR="00D16769" w:rsidRDefault="00D16769" w:rsidP="00085F47">
      <w:pPr>
        <w:jc w:val="left"/>
      </w:pPr>
    </w:p>
    <w:p w:rsidR="00D16769" w:rsidRPr="005D5C96" w:rsidRDefault="00D16769" w:rsidP="00085F47">
      <w:pPr>
        <w:contextualSpacing/>
        <w:jc w:val="left"/>
        <w:rPr>
          <w:color w:val="000000"/>
        </w:rPr>
      </w:pPr>
      <w:r>
        <w:tab/>
      </w:r>
      <w:r>
        <w:tab/>
        <w:t>3.</w:t>
      </w:r>
      <w:r>
        <w:tab/>
      </w:r>
      <w:r w:rsidRPr="005D5C96">
        <w:t xml:space="preserve"> While the burden of proof remains with the public utility throughout the rate proceeding, the Commission has stated that where a party proposes an adjustment to a ratemaking claim of a utility, the proposing party bears the </w:t>
      </w:r>
      <w:r w:rsidRPr="005D5C96">
        <w:rPr>
          <w:bCs/>
        </w:rPr>
        <w:t>burden</w:t>
      </w:r>
      <w:r w:rsidRPr="005D5C96">
        <w:t xml:space="preserve"> of presenting some evidence or analysis tending to demonstrate the reasonableness of the adjustment.  </w:t>
      </w:r>
      <w:proofErr w:type="gramStart"/>
      <w:r w:rsidRPr="005D5C96">
        <w:rPr>
          <w:i/>
        </w:rPr>
        <w:t>Pennsylvania Pub.</w:t>
      </w:r>
      <w:proofErr w:type="gramEnd"/>
      <w:r w:rsidRPr="005D5C96">
        <w:rPr>
          <w:i/>
        </w:rPr>
        <w:t xml:space="preserve"> Util. Comm’n v. Aqua Pennsylvania, Inc</w:t>
      </w:r>
      <w:r w:rsidRPr="005D5C96">
        <w:t xml:space="preserve">., Docket No. R-00072711 (Commission Opinion and Order entered July 17, 2008).  As stated in </w:t>
      </w:r>
      <w:r w:rsidRPr="005D5C96">
        <w:rPr>
          <w:i/>
        </w:rPr>
        <w:t>Pennsylvania Public Utility Commission</w:t>
      </w:r>
      <w:r w:rsidRPr="005D5C96">
        <w:t xml:space="preserve"> v. </w:t>
      </w:r>
      <w:r w:rsidRPr="005D5C96">
        <w:rPr>
          <w:i/>
        </w:rPr>
        <w:t>Philadelphia Gas Works</w:t>
      </w:r>
      <w:r w:rsidRPr="005D5C96">
        <w:t xml:space="preserve">, Docket No. R-00061931 (Commission Opinion </w:t>
      </w:r>
      <w:r>
        <w:t>and Order entered September 28, </w:t>
      </w:r>
      <w:r w:rsidRPr="005D5C96">
        <w:t>2007) at 12:  “</w:t>
      </w:r>
      <w:r w:rsidRPr="005D5C96">
        <w:rPr>
          <w:color w:val="000000"/>
        </w:rPr>
        <w:t>Section 315(a) of the Code, 66 Pa.C.S. § 315(a), applies since this is a proceeding on Commission Motion.  However, after the utility establishes a prima facie case, the burden of going forward or the burden of persuasion shifts to the other parties to rebut the prima facie case.”</w:t>
      </w:r>
    </w:p>
    <w:p w:rsidR="00D16769" w:rsidRDefault="00D16769" w:rsidP="00085F47">
      <w:pPr>
        <w:contextualSpacing/>
        <w:jc w:val="left"/>
      </w:pPr>
    </w:p>
    <w:p w:rsidR="00D16769" w:rsidRPr="005D5C96" w:rsidRDefault="00D16769" w:rsidP="00085F47">
      <w:pPr>
        <w:jc w:val="left"/>
        <w:rPr>
          <w:spacing w:val="-3"/>
        </w:rPr>
      </w:pPr>
      <w:r>
        <w:tab/>
      </w:r>
      <w:r>
        <w:tab/>
        <w:t>4.</w:t>
      </w:r>
      <w:r>
        <w:tab/>
        <w:t>Ev</w:t>
      </w:r>
      <w:r w:rsidRPr="005D5C96">
        <w:t>ery rate made, demanded, or received by any public utility, or by any two or more public utilities jointly, shall be just and reasonable, and in conformity with regulations or orders of the commission.</w:t>
      </w:r>
      <w:r>
        <w:t xml:space="preserve">  </w:t>
      </w:r>
      <w:proofErr w:type="gramStart"/>
      <w:r>
        <w:t>66 Pa. C.S. § 1301.</w:t>
      </w:r>
      <w:proofErr w:type="gramEnd"/>
      <w:r w:rsidRPr="005D5C96">
        <w:t xml:space="preserve">  </w:t>
      </w:r>
    </w:p>
    <w:p w:rsidR="00D16769" w:rsidRDefault="00D16769" w:rsidP="00085F47">
      <w:pPr>
        <w:contextualSpacing/>
        <w:jc w:val="left"/>
      </w:pPr>
    </w:p>
    <w:p w:rsidR="00427CA9" w:rsidRDefault="00D16769" w:rsidP="00085F47">
      <w:pPr>
        <w:contextualSpacing/>
        <w:jc w:val="left"/>
      </w:pPr>
      <w:r>
        <w:tab/>
      </w:r>
      <w:r>
        <w:tab/>
        <w:t>5.</w:t>
      </w:r>
      <w:r>
        <w:tab/>
        <w:t>The matter of PPL Electric's recovery of its existing undercollection stemming from its present TOU program m</w:t>
      </w:r>
      <w:r w:rsidR="00427CA9">
        <w:t xml:space="preserve">ay </w:t>
      </w:r>
      <w:r>
        <w:t>be addressed by the Commission in another case</w:t>
      </w:r>
      <w:proofErr w:type="gramStart"/>
      <w:r>
        <w:t xml:space="preserve">, </w:t>
      </w:r>
      <w:r w:rsidR="00427CA9">
        <w:t xml:space="preserve"> thus</w:t>
      </w:r>
      <w:proofErr w:type="gramEnd"/>
      <w:r w:rsidR="00427CA9">
        <w:t xml:space="preserve"> mooting its relevance here.  </w:t>
      </w:r>
    </w:p>
    <w:p w:rsidR="00427CA9" w:rsidRDefault="00427CA9" w:rsidP="00085F47">
      <w:pPr>
        <w:contextualSpacing/>
        <w:jc w:val="left"/>
      </w:pPr>
    </w:p>
    <w:p w:rsidR="00D16769" w:rsidRDefault="00D16769" w:rsidP="00085F47">
      <w:pPr>
        <w:contextualSpacing/>
        <w:jc w:val="left"/>
      </w:pPr>
      <w:r>
        <w:tab/>
      </w:r>
      <w:r>
        <w:tab/>
        <w:t>6.</w:t>
      </w:r>
      <w:r>
        <w:tab/>
        <w:t>A default service provider is required to submit a time-of-use plan to the Commission for its approval.  66 Pa. C.S. § 2807(f</w:t>
      </w:r>
      <w:proofErr w:type="gramStart"/>
      <w:r>
        <w:t>)(</w:t>
      </w:r>
      <w:proofErr w:type="gramEnd"/>
      <w:r>
        <w:t>5).</w:t>
      </w:r>
    </w:p>
    <w:p w:rsidR="00427CA9" w:rsidRDefault="00427CA9" w:rsidP="00085F47">
      <w:pPr>
        <w:contextualSpacing/>
        <w:jc w:val="left"/>
      </w:pPr>
    </w:p>
    <w:p w:rsidR="001D6EFE" w:rsidRDefault="00427CA9" w:rsidP="00085F47">
      <w:pPr>
        <w:contextualSpacing/>
        <w:jc w:val="left"/>
      </w:pPr>
      <w:r>
        <w:tab/>
      </w:r>
      <w:r>
        <w:tab/>
      </w:r>
      <w:r w:rsidR="00D16769">
        <w:t>7.</w:t>
      </w:r>
      <w:r w:rsidR="00D16769">
        <w:tab/>
        <w:t>Smart meter technology means technology capable of bidirectional communication that records electricity usage on at least an hourly basis which provides customers with direct access</w:t>
      </w:r>
      <w:r w:rsidR="00B41BA6">
        <w:t xml:space="preserve"> </w:t>
      </w:r>
      <w:r w:rsidR="00D16769">
        <w:t xml:space="preserve">to and use of price and consumption information.  </w:t>
      </w:r>
      <w:proofErr w:type="gramStart"/>
      <w:r w:rsidR="00D16769">
        <w:t>66 Pa. C.S.</w:t>
      </w:r>
      <w:proofErr w:type="gramEnd"/>
    </w:p>
    <w:p w:rsidR="00427CA9" w:rsidRDefault="00D16769" w:rsidP="00085F47">
      <w:pPr>
        <w:contextualSpacing/>
        <w:jc w:val="left"/>
      </w:pPr>
      <w:r>
        <w:t>§ 2807(g).</w:t>
      </w:r>
    </w:p>
    <w:p w:rsidR="00427CA9" w:rsidRDefault="00427CA9" w:rsidP="00085F47">
      <w:pPr>
        <w:contextualSpacing/>
        <w:jc w:val="left"/>
      </w:pPr>
    </w:p>
    <w:p w:rsidR="007D01CE" w:rsidRDefault="00B41BA6" w:rsidP="00085F47">
      <w:pPr>
        <w:contextualSpacing/>
        <w:jc w:val="left"/>
      </w:pPr>
      <w:r>
        <w:tab/>
      </w:r>
      <w:r>
        <w:tab/>
        <w:t>8.</w:t>
      </w:r>
      <w:r>
        <w:tab/>
      </w:r>
      <w:r w:rsidR="00427CA9">
        <w:t xml:space="preserve">The objective of the TOU default service program is to comply with the Commission approved settlement at Docket No. </w:t>
      </w:r>
      <w:proofErr w:type="gramStart"/>
      <w:r w:rsidR="00427CA9">
        <w:t>P-2008-2060309 and Act 129</w:t>
      </w:r>
      <w:r>
        <w:t>.</w:t>
      </w:r>
      <w:proofErr w:type="gramEnd"/>
    </w:p>
    <w:p w:rsidR="00B41BA6" w:rsidRDefault="00B41BA6" w:rsidP="00085F47">
      <w:pPr>
        <w:contextualSpacing/>
        <w:jc w:val="left"/>
      </w:pPr>
    </w:p>
    <w:p w:rsidR="00B41BA6" w:rsidRDefault="00B41BA6" w:rsidP="00085F47">
      <w:pPr>
        <w:contextualSpacing/>
        <w:jc w:val="left"/>
      </w:pPr>
      <w:r>
        <w:tab/>
      </w:r>
      <w:r>
        <w:tab/>
        <w:t>9.</w:t>
      </w:r>
      <w:r>
        <w:tab/>
      </w:r>
      <w:r w:rsidR="00D16769">
        <w:t xml:space="preserve">This </w:t>
      </w:r>
      <w:r>
        <w:t xml:space="preserve">proposed </w:t>
      </w:r>
      <w:r w:rsidR="00D16769">
        <w:t>program would be effective for less than one calendar year.  There is another proposal in PPL Electric's pending default service provider case.  The effectiveness of this program would not be evident until after the litigation of the DSP case is finished, and therefore, the lessons learned will not be available in time to apply them.</w:t>
      </w:r>
      <w:r w:rsidR="00A96D89">
        <w:t xml:space="preserve">  </w:t>
      </w:r>
    </w:p>
    <w:p w:rsidR="00B41BA6" w:rsidRDefault="00B41BA6" w:rsidP="00085F47">
      <w:pPr>
        <w:contextualSpacing/>
        <w:jc w:val="left"/>
      </w:pPr>
    </w:p>
    <w:p w:rsidR="00D16769" w:rsidRDefault="00B41BA6" w:rsidP="00085F47">
      <w:pPr>
        <w:contextualSpacing/>
        <w:jc w:val="left"/>
      </w:pPr>
      <w:r>
        <w:tab/>
      </w:r>
      <w:r>
        <w:tab/>
        <w:t>10.</w:t>
      </w:r>
      <w:r>
        <w:tab/>
        <w:t>Costs incurred in the implementation of this proposed program for less than a calendar year, during which time the parties are litigating another TOU program, is not</w:t>
      </w:r>
      <w:r w:rsidR="00D16769">
        <w:t xml:space="preserve"> in the public interest.  </w:t>
      </w:r>
    </w:p>
    <w:p w:rsidR="00B41BA6" w:rsidRDefault="00B41BA6" w:rsidP="00085F47">
      <w:pPr>
        <w:contextualSpacing/>
        <w:jc w:val="left"/>
      </w:pPr>
    </w:p>
    <w:p w:rsidR="00D16769" w:rsidRDefault="00B41BA6" w:rsidP="00085F47">
      <w:pPr>
        <w:contextualSpacing/>
        <w:jc w:val="left"/>
      </w:pPr>
      <w:r>
        <w:tab/>
      </w:r>
      <w:r>
        <w:tab/>
        <w:t>11.</w:t>
      </w:r>
      <w:r>
        <w:tab/>
      </w:r>
      <w:r w:rsidR="00D16769">
        <w:t>If PPL Electric attempted to recover this undercollection from existing TOU customer</w:t>
      </w:r>
      <w:r w:rsidR="001D6EFE">
        <w:t>s</w:t>
      </w:r>
      <w:r w:rsidR="00D16769">
        <w:t xml:space="preserve">, it would </w:t>
      </w:r>
      <w:r>
        <w:t>result in a rate that is not</w:t>
      </w:r>
      <w:r w:rsidR="00D16769">
        <w:t xml:space="preserve"> "just and reasonable" under Section 1301 of the Code.  </w:t>
      </w:r>
      <w:proofErr w:type="gramStart"/>
      <w:r w:rsidR="00D16769">
        <w:t>66 Pa. C.S. § 1301.</w:t>
      </w:r>
      <w:proofErr w:type="gramEnd"/>
      <w:r w:rsidR="00D16769">
        <w:t xml:space="preserve">  </w:t>
      </w:r>
    </w:p>
    <w:p w:rsidR="00D16769" w:rsidRDefault="00D16769" w:rsidP="00085F47">
      <w:pPr>
        <w:contextualSpacing/>
        <w:jc w:val="left"/>
      </w:pPr>
    </w:p>
    <w:p w:rsidR="00D16769" w:rsidRDefault="00D16769" w:rsidP="00085F47">
      <w:pPr>
        <w:contextualSpacing/>
        <w:jc w:val="left"/>
      </w:pPr>
      <w:r>
        <w:tab/>
      </w:r>
      <w:r>
        <w:tab/>
      </w:r>
      <w:r w:rsidR="00B41BA6">
        <w:t>12.</w:t>
      </w:r>
      <w:r w:rsidR="00B41BA6">
        <w:tab/>
        <w:t>T</w:t>
      </w:r>
      <w:r>
        <w:t>he under collection</w:t>
      </w:r>
      <w:r w:rsidR="00B41BA6">
        <w:t>s</w:t>
      </w:r>
      <w:r>
        <w:t xml:space="preserve"> incurred in </w:t>
      </w:r>
      <w:r w:rsidR="00B41BA6">
        <w:t>the</w:t>
      </w:r>
      <w:r>
        <w:t xml:space="preserve"> implementation </w:t>
      </w:r>
      <w:r w:rsidR="00B41BA6">
        <w:t>of the prior TOU program are</w:t>
      </w:r>
      <w:r>
        <w:t xml:space="preserve"> fully recoverable, once the amount of the under collection is confirmed by Commission auditors</w:t>
      </w:r>
      <w:r w:rsidR="00B41BA6">
        <w:t xml:space="preserve">, from existing default service customers. </w:t>
      </w:r>
    </w:p>
    <w:p w:rsidR="00886726" w:rsidRDefault="00886726" w:rsidP="002D34B2">
      <w:pPr>
        <w:contextualSpacing/>
        <w:jc w:val="both"/>
        <w:rPr>
          <w:u w:val="single"/>
        </w:rPr>
      </w:pPr>
    </w:p>
    <w:p w:rsidR="007D01CE" w:rsidRDefault="007D01CE" w:rsidP="00085F47">
      <w:pPr>
        <w:contextualSpacing/>
        <w:rPr>
          <w:u w:val="single"/>
        </w:rPr>
      </w:pPr>
      <w:r>
        <w:rPr>
          <w:u w:val="single"/>
        </w:rPr>
        <w:t>ORDER</w:t>
      </w:r>
    </w:p>
    <w:p w:rsidR="00B41BA6" w:rsidRDefault="00B41BA6" w:rsidP="00085F47">
      <w:pPr>
        <w:rPr>
          <w:u w:val="single"/>
        </w:rPr>
      </w:pPr>
    </w:p>
    <w:p w:rsidR="00886726" w:rsidRDefault="00886726" w:rsidP="00085F47">
      <w:pPr>
        <w:rPr>
          <w:u w:val="single"/>
        </w:rPr>
      </w:pPr>
    </w:p>
    <w:p w:rsidR="00B41BA6" w:rsidRDefault="00B41BA6" w:rsidP="00085F47">
      <w:pPr>
        <w:jc w:val="left"/>
      </w:pPr>
      <w:r>
        <w:tab/>
      </w:r>
      <w:r>
        <w:tab/>
        <w:t>THEREFORE,</w:t>
      </w:r>
    </w:p>
    <w:p w:rsidR="00B41BA6" w:rsidRDefault="00B41BA6" w:rsidP="00085F47">
      <w:pPr>
        <w:jc w:val="left"/>
      </w:pPr>
    </w:p>
    <w:p w:rsidR="00B41BA6" w:rsidRDefault="00B41BA6" w:rsidP="00085F47">
      <w:pPr>
        <w:jc w:val="left"/>
      </w:pPr>
      <w:r>
        <w:tab/>
      </w:r>
      <w:r>
        <w:tab/>
        <w:t>IT IS RECOMMENDED:</w:t>
      </w:r>
    </w:p>
    <w:p w:rsidR="00B41BA6" w:rsidRDefault="00B41BA6" w:rsidP="00085F47">
      <w:pPr>
        <w:jc w:val="left"/>
      </w:pPr>
    </w:p>
    <w:p w:rsidR="007D01CE" w:rsidRDefault="00B41BA6" w:rsidP="00085F47">
      <w:pPr>
        <w:jc w:val="left"/>
      </w:pPr>
      <w:r>
        <w:tab/>
      </w:r>
      <w:r>
        <w:tab/>
        <w:t>1.</w:t>
      </w:r>
      <w:r>
        <w:tab/>
        <w:t>That the request of PPL Electric Utilities Corporation to implement Supplement No. 110 to the Company's Tariff Electric – Pa. P.U.C. No. 201, filed September 26, 2011, is denied.</w:t>
      </w:r>
    </w:p>
    <w:p w:rsidR="00B41BA6" w:rsidRDefault="00B41BA6" w:rsidP="00085F47">
      <w:pPr>
        <w:jc w:val="left"/>
      </w:pPr>
    </w:p>
    <w:p w:rsidR="00B41BA6" w:rsidRDefault="00B41BA6" w:rsidP="00085F47">
      <w:pPr>
        <w:jc w:val="left"/>
      </w:pPr>
      <w:r>
        <w:tab/>
      </w:r>
      <w:r>
        <w:tab/>
        <w:t>2.</w:t>
      </w:r>
      <w:r>
        <w:tab/>
        <w:t>That PPL Electric Utilities Corporation shall file an extension to its existing Time Of Use Program</w:t>
      </w:r>
      <w:r w:rsidR="0097227D">
        <w:t xml:space="preserve"> tariff supplement</w:t>
      </w:r>
      <w:r>
        <w:t xml:space="preserve"> to extend its application until the issuance of the final Commission Order in </w:t>
      </w:r>
      <w:r>
        <w:rPr>
          <w:i/>
        </w:rPr>
        <w:t>Petition of PPL Electric Utilities Corporation for Approval of a Default Service Program and Procurement Plan for the Period June 1, 2013 through May 31, 2015</w:t>
      </w:r>
      <w:proofErr w:type="gramStart"/>
      <w:r>
        <w:rPr>
          <w:i/>
        </w:rPr>
        <w:t xml:space="preserve">, </w:t>
      </w:r>
      <w:r>
        <w:t xml:space="preserve"> at</w:t>
      </w:r>
      <w:proofErr w:type="gramEnd"/>
      <w:r>
        <w:t xml:space="preserve"> Docket No. </w:t>
      </w:r>
      <w:proofErr w:type="gramStart"/>
      <w:r>
        <w:t>P-2012-2302074.</w:t>
      </w:r>
      <w:proofErr w:type="gramEnd"/>
      <w:r>
        <w:t xml:space="preserve">  </w:t>
      </w:r>
    </w:p>
    <w:p w:rsidR="00B41BA6" w:rsidRDefault="00B41BA6" w:rsidP="00085F47">
      <w:pPr>
        <w:jc w:val="left"/>
      </w:pPr>
    </w:p>
    <w:p w:rsidR="00B41BA6" w:rsidRDefault="00B41BA6" w:rsidP="00085F47">
      <w:pPr>
        <w:jc w:val="left"/>
      </w:pPr>
      <w:r>
        <w:tab/>
      </w:r>
      <w:r>
        <w:tab/>
        <w:t>3,</w:t>
      </w:r>
      <w:r>
        <w:tab/>
        <w:t xml:space="preserve">That PPL Electric Utilities Corporation may recover </w:t>
      </w:r>
      <w:proofErr w:type="spellStart"/>
      <w:r>
        <w:t>undercollections</w:t>
      </w:r>
      <w:proofErr w:type="spellEnd"/>
      <w:r>
        <w:t xml:space="preserve"> of its prior period TOU program from all default service customers, by customer class, following certification by the Commission's Bureau of Audits that the </w:t>
      </w:r>
      <w:r w:rsidR="0097227D">
        <w:t>amount of the undercollection claimed is correct and the accounting method used is consistent with Commission directives.</w:t>
      </w:r>
    </w:p>
    <w:p w:rsidR="0097227D" w:rsidRDefault="0097227D" w:rsidP="00085F47">
      <w:pPr>
        <w:jc w:val="left"/>
      </w:pPr>
    </w:p>
    <w:p w:rsidR="0097227D" w:rsidRDefault="0097227D" w:rsidP="00085F47">
      <w:pPr>
        <w:jc w:val="left"/>
      </w:pPr>
      <w:r>
        <w:tab/>
      </w:r>
      <w:r>
        <w:tab/>
        <w:t>4.</w:t>
      </w:r>
      <w:r>
        <w:tab/>
        <w:t>That the Complaint filed by the Office of Consumer Advocate at Docket No. C-2011-</w:t>
      </w:r>
      <w:proofErr w:type="gramStart"/>
      <w:r>
        <w:t>22678</w:t>
      </w:r>
      <w:r w:rsidR="001D6EFE">
        <w:t>0</w:t>
      </w:r>
      <w:r>
        <w:t>8,</w:t>
      </w:r>
      <w:proofErr w:type="gramEnd"/>
      <w:r>
        <w:t xml:space="preserve"> is sustained.</w:t>
      </w:r>
    </w:p>
    <w:p w:rsidR="0097227D" w:rsidRDefault="0097227D" w:rsidP="00085F47">
      <w:pPr>
        <w:jc w:val="left"/>
      </w:pPr>
    </w:p>
    <w:p w:rsidR="0097227D" w:rsidRDefault="0097227D" w:rsidP="00085F47">
      <w:pPr>
        <w:jc w:val="left"/>
      </w:pPr>
      <w:r>
        <w:tab/>
      </w:r>
      <w:r>
        <w:tab/>
        <w:t>5.</w:t>
      </w:r>
      <w:r>
        <w:tab/>
        <w:t>That the Complaint filed by the Office of Small Business Advocate at Docket No. C-2011-</w:t>
      </w:r>
      <w:proofErr w:type="gramStart"/>
      <w:r>
        <w:t>2268983,</w:t>
      </w:r>
      <w:proofErr w:type="gramEnd"/>
      <w:r>
        <w:t xml:space="preserve"> is sustained.</w:t>
      </w:r>
    </w:p>
    <w:p w:rsidR="0097227D" w:rsidRDefault="0097227D" w:rsidP="00085F47">
      <w:pPr>
        <w:jc w:val="left"/>
      </w:pPr>
    </w:p>
    <w:p w:rsidR="0097227D" w:rsidRDefault="0097227D" w:rsidP="00085F47">
      <w:pPr>
        <w:jc w:val="left"/>
      </w:pPr>
      <w:r>
        <w:tab/>
      </w:r>
      <w:r>
        <w:tab/>
        <w:t>6.</w:t>
      </w:r>
      <w:r>
        <w:tab/>
        <w:t>That this matter is referred to the Commission's Bureau of Audits for proceedings consistent with this Order.</w:t>
      </w:r>
    </w:p>
    <w:p w:rsidR="0097227D" w:rsidRPr="00B41BA6" w:rsidRDefault="0097227D" w:rsidP="00085F47">
      <w:pPr>
        <w:jc w:val="left"/>
        <w:rPr>
          <w:u w:val="single"/>
        </w:rPr>
      </w:pPr>
    </w:p>
    <w:p w:rsidR="002654B6" w:rsidRDefault="002654B6" w:rsidP="00085F47">
      <w:pPr>
        <w:contextualSpacing/>
        <w:jc w:val="left"/>
      </w:pPr>
    </w:p>
    <w:p w:rsidR="0097227D" w:rsidRDefault="0097227D" w:rsidP="00085F47">
      <w:pPr>
        <w:spacing w:line="240" w:lineRule="auto"/>
        <w:contextualSpacing/>
        <w:jc w:val="left"/>
      </w:pPr>
      <w:r>
        <w:t>Dated:</w:t>
      </w:r>
      <w:r>
        <w:tab/>
      </w:r>
      <w:r w:rsidRPr="0097227D">
        <w:rPr>
          <w:u w:val="single"/>
        </w:rPr>
        <w:t xml:space="preserve">June </w:t>
      </w:r>
      <w:r w:rsidR="00762408">
        <w:rPr>
          <w:u w:val="single"/>
        </w:rPr>
        <w:t>8</w:t>
      </w:r>
      <w:r w:rsidRPr="0097227D">
        <w:rPr>
          <w:u w:val="single"/>
        </w:rPr>
        <w:t>, 2012</w:t>
      </w:r>
      <w:r>
        <w:tab/>
      </w:r>
      <w:r>
        <w:tab/>
      </w:r>
      <w:r>
        <w:tab/>
      </w:r>
      <w:r>
        <w:tab/>
      </w:r>
      <w:r>
        <w:tab/>
      </w:r>
      <w:r>
        <w:tab/>
        <w:t>______________________________</w:t>
      </w:r>
    </w:p>
    <w:p w:rsidR="0097227D" w:rsidRDefault="0097227D" w:rsidP="00085F47">
      <w:pPr>
        <w:spacing w:line="240" w:lineRule="auto"/>
        <w:contextualSpacing/>
        <w:jc w:val="left"/>
      </w:pPr>
      <w:r>
        <w:tab/>
      </w:r>
      <w:r>
        <w:tab/>
      </w:r>
      <w:r>
        <w:tab/>
      </w:r>
      <w:r>
        <w:tab/>
      </w:r>
      <w:r>
        <w:tab/>
      </w:r>
      <w:r>
        <w:tab/>
      </w:r>
      <w:r>
        <w:tab/>
      </w:r>
      <w:r>
        <w:tab/>
        <w:t>Susan D. Colwell</w:t>
      </w:r>
    </w:p>
    <w:p w:rsidR="00515AC5" w:rsidRDefault="0097227D" w:rsidP="00085F47">
      <w:pPr>
        <w:spacing w:line="240" w:lineRule="auto"/>
        <w:contextualSpacing/>
        <w:jc w:val="left"/>
      </w:pPr>
      <w:r>
        <w:tab/>
      </w:r>
      <w:r>
        <w:tab/>
      </w:r>
      <w:r>
        <w:tab/>
      </w:r>
      <w:r>
        <w:tab/>
      </w:r>
      <w:r>
        <w:tab/>
      </w:r>
      <w:r>
        <w:tab/>
      </w:r>
      <w:r>
        <w:tab/>
      </w:r>
      <w:r>
        <w:tab/>
        <w:t>Administrative Law Judge</w:t>
      </w:r>
    </w:p>
    <w:p w:rsidR="0097227D" w:rsidRDefault="0097227D" w:rsidP="00085F47">
      <w:pPr>
        <w:contextualSpacing/>
        <w:jc w:val="left"/>
      </w:pPr>
    </w:p>
    <w:sectPr w:rsidR="0097227D" w:rsidSect="002D34B2">
      <w:footerReference w:type="defaul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7503" w:rsidRDefault="00787503">
      <w:pPr>
        <w:spacing w:line="240" w:lineRule="auto"/>
      </w:pPr>
      <w:r>
        <w:separator/>
      </w:r>
    </w:p>
  </w:endnote>
  <w:endnote w:type="continuationSeparator" w:id="0">
    <w:p w:rsidR="00787503" w:rsidRDefault="007875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9510475"/>
      <w:docPartObj>
        <w:docPartGallery w:val="Page Numbers (Bottom of Page)"/>
        <w:docPartUnique/>
      </w:docPartObj>
    </w:sdtPr>
    <w:sdtEndPr>
      <w:rPr>
        <w:noProof/>
        <w:sz w:val="20"/>
        <w:szCs w:val="20"/>
      </w:rPr>
    </w:sdtEndPr>
    <w:sdtContent>
      <w:p w:rsidR="00837604" w:rsidRPr="00085F47" w:rsidRDefault="00837604" w:rsidP="00085F47">
        <w:pPr>
          <w:pStyle w:val="Footer"/>
          <w:rPr>
            <w:sz w:val="20"/>
            <w:szCs w:val="20"/>
          </w:rPr>
        </w:pPr>
        <w:r w:rsidRPr="00085F47">
          <w:rPr>
            <w:sz w:val="20"/>
            <w:szCs w:val="20"/>
          </w:rPr>
          <w:fldChar w:fldCharType="begin"/>
        </w:r>
        <w:r w:rsidRPr="00085F47">
          <w:rPr>
            <w:sz w:val="20"/>
            <w:szCs w:val="20"/>
          </w:rPr>
          <w:instrText xml:space="preserve"> PAGE   \* MERGEFORMAT </w:instrText>
        </w:r>
        <w:r w:rsidRPr="00085F47">
          <w:rPr>
            <w:sz w:val="20"/>
            <w:szCs w:val="20"/>
          </w:rPr>
          <w:fldChar w:fldCharType="separate"/>
        </w:r>
        <w:r w:rsidR="00F16FE7">
          <w:rPr>
            <w:noProof/>
            <w:sz w:val="20"/>
            <w:szCs w:val="20"/>
          </w:rPr>
          <w:t>26</w:t>
        </w:r>
        <w:r w:rsidRPr="00085F47">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7503" w:rsidRDefault="00787503" w:rsidP="002D34B2">
      <w:pPr>
        <w:spacing w:line="240" w:lineRule="auto"/>
        <w:jc w:val="left"/>
      </w:pPr>
      <w:r>
        <w:separator/>
      </w:r>
    </w:p>
  </w:footnote>
  <w:footnote w:type="continuationSeparator" w:id="0">
    <w:p w:rsidR="00787503" w:rsidRDefault="00787503">
      <w:pPr>
        <w:spacing w:line="240" w:lineRule="auto"/>
      </w:pPr>
      <w:r>
        <w:continuationSeparator/>
      </w:r>
    </w:p>
  </w:footnote>
  <w:footnote w:type="continuationNotice" w:id="1">
    <w:p w:rsidR="00787503" w:rsidRDefault="00787503">
      <w:pPr>
        <w:spacing w:line="240" w:lineRule="auto"/>
      </w:pPr>
    </w:p>
  </w:footnote>
  <w:footnote w:id="2">
    <w:p w:rsidR="00837604" w:rsidRDefault="00837604" w:rsidP="00917649">
      <w:pPr>
        <w:pStyle w:val="FootnoteText"/>
        <w:jc w:val="left"/>
      </w:pPr>
      <w:r>
        <w:rPr>
          <w:rStyle w:val="FootnoteReference"/>
        </w:rPr>
        <w:footnoteRef/>
      </w:r>
      <w:r w:rsidR="00085F47">
        <w:t xml:space="preserve"> </w:t>
      </w:r>
      <w:r w:rsidR="00085F47">
        <w:tab/>
        <w:t>(g)</w:t>
      </w:r>
      <w:r w:rsidR="00085F47">
        <w:tab/>
      </w:r>
      <w:r w:rsidRPr="00D02589">
        <w:rPr>
          <w:b/>
        </w:rPr>
        <w:t>Definition</w:t>
      </w:r>
      <w:r>
        <w:t>.—As used in this section, the term "smart meter technology" means technology, including metering technology and network communication technology capable of bidirectional communication, that record electricity usage on at least an hourly basis, including related electric distribution system upgrades to enable the technology.  The technology shall provide customers with direct access to and use of price and consumption information.  The technology shall also:</w:t>
      </w:r>
    </w:p>
    <w:p w:rsidR="00837604" w:rsidRDefault="00837604" w:rsidP="00762408">
      <w:pPr>
        <w:pStyle w:val="FootnoteText"/>
        <w:ind w:left="1440"/>
        <w:jc w:val="left"/>
      </w:pPr>
      <w:r>
        <w:t>(1) Directly provide customers with information on their hourly consumption.</w:t>
      </w:r>
    </w:p>
    <w:p w:rsidR="00837604" w:rsidRDefault="00837604" w:rsidP="00762408">
      <w:pPr>
        <w:pStyle w:val="FootnoteText"/>
        <w:ind w:left="1440"/>
        <w:jc w:val="left"/>
      </w:pPr>
      <w:r>
        <w:t>(2) Enable time-of-use rates and real-time price programs.</w:t>
      </w:r>
    </w:p>
    <w:p w:rsidR="00837604" w:rsidRDefault="00085F47" w:rsidP="00762408">
      <w:pPr>
        <w:pStyle w:val="FootnoteText"/>
        <w:ind w:left="1440"/>
        <w:jc w:val="left"/>
      </w:pPr>
      <w:r>
        <w:t>(3)</w:t>
      </w:r>
      <w:r>
        <w:tab/>
      </w:r>
      <w:r w:rsidR="00837604">
        <w:t>Effectively support the automatic control of the customer's electricity consumption by one or more of the following as selected by the customer:</w:t>
      </w:r>
    </w:p>
    <w:p w:rsidR="00837604" w:rsidRDefault="00837604" w:rsidP="00762408">
      <w:pPr>
        <w:pStyle w:val="FootnoteText"/>
        <w:ind w:left="2160"/>
        <w:jc w:val="left"/>
      </w:pPr>
      <w:r>
        <w:t>(i)</w:t>
      </w:r>
      <w:r w:rsidR="002D34B2">
        <w:tab/>
      </w:r>
      <w:r>
        <w:t>the customer;</w:t>
      </w:r>
    </w:p>
    <w:p w:rsidR="00837604" w:rsidRDefault="002D34B2" w:rsidP="00762408">
      <w:pPr>
        <w:pStyle w:val="FootnoteText"/>
        <w:ind w:left="2160"/>
        <w:jc w:val="left"/>
      </w:pPr>
      <w:r>
        <w:t>(ii)</w:t>
      </w:r>
      <w:r>
        <w:tab/>
      </w:r>
      <w:r w:rsidR="00837604">
        <w:t>the customer's utility; or</w:t>
      </w:r>
    </w:p>
    <w:p w:rsidR="00837604" w:rsidRDefault="002D34B2" w:rsidP="00762408">
      <w:pPr>
        <w:pStyle w:val="FootnoteText"/>
        <w:ind w:left="2160"/>
        <w:jc w:val="left"/>
      </w:pPr>
      <w:r>
        <w:t>(iii)</w:t>
      </w:r>
      <w:r>
        <w:tab/>
      </w:r>
      <w:proofErr w:type="gramStart"/>
      <w:r w:rsidR="00837604">
        <w:t>a</w:t>
      </w:r>
      <w:proofErr w:type="gramEnd"/>
      <w:r w:rsidR="00837604">
        <w:t xml:space="preserve"> third party engaged by the customer or the customer's utility.</w:t>
      </w:r>
    </w:p>
    <w:p w:rsidR="00837604" w:rsidRDefault="00837604" w:rsidP="00917649">
      <w:pPr>
        <w:pStyle w:val="FootnoteText"/>
        <w:jc w:val="left"/>
      </w:pPr>
      <w:proofErr w:type="gramStart"/>
      <w:r>
        <w:t>66 Pa. C.S. § 2807(g).</w:t>
      </w:r>
      <w:proofErr w:type="gramEnd"/>
    </w:p>
  </w:footnote>
  <w:footnote w:id="3">
    <w:p w:rsidR="00AC62A6" w:rsidRDefault="00AC62A6" w:rsidP="00AC62A6">
      <w:pPr>
        <w:pStyle w:val="FootnoteText"/>
        <w:jc w:val="left"/>
      </w:pPr>
      <w:r>
        <w:rPr>
          <w:rStyle w:val="FootnoteReference"/>
        </w:rPr>
        <w:footnoteRef/>
      </w:r>
      <w:r>
        <w:t xml:space="preserve"> </w:t>
      </w:r>
      <w:r w:rsidR="00085F47">
        <w:tab/>
      </w:r>
      <w:r>
        <w:t xml:space="preserve">I&amp;E's argument that the TOU program is not a default service program was rejected in the earlier case. </w:t>
      </w:r>
      <w:r>
        <w:rPr>
          <w:i/>
        </w:rPr>
        <w:t xml:space="preserve">Petition of PPL Electric Utilities Corporation for Approval to Implement a Reconciliation Rider for Default Service Supply, </w:t>
      </w:r>
      <w:r w:rsidRPr="00AC62A6">
        <w:t>Docket No. P-2011-2256365</w:t>
      </w:r>
      <w:r>
        <w:t xml:space="preserve"> (RD issued April 4, 2012).</w:t>
      </w:r>
      <w:r w:rsidRPr="00AC62A6">
        <w:t xml:space="preserve">  If</w:t>
      </w:r>
      <w:r>
        <w:t xml:space="preserve"> the Commission decides that a TOU program is not a default service program, then the Company should be permitted to design it to be profitable and operate it as an EGS might but would not be permitted to recoup any losses or </w:t>
      </w:r>
      <w:proofErr w:type="spellStart"/>
      <w:r>
        <w:t>undercollections</w:t>
      </w:r>
      <w:proofErr w:type="spellEnd"/>
      <w:r>
        <w:t xml:space="preserve">.  </w:t>
      </w:r>
    </w:p>
  </w:footnote>
  <w:footnote w:id="4">
    <w:p w:rsidR="00837604" w:rsidRPr="007F02C3" w:rsidRDefault="00837604" w:rsidP="007F02C3">
      <w:pPr>
        <w:pStyle w:val="FootnoteText"/>
        <w:jc w:val="left"/>
      </w:pPr>
      <w:r>
        <w:rPr>
          <w:rStyle w:val="FootnoteReference"/>
        </w:rPr>
        <w:footnoteRef/>
      </w:r>
      <w:r>
        <w:t xml:space="preserve"> </w:t>
      </w:r>
      <w:r w:rsidR="00886726">
        <w:tab/>
      </w:r>
      <w:proofErr w:type="gramStart"/>
      <w:r>
        <w:rPr>
          <w:i/>
        </w:rPr>
        <w:t xml:space="preserve">Petition of PPL Electric Utilities Corporation for approval of a default service program and procurement plan for the period of June 1, 2013 through May 31, 2015, </w:t>
      </w:r>
      <w:r>
        <w:t>Docket No.</w:t>
      </w:r>
      <w:proofErr w:type="gramEnd"/>
      <w:r>
        <w:t xml:space="preserve"> P-2012-2302074 (Recommended Decision due to be issued on or before November 16, 2012).  </w:t>
      </w:r>
    </w:p>
  </w:footnote>
  <w:footnote w:id="5">
    <w:p w:rsidR="00F81C4C" w:rsidRPr="00F81C4C" w:rsidRDefault="00F81C4C" w:rsidP="00F81C4C">
      <w:pPr>
        <w:pStyle w:val="FootnoteText"/>
        <w:jc w:val="left"/>
      </w:pPr>
      <w:r>
        <w:rPr>
          <w:rStyle w:val="FootnoteReference"/>
        </w:rPr>
        <w:footnoteRef/>
      </w:r>
      <w:r>
        <w:t xml:space="preserve"> </w:t>
      </w:r>
      <w:r w:rsidR="00085F47">
        <w:tab/>
      </w:r>
      <w:r>
        <w:rPr>
          <w:i/>
        </w:rPr>
        <w:t>See</w:t>
      </w:r>
      <w:r>
        <w:t xml:space="preserve">, for example, the Company's denial of having evaluated its own data or the programs of other utilities or reports in developing this program.  </w:t>
      </w:r>
      <w:proofErr w:type="gramStart"/>
      <w:r>
        <w:t>Epstein MB at 14.</w:t>
      </w:r>
      <w:proofErr w:type="gramEnd"/>
      <w:r>
        <w:t xml:space="preserve">  </w:t>
      </w:r>
    </w:p>
  </w:footnote>
  <w:footnote w:id="6">
    <w:p w:rsidR="00427CA9" w:rsidRDefault="00427CA9" w:rsidP="00427CA9">
      <w:pPr>
        <w:pStyle w:val="FootnoteText"/>
        <w:jc w:val="left"/>
      </w:pPr>
      <w:r>
        <w:rPr>
          <w:rStyle w:val="FootnoteReference"/>
        </w:rPr>
        <w:footnoteRef/>
      </w:r>
      <w:r>
        <w:t xml:space="preserve"> </w:t>
      </w:r>
      <w:r w:rsidR="00886726">
        <w:tab/>
      </w:r>
      <w:r>
        <w:t>The prior case includes an accounting issue which may apply to the calculation of the final amounts to be recouped here as well.  The Commission's decision regarding that accounting method should be applied to the determination of the final amount.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6B629B"/>
    <w:multiLevelType w:val="multilevel"/>
    <w:tmpl w:val="B8869C40"/>
    <w:name w:val="zzmpPleading2||Pleading2|2|1|1|1|0|45||1|0|32||1|0|32||1|0|32||1|0|32||1|0|32||1|0|32||1|0|32||1|0|32||"/>
    <w:lvl w:ilvl="0">
      <w:start w:val="1"/>
      <w:numFmt w:val="upperRoman"/>
      <w:pStyle w:val="Pleading2L1"/>
      <w:lvlText w:val="%1."/>
      <w:lvlJc w:val="left"/>
      <w:pPr>
        <w:tabs>
          <w:tab w:val="num" w:pos="0"/>
        </w:tabs>
        <w:ind w:left="0" w:firstLine="0"/>
      </w:pPr>
      <w:rPr>
        <w:rFonts w:ascii="Times New Roman" w:hAnsi="Times New Roman"/>
        <w:b/>
        <w:i w:val="0"/>
        <w:caps w:val="0"/>
        <w:smallCaps w:val="0"/>
        <w:strike w:val="0"/>
        <w:dstrike w:val="0"/>
        <w:outline w:val="0"/>
        <w:shadow w:val="0"/>
        <w:emboss w:val="0"/>
        <w:imprint w:val="0"/>
        <w:vanish w:val="0"/>
        <w:sz w:val="24"/>
        <w:u w:val="none"/>
        <w:vertAlign w:val="baseline"/>
      </w:rPr>
    </w:lvl>
    <w:lvl w:ilvl="1">
      <w:start w:val="1"/>
      <w:numFmt w:val="upperLetter"/>
      <w:pStyle w:val="Pleading2L2"/>
      <w:lvlText w:val="%2."/>
      <w:lvlJc w:val="left"/>
      <w:pPr>
        <w:tabs>
          <w:tab w:val="num" w:pos="2250"/>
        </w:tabs>
        <w:ind w:left="153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2">
      <w:start w:val="1"/>
      <w:numFmt w:val="decimal"/>
      <w:lvlRestart w:val="0"/>
      <w:pStyle w:val="Pleading2L3"/>
      <w:lvlText w:val="%3."/>
      <w:lvlJc w:val="left"/>
      <w:pPr>
        <w:tabs>
          <w:tab w:val="num" w:pos="2970"/>
        </w:tabs>
        <w:ind w:left="225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3">
      <w:start w:val="1"/>
      <w:numFmt w:val="lowerLetter"/>
      <w:pStyle w:val="Pleading2L4"/>
      <w:lvlText w:val="%4."/>
      <w:lvlJc w:val="left"/>
      <w:pPr>
        <w:tabs>
          <w:tab w:val="num" w:pos="2880"/>
        </w:tabs>
        <w:ind w:left="216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4">
      <w:start w:val="1"/>
      <w:numFmt w:val="decimal"/>
      <w:pStyle w:val="Pleading2L5"/>
      <w:lvlText w:val="(%5)"/>
      <w:lvlJc w:val="left"/>
      <w:pPr>
        <w:tabs>
          <w:tab w:val="num" w:pos="2880"/>
        </w:tabs>
        <w:ind w:left="2880" w:hanging="720"/>
      </w:pPr>
      <w:rPr>
        <w:rFonts w:ascii="Times New Roman" w:hAnsi="Times New Roman"/>
        <w:caps w:val="0"/>
        <w:smallCaps w:val="0"/>
        <w:strike w:val="0"/>
        <w:dstrike w:val="0"/>
        <w:outline w:val="0"/>
        <w:shadow w:val="0"/>
        <w:emboss w:val="0"/>
        <w:imprint w:val="0"/>
        <w:vanish w:val="0"/>
        <w:sz w:val="24"/>
        <w:u w:val="none"/>
        <w:vertAlign w:val="baseline"/>
      </w:rPr>
    </w:lvl>
    <w:lvl w:ilvl="5">
      <w:start w:val="1"/>
      <w:numFmt w:val="lowerLetter"/>
      <w:pStyle w:val="Pleading2L6"/>
      <w:lvlText w:val="(%6)"/>
      <w:lvlJc w:val="left"/>
      <w:pPr>
        <w:tabs>
          <w:tab w:val="num" w:pos="3600"/>
        </w:tabs>
        <w:ind w:left="360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6">
      <w:start w:val="1"/>
      <w:numFmt w:val="lowerRoman"/>
      <w:pStyle w:val="Pleading2L7"/>
      <w:lvlText w:val="(%7)"/>
      <w:lvlJc w:val="left"/>
      <w:pPr>
        <w:tabs>
          <w:tab w:val="num" w:pos="4320"/>
        </w:tabs>
        <w:ind w:left="432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7">
      <w:start w:val="1"/>
      <w:numFmt w:val="lowerLetter"/>
      <w:pStyle w:val="Pleading2L8"/>
      <w:lvlText w:val="%8)"/>
      <w:lvlJc w:val="left"/>
      <w:pPr>
        <w:tabs>
          <w:tab w:val="num" w:pos="5040"/>
        </w:tabs>
        <w:ind w:left="504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8">
      <w:start w:val="1"/>
      <w:numFmt w:val="lowerRoman"/>
      <w:pStyle w:val="Pleading2L9"/>
      <w:lvlText w:val="%9)"/>
      <w:lvlJc w:val="left"/>
      <w:pPr>
        <w:tabs>
          <w:tab w:val="num" w:pos="5760"/>
        </w:tabs>
        <w:ind w:left="576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4B6"/>
    <w:rsid w:val="00001E3A"/>
    <w:rsid w:val="00001EF6"/>
    <w:rsid w:val="000028EA"/>
    <w:rsid w:val="00003D11"/>
    <w:rsid w:val="000045C4"/>
    <w:rsid w:val="00004AA3"/>
    <w:rsid w:val="00005558"/>
    <w:rsid w:val="000079FE"/>
    <w:rsid w:val="00012104"/>
    <w:rsid w:val="00012655"/>
    <w:rsid w:val="0001305A"/>
    <w:rsid w:val="0001430C"/>
    <w:rsid w:val="00016E55"/>
    <w:rsid w:val="0002023D"/>
    <w:rsid w:val="00020760"/>
    <w:rsid w:val="0002105C"/>
    <w:rsid w:val="0002110E"/>
    <w:rsid w:val="00022B3F"/>
    <w:rsid w:val="00025D7A"/>
    <w:rsid w:val="00026A69"/>
    <w:rsid w:val="000304BF"/>
    <w:rsid w:val="00032379"/>
    <w:rsid w:val="0003306B"/>
    <w:rsid w:val="00033303"/>
    <w:rsid w:val="000338CD"/>
    <w:rsid w:val="00035BB8"/>
    <w:rsid w:val="000372C5"/>
    <w:rsid w:val="00037484"/>
    <w:rsid w:val="000377F5"/>
    <w:rsid w:val="00037E0F"/>
    <w:rsid w:val="00040EB6"/>
    <w:rsid w:val="0004277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2F6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5F47"/>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3286"/>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1727"/>
    <w:rsid w:val="000D29BA"/>
    <w:rsid w:val="000D3E49"/>
    <w:rsid w:val="000D5763"/>
    <w:rsid w:val="000E2B61"/>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695"/>
    <w:rsid w:val="000F678B"/>
    <w:rsid w:val="000F680A"/>
    <w:rsid w:val="000F78BE"/>
    <w:rsid w:val="0010080E"/>
    <w:rsid w:val="001021FB"/>
    <w:rsid w:val="00102A11"/>
    <w:rsid w:val="00102A77"/>
    <w:rsid w:val="0010345F"/>
    <w:rsid w:val="0010420D"/>
    <w:rsid w:val="00104518"/>
    <w:rsid w:val="00106251"/>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53C"/>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791"/>
    <w:rsid w:val="0017580D"/>
    <w:rsid w:val="00175F76"/>
    <w:rsid w:val="00176C44"/>
    <w:rsid w:val="00181AB1"/>
    <w:rsid w:val="00183719"/>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19C5"/>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D6EFE"/>
    <w:rsid w:val="001D7177"/>
    <w:rsid w:val="001E2642"/>
    <w:rsid w:val="001E3C9A"/>
    <w:rsid w:val="001E5447"/>
    <w:rsid w:val="001E5DF5"/>
    <w:rsid w:val="001E604F"/>
    <w:rsid w:val="001E76FD"/>
    <w:rsid w:val="001E79A7"/>
    <w:rsid w:val="001F0835"/>
    <w:rsid w:val="001F09A7"/>
    <w:rsid w:val="001F1049"/>
    <w:rsid w:val="001F1139"/>
    <w:rsid w:val="001F1D55"/>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826"/>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0FBA"/>
    <w:rsid w:val="00251E5A"/>
    <w:rsid w:val="00252DB6"/>
    <w:rsid w:val="00252F2A"/>
    <w:rsid w:val="0025351B"/>
    <w:rsid w:val="002543DB"/>
    <w:rsid w:val="002546D8"/>
    <w:rsid w:val="002557C7"/>
    <w:rsid w:val="002558A3"/>
    <w:rsid w:val="00255930"/>
    <w:rsid w:val="00255ABE"/>
    <w:rsid w:val="00256505"/>
    <w:rsid w:val="00260459"/>
    <w:rsid w:val="00260814"/>
    <w:rsid w:val="00262A17"/>
    <w:rsid w:val="00262AF8"/>
    <w:rsid w:val="00263AD5"/>
    <w:rsid w:val="002654B6"/>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360"/>
    <w:rsid w:val="002A5F4D"/>
    <w:rsid w:val="002A70E9"/>
    <w:rsid w:val="002A7A0A"/>
    <w:rsid w:val="002B0D61"/>
    <w:rsid w:val="002B2AF4"/>
    <w:rsid w:val="002B3E20"/>
    <w:rsid w:val="002B541A"/>
    <w:rsid w:val="002B67BA"/>
    <w:rsid w:val="002B754D"/>
    <w:rsid w:val="002C0694"/>
    <w:rsid w:val="002C1023"/>
    <w:rsid w:val="002C4F02"/>
    <w:rsid w:val="002C69AD"/>
    <w:rsid w:val="002D0E4D"/>
    <w:rsid w:val="002D11F2"/>
    <w:rsid w:val="002D1E71"/>
    <w:rsid w:val="002D29B0"/>
    <w:rsid w:val="002D34B2"/>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2E08"/>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3D8"/>
    <w:rsid w:val="0036153E"/>
    <w:rsid w:val="00361714"/>
    <w:rsid w:val="0036237C"/>
    <w:rsid w:val="003625F5"/>
    <w:rsid w:val="003643C9"/>
    <w:rsid w:val="003657F1"/>
    <w:rsid w:val="00365826"/>
    <w:rsid w:val="00365A2F"/>
    <w:rsid w:val="00366696"/>
    <w:rsid w:val="0036754C"/>
    <w:rsid w:val="0037459A"/>
    <w:rsid w:val="00375889"/>
    <w:rsid w:val="003760EB"/>
    <w:rsid w:val="00380892"/>
    <w:rsid w:val="00381B05"/>
    <w:rsid w:val="00383321"/>
    <w:rsid w:val="00385BF0"/>
    <w:rsid w:val="00385DAD"/>
    <w:rsid w:val="00386626"/>
    <w:rsid w:val="003908D7"/>
    <w:rsid w:val="00390929"/>
    <w:rsid w:val="00390DBB"/>
    <w:rsid w:val="00391CFF"/>
    <w:rsid w:val="00391EBB"/>
    <w:rsid w:val="003922EB"/>
    <w:rsid w:val="003924CC"/>
    <w:rsid w:val="00396333"/>
    <w:rsid w:val="00396ADD"/>
    <w:rsid w:val="0039716B"/>
    <w:rsid w:val="00397B15"/>
    <w:rsid w:val="003A0B9C"/>
    <w:rsid w:val="003A0E5A"/>
    <w:rsid w:val="003A0F8D"/>
    <w:rsid w:val="003A5E83"/>
    <w:rsid w:val="003A645E"/>
    <w:rsid w:val="003A6A5F"/>
    <w:rsid w:val="003A7581"/>
    <w:rsid w:val="003B1EA5"/>
    <w:rsid w:val="003B2E77"/>
    <w:rsid w:val="003B3FDD"/>
    <w:rsid w:val="003B4D40"/>
    <w:rsid w:val="003B5D19"/>
    <w:rsid w:val="003B610B"/>
    <w:rsid w:val="003C34F1"/>
    <w:rsid w:val="003C47E8"/>
    <w:rsid w:val="003C5102"/>
    <w:rsid w:val="003C5586"/>
    <w:rsid w:val="003C610C"/>
    <w:rsid w:val="003C6962"/>
    <w:rsid w:val="003C6F65"/>
    <w:rsid w:val="003D0DA6"/>
    <w:rsid w:val="003D1F46"/>
    <w:rsid w:val="003D41CF"/>
    <w:rsid w:val="003D5045"/>
    <w:rsid w:val="003D6E8A"/>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27CA9"/>
    <w:rsid w:val="00431130"/>
    <w:rsid w:val="00433AE5"/>
    <w:rsid w:val="0043485A"/>
    <w:rsid w:val="00434FD6"/>
    <w:rsid w:val="0043638B"/>
    <w:rsid w:val="004370D7"/>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588D"/>
    <w:rsid w:val="00477A71"/>
    <w:rsid w:val="004811A2"/>
    <w:rsid w:val="00481269"/>
    <w:rsid w:val="004839FC"/>
    <w:rsid w:val="00483C70"/>
    <w:rsid w:val="00484589"/>
    <w:rsid w:val="00484BCE"/>
    <w:rsid w:val="00487E8F"/>
    <w:rsid w:val="00491F39"/>
    <w:rsid w:val="004938B5"/>
    <w:rsid w:val="004939E6"/>
    <w:rsid w:val="00493AC3"/>
    <w:rsid w:val="0049422F"/>
    <w:rsid w:val="0049475D"/>
    <w:rsid w:val="0049575D"/>
    <w:rsid w:val="00496D95"/>
    <w:rsid w:val="00496DB8"/>
    <w:rsid w:val="004A0F1D"/>
    <w:rsid w:val="004A11A6"/>
    <w:rsid w:val="004A1719"/>
    <w:rsid w:val="004A1729"/>
    <w:rsid w:val="004A21F4"/>
    <w:rsid w:val="004A3363"/>
    <w:rsid w:val="004A4B6C"/>
    <w:rsid w:val="004A5318"/>
    <w:rsid w:val="004A5A04"/>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2ABA"/>
    <w:rsid w:val="004D38F8"/>
    <w:rsid w:val="004D4A68"/>
    <w:rsid w:val="004D5646"/>
    <w:rsid w:val="004D6D13"/>
    <w:rsid w:val="004D6DCE"/>
    <w:rsid w:val="004D7DD4"/>
    <w:rsid w:val="004E1662"/>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D2D"/>
    <w:rsid w:val="00504F92"/>
    <w:rsid w:val="00505551"/>
    <w:rsid w:val="005078B3"/>
    <w:rsid w:val="00510A28"/>
    <w:rsid w:val="00511C54"/>
    <w:rsid w:val="0051292E"/>
    <w:rsid w:val="00515AC5"/>
    <w:rsid w:val="00516207"/>
    <w:rsid w:val="00520C27"/>
    <w:rsid w:val="00521B57"/>
    <w:rsid w:val="00522DE9"/>
    <w:rsid w:val="00522EF8"/>
    <w:rsid w:val="0052399F"/>
    <w:rsid w:val="00523F60"/>
    <w:rsid w:val="00523FBA"/>
    <w:rsid w:val="00524079"/>
    <w:rsid w:val="00524B39"/>
    <w:rsid w:val="005255C0"/>
    <w:rsid w:val="005258BD"/>
    <w:rsid w:val="00526890"/>
    <w:rsid w:val="0052764F"/>
    <w:rsid w:val="00527AFE"/>
    <w:rsid w:val="005328F4"/>
    <w:rsid w:val="005336C3"/>
    <w:rsid w:val="00535220"/>
    <w:rsid w:val="00536ABE"/>
    <w:rsid w:val="00540B74"/>
    <w:rsid w:val="00540B8B"/>
    <w:rsid w:val="00540ED6"/>
    <w:rsid w:val="00541835"/>
    <w:rsid w:val="00541C1D"/>
    <w:rsid w:val="005449AC"/>
    <w:rsid w:val="00544A16"/>
    <w:rsid w:val="005472EC"/>
    <w:rsid w:val="00547C82"/>
    <w:rsid w:val="0055122B"/>
    <w:rsid w:val="00552915"/>
    <w:rsid w:val="00552DC1"/>
    <w:rsid w:val="005534BD"/>
    <w:rsid w:val="0056034B"/>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18CD"/>
    <w:rsid w:val="00582289"/>
    <w:rsid w:val="0058363F"/>
    <w:rsid w:val="00584CB9"/>
    <w:rsid w:val="00585BD9"/>
    <w:rsid w:val="00587B74"/>
    <w:rsid w:val="00591696"/>
    <w:rsid w:val="00593FF1"/>
    <w:rsid w:val="00594648"/>
    <w:rsid w:val="00594E77"/>
    <w:rsid w:val="0059623B"/>
    <w:rsid w:val="00596D1D"/>
    <w:rsid w:val="005A1839"/>
    <w:rsid w:val="005A2923"/>
    <w:rsid w:val="005A35A5"/>
    <w:rsid w:val="005A3759"/>
    <w:rsid w:val="005A44D9"/>
    <w:rsid w:val="005A5826"/>
    <w:rsid w:val="005A6ADE"/>
    <w:rsid w:val="005B2582"/>
    <w:rsid w:val="005B3D45"/>
    <w:rsid w:val="005B78C4"/>
    <w:rsid w:val="005C373B"/>
    <w:rsid w:val="005C3DD2"/>
    <w:rsid w:val="005C4AAA"/>
    <w:rsid w:val="005C610A"/>
    <w:rsid w:val="005D1442"/>
    <w:rsid w:val="005D1922"/>
    <w:rsid w:val="005D1BD5"/>
    <w:rsid w:val="005D2788"/>
    <w:rsid w:val="005D4281"/>
    <w:rsid w:val="005D6E32"/>
    <w:rsid w:val="005E06D4"/>
    <w:rsid w:val="005E1521"/>
    <w:rsid w:val="005E196C"/>
    <w:rsid w:val="005E3768"/>
    <w:rsid w:val="005E448D"/>
    <w:rsid w:val="005F064D"/>
    <w:rsid w:val="005F0C39"/>
    <w:rsid w:val="005F2E09"/>
    <w:rsid w:val="005F512E"/>
    <w:rsid w:val="005F5A21"/>
    <w:rsid w:val="005F6A04"/>
    <w:rsid w:val="00600458"/>
    <w:rsid w:val="0060118D"/>
    <w:rsid w:val="0060369E"/>
    <w:rsid w:val="00603824"/>
    <w:rsid w:val="0060530E"/>
    <w:rsid w:val="00605D75"/>
    <w:rsid w:val="00606D4F"/>
    <w:rsid w:val="006073B5"/>
    <w:rsid w:val="00610CE1"/>
    <w:rsid w:val="006113D8"/>
    <w:rsid w:val="0061181A"/>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0F85"/>
    <w:rsid w:val="006621E9"/>
    <w:rsid w:val="00662904"/>
    <w:rsid w:val="00664A57"/>
    <w:rsid w:val="00664C73"/>
    <w:rsid w:val="00671999"/>
    <w:rsid w:val="006764EA"/>
    <w:rsid w:val="006766D4"/>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2A99"/>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5E82"/>
    <w:rsid w:val="006D7201"/>
    <w:rsid w:val="006D7692"/>
    <w:rsid w:val="006E10AB"/>
    <w:rsid w:val="006E1753"/>
    <w:rsid w:val="006E3BF0"/>
    <w:rsid w:val="006E4E29"/>
    <w:rsid w:val="006E5D2E"/>
    <w:rsid w:val="006E670A"/>
    <w:rsid w:val="006E7C63"/>
    <w:rsid w:val="006F1186"/>
    <w:rsid w:val="006F15E9"/>
    <w:rsid w:val="006F252A"/>
    <w:rsid w:val="006F27FC"/>
    <w:rsid w:val="006F3137"/>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26FC4"/>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2408"/>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503"/>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05CA"/>
    <w:rsid w:val="007C19EC"/>
    <w:rsid w:val="007C342D"/>
    <w:rsid w:val="007C3C7F"/>
    <w:rsid w:val="007C51EB"/>
    <w:rsid w:val="007C60E2"/>
    <w:rsid w:val="007C6384"/>
    <w:rsid w:val="007C7435"/>
    <w:rsid w:val="007D01CE"/>
    <w:rsid w:val="007D158A"/>
    <w:rsid w:val="007D5B1C"/>
    <w:rsid w:val="007D6D87"/>
    <w:rsid w:val="007D6FD6"/>
    <w:rsid w:val="007E0ADA"/>
    <w:rsid w:val="007E15CF"/>
    <w:rsid w:val="007E1DB4"/>
    <w:rsid w:val="007E28ED"/>
    <w:rsid w:val="007E5866"/>
    <w:rsid w:val="007F02C3"/>
    <w:rsid w:val="007F07AF"/>
    <w:rsid w:val="007F2A44"/>
    <w:rsid w:val="007F6E2B"/>
    <w:rsid w:val="007F7699"/>
    <w:rsid w:val="007F773D"/>
    <w:rsid w:val="008003C8"/>
    <w:rsid w:val="00802118"/>
    <w:rsid w:val="00804065"/>
    <w:rsid w:val="008047DD"/>
    <w:rsid w:val="0080611B"/>
    <w:rsid w:val="00806213"/>
    <w:rsid w:val="00807B78"/>
    <w:rsid w:val="008121D7"/>
    <w:rsid w:val="00812B80"/>
    <w:rsid w:val="008168A2"/>
    <w:rsid w:val="00820421"/>
    <w:rsid w:val="008213E7"/>
    <w:rsid w:val="00821687"/>
    <w:rsid w:val="0082217D"/>
    <w:rsid w:val="00822A40"/>
    <w:rsid w:val="008236C7"/>
    <w:rsid w:val="00823E67"/>
    <w:rsid w:val="00826045"/>
    <w:rsid w:val="00827EB7"/>
    <w:rsid w:val="008307DB"/>
    <w:rsid w:val="00830A48"/>
    <w:rsid w:val="00833331"/>
    <w:rsid w:val="00833C36"/>
    <w:rsid w:val="00834B96"/>
    <w:rsid w:val="00836409"/>
    <w:rsid w:val="00836415"/>
    <w:rsid w:val="00836B47"/>
    <w:rsid w:val="00837604"/>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214B"/>
    <w:rsid w:val="008752B2"/>
    <w:rsid w:val="00876B32"/>
    <w:rsid w:val="00882CB8"/>
    <w:rsid w:val="00884366"/>
    <w:rsid w:val="00884650"/>
    <w:rsid w:val="008851B9"/>
    <w:rsid w:val="00885F50"/>
    <w:rsid w:val="00886726"/>
    <w:rsid w:val="00887314"/>
    <w:rsid w:val="00890EB4"/>
    <w:rsid w:val="00891D35"/>
    <w:rsid w:val="00893901"/>
    <w:rsid w:val="0089667B"/>
    <w:rsid w:val="0089728F"/>
    <w:rsid w:val="008A0874"/>
    <w:rsid w:val="008A0FF6"/>
    <w:rsid w:val="008A28F5"/>
    <w:rsid w:val="008A51AD"/>
    <w:rsid w:val="008A54D7"/>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099"/>
    <w:rsid w:val="008E1BF6"/>
    <w:rsid w:val="008E44FF"/>
    <w:rsid w:val="008E49F6"/>
    <w:rsid w:val="008E5A58"/>
    <w:rsid w:val="008E5CFA"/>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17649"/>
    <w:rsid w:val="00920088"/>
    <w:rsid w:val="00920622"/>
    <w:rsid w:val="00922DF5"/>
    <w:rsid w:val="00923349"/>
    <w:rsid w:val="00923CE8"/>
    <w:rsid w:val="009252D3"/>
    <w:rsid w:val="00926002"/>
    <w:rsid w:val="00930061"/>
    <w:rsid w:val="00930EBA"/>
    <w:rsid w:val="0093151F"/>
    <w:rsid w:val="0093268C"/>
    <w:rsid w:val="00934728"/>
    <w:rsid w:val="009347A5"/>
    <w:rsid w:val="00935580"/>
    <w:rsid w:val="009364B5"/>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BD5"/>
    <w:rsid w:val="00956E7E"/>
    <w:rsid w:val="0096539B"/>
    <w:rsid w:val="00966487"/>
    <w:rsid w:val="009669E3"/>
    <w:rsid w:val="009671DB"/>
    <w:rsid w:val="0096755D"/>
    <w:rsid w:val="00972207"/>
    <w:rsid w:val="0097227D"/>
    <w:rsid w:val="00972738"/>
    <w:rsid w:val="009727FE"/>
    <w:rsid w:val="00973E68"/>
    <w:rsid w:val="00974C35"/>
    <w:rsid w:val="00976E81"/>
    <w:rsid w:val="009808B0"/>
    <w:rsid w:val="00980958"/>
    <w:rsid w:val="009827BD"/>
    <w:rsid w:val="00983488"/>
    <w:rsid w:val="00983EDB"/>
    <w:rsid w:val="009849EF"/>
    <w:rsid w:val="00984E36"/>
    <w:rsid w:val="0098553B"/>
    <w:rsid w:val="00986280"/>
    <w:rsid w:val="00987014"/>
    <w:rsid w:val="009871AC"/>
    <w:rsid w:val="00990892"/>
    <w:rsid w:val="00990D3A"/>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238"/>
    <w:rsid w:val="009C0E90"/>
    <w:rsid w:val="009C24F9"/>
    <w:rsid w:val="009C3948"/>
    <w:rsid w:val="009C638A"/>
    <w:rsid w:val="009D3AAC"/>
    <w:rsid w:val="009D5B63"/>
    <w:rsid w:val="009D6C48"/>
    <w:rsid w:val="009E05BC"/>
    <w:rsid w:val="009E1679"/>
    <w:rsid w:val="009E1BE9"/>
    <w:rsid w:val="009E2348"/>
    <w:rsid w:val="009E239E"/>
    <w:rsid w:val="009E271D"/>
    <w:rsid w:val="009E334C"/>
    <w:rsid w:val="009E362F"/>
    <w:rsid w:val="009E40DF"/>
    <w:rsid w:val="009E59CA"/>
    <w:rsid w:val="009F1AEE"/>
    <w:rsid w:val="009F1DB1"/>
    <w:rsid w:val="009F1EA5"/>
    <w:rsid w:val="009F4DFF"/>
    <w:rsid w:val="009F5E68"/>
    <w:rsid w:val="009F69E5"/>
    <w:rsid w:val="009F7476"/>
    <w:rsid w:val="009F768D"/>
    <w:rsid w:val="009F7B07"/>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4A77"/>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3E8E"/>
    <w:rsid w:val="00A851A4"/>
    <w:rsid w:val="00A86BD8"/>
    <w:rsid w:val="00A8787E"/>
    <w:rsid w:val="00A87EDF"/>
    <w:rsid w:val="00A90897"/>
    <w:rsid w:val="00A909E1"/>
    <w:rsid w:val="00A90C67"/>
    <w:rsid w:val="00A92B4B"/>
    <w:rsid w:val="00A93509"/>
    <w:rsid w:val="00A935BC"/>
    <w:rsid w:val="00A940DD"/>
    <w:rsid w:val="00A9585F"/>
    <w:rsid w:val="00A96D89"/>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62A6"/>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19D"/>
    <w:rsid w:val="00B23264"/>
    <w:rsid w:val="00B2793E"/>
    <w:rsid w:val="00B3022C"/>
    <w:rsid w:val="00B32ABD"/>
    <w:rsid w:val="00B32E35"/>
    <w:rsid w:val="00B33B37"/>
    <w:rsid w:val="00B35017"/>
    <w:rsid w:val="00B374E5"/>
    <w:rsid w:val="00B3764A"/>
    <w:rsid w:val="00B37AA5"/>
    <w:rsid w:val="00B41BA6"/>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62E"/>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0F7B"/>
    <w:rsid w:val="00BE107D"/>
    <w:rsid w:val="00BE2D6C"/>
    <w:rsid w:val="00BE4C2B"/>
    <w:rsid w:val="00BE52CA"/>
    <w:rsid w:val="00BE5D1C"/>
    <w:rsid w:val="00BE701E"/>
    <w:rsid w:val="00BE7640"/>
    <w:rsid w:val="00BE7B4E"/>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514"/>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28BB"/>
    <w:rsid w:val="00C4383B"/>
    <w:rsid w:val="00C4601A"/>
    <w:rsid w:val="00C478FE"/>
    <w:rsid w:val="00C502DD"/>
    <w:rsid w:val="00C613E2"/>
    <w:rsid w:val="00C621E3"/>
    <w:rsid w:val="00C6430C"/>
    <w:rsid w:val="00C64E24"/>
    <w:rsid w:val="00C65047"/>
    <w:rsid w:val="00C653CC"/>
    <w:rsid w:val="00C665D4"/>
    <w:rsid w:val="00C67E56"/>
    <w:rsid w:val="00C707F0"/>
    <w:rsid w:val="00C73CE1"/>
    <w:rsid w:val="00C74775"/>
    <w:rsid w:val="00C76F9B"/>
    <w:rsid w:val="00C77064"/>
    <w:rsid w:val="00C80AB6"/>
    <w:rsid w:val="00C824FE"/>
    <w:rsid w:val="00C833D6"/>
    <w:rsid w:val="00C84CDE"/>
    <w:rsid w:val="00C8762A"/>
    <w:rsid w:val="00C9050E"/>
    <w:rsid w:val="00C91C7D"/>
    <w:rsid w:val="00C91CAA"/>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4B7C"/>
    <w:rsid w:val="00CD788F"/>
    <w:rsid w:val="00CE047D"/>
    <w:rsid w:val="00CE1017"/>
    <w:rsid w:val="00CE358A"/>
    <w:rsid w:val="00CE373E"/>
    <w:rsid w:val="00CE43AF"/>
    <w:rsid w:val="00CE577D"/>
    <w:rsid w:val="00CE619B"/>
    <w:rsid w:val="00CE665D"/>
    <w:rsid w:val="00CE6758"/>
    <w:rsid w:val="00CE7731"/>
    <w:rsid w:val="00CF096F"/>
    <w:rsid w:val="00CF1226"/>
    <w:rsid w:val="00CF329F"/>
    <w:rsid w:val="00CF6106"/>
    <w:rsid w:val="00CF6A79"/>
    <w:rsid w:val="00CF73D7"/>
    <w:rsid w:val="00D00AAE"/>
    <w:rsid w:val="00D02589"/>
    <w:rsid w:val="00D02D5A"/>
    <w:rsid w:val="00D03B9D"/>
    <w:rsid w:val="00D0498A"/>
    <w:rsid w:val="00D065E6"/>
    <w:rsid w:val="00D06F2D"/>
    <w:rsid w:val="00D10843"/>
    <w:rsid w:val="00D11B6A"/>
    <w:rsid w:val="00D13B2D"/>
    <w:rsid w:val="00D154A5"/>
    <w:rsid w:val="00D15660"/>
    <w:rsid w:val="00D16769"/>
    <w:rsid w:val="00D16E7D"/>
    <w:rsid w:val="00D17731"/>
    <w:rsid w:val="00D20E86"/>
    <w:rsid w:val="00D20FB3"/>
    <w:rsid w:val="00D21DFB"/>
    <w:rsid w:val="00D227C4"/>
    <w:rsid w:val="00D23048"/>
    <w:rsid w:val="00D2352A"/>
    <w:rsid w:val="00D23DD0"/>
    <w:rsid w:val="00D251C3"/>
    <w:rsid w:val="00D26CB5"/>
    <w:rsid w:val="00D27EA0"/>
    <w:rsid w:val="00D30BCA"/>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208E"/>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A6D"/>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4D82"/>
    <w:rsid w:val="00DC5BB0"/>
    <w:rsid w:val="00DC642C"/>
    <w:rsid w:val="00DC6711"/>
    <w:rsid w:val="00DC6826"/>
    <w:rsid w:val="00DD20E3"/>
    <w:rsid w:val="00DD2605"/>
    <w:rsid w:val="00DD2AAA"/>
    <w:rsid w:val="00DD50B5"/>
    <w:rsid w:val="00DD5275"/>
    <w:rsid w:val="00DD5F86"/>
    <w:rsid w:val="00DD6047"/>
    <w:rsid w:val="00DD7205"/>
    <w:rsid w:val="00DD7674"/>
    <w:rsid w:val="00DD771A"/>
    <w:rsid w:val="00DD7F78"/>
    <w:rsid w:val="00DE262A"/>
    <w:rsid w:val="00DE2759"/>
    <w:rsid w:val="00DE2977"/>
    <w:rsid w:val="00DE3616"/>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8EB"/>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064"/>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D7D"/>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26FA"/>
    <w:rsid w:val="00EC2F20"/>
    <w:rsid w:val="00EC33EA"/>
    <w:rsid w:val="00EC41C2"/>
    <w:rsid w:val="00EC4E71"/>
    <w:rsid w:val="00EC62F1"/>
    <w:rsid w:val="00EC6D41"/>
    <w:rsid w:val="00EC79CA"/>
    <w:rsid w:val="00ED03A3"/>
    <w:rsid w:val="00ED0AA7"/>
    <w:rsid w:val="00ED297E"/>
    <w:rsid w:val="00ED2F8A"/>
    <w:rsid w:val="00ED58AF"/>
    <w:rsid w:val="00ED7658"/>
    <w:rsid w:val="00EE13F4"/>
    <w:rsid w:val="00EE171F"/>
    <w:rsid w:val="00EE1EE5"/>
    <w:rsid w:val="00EE2928"/>
    <w:rsid w:val="00EE2B2F"/>
    <w:rsid w:val="00EE2E23"/>
    <w:rsid w:val="00EE359A"/>
    <w:rsid w:val="00EE4BD0"/>
    <w:rsid w:val="00EE5BA1"/>
    <w:rsid w:val="00EF2966"/>
    <w:rsid w:val="00EF5346"/>
    <w:rsid w:val="00EF70EA"/>
    <w:rsid w:val="00EF7235"/>
    <w:rsid w:val="00F00A4D"/>
    <w:rsid w:val="00F00BDA"/>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6FE7"/>
    <w:rsid w:val="00F170B7"/>
    <w:rsid w:val="00F21CA5"/>
    <w:rsid w:val="00F255B6"/>
    <w:rsid w:val="00F26ED7"/>
    <w:rsid w:val="00F31625"/>
    <w:rsid w:val="00F31BDC"/>
    <w:rsid w:val="00F32232"/>
    <w:rsid w:val="00F32242"/>
    <w:rsid w:val="00F32D87"/>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686"/>
    <w:rsid w:val="00F61E12"/>
    <w:rsid w:val="00F626E7"/>
    <w:rsid w:val="00F62D04"/>
    <w:rsid w:val="00F6434A"/>
    <w:rsid w:val="00F70887"/>
    <w:rsid w:val="00F70A7D"/>
    <w:rsid w:val="00F748DD"/>
    <w:rsid w:val="00F76633"/>
    <w:rsid w:val="00F77EEC"/>
    <w:rsid w:val="00F81710"/>
    <w:rsid w:val="00F81C4C"/>
    <w:rsid w:val="00F81FF7"/>
    <w:rsid w:val="00F83E64"/>
    <w:rsid w:val="00F86EF9"/>
    <w:rsid w:val="00F86FB1"/>
    <w:rsid w:val="00F87E61"/>
    <w:rsid w:val="00F9058E"/>
    <w:rsid w:val="00F908E0"/>
    <w:rsid w:val="00F90B14"/>
    <w:rsid w:val="00F90B86"/>
    <w:rsid w:val="00F9335A"/>
    <w:rsid w:val="00F93755"/>
    <w:rsid w:val="00F93A32"/>
    <w:rsid w:val="00F94769"/>
    <w:rsid w:val="00F95CF5"/>
    <w:rsid w:val="00F97EE2"/>
    <w:rsid w:val="00FA0810"/>
    <w:rsid w:val="00FA14B5"/>
    <w:rsid w:val="00FA16BB"/>
    <w:rsid w:val="00FA2895"/>
    <w:rsid w:val="00FA29A4"/>
    <w:rsid w:val="00FA2FAE"/>
    <w:rsid w:val="00FA3DD7"/>
    <w:rsid w:val="00FA4D12"/>
    <w:rsid w:val="00FA5031"/>
    <w:rsid w:val="00FA56FF"/>
    <w:rsid w:val="00FA660E"/>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4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654B6"/>
    <w:pPr>
      <w:tabs>
        <w:tab w:val="center" w:pos="4680"/>
        <w:tab w:val="right" w:pos="9360"/>
      </w:tabs>
      <w:spacing w:line="240" w:lineRule="auto"/>
    </w:pPr>
  </w:style>
  <w:style w:type="character" w:customStyle="1" w:styleId="FooterChar">
    <w:name w:val="Footer Char"/>
    <w:basedOn w:val="DefaultParagraphFont"/>
    <w:link w:val="Footer"/>
    <w:uiPriority w:val="99"/>
    <w:rsid w:val="002654B6"/>
  </w:style>
  <w:style w:type="paragraph" w:styleId="BalloonText">
    <w:name w:val="Balloon Text"/>
    <w:basedOn w:val="Normal"/>
    <w:link w:val="BalloonTextChar"/>
    <w:uiPriority w:val="99"/>
    <w:semiHidden/>
    <w:unhideWhenUsed/>
    <w:rsid w:val="00026A6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6A69"/>
    <w:rPr>
      <w:rFonts w:ascii="Tahoma" w:hAnsi="Tahoma" w:cs="Tahoma"/>
      <w:sz w:val="16"/>
      <w:szCs w:val="16"/>
    </w:rPr>
  </w:style>
  <w:style w:type="paragraph" w:customStyle="1" w:styleId="Pleading2L1">
    <w:name w:val="Pleading2_L1"/>
    <w:basedOn w:val="Normal"/>
    <w:next w:val="BodyText"/>
    <w:rsid w:val="002B67BA"/>
    <w:pPr>
      <w:numPr>
        <w:numId w:val="1"/>
      </w:numPr>
      <w:spacing w:after="240" w:line="240" w:lineRule="auto"/>
      <w:outlineLvl w:val="0"/>
    </w:pPr>
    <w:rPr>
      <w:rFonts w:eastAsia="Times New Roman"/>
      <w:b/>
      <w:caps/>
      <w:szCs w:val="20"/>
      <w:u w:val="single"/>
    </w:rPr>
  </w:style>
  <w:style w:type="paragraph" w:customStyle="1" w:styleId="Pleading2L2">
    <w:name w:val="Pleading2_L2"/>
    <w:basedOn w:val="Pleading2L1"/>
    <w:rsid w:val="002B67BA"/>
    <w:pPr>
      <w:numPr>
        <w:ilvl w:val="1"/>
      </w:numPr>
      <w:spacing w:after="0" w:line="480" w:lineRule="auto"/>
      <w:jc w:val="left"/>
      <w:outlineLvl w:val="1"/>
    </w:pPr>
    <w:rPr>
      <w:b w:val="0"/>
      <w:caps w:val="0"/>
      <w:u w:val="none"/>
    </w:rPr>
  </w:style>
  <w:style w:type="paragraph" w:customStyle="1" w:styleId="Pleading2L3">
    <w:name w:val="Pleading2_L3"/>
    <w:basedOn w:val="Pleading2L2"/>
    <w:rsid w:val="002B67BA"/>
    <w:pPr>
      <w:numPr>
        <w:ilvl w:val="2"/>
      </w:numPr>
      <w:outlineLvl w:val="2"/>
    </w:pPr>
  </w:style>
  <w:style w:type="paragraph" w:customStyle="1" w:styleId="Pleading2L4">
    <w:name w:val="Pleading2_L4"/>
    <w:basedOn w:val="Pleading2L3"/>
    <w:rsid w:val="002B67BA"/>
    <w:pPr>
      <w:numPr>
        <w:ilvl w:val="3"/>
      </w:numPr>
      <w:outlineLvl w:val="3"/>
    </w:pPr>
  </w:style>
  <w:style w:type="paragraph" w:customStyle="1" w:styleId="Pleading2L5">
    <w:name w:val="Pleading2_L5"/>
    <w:basedOn w:val="Pleading2L4"/>
    <w:rsid w:val="002B67BA"/>
    <w:pPr>
      <w:keepNext/>
      <w:keepLines/>
      <w:widowControl w:val="0"/>
      <w:numPr>
        <w:ilvl w:val="4"/>
      </w:numPr>
      <w:spacing w:after="240" w:line="240" w:lineRule="auto"/>
      <w:outlineLvl w:val="4"/>
    </w:pPr>
  </w:style>
  <w:style w:type="paragraph" w:customStyle="1" w:styleId="Pleading2L6">
    <w:name w:val="Pleading2_L6"/>
    <w:basedOn w:val="Pleading2L5"/>
    <w:rsid w:val="002B67BA"/>
    <w:pPr>
      <w:numPr>
        <w:ilvl w:val="5"/>
      </w:numPr>
      <w:outlineLvl w:val="5"/>
    </w:pPr>
  </w:style>
  <w:style w:type="paragraph" w:customStyle="1" w:styleId="Pleading2L7">
    <w:name w:val="Pleading2_L7"/>
    <w:basedOn w:val="Pleading2L6"/>
    <w:rsid w:val="002B67BA"/>
    <w:pPr>
      <w:numPr>
        <w:ilvl w:val="6"/>
      </w:numPr>
      <w:outlineLvl w:val="6"/>
    </w:pPr>
  </w:style>
  <w:style w:type="paragraph" w:customStyle="1" w:styleId="Pleading2L8">
    <w:name w:val="Pleading2_L8"/>
    <w:basedOn w:val="Pleading2L7"/>
    <w:rsid w:val="002B67BA"/>
    <w:pPr>
      <w:numPr>
        <w:ilvl w:val="7"/>
      </w:numPr>
      <w:outlineLvl w:val="7"/>
    </w:pPr>
  </w:style>
  <w:style w:type="paragraph" w:customStyle="1" w:styleId="Pleading2L9">
    <w:name w:val="Pleading2_L9"/>
    <w:basedOn w:val="Pleading2L8"/>
    <w:rsid w:val="002B67BA"/>
    <w:pPr>
      <w:numPr>
        <w:ilvl w:val="8"/>
      </w:numPr>
      <w:outlineLvl w:val="8"/>
    </w:pPr>
  </w:style>
  <w:style w:type="paragraph" w:styleId="BodyText">
    <w:name w:val="Body Text"/>
    <w:basedOn w:val="Normal"/>
    <w:link w:val="BodyTextChar"/>
    <w:uiPriority w:val="99"/>
    <w:semiHidden/>
    <w:unhideWhenUsed/>
    <w:rsid w:val="002B67BA"/>
    <w:pPr>
      <w:spacing w:after="120"/>
    </w:pPr>
  </w:style>
  <w:style w:type="character" w:customStyle="1" w:styleId="BodyTextChar">
    <w:name w:val="Body Text Char"/>
    <w:basedOn w:val="DefaultParagraphFont"/>
    <w:link w:val="BodyText"/>
    <w:uiPriority w:val="99"/>
    <w:semiHidden/>
    <w:rsid w:val="002B67BA"/>
  </w:style>
  <w:style w:type="paragraph" w:styleId="FootnoteText">
    <w:name w:val="footnote text"/>
    <w:basedOn w:val="Normal"/>
    <w:link w:val="FootnoteTextChar"/>
    <w:uiPriority w:val="99"/>
    <w:semiHidden/>
    <w:unhideWhenUsed/>
    <w:rsid w:val="00D02589"/>
    <w:pPr>
      <w:spacing w:line="240" w:lineRule="auto"/>
    </w:pPr>
    <w:rPr>
      <w:sz w:val="20"/>
      <w:szCs w:val="20"/>
    </w:rPr>
  </w:style>
  <w:style w:type="character" w:customStyle="1" w:styleId="FootnoteTextChar">
    <w:name w:val="Footnote Text Char"/>
    <w:basedOn w:val="DefaultParagraphFont"/>
    <w:link w:val="FootnoteText"/>
    <w:uiPriority w:val="99"/>
    <w:semiHidden/>
    <w:rsid w:val="00D02589"/>
    <w:rPr>
      <w:sz w:val="20"/>
      <w:szCs w:val="20"/>
    </w:rPr>
  </w:style>
  <w:style w:type="character" w:styleId="FootnoteReference">
    <w:name w:val="footnote reference"/>
    <w:basedOn w:val="DefaultParagraphFont"/>
    <w:uiPriority w:val="99"/>
    <w:semiHidden/>
    <w:unhideWhenUsed/>
    <w:rsid w:val="00D02589"/>
    <w:rPr>
      <w:vertAlign w:val="superscript"/>
    </w:rPr>
  </w:style>
  <w:style w:type="paragraph" w:styleId="Header">
    <w:name w:val="header"/>
    <w:basedOn w:val="Normal"/>
    <w:link w:val="HeaderChar"/>
    <w:uiPriority w:val="99"/>
    <w:unhideWhenUsed/>
    <w:rsid w:val="00085F47"/>
    <w:pPr>
      <w:tabs>
        <w:tab w:val="center" w:pos="4680"/>
        <w:tab w:val="right" w:pos="9360"/>
      </w:tabs>
      <w:spacing w:line="240" w:lineRule="auto"/>
    </w:pPr>
  </w:style>
  <w:style w:type="character" w:customStyle="1" w:styleId="HeaderChar">
    <w:name w:val="Header Char"/>
    <w:basedOn w:val="DefaultParagraphFont"/>
    <w:link w:val="Header"/>
    <w:uiPriority w:val="99"/>
    <w:rsid w:val="00085F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4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654B6"/>
    <w:pPr>
      <w:tabs>
        <w:tab w:val="center" w:pos="4680"/>
        <w:tab w:val="right" w:pos="9360"/>
      </w:tabs>
      <w:spacing w:line="240" w:lineRule="auto"/>
    </w:pPr>
  </w:style>
  <w:style w:type="character" w:customStyle="1" w:styleId="FooterChar">
    <w:name w:val="Footer Char"/>
    <w:basedOn w:val="DefaultParagraphFont"/>
    <w:link w:val="Footer"/>
    <w:uiPriority w:val="99"/>
    <w:rsid w:val="002654B6"/>
  </w:style>
  <w:style w:type="paragraph" w:styleId="BalloonText">
    <w:name w:val="Balloon Text"/>
    <w:basedOn w:val="Normal"/>
    <w:link w:val="BalloonTextChar"/>
    <w:uiPriority w:val="99"/>
    <w:semiHidden/>
    <w:unhideWhenUsed/>
    <w:rsid w:val="00026A6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6A69"/>
    <w:rPr>
      <w:rFonts w:ascii="Tahoma" w:hAnsi="Tahoma" w:cs="Tahoma"/>
      <w:sz w:val="16"/>
      <w:szCs w:val="16"/>
    </w:rPr>
  </w:style>
  <w:style w:type="paragraph" w:customStyle="1" w:styleId="Pleading2L1">
    <w:name w:val="Pleading2_L1"/>
    <w:basedOn w:val="Normal"/>
    <w:next w:val="BodyText"/>
    <w:rsid w:val="002B67BA"/>
    <w:pPr>
      <w:numPr>
        <w:numId w:val="1"/>
      </w:numPr>
      <w:spacing w:after="240" w:line="240" w:lineRule="auto"/>
      <w:outlineLvl w:val="0"/>
    </w:pPr>
    <w:rPr>
      <w:rFonts w:eastAsia="Times New Roman"/>
      <w:b/>
      <w:caps/>
      <w:szCs w:val="20"/>
      <w:u w:val="single"/>
    </w:rPr>
  </w:style>
  <w:style w:type="paragraph" w:customStyle="1" w:styleId="Pleading2L2">
    <w:name w:val="Pleading2_L2"/>
    <w:basedOn w:val="Pleading2L1"/>
    <w:rsid w:val="002B67BA"/>
    <w:pPr>
      <w:numPr>
        <w:ilvl w:val="1"/>
      </w:numPr>
      <w:spacing w:after="0" w:line="480" w:lineRule="auto"/>
      <w:jc w:val="left"/>
      <w:outlineLvl w:val="1"/>
    </w:pPr>
    <w:rPr>
      <w:b w:val="0"/>
      <w:caps w:val="0"/>
      <w:u w:val="none"/>
    </w:rPr>
  </w:style>
  <w:style w:type="paragraph" w:customStyle="1" w:styleId="Pleading2L3">
    <w:name w:val="Pleading2_L3"/>
    <w:basedOn w:val="Pleading2L2"/>
    <w:rsid w:val="002B67BA"/>
    <w:pPr>
      <w:numPr>
        <w:ilvl w:val="2"/>
      </w:numPr>
      <w:outlineLvl w:val="2"/>
    </w:pPr>
  </w:style>
  <w:style w:type="paragraph" w:customStyle="1" w:styleId="Pleading2L4">
    <w:name w:val="Pleading2_L4"/>
    <w:basedOn w:val="Pleading2L3"/>
    <w:rsid w:val="002B67BA"/>
    <w:pPr>
      <w:numPr>
        <w:ilvl w:val="3"/>
      </w:numPr>
      <w:outlineLvl w:val="3"/>
    </w:pPr>
  </w:style>
  <w:style w:type="paragraph" w:customStyle="1" w:styleId="Pleading2L5">
    <w:name w:val="Pleading2_L5"/>
    <w:basedOn w:val="Pleading2L4"/>
    <w:rsid w:val="002B67BA"/>
    <w:pPr>
      <w:keepNext/>
      <w:keepLines/>
      <w:widowControl w:val="0"/>
      <w:numPr>
        <w:ilvl w:val="4"/>
      </w:numPr>
      <w:spacing w:after="240" w:line="240" w:lineRule="auto"/>
      <w:outlineLvl w:val="4"/>
    </w:pPr>
  </w:style>
  <w:style w:type="paragraph" w:customStyle="1" w:styleId="Pleading2L6">
    <w:name w:val="Pleading2_L6"/>
    <w:basedOn w:val="Pleading2L5"/>
    <w:rsid w:val="002B67BA"/>
    <w:pPr>
      <w:numPr>
        <w:ilvl w:val="5"/>
      </w:numPr>
      <w:outlineLvl w:val="5"/>
    </w:pPr>
  </w:style>
  <w:style w:type="paragraph" w:customStyle="1" w:styleId="Pleading2L7">
    <w:name w:val="Pleading2_L7"/>
    <w:basedOn w:val="Pleading2L6"/>
    <w:rsid w:val="002B67BA"/>
    <w:pPr>
      <w:numPr>
        <w:ilvl w:val="6"/>
      </w:numPr>
      <w:outlineLvl w:val="6"/>
    </w:pPr>
  </w:style>
  <w:style w:type="paragraph" w:customStyle="1" w:styleId="Pleading2L8">
    <w:name w:val="Pleading2_L8"/>
    <w:basedOn w:val="Pleading2L7"/>
    <w:rsid w:val="002B67BA"/>
    <w:pPr>
      <w:numPr>
        <w:ilvl w:val="7"/>
      </w:numPr>
      <w:outlineLvl w:val="7"/>
    </w:pPr>
  </w:style>
  <w:style w:type="paragraph" w:customStyle="1" w:styleId="Pleading2L9">
    <w:name w:val="Pleading2_L9"/>
    <w:basedOn w:val="Pleading2L8"/>
    <w:rsid w:val="002B67BA"/>
    <w:pPr>
      <w:numPr>
        <w:ilvl w:val="8"/>
      </w:numPr>
      <w:outlineLvl w:val="8"/>
    </w:pPr>
  </w:style>
  <w:style w:type="paragraph" w:styleId="BodyText">
    <w:name w:val="Body Text"/>
    <w:basedOn w:val="Normal"/>
    <w:link w:val="BodyTextChar"/>
    <w:uiPriority w:val="99"/>
    <w:semiHidden/>
    <w:unhideWhenUsed/>
    <w:rsid w:val="002B67BA"/>
    <w:pPr>
      <w:spacing w:after="120"/>
    </w:pPr>
  </w:style>
  <w:style w:type="character" w:customStyle="1" w:styleId="BodyTextChar">
    <w:name w:val="Body Text Char"/>
    <w:basedOn w:val="DefaultParagraphFont"/>
    <w:link w:val="BodyText"/>
    <w:uiPriority w:val="99"/>
    <w:semiHidden/>
    <w:rsid w:val="002B67BA"/>
  </w:style>
  <w:style w:type="paragraph" w:styleId="FootnoteText">
    <w:name w:val="footnote text"/>
    <w:basedOn w:val="Normal"/>
    <w:link w:val="FootnoteTextChar"/>
    <w:uiPriority w:val="99"/>
    <w:semiHidden/>
    <w:unhideWhenUsed/>
    <w:rsid w:val="00D02589"/>
    <w:pPr>
      <w:spacing w:line="240" w:lineRule="auto"/>
    </w:pPr>
    <w:rPr>
      <w:sz w:val="20"/>
      <w:szCs w:val="20"/>
    </w:rPr>
  </w:style>
  <w:style w:type="character" w:customStyle="1" w:styleId="FootnoteTextChar">
    <w:name w:val="Footnote Text Char"/>
    <w:basedOn w:val="DefaultParagraphFont"/>
    <w:link w:val="FootnoteText"/>
    <w:uiPriority w:val="99"/>
    <w:semiHidden/>
    <w:rsid w:val="00D02589"/>
    <w:rPr>
      <w:sz w:val="20"/>
      <w:szCs w:val="20"/>
    </w:rPr>
  </w:style>
  <w:style w:type="character" w:styleId="FootnoteReference">
    <w:name w:val="footnote reference"/>
    <w:basedOn w:val="DefaultParagraphFont"/>
    <w:uiPriority w:val="99"/>
    <w:semiHidden/>
    <w:unhideWhenUsed/>
    <w:rsid w:val="00D02589"/>
    <w:rPr>
      <w:vertAlign w:val="superscript"/>
    </w:rPr>
  </w:style>
  <w:style w:type="paragraph" w:styleId="Header">
    <w:name w:val="header"/>
    <w:basedOn w:val="Normal"/>
    <w:link w:val="HeaderChar"/>
    <w:uiPriority w:val="99"/>
    <w:unhideWhenUsed/>
    <w:rsid w:val="00085F47"/>
    <w:pPr>
      <w:tabs>
        <w:tab w:val="center" w:pos="4680"/>
        <w:tab w:val="right" w:pos="9360"/>
      </w:tabs>
      <w:spacing w:line="240" w:lineRule="auto"/>
    </w:pPr>
  </w:style>
  <w:style w:type="character" w:customStyle="1" w:styleId="HeaderChar">
    <w:name w:val="Header Char"/>
    <w:basedOn w:val="DefaultParagraphFont"/>
    <w:link w:val="Header"/>
    <w:uiPriority w:val="99"/>
    <w:rsid w:val="00085F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08CC4-4821-4E16-956F-3AD308DA1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6703</Words>
  <Characters>38210</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44824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2</cp:revision>
  <cp:lastPrinted>2012-06-08T12:45:00Z</cp:lastPrinted>
  <dcterms:created xsi:type="dcterms:W3CDTF">2012-06-20T15:23:00Z</dcterms:created>
  <dcterms:modified xsi:type="dcterms:W3CDTF">2012-06-20T15:23:00Z</dcterms:modified>
</cp:coreProperties>
</file>