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Default="008E4FD6" w:rsidP="008E4FD6">
      <w:pPr>
        <w:jc w:val="center"/>
        <w:rPr>
          <w:b/>
        </w:rPr>
      </w:pPr>
      <w:r>
        <w:rPr>
          <w:b/>
        </w:rPr>
        <w:t>BEFORE THE</w:t>
      </w:r>
    </w:p>
    <w:p w:rsidR="008E4FD6" w:rsidRDefault="008E4FD6" w:rsidP="008E4FD6">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8E4FD6" w:rsidRDefault="008E4FD6" w:rsidP="008E4FD6">
      <w:pPr>
        <w:jc w:val="center"/>
        <w:rPr>
          <w:b/>
        </w:rPr>
      </w:pPr>
    </w:p>
    <w:p w:rsidR="008E4FD6" w:rsidRDefault="008E4FD6" w:rsidP="008E4FD6">
      <w:pPr>
        <w:jc w:val="center"/>
        <w:rPr>
          <w:b/>
        </w:rPr>
      </w:pPr>
    </w:p>
    <w:p w:rsidR="008E4FD6" w:rsidRDefault="008E4FD6" w:rsidP="008E4FD6">
      <w:pPr>
        <w:jc w:val="center"/>
        <w:rPr>
          <w:b/>
        </w:rPr>
      </w:pPr>
    </w:p>
    <w:p w:rsidR="008E4FD6" w:rsidRDefault="006C30D0" w:rsidP="008E4FD6">
      <w:r>
        <w:t xml:space="preserve">Paul </w:t>
      </w:r>
      <w:proofErr w:type="spellStart"/>
      <w:r>
        <w:t>Kopanycia</w:t>
      </w:r>
      <w:proofErr w:type="spellEnd"/>
      <w:r w:rsidR="008E4FD6">
        <w:t xml:space="preserve"> </w:t>
      </w:r>
      <w:r w:rsidR="006F7227">
        <w:tab/>
      </w:r>
      <w:r w:rsidR="008E4FD6">
        <w:tab/>
      </w:r>
      <w:r w:rsidR="008E4FD6">
        <w:tab/>
      </w:r>
      <w:r w:rsidR="008E4FD6">
        <w:tab/>
      </w:r>
      <w:r w:rsidR="008E4FD6">
        <w:tab/>
        <w:t>:</w:t>
      </w:r>
    </w:p>
    <w:p w:rsidR="008E4FD6" w:rsidRDefault="008E4FD6" w:rsidP="008E4FD6">
      <w:r>
        <w:tab/>
      </w:r>
      <w:r>
        <w:tab/>
      </w:r>
      <w:r>
        <w:tab/>
      </w:r>
      <w:r>
        <w:tab/>
      </w:r>
      <w:r>
        <w:tab/>
      </w:r>
      <w:r>
        <w:tab/>
      </w:r>
      <w:r>
        <w:tab/>
        <w:t>:</w:t>
      </w:r>
    </w:p>
    <w:p w:rsidR="008E4FD6" w:rsidRDefault="008E4FD6" w:rsidP="008E4FD6">
      <w:r>
        <w:tab/>
        <w:t>v.</w:t>
      </w:r>
      <w:r>
        <w:tab/>
      </w:r>
      <w:r>
        <w:tab/>
      </w:r>
      <w:r>
        <w:tab/>
      </w:r>
      <w:r>
        <w:tab/>
      </w:r>
      <w:r>
        <w:tab/>
      </w:r>
      <w:r>
        <w:tab/>
        <w:t>:</w:t>
      </w:r>
      <w:r>
        <w:tab/>
      </w:r>
      <w:r>
        <w:tab/>
      </w:r>
      <w:r w:rsidR="002B276A">
        <w:t>C</w:t>
      </w:r>
      <w:r w:rsidR="004A2614">
        <w:t>-</w:t>
      </w:r>
      <w:r w:rsidR="006C30D0">
        <w:t>2012-2283948</w:t>
      </w:r>
    </w:p>
    <w:p w:rsidR="008E4FD6" w:rsidRDefault="008E4FD6" w:rsidP="008E4FD6">
      <w:r>
        <w:tab/>
      </w:r>
      <w:r>
        <w:tab/>
      </w:r>
      <w:r>
        <w:tab/>
      </w:r>
      <w:r>
        <w:tab/>
      </w:r>
      <w:r>
        <w:tab/>
      </w:r>
      <w:r>
        <w:tab/>
      </w:r>
      <w:r>
        <w:tab/>
        <w:t>:</w:t>
      </w:r>
    </w:p>
    <w:p w:rsidR="0086657E" w:rsidRDefault="006C30D0" w:rsidP="008E4FD6">
      <w:r>
        <w:t>PECO Energy Company</w:t>
      </w:r>
      <w:r w:rsidR="006F7227">
        <w:tab/>
      </w:r>
      <w:r w:rsidR="0086657E">
        <w:t xml:space="preserve"> </w:t>
      </w:r>
      <w:r w:rsidR="009D47A5">
        <w:tab/>
      </w:r>
      <w:r w:rsidR="009D47A5">
        <w:tab/>
      </w:r>
      <w:r w:rsidR="009D47A5">
        <w:tab/>
        <w:t>:</w:t>
      </w:r>
    </w:p>
    <w:p w:rsidR="008E4FD6" w:rsidRDefault="008E4FD6" w:rsidP="008E4FD6">
      <w:pPr>
        <w:tabs>
          <w:tab w:val="left" w:pos="1076"/>
        </w:tabs>
      </w:pPr>
    </w:p>
    <w:p w:rsidR="008E4FD6" w:rsidRDefault="008E4FD6" w:rsidP="008E4FD6">
      <w:pPr>
        <w:tabs>
          <w:tab w:val="left" w:pos="1076"/>
        </w:tabs>
      </w:pPr>
    </w:p>
    <w:p w:rsidR="008E4FD6" w:rsidRDefault="008E4FD6" w:rsidP="008E4FD6"/>
    <w:p w:rsidR="008E4FD6" w:rsidRPr="00D003FC" w:rsidRDefault="008E4FD6" w:rsidP="008E4FD6">
      <w:pPr>
        <w:jc w:val="center"/>
        <w:rPr>
          <w:b/>
          <w:u w:val="single"/>
        </w:rPr>
      </w:pPr>
      <w:r w:rsidRPr="00D003FC">
        <w:rPr>
          <w:b/>
          <w:u w:val="single"/>
        </w:rPr>
        <w:t>INITIAL DECISION</w:t>
      </w:r>
    </w:p>
    <w:p w:rsidR="008E4FD6" w:rsidRDefault="008E4FD6" w:rsidP="008E4FD6">
      <w:pPr>
        <w:jc w:val="center"/>
      </w:pPr>
    </w:p>
    <w:p w:rsidR="009D47A5" w:rsidRDefault="009D47A5" w:rsidP="008E4FD6">
      <w:pPr>
        <w:jc w:val="center"/>
      </w:pPr>
    </w:p>
    <w:p w:rsidR="008E4FD6" w:rsidRDefault="008E4FD6" w:rsidP="008E4FD6">
      <w:pPr>
        <w:jc w:val="center"/>
      </w:pPr>
      <w:r>
        <w:t>Before</w:t>
      </w:r>
    </w:p>
    <w:p w:rsidR="008E4FD6" w:rsidRDefault="006F7227" w:rsidP="008E4FD6">
      <w:pPr>
        <w:jc w:val="center"/>
      </w:pPr>
      <w:r>
        <w:t>Katrina L. Dunderdale</w:t>
      </w:r>
    </w:p>
    <w:p w:rsidR="008E4FD6" w:rsidRDefault="008E4FD6" w:rsidP="008E4FD6">
      <w:pPr>
        <w:jc w:val="center"/>
      </w:pPr>
      <w:r>
        <w:t>Administrative Law Judge</w:t>
      </w:r>
    </w:p>
    <w:p w:rsidR="008E4FD6" w:rsidRDefault="008E4FD6" w:rsidP="008E4FD6">
      <w:pPr>
        <w:jc w:val="center"/>
      </w:pPr>
    </w:p>
    <w:p w:rsidR="008E4FD6" w:rsidRDefault="008E4FD6" w:rsidP="008E4FD6">
      <w:pPr>
        <w:jc w:val="center"/>
      </w:pPr>
    </w:p>
    <w:p w:rsidR="008E4FD6" w:rsidRDefault="008E4FD6" w:rsidP="008E4FD6">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8E4FD6" w:rsidRDefault="008E4FD6" w:rsidP="008E4FD6">
      <w:pPr>
        <w:jc w:val="center"/>
      </w:pPr>
    </w:p>
    <w:p w:rsidR="00347845" w:rsidRPr="00154B78" w:rsidRDefault="00347845" w:rsidP="00347845"/>
    <w:p w:rsidR="00347845" w:rsidRPr="00154B78" w:rsidRDefault="00347F51" w:rsidP="00347845">
      <w:pPr>
        <w:tabs>
          <w:tab w:val="left" w:pos="-1440"/>
          <w:tab w:val="left" w:pos="-720"/>
        </w:tabs>
        <w:suppressAutoHyphens/>
        <w:spacing w:line="360" w:lineRule="auto"/>
        <w:ind w:firstLine="1440"/>
        <w:rPr>
          <w:spacing w:val="-3"/>
        </w:rPr>
      </w:pPr>
      <w:r>
        <w:t xml:space="preserve">On </w:t>
      </w:r>
      <w:r w:rsidR="00435696">
        <w:t>January 9, 2012</w:t>
      </w:r>
      <w:r>
        <w:t xml:space="preserve">, </w:t>
      </w:r>
      <w:r w:rsidR="00435696">
        <w:t xml:space="preserve">Paul </w:t>
      </w:r>
      <w:proofErr w:type="spellStart"/>
      <w:r w:rsidR="00435696">
        <w:t>Kopanycia</w:t>
      </w:r>
      <w:proofErr w:type="spellEnd"/>
      <w:r w:rsidR="00C41027">
        <w:t xml:space="preserve"> (“</w:t>
      </w:r>
      <w:r>
        <w:t>Complainant</w:t>
      </w:r>
      <w:r w:rsidR="00C41027">
        <w:t>”)</w:t>
      </w:r>
      <w:r>
        <w:t xml:space="preserve"> filed a formal complaint against </w:t>
      </w:r>
      <w:r w:rsidR="00435696">
        <w:t>PECO Energy Company</w:t>
      </w:r>
      <w:r w:rsidR="00C41027">
        <w:t xml:space="preserve"> (</w:t>
      </w:r>
      <w:r w:rsidR="00846AF7">
        <w:t xml:space="preserve">“PECO” or </w:t>
      </w:r>
      <w:r w:rsidR="00C41027">
        <w:t>“</w:t>
      </w:r>
      <w:r>
        <w:t>Respondent</w:t>
      </w:r>
      <w:r w:rsidR="00C41027">
        <w:t>”)</w:t>
      </w:r>
      <w:r>
        <w:t xml:space="preserve"> alleging </w:t>
      </w:r>
      <w:r w:rsidR="00846AF7">
        <w:t>Respondent engaged in inconsistent billing practices and had limited procedures for medical emergencies</w:t>
      </w:r>
      <w:r w:rsidR="009D0AB3">
        <w:t>.</w:t>
      </w:r>
      <w:r w:rsidR="00846AF7">
        <w:t xml:space="preserve">  Complainant requested a clarification of his billing statements.</w:t>
      </w:r>
      <w:r w:rsidR="009D0AB3">
        <w:t xml:space="preserve">  </w:t>
      </w:r>
      <w:r w:rsidRPr="00154B78">
        <w:t xml:space="preserve">On </w:t>
      </w:r>
      <w:r w:rsidR="00846AF7">
        <w:t>February 8, 2012</w:t>
      </w:r>
      <w:r w:rsidRPr="00154B78">
        <w:t>, Respondent f</w:t>
      </w:r>
      <w:r>
        <w:t xml:space="preserve">iled an Answer to the complaint.  </w:t>
      </w:r>
      <w:r w:rsidR="00347845" w:rsidRPr="00154B78">
        <w:t xml:space="preserve">  </w:t>
      </w:r>
      <w:r w:rsidR="00347845" w:rsidRPr="00154B78">
        <w:rPr>
          <w:spacing w:val="-3"/>
        </w:rPr>
        <w:t xml:space="preserve"> </w:t>
      </w:r>
    </w:p>
    <w:p w:rsidR="00347845" w:rsidRPr="00154B78" w:rsidRDefault="00347845" w:rsidP="00347845">
      <w:pPr>
        <w:tabs>
          <w:tab w:val="left" w:pos="-1440"/>
          <w:tab w:val="left" w:pos="-720"/>
        </w:tabs>
        <w:suppressAutoHyphens/>
        <w:spacing w:line="360" w:lineRule="auto"/>
        <w:ind w:firstLine="1440"/>
        <w:rPr>
          <w:spacing w:val="-3"/>
        </w:rPr>
      </w:pPr>
    </w:p>
    <w:p w:rsidR="00347845" w:rsidRDefault="00347845" w:rsidP="00347845">
      <w:pPr>
        <w:tabs>
          <w:tab w:val="left" w:pos="2160"/>
        </w:tabs>
        <w:spacing w:line="360" w:lineRule="auto"/>
        <w:ind w:firstLine="1440"/>
      </w:pPr>
      <w:r w:rsidRPr="00154B78">
        <w:t xml:space="preserve">By Telephone Hearing Notice dated </w:t>
      </w:r>
      <w:r w:rsidR="00846AF7">
        <w:t>March 1, 2012</w:t>
      </w:r>
      <w:r w:rsidRPr="00154B78">
        <w:t xml:space="preserve">, the Office of Administrative Law Judge notified the parties an initial telephonic hearing in this case was scheduled for </w:t>
      </w:r>
      <w:r w:rsidR="00846AF7">
        <w:t>Tuesday, April 24, 2012</w:t>
      </w:r>
      <w:r>
        <w:t xml:space="preserve">, </w:t>
      </w:r>
      <w:r w:rsidRPr="00154B78">
        <w:t xml:space="preserve">at 10:00 a.m.  </w:t>
      </w:r>
      <w:r w:rsidRPr="00154B78">
        <w:rPr>
          <w:spacing w:val="-3"/>
        </w:rPr>
        <w:t xml:space="preserve">On </w:t>
      </w:r>
      <w:r w:rsidR="00846AF7">
        <w:rPr>
          <w:spacing w:val="-3"/>
        </w:rPr>
        <w:t>March 9, 2012</w:t>
      </w:r>
      <w:r w:rsidRPr="00154B78">
        <w:rPr>
          <w:spacing w:val="-3"/>
        </w:rPr>
        <w:t xml:space="preserve">, </w:t>
      </w:r>
      <w:r w:rsidR="00347F51">
        <w:rPr>
          <w:spacing w:val="-3"/>
        </w:rPr>
        <w:t xml:space="preserve">the presiding officer issued </w:t>
      </w:r>
      <w:r w:rsidRPr="00154B78">
        <w:rPr>
          <w:spacing w:val="-3"/>
        </w:rPr>
        <w:t xml:space="preserve">a Prehearing Order </w:t>
      </w:r>
      <w:r w:rsidRPr="00154B78">
        <w:t xml:space="preserve">setting forth the date and time of the scheduled hearing.  </w:t>
      </w:r>
    </w:p>
    <w:p w:rsidR="00347845" w:rsidRDefault="00347845" w:rsidP="00347845">
      <w:pPr>
        <w:tabs>
          <w:tab w:val="left" w:pos="2160"/>
        </w:tabs>
        <w:spacing w:line="360" w:lineRule="auto"/>
        <w:ind w:firstLine="1440"/>
      </w:pPr>
    </w:p>
    <w:p w:rsidR="00347845" w:rsidRDefault="009D0AB3" w:rsidP="00347845">
      <w:pPr>
        <w:tabs>
          <w:tab w:val="left" w:pos="2160"/>
        </w:tabs>
        <w:spacing w:line="360" w:lineRule="auto"/>
        <w:ind w:firstLine="1440"/>
      </w:pPr>
      <w:r>
        <w:br w:type="page"/>
      </w:r>
      <w:r w:rsidR="00347845" w:rsidRPr="00154B78">
        <w:lastRenderedPageBreak/>
        <w:t xml:space="preserve">The Prehearing Order further advised the parties, </w:t>
      </w:r>
      <w:r w:rsidR="00347845" w:rsidRPr="00154B78">
        <w:rPr>
          <w:i/>
        </w:rPr>
        <w:t>inter alia</w:t>
      </w:r>
      <w:r w:rsidR="00347845" w:rsidRPr="00154B78">
        <w:t xml:space="preserve">, that if they would be at a telephone number different than the number on the hearing notice, they must notify the </w:t>
      </w:r>
      <w:r w:rsidR="00347845">
        <w:t>presiding officer</w:t>
      </w:r>
      <w:r w:rsidR="00347845" w:rsidRPr="00154B78">
        <w:t xml:space="preserve"> of that telephone number (Prehearing Order, p. 1).  The Prehearing Order provides that “</w:t>
      </w:r>
      <w:r w:rsidR="00347845">
        <w:t>[</w:t>
      </w:r>
      <w:r w:rsidR="00347845" w:rsidRPr="00154B78">
        <w:t>y</w:t>
      </w:r>
      <w:r w:rsidR="00347845">
        <w:t>]</w:t>
      </w:r>
      <w:r w:rsidR="00347845" w:rsidRPr="00154B78">
        <w:t xml:space="preserve">ou </w:t>
      </w:r>
      <w:r w:rsidR="00347845">
        <w:t xml:space="preserve">must be available when contacted by the Administrative Law Judge or your case will be dismissed.  </w:t>
      </w:r>
      <w:r w:rsidR="00347845">
        <w:rPr>
          <w:u w:val="single"/>
        </w:rPr>
        <w:t>If you will be at a telephone number that is different than the number on the hearing notice, you must notify me of that telephone number at least one (1) week before the hearing</w:t>
      </w:r>
      <w:r w:rsidR="00347845">
        <w:t xml:space="preserve">.”  </w:t>
      </w:r>
      <w:proofErr w:type="gramStart"/>
      <w:r w:rsidR="00347845">
        <w:t>(Prehearing Order, p. 1</w:t>
      </w:r>
      <w:r w:rsidR="00347845" w:rsidRPr="00154B78">
        <w:t>).</w:t>
      </w:r>
      <w:proofErr w:type="gramEnd"/>
      <w:r w:rsidR="00347845" w:rsidRPr="00154B78">
        <w:t xml:space="preserve"> </w:t>
      </w:r>
    </w:p>
    <w:p w:rsidR="00FC7961" w:rsidRDefault="00FC7961" w:rsidP="00347845">
      <w:pPr>
        <w:tabs>
          <w:tab w:val="left" w:pos="2160"/>
        </w:tabs>
        <w:spacing w:line="360" w:lineRule="auto"/>
        <w:ind w:firstLine="1440"/>
      </w:pPr>
    </w:p>
    <w:p w:rsidR="00FC7961" w:rsidRDefault="00FC7961" w:rsidP="00347845">
      <w:pPr>
        <w:tabs>
          <w:tab w:val="left" w:pos="2160"/>
        </w:tabs>
        <w:spacing w:line="360" w:lineRule="auto"/>
        <w:ind w:firstLine="1440"/>
      </w:pPr>
      <w:r>
        <w:t xml:space="preserve">The Telephone Hearing Notice and the Prehearing Order were mailed via </w:t>
      </w:r>
      <w:r w:rsidR="009A3CA1">
        <w:t>f</w:t>
      </w:r>
      <w:r>
        <w:t>irst</w:t>
      </w:r>
      <w:r w:rsidR="009A3CA1">
        <w:t>-</w:t>
      </w:r>
      <w:r>
        <w:t xml:space="preserve"> </w:t>
      </w:r>
      <w:r w:rsidR="009A3CA1">
        <w:t>c</w:t>
      </w:r>
      <w:r>
        <w:t xml:space="preserve">lass </w:t>
      </w:r>
      <w:r w:rsidR="009A3CA1">
        <w:t>m</w:t>
      </w:r>
      <w:r>
        <w:t>ail through the United States Postal Service to the address provided by Complainant in the formal complaint</w:t>
      </w:r>
      <w:r w:rsidR="00846AF7">
        <w:t xml:space="preserve">: </w:t>
      </w:r>
      <w:r w:rsidR="008C1613">
        <w:t xml:space="preserve"> </w:t>
      </w:r>
      <w:r w:rsidR="00846AF7">
        <w:t>46 Hemlock Road, Levittown, Pennsylvania 19056</w:t>
      </w:r>
      <w:r>
        <w:t xml:space="preserve">.  </w:t>
      </w:r>
      <w:r w:rsidR="0002788A">
        <w:t>Neither the Telephone Hearing Notice nor t</w:t>
      </w:r>
      <w:r>
        <w:t xml:space="preserve">he Prehearing Order </w:t>
      </w:r>
      <w:r w:rsidR="0002788A">
        <w:t>w</w:t>
      </w:r>
      <w:r w:rsidR="008C1809">
        <w:t>as</w:t>
      </w:r>
      <w:r>
        <w:t xml:space="preserve"> returned by the United States Postal Service as “Not Deliverable”.  </w:t>
      </w:r>
    </w:p>
    <w:p w:rsidR="00846AF7" w:rsidRDefault="00846AF7" w:rsidP="00347845">
      <w:pPr>
        <w:tabs>
          <w:tab w:val="left" w:pos="2160"/>
        </w:tabs>
        <w:spacing w:line="360" w:lineRule="auto"/>
        <w:ind w:firstLine="1440"/>
      </w:pPr>
    </w:p>
    <w:p w:rsidR="00846AF7" w:rsidRDefault="00846AF7" w:rsidP="00846AF7">
      <w:pPr>
        <w:tabs>
          <w:tab w:val="left" w:pos="2160"/>
        </w:tabs>
        <w:spacing w:line="360" w:lineRule="auto"/>
        <w:ind w:firstLine="1440"/>
      </w:pPr>
      <w:r>
        <w:t xml:space="preserve">On April 23, 2012, Complainant contacted the office of the presiding officer, first via telephone and then via facsimile transmission, and requested a continuance, because of serious medical issues involving his mother-in-law and father.  Complainant indicated he contacted Respondent but did not know if Respondent objected to or agreed with the continuance request.  Respondent’s counsel indicated via electronic mail on April 23, 2012 that PECO did not object to the continuance request.  </w:t>
      </w:r>
    </w:p>
    <w:p w:rsidR="00846AF7" w:rsidRDefault="00846AF7" w:rsidP="00846AF7">
      <w:pPr>
        <w:tabs>
          <w:tab w:val="left" w:pos="2160"/>
        </w:tabs>
        <w:spacing w:line="360" w:lineRule="auto"/>
        <w:ind w:firstLine="1440"/>
      </w:pPr>
    </w:p>
    <w:p w:rsidR="00846AF7" w:rsidRDefault="00FE457A" w:rsidP="00846AF7">
      <w:pPr>
        <w:tabs>
          <w:tab w:val="left" w:pos="2160"/>
        </w:tabs>
        <w:spacing w:line="360" w:lineRule="auto"/>
        <w:ind w:firstLine="1440"/>
      </w:pPr>
      <w:r>
        <w:t>On April 23, 2012, the presiding officer issued the First Interim Order which cancelled the initial telephonic hearing.  Also on April 23, 2012, t</w:t>
      </w:r>
      <w:r w:rsidR="00846AF7" w:rsidRPr="00154B78">
        <w:t xml:space="preserve">he Office of Administrative Law Judge </w:t>
      </w:r>
      <w:r w:rsidR="00846AF7">
        <w:t xml:space="preserve">issued a Hearing Cancellation/Reschedule Notice which </w:t>
      </w:r>
      <w:r w:rsidR="00846AF7" w:rsidRPr="00154B78">
        <w:t xml:space="preserve">notified the parties an initial telephonic hearing was scheduled for </w:t>
      </w:r>
      <w:r w:rsidR="00846AF7">
        <w:t xml:space="preserve">Tuesday, June 5, 2012, </w:t>
      </w:r>
      <w:r w:rsidR="00846AF7" w:rsidRPr="00154B78">
        <w:t xml:space="preserve">at 10:00 a.m.    </w:t>
      </w:r>
    </w:p>
    <w:p w:rsidR="00FC7961" w:rsidRDefault="00FC7961" w:rsidP="00347845">
      <w:pPr>
        <w:tabs>
          <w:tab w:val="left" w:pos="2160"/>
        </w:tabs>
        <w:spacing w:line="360" w:lineRule="auto"/>
        <w:ind w:firstLine="1440"/>
      </w:pPr>
    </w:p>
    <w:p w:rsidR="000D5BB7" w:rsidRDefault="0002788A" w:rsidP="00FE2D16">
      <w:pPr>
        <w:tabs>
          <w:tab w:val="left" w:pos="1440"/>
        </w:tabs>
        <w:spacing w:line="360" w:lineRule="auto"/>
      </w:pPr>
      <w:r>
        <w:tab/>
        <w:t xml:space="preserve">On </w:t>
      </w:r>
      <w:r w:rsidR="00FE457A">
        <w:t>June 5, 2012</w:t>
      </w:r>
      <w:r w:rsidR="002A3127">
        <w:t>, t</w:t>
      </w:r>
      <w:r w:rsidR="00347845" w:rsidRPr="00154B78">
        <w:t xml:space="preserve">he </w:t>
      </w:r>
      <w:r w:rsidR="000D5BB7">
        <w:t xml:space="preserve">presiding officer </w:t>
      </w:r>
      <w:r w:rsidR="00FE457A">
        <w:t>attempted to convene</w:t>
      </w:r>
      <w:r w:rsidR="000D5BB7">
        <w:t xml:space="preserve"> the </w:t>
      </w:r>
      <w:r w:rsidR="00347845" w:rsidRPr="00154B78">
        <w:t xml:space="preserve">hearing as scheduled.  </w:t>
      </w:r>
      <w:r w:rsidR="00F50E29">
        <w:t>With Respondent’s counsel and witness on the telephone line, t</w:t>
      </w:r>
      <w:r w:rsidR="000D5BB7">
        <w:t>he presiding officer</w:t>
      </w:r>
      <w:r w:rsidR="00347845" w:rsidRPr="00154B78">
        <w:t xml:space="preserve"> </w:t>
      </w:r>
      <w:r w:rsidR="00FE457A">
        <w:t>called the telephone number Complainant provided in the formal complaint (215-946-2025) at 10:05 a.m. but Complainant was not available.  An individual who identified herself as Complainant’s wife indicated Complainant was at work but she offered to get a message to him.</w:t>
      </w:r>
      <w:r>
        <w:t xml:space="preserve">  </w:t>
      </w:r>
      <w:r>
        <w:lastRenderedPageBreak/>
        <w:t xml:space="preserve">The presiding officer left a return contact number and indicated the complaint would be dismissed if Complainant did not call back within twenty minutes.  </w:t>
      </w:r>
      <w:r w:rsidR="00636813">
        <w:t xml:space="preserve">While at work, </w:t>
      </w:r>
      <w:r w:rsidR="00FE457A">
        <w:t>Complainant called the presiding officer’s staff around 10:10 a.m. and indicated he never received the scheduling notice</w:t>
      </w:r>
      <w:r w:rsidR="00636813">
        <w:t xml:space="preserve">.  Complainant indicated he was not permitted to </w:t>
      </w:r>
      <w:r w:rsidR="00FE457A">
        <w:t>talk on the telephone at work.</w:t>
      </w:r>
      <w:r w:rsidR="00347845">
        <w:t xml:space="preserve">  </w:t>
      </w:r>
      <w:r w:rsidR="00FE457A">
        <w:t xml:space="preserve">Complainant left the telephone number for the cellular telephone he carried </w:t>
      </w:r>
      <w:r w:rsidR="00636813">
        <w:t xml:space="preserve">while </w:t>
      </w:r>
      <w:r w:rsidR="00FE457A">
        <w:t>at work.</w:t>
      </w:r>
    </w:p>
    <w:p w:rsidR="00E07F16" w:rsidRDefault="00E07F16" w:rsidP="00347845">
      <w:pPr>
        <w:tabs>
          <w:tab w:val="left" w:pos="2160"/>
        </w:tabs>
        <w:spacing w:line="360" w:lineRule="auto"/>
        <w:ind w:firstLine="1440"/>
      </w:pPr>
    </w:p>
    <w:p w:rsidR="000D5BB7" w:rsidRDefault="00FE457A" w:rsidP="00F50E29">
      <w:pPr>
        <w:tabs>
          <w:tab w:val="left" w:pos="2160"/>
        </w:tabs>
        <w:spacing w:line="360" w:lineRule="auto"/>
        <w:ind w:firstLine="1440"/>
      </w:pPr>
      <w:r>
        <w:t xml:space="preserve">At </w:t>
      </w:r>
      <w:r w:rsidR="00F50E29">
        <w:t>10:22 a.m. on June 5, 2012, the presiding officer made a</w:t>
      </w:r>
      <w:r w:rsidR="000D5BB7">
        <w:t xml:space="preserve"> second attempt</w:t>
      </w:r>
      <w:r w:rsidR="00F50E29">
        <w:t xml:space="preserve"> to contact Complainant with Respondent’s counsel on the telephone line.  The presiding officer called the number for the cellular telephone which Complainant provided to the presiding officer’s staff (609-903-8583).  N</w:t>
      </w:r>
      <w:r w:rsidR="00E07F16">
        <w:t xml:space="preserve">o one answered and </w:t>
      </w:r>
      <w:r w:rsidR="00F50E29">
        <w:t xml:space="preserve">the </w:t>
      </w:r>
      <w:r w:rsidR="000D5BB7">
        <w:t xml:space="preserve">presiding officer left a </w:t>
      </w:r>
      <w:r w:rsidR="00FE2D16">
        <w:t xml:space="preserve">second </w:t>
      </w:r>
      <w:r w:rsidR="000D5BB7">
        <w:t xml:space="preserve">message advising Complainant that </w:t>
      </w:r>
      <w:r w:rsidR="00F50E29">
        <w:t>his</w:t>
      </w:r>
      <w:r w:rsidR="000D5BB7">
        <w:t xml:space="preserve"> case would be dismissed because </w:t>
      </w:r>
      <w:r w:rsidR="00F50E29">
        <w:t>he</w:t>
      </w:r>
      <w:r w:rsidR="00FE2D16">
        <w:t xml:space="preserve"> </w:t>
      </w:r>
      <w:r w:rsidR="000D5BB7">
        <w:t>was not available</w:t>
      </w:r>
      <w:r w:rsidR="00FE2D16">
        <w:t xml:space="preserve"> to prosecute </w:t>
      </w:r>
      <w:r w:rsidR="00F50E29">
        <w:t>the</w:t>
      </w:r>
      <w:r w:rsidR="00FE2D16">
        <w:t xml:space="preserve"> complaint</w:t>
      </w:r>
      <w:r w:rsidR="000D5BB7">
        <w:t xml:space="preserve">.  </w:t>
      </w:r>
    </w:p>
    <w:p w:rsidR="000D5BB7" w:rsidRDefault="000D5BB7" w:rsidP="00347845">
      <w:pPr>
        <w:tabs>
          <w:tab w:val="left" w:pos="2160"/>
        </w:tabs>
        <w:spacing w:line="360" w:lineRule="auto"/>
        <w:ind w:firstLine="1440"/>
      </w:pPr>
    </w:p>
    <w:p w:rsidR="00347845" w:rsidRPr="00154B78" w:rsidRDefault="00347845" w:rsidP="00347845">
      <w:pPr>
        <w:tabs>
          <w:tab w:val="left" w:pos="2160"/>
        </w:tabs>
        <w:spacing w:line="360" w:lineRule="auto"/>
        <w:ind w:firstLine="1440"/>
      </w:pPr>
      <w:r w:rsidRPr="00154B78">
        <w:t xml:space="preserve">Counsel for Respondent, </w:t>
      </w:r>
      <w:r w:rsidR="00F50E29">
        <w:t>Michael A. Gruin</w:t>
      </w:r>
      <w:r w:rsidRPr="00154B78">
        <w:t xml:space="preserve">, Esquire, moved to dismiss the complaint for </w:t>
      </w:r>
      <w:r w:rsidR="00F50E29">
        <w:t>failure of Complainant to prosecute his complaint</w:t>
      </w:r>
      <w:r w:rsidRPr="00154B78">
        <w:t xml:space="preserve">.  </w:t>
      </w:r>
      <w:r w:rsidR="00E07F16">
        <w:t>N</w:t>
      </w:r>
      <w:r>
        <w:t>o witness was</w:t>
      </w:r>
      <w:r w:rsidRPr="00154B78">
        <w:t xml:space="preserve"> presented </w:t>
      </w:r>
      <w:r>
        <w:t xml:space="preserve">for testimony </w:t>
      </w:r>
      <w:r w:rsidRPr="00154B78">
        <w:t>and no exhibits were admitted into evidence</w:t>
      </w:r>
      <w:r w:rsidR="00FE2D16">
        <w:t>, although Respondent was prepared to proceed with its witness and evidence</w:t>
      </w:r>
      <w:r w:rsidRPr="00154B78">
        <w:t xml:space="preserve">.  No briefs were filed.  This decision memorializes </w:t>
      </w:r>
      <w:r w:rsidR="00E07F16">
        <w:t>the</w:t>
      </w:r>
      <w:r w:rsidRPr="00154B78">
        <w:t xml:space="preserve"> ruling </w:t>
      </w:r>
      <w:r w:rsidR="00E07F16">
        <w:t xml:space="preserve">of the presiding officer </w:t>
      </w:r>
      <w:r w:rsidRPr="00154B78">
        <w:t xml:space="preserve">at the hearing </w:t>
      </w:r>
      <w:r w:rsidR="00E07F16">
        <w:t>t</w:t>
      </w:r>
      <w:r w:rsidRPr="00154B78">
        <w:t>o dismiss the complaint.</w:t>
      </w:r>
    </w:p>
    <w:p w:rsidR="00347845" w:rsidRPr="00154B78" w:rsidRDefault="00347845" w:rsidP="00347845">
      <w:pPr>
        <w:spacing w:line="360" w:lineRule="auto"/>
        <w:ind w:firstLine="1440"/>
      </w:pPr>
    </w:p>
    <w:p w:rsidR="00347845" w:rsidRPr="00154B78" w:rsidRDefault="00347845" w:rsidP="00347845">
      <w:pPr>
        <w:tabs>
          <w:tab w:val="left" w:pos="2160"/>
        </w:tabs>
        <w:spacing w:line="360" w:lineRule="auto"/>
        <w:jc w:val="center"/>
        <w:rPr>
          <w:u w:val="single"/>
        </w:rPr>
      </w:pPr>
      <w:r w:rsidRPr="00154B78">
        <w:rPr>
          <w:u w:val="single"/>
        </w:rPr>
        <w:t xml:space="preserve">FINDINGS OF </w:t>
      </w:r>
      <w:smartTag w:uri="urn:schemas-microsoft-com:office:smarttags" w:element="stockticker">
        <w:r w:rsidRPr="00154B78">
          <w:rPr>
            <w:u w:val="single"/>
          </w:rPr>
          <w:t>FACT</w:t>
        </w:r>
      </w:smartTag>
    </w:p>
    <w:p w:rsidR="00347845" w:rsidRPr="00154B78" w:rsidRDefault="00347845" w:rsidP="00347845">
      <w:pPr>
        <w:tabs>
          <w:tab w:val="left" w:pos="2160"/>
        </w:tabs>
        <w:spacing w:line="360" w:lineRule="auto"/>
        <w:rPr>
          <w:u w:val="single"/>
        </w:rPr>
      </w:pPr>
    </w:p>
    <w:p w:rsidR="00347845" w:rsidRDefault="00347845" w:rsidP="00347845">
      <w:pPr>
        <w:tabs>
          <w:tab w:val="left" w:pos="2160"/>
        </w:tabs>
        <w:spacing w:line="360" w:lineRule="auto"/>
        <w:ind w:firstLine="1440"/>
      </w:pPr>
      <w:r w:rsidRPr="00154B78">
        <w:t>1.</w:t>
      </w:r>
      <w:r w:rsidRPr="00154B78">
        <w:tab/>
        <w:t xml:space="preserve">On </w:t>
      </w:r>
      <w:r w:rsidR="00F50E29">
        <w:t>January 9, 2012</w:t>
      </w:r>
      <w:r w:rsidRPr="00154B78">
        <w:t xml:space="preserve">, Complainant filed a formal complaint against Respondent </w:t>
      </w:r>
      <w:r w:rsidR="00F50E29">
        <w:t xml:space="preserve">alleging Respondent engaged in inconsistent billing practices and had limited procedures for medical emergencies.  Complainant requested a clarification of his billing statements.  </w:t>
      </w:r>
      <w:r w:rsidR="006E4B76">
        <w:t xml:space="preserve">  </w:t>
      </w:r>
      <w:r w:rsidR="00D470C5">
        <w:t xml:space="preserve">  </w:t>
      </w:r>
    </w:p>
    <w:p w:rsidR="00D470C5" w:rsidRDefault="00D470C5" w:rsidP="00347845">
      <w:pPr>
        <w:tabs>
          <w:tab w:val="left" w:pos="2160"/>
        </w:tabs>
        <w:spacing w:line="360" w:lineRule="auto"/>
        <w:ind w:firstLine="1440"/>
      </w:pPr>
    </w:p>
    <w:p w:rsidR="00D470C5" w:rsidRPr="00154B78" w:rsidRDefault="00D470C5" w:rsidP="00347845">
      <w:pPr>
        <w:tabs>
          <w:tab w:val="left" w:pos="2160"/>
        </w:tabs>
        <w:spacing w:line="360" w:lineRule="auto"/>
        <w:ind w:firstLine="1440"/>
      </w:pPr>
      <w:r>
        <w:t>2.</w:t>
      </w:r>
      <w:r>
        <w:tab/>
      </w:r>
      <w:r w:rsidR="00F50E29" w:rsidRPr="00154B78">
        <w:t xml:space="preserve">On </w:t>
      </w:r>
      <w:r w:rsidR="00F50E29">
        <w:t>February 8, 2012</w:t>
      </w:r>
      <w:r w:rsidR="00F50E29" w:rsidRPr="00154B78">
        <w:t>, Respondent f</w:t>
      </w:r>
      <w:r w:rsidR="00F50E29">
        <w:t>iled an Answer to the complaint.</w:t>
      </w:r>
    </w:p>
    <w:p w:rsidR="00347845" w:rsidRDefault="00347845" w:rsidP="00347845">
      <w:pPr>
        <w:spacing w:line="360" w:lineRule="auto"/>
        <w:ind w:firstLine="1440"/>
      </w:pPr>
    </w:p>
    <w:p w:rsidR="00347845" w:rsidRDefault="00D470C5" w:rsidP="00347845">
      <w:pPr>
        <w:spacing w:line="360" w:lineRule="auto"/>
        <w:ind w:firstLine="1440"/>
      </w:pPr>
      <w:r>
        <w:t>3</w:t>
      </w:r>
      <w:r w:rsidR="00347845" w:rsidRPr="00154B78">
        <w:t>.</w:t>
      </w:r>
      <w:r w:rsidR="00347845" w:rsidRPr="00154B78">
        <w:tab/>
        <w:t>By Telephone Hearing Notice</w:t>
      </w:r>
      <w:r w:rsidR="00347845">
        <w:t xml:space="preserve"> dated </w:t>
      </w:r>
      <w:r w:rsidR="00F50E29">
        <w:t>March 1, 2012</w:t>
      </w:r>
      <w:r w:rsidR="00347845">
        <w:t xml:space="preserve"> and by Prehearing Order dated </w:t>
      </w:r>
      <w:r w:rsidR="00F50E29">
        <w:t>March 9, 2012</w:t>
      </w:r>
      <w:r w:rsidR="00347845" w:rsidRPr="00154B78">
        <w:t xml:space="preserve">, </w:t>
      </w:r>
      <w:r w:rsidR="00347845">
        <w:t xml:space="preserve">the Office of Administrative Law Judge and the presiding officer, respectively, notified </w:t>
      </w:r>
      <w:r w:rsidR="00347845" w:rsidRPr="00154B78">
        <w:t xml:space="preserve">Complainant an initial hearing on </w:t>
      </w:r>
      <w:r w:rsidR="00347845">
        <w:t>the</w:t>
      </w:r>
      <w:r w:rsidR="00347845" w:rsidRPr="00154B78">
        <w:t xml:space="preserve"> complaint was scheduled for </w:t>
      </w:r>
      <w:r w:rsidR="00F50E29">
        <w:lastRenderedPageBreak/>
        <w:t>Tuesday, April 24, 2012</w:t>
      </w:r>
      <w:r w:rsidR="00347845" w:rsidRPr="00154B78">
        <w:t xml:space="preserve"> at 10:00 a.m.</w:t>
      </w:r>
      <w:r w:rsidR="00347845">
        <w:t xml:space="preserve">, and mailed the Notice </w:t>
      </w:r>
      <w:r w:rsidR="00347845" w:rsidRPr="00154B78">
        <w:t xml:space="preserve">to Complainant at the address provided on </w:t>
      </w:r>
      <w:r w:rsidR="00347845">
        <w:t>the</w:t>
      </w:r>
      <w:r w:rsidR="00347845" w:rsidRPr="00154B78">
        <w:t xml:space="preserve"> complaint</w:t>
      </w:r>
      <w:r w:rsidR="00347845">
        <w:t xml:space="preserve">.  </w:t>
      </w:r>
    </w:p>
    <w:p w:rsidR="00347845" w:rsidRDefault="00347845" w:rsidP="00347845">
      <w:pPr>
        <w:spacing w:line="360" w:lineRule="auto"/>
        <w:ind w:firstLine="1440"/>
      </w:pPr>
    </w:p>
    <w:p w:rsidR="00347845" w:rsidRDefault="00AC4ABB" w:rsidP="00347845">
      <w:pPr>
        <w:spacing w:line="360" w:lineRule="auto"/>
        <w:ind w:firstLine="1440"/>
      </w:pPr>
      <w:r>
        <w:t>4</w:t>
      </w:r>
      <w:r w:rsidR="00347845">
        <w:t>.</w:t>
      </w:r>
      <w:r w:rsidR="00347845">
        <w:tab/>
        <w:t xml:space="preserve">The United States Postal Service did not return </w:t>
      </w:r>
      <w:r w:rsidR="006E4B76">
        <w:t xml:space="preserve">either </w:t>
      </w:r>
      <w:r w:rsidR="00347845">
        <w:t xml:space="preserve">the </w:t>
      </w:r>
      <w:r w:rsidR="00347845" w:rsidRPr="00154B78">
        <w:t xml:space="preserve">Telephone Hearing </w:t>
      </w:r>
      <w:r w:rsidR="00347845">
        <w:t xml:space="preserve">Notice dated </w:t>
      </w:r>
      <w:r w:rsidR="00F50E29">
        <w:t>March 1, 2012</w:t>
      </w:r>
      <w:r w:rsidR="006E4B76">
        <w:t xml:space="preserve"> or </w:t>
      </w:r>
      <w:r w:rsidR="00347845">
        <w:t xml:space="preserve">the Prehearing Order dated </w:t>
      </w:r>
      <w:r w:rsidR="00F50E29">
        <w:t>March 9, 2012</w:t>
      </w:r>
      <w:r w:rsidR="00347845">
        <w:t xml:space="preserve"> as undeliverable</w:t>
      </w:r>
      <w:r w:rsidR="00347845" w:rsidRPr="00154B78">
        <w:t>.</w:t>
      </w:r>
    </w:p>
    <w:p w:rsidR="00F50E29" w:rsidRDefault="00F50E29" w:rsidP="00347845">
      <w:pPr>
        <w:spacing w:line="360" w:lineRule="auto"/>
        <w:ind w:firstLine="1440"/>
      </w:pPr>
    </w:p>
    <w:p w:rsidR="00F50E29" w:rsidRDefault="00F50E29" w:rsidP="00347845">
      <w:pPr>
        <w:spacing w:line="360" w:lineRule="auto"/>
        <w:ind w:firstLine="1440"/>
      </w:pPr>
      <w:r>
        <w:t>5.</w:t>
      </w:r>
      <w:r>
        <w:tab/>
        <w:t xml:space="preserve">On April 23, 2012, the presiding officer </w:t>
      </w:r>
      <w:r w:rsidR="00324B58">
        <w:t xml:space="preserve">issued the First Interim Order which </w:t>
      </w:r>
      <w:r>
        <w:t>cancelled the initial telephonic hearing scheduled for April 24, 2012 at the request of Complainant.</w:t>
      </w:r>
    </w:p>
    <w:p w:rsidR="00F50E29" w:rsidRDefault="00F50E29" w:rsidP="00347845">
      <w:pPr>
        <w:spacing w:line="360" w:lineRule="auto"/>
        <w:ind w:firstLine="1440"/>
      </w:pPr>
    </w:p>
    <w:p w:rsidR="00F50E29" w:rsidRDefault="00F50E29" w:rsidP="00347845">
      <w:pPr>
        <w:spacing w:line="360" w:lineRule="auto"/>
        <w:ind w:firstLine="1440"/>
      </w:pPr>
      <w:r>
        <w:t>6.</w:t>
      </w:r>
      <w:r>
        <w:tab/>
        <w:t xml:space="preserve">On April 23, 2012, </w:t>
      </w:r>
      <w:r w:rsidR="00324B58">
        <w:t xml:space="preserve">the Office of Administrative Law Judge issued the Hearing Cancellation/Reschedule Notice which notified </w:t>
      </w:r>
      <w:r w:rsidR="00324B58" w:rsidRPr="00154B78">
        <w:t xml:space="preserve">Complainant </w:t>
      </w:r>
      <w:r w:rsidR="00324B58">
        <w:t>the</w:t>
      </w:r>
      <w:r w:rsidR="00324B58" w:rsidRPr="00154B78">
        <w:t xml:space="preserve"> initial hearing was </w:t>
      </w:r>
      <w:r w:rsidR="00324B58">
        <w:t>re</w:t>
      </w:r>
      <w:r w:rsidR="00324B58" w:rsidRPr="00154B78">
        <w:t xml:space="preserve">scheduled </w:t>
      </w:r>
      <w:r w:rsidR="00324B58">
        <w:t>to Tuesday, June 5, 2012</w:t>
      </w:r>
      <w:r w:rsidR="00324B58" w:rsidRPr="00154B78">
        <w:t xml:space="preserve"> at 10:00 a.m.</w:t>
      </w:r>
      <w:r w:rsidR="00324B58">
        <w:t xml:space="preserve">, and mailed the Notice </w:t>
      </w:r>
      <w:r w:rsidR="00324B58" w:rsidRPr="00154B78">
        <w:t xml:space="preserve">to Complainant at the address provided on </w:t>
      </w:r>
      <w:r w:rsidR="00324B58">
        <w:t>the</w:t>
      </w:r>
      <w:r w:rsidR="00324B58" w:rsidRPr="00154B78">
        <w:t xml:space="preserve"> complaint</w:t>
      </w:r>
      <w:r w:rsidR="00324B58">
        <w:t>.</w:t>
      </w:r>
    </w:p>
    <w:p w:rsidR="00324B58" w:rsidRDefault="00324B58" w:rsidP="00347845">
      <w:pPr>
        <w:spacing w:line="360" w:lineRule="auto"/>
        <w:ind w:firstLine="1440"/>
      </w:pPr>
    </w:p>
    <w:p w:rsidR="00324B58" w:rsidRPr="00154B78" w:rsidRDefault="00324B58" w:rsidP="00347845">
      <w:pPr>
        <w:spacing w:line="360" w:lineRule="auto"/>
        <w:ind w:firstLine="1440"/>
      </w:pPr>
      <w:r>
        <w:t>7.</w:t>
      </w:r>
      <w:r>
        <w:tab/>
        <w:t>The United States Postal Service did not return either the Hearing Cancellation/Reschedule Notice dated April 23, 2012 or the First Interim Order dated April 23, 2012 as undeliverable</w:t>
      </w:r>
      <w:r w:rsidRPr="00154B78">
        <w:t>.</w:t>
      </w:r>
    </w:p>
    <w:p w:rsidR="00347845" w:rsidRDefault="00347845" w:rsidP="00347845">
      <w:pPr>
        <w:spacing w:line="360" w:lineRule="auto"/>
        <w:ind w:firstLine="1440"/>
      </w:pPr>
    </w:p>
    <w:p w:rsidR="00F50E29" w:rsidRDefault="00324B58" w:rsidP="00347845">
      <w:pPr>
        <w:spacing w:line="360" w:lineRule="auto"/>
        <w:ind w:firstLine="1440"/>
      </w:pPr>
      <w:r>
        <w:t>8</w:t>
      </w:r>
      <w:r w:rsidR="00AC4ABB">
        <w:t>.</w:t>
      </w:r>
      <w:r w:rsidR="00AC4ABB">
        <w:tab/>
      </w:r>
      <w:r w:rsidR="006E4B76">
        <w:t xml:space="preserve">On </w:t>
      </w:r>
      <w:r>
        <w:t>June 5, 2012</w:t>
      </w:r>
      <w:r w:rsidR="00AC4ABB">
        <w:t xml:space="preserve">, </w:t>
      </w:r>
      <w:r w:rsidR="00347845" w:rsidRPr="00154B78">
        <w:t>Complainant failed to appear for the hearing</w:t>
      </w:r>
      <w:r w:rsidR="00132605">
        <w:t>.</w:t>
      </w:r>
      <w:r w:rsidR="00347845">
        <w:t xml:space="preserve"> </w:t>
      </w:r>
    </w:p>
    <w:p w:rsidR="00132605" w:rsidRDefault="00132605" w:rsidP="00347845">
      <w:pPr>
        <w:spacing w:line="360" w:lineRule="auto"/>
        <w:ind w:firstLine="1440"/>
      </w:pPr>
    </w:p>
    <w:p w:rsidR="00347845" w:rsidRPr="00154B78" w:rsidRDefault="00324B58" w:rsidP="00347845">
      <w:pPr>
        <w:spacing w:line="360" w:lineRule="auto"/>
        <w:ind w:firstLine="1440"/>
      </w:pPr>
      <w:r>
        <w:t>9</w:t>
      </w:r>
      <w:r w:rsidR="006E4B76">
        <w:t xml:space="preserve">. </w:t>
      </w:r>
      <w:r w:rsidR="006E4B76">
        <w:tab/>
        <w:t xml:space="preserve">On </w:t>
      </w:r>
      <w:r>
        <w:t>June 5, 2012</w:t>
      </w:r>
      <w:r w:rsidR="006E4B76">
        <w:t xml:space="preserve">, </w:t>
      </w:r>
      <w:r w:rsidR="00C31492">
        <w:t xml:space="preserve">Respondent made an oral motion on the record to have Complainant’s formal complaint dismissed due to Complainant’s failure to appear and prosecute </w:t>
      </w:r>
      <w:r>
        <w:t>the</w:t>
      </w:r>
      <w:r w:rsidR="00C31492">
        <w:t xml:space="preserve"> claim.</w:t>
      </w:r>
    </w:p>
    <w:p w:rsidR="00347845" w:rsidRPr="00154B78" w:rsidRDefault="00347845" w:rsidP="00347845">
      <w:pPr>
        <w:spacing w:line="360" w:lineRule="auto"/>
        <w:ind w:firstLine="1440"/>
        <w:rPr>
          <w:spacing w:val="-3"/>
        </w:rPr>
      </w:pPr>
    </w:p>
    <w:p w:rsidR="00347845" w:rsidRPr="00154B78" w:rsidRDefault="00324B58" w:rsidP="00347845">
      <w:pPr>
        <w:spacing w:line="360" w:lineRule="auto"/>
        <w:ind w:firstLine="1440"/>
      </w:pPr>
      <w:r>
        <w:t>10</w:t>
      </w:r>
      <w:r w:rsidR="00347845" w:rsidRPr="00154B78">
        <w:t>.</w:t>
      </w:r>
      <w:r w:rsidR="00347845" w:rsidRPr="00154B78">
        <w:tab/>
        <w:t xml:space="preserve">Complainant did not settle or withdraw </w:t>
      </w:r>
      <w:r>
        <w:t>the</w:t>
      </w:r>
      <w:r w:rsidR="00347845" w:rsidRPr="00154B78">
        <w:t xml:space="preserve"> complaint prior to the scheduled hearing or obtain a continuance.</w:t>
      </w:r>
    </w:p>
    <w:p w:rsidR="00347845" w:rsidRPr="00154B78" w:rsidRDefault="00347845" w:rsidP="00347845">
      <w:pPr>
        <w:tabs>
          <w:tab w:val="left" w:pos="2160"/>
        </w:tabs>
        <w:spacing w:line="360" w:lineRule="auto"/>
        <w:jc w:val="center"/>
        <w:rPr>
          <w:u w:val="single"/>
        </w:rPr>
      </w:pPr>
    </w:p>
    <w:p w:rsidR="009C1A0F" w:rsidRDefault="009C1A0F" w:rsidP="00347845">
      <w:pPr>
        <w:tabs>
          <w:tab w:val="left" w:pos="2160"/>
        </w:tabs>
        <w:spacing w:line="360" w:lineRule="auto"/>
        <w:jc w:val="center"/>
        <w:rPr>
          <w:u w:val="single"/>
        </w:rPr>
      </w:pPr>
    </w:p>
    <w:p w:rsidR="009C1A0F" w:rsidRDefault="009C1A0F" w:rsidP="00347845">
      <w:pPr>
        <w:tabs>
          <w:tab w:val="left" w:pos="2160"/>
        </w:tabs>
        <w:spacing w:line="360" w:lineRule="auto"/>
        <w:jc w:val="center"/>
        <w:rPr>
          <w:u w:val="single"/>
        </w:rPr>
      </w:pPr>
    </w:p>
    <w:p w:rsidR="00347845" w:rsidRPr="00154B78" w:rsidRDefault="00347845" w:rsidP="00347845">
      <w:pPr>
        <w:tabs>
          <w:tab w:val="left" w:pos="2160"/>
        </w:tabs>
        <w:spacing w:line="360" w:lineRule="auto"/>
        <w:jc w:val="center"/>
        <w:rPr>
          <w:u w:val="single"/>
        </w:rPr>
      </w:pPr>
      <w:bookmarkStart w:id="0" w:name="_GoBack"/>
      <w:bookmarkEnd w:id="0"/>
      <w:r w:rsidRPr="00154B78">
        <w:rPr>
          <w:u w:val="single"/>
        </w:rPr>
        <w:lastRenderedPageBreak/>
        <w:t>DISCUSSION</w:t>
      </w:r>
    </w:p>
    <w:p w:rsidR="00347845" w:rsidRPr="00154B78" w:rsidRDefault="00347845" w:rsidP="00347845">
      <w:pPr>
        <w:tabs>
          <w:tab w:val="left" w:pos="2160"/>
        </w:tabs>
        <w:spacing w:line="360" w:lineRule="auto"/>
        <w:jc w:val="center"/>
        <w:rPr>
          <w:u w:val="single"/>
        </w:rPr>
      </w:pPr>
    </w:p>
    <w:p w:rsidR="00347845" w:rsidRPr="00154B78" w:rsidRDefault="00347845" w:rsidP="00347845">
      <w:pPr>
        <w:pStyle w:val="BodyText"/>
        <w:jc w:val="left"/>
        <w:rPr>
          <w:sz w:val="24"/>
          <w:szCs w:val="24"/>
        </w:rPr>
      </w:pPr>
      <w:r w:rsidRPr="00154B78">
        <w:rPr>
          <w:sz w:val="24"/>
          <w:szCs w:val="24"/>
        </w:rPr>
        <w:t xml:space="preserve">                       Administrative agencies, such as the Commission, are required to provide due process to the parties appearing before them, </w:t>
      </w:r>
      <w:r w:rsidRPr="00154B78">
        <w:rPr>
          <w:sz w:val="24"/>
          <w:szCs w:val="24"/>
          <w:u w:val="single"/>
        </w:rPr>
        <w:t xml:space="preserve">Schneider v. </w:t>
      </w:r>
      <w:smartTag w:uri="urn:schemas-microsoft-com:office:smarttags" w:element="State">
        <w:r w:rsidRPr="00154B78">
          <w:rPr>
            <w:sz w:val="24"/>
            <w:szCs w:val="24"/>
            <w:u w:val="single"/>
          </w:rPr>
          <w:t>Pa.</w:t>
        </w:r>
      </w:smartTag>
      <w:r w:rsidRPr="00154B78">
        <w:rPr>
          <w:sz w:val="24"/>
          <w:szCs w:val="24"/>
          <w:u w:val="single"/>
        </w:rPr>
        <w:t xml:space="preserve"> P.U.C.</w:t>
      </w:r>
      <w:r w:rsidRPr="00154B78">
        <w:rPr>
          <w:sz w:val="24"/>
          <w:szCs w:val="24"/>
        </w:rPr>
        <w:t>, 479 A.2d 10 (</w:t>
      </w:r>
      <w:smartTag w:uri="urn:schemas-microsoft-com:office:smarttags" w:element="place">
        <w:smartTag w:uri="urn:schemas-microsoft-com:office:smarttags" w:element="State">
          <w:r w:rsidRPr="00154B78">
            <w:rPr>
              <w:sz w:val="24"/>
              <w:szCs w:val="24"/>
            </w:rPr>
            <w:t>Pa.</w:t>
          </w:r>
        </w:smartTag>
      </w:smartTag>
      <w:r w:rsidRPr="00154B78">
        <w:rPr>
          <w:sz w:val="24"/>
          <w:szCs w:val="24"/>
        </w:rPr>
        <w:t xml:space="preserve"> Cmwlth. 1984), which due process requirement is satisfied when the parties are accorded notice and the opportunity to appear and be heard.  </w:t>
      </w:r>
      <w:smartTag w:uri="urn:schemas-microsoft-com:office:smarttags" w:element="place">
        <w:smartTag w:uri="urn:schemas-microsoft-com:office:smarttags" w:element="State">
          <w:r w:rsidRPr="00154B78">
            <w:rPr>
              <w:i/>
              <w:sz w:val="24"/>
              <w:szCs w:val="24"/>
            </w:rPr>
            <w:t>Id</w:t>
          </w:r>
          <w:r w:rsidRPr="00154B78">
            <w:rPr>
              <w:sz w:val="24"/>
              <w:szCs w:val="24"/>
            </w:rPr>
            <w:t>.</w:t>
          </w:r>
        </w:smartTag>
      </w:smartTag>
    </w:p>
    <w:p w:rsidR="00347845" w:rsidRDefault="00347845" w:rsidP="00347845">
      <w:pPr>
        <w:pStyle w:val="BodyText"/>
        <w:ind w:firstLine="1440"/>
        <w:jc w:val="left"/>
        <w:rPr>
          <w:sz w:val="24"/>
          <w:szCs w:val="24"/>
        </w:rPr>
      </w:pPr>
    </w:p>
    <w:p w:rsidR="00347845" w:rsidRDefault="00C04994" w:rsidP="00347845">
      <w:pPr>
        <w:pStyle w:val="BodyText"/>
        <w:ind w:firstLine="1440"/>
        <w:jc w:val="left"/>
        <w:rPr>
          <w:sz w:val="24"/>
          <w:szCs w:val="24"/>
        </w:rPr>
      </w:pPr>
      <w:r>
        <w:rPr>
          <w:sz w:val="24"/>
          <w:szCs w:val="24"/>
        </w:rPr>
        <w:t xml:space="preserve">In this proceeding, the </w:t>
      </w:r>
      <w:r w:rsidR="00347845" w:rsidRPr="003B5AC8">
        <w:rPr>
          <w:sz w:val="24"/>
          <w:szCs w:val="24"/>
        </w:rPr>
        <w:t>Office of Administrative Law Judge sent</w:t>
      </w:r>
      <w:r w:rsidR="00347845">
        <w:rPr>
          <w:sz w:val="24"/>
          <w:szCs w:val="24"/>
        </w:rPr>
        <w:t xml:space="preserve"> the n</w:t>
      </w:r>
      <w:r w:rsidR="00347845" w:rsidRPr="00154B78">
        <w:rPr>
          <w:sz w:val="24"/>
          <w:szCs w:val="24"/>
        </w:rPr>
        <w:t xml:space="preserve">otice of the </w:t>
      </w:r>
      <w:r w:rsidR="00347845">
        <w:rPr>
          <w:sz w:val="24"/>
          <w:szCs w:val="24"/>
        </w:rPr>
        <w:t xml:space="preserve">initial </w:t>
      </w:r>
      <w:r w:rsidR="00347845" w:rsidRPr="00154B78">
        <w:rPr>
          <w:sz w:val="24"/>
          <w:szCs w:val="24"/>
        </w:rPr>
        <w:t xml:space="preserve">telephonic hearing to Complainant on </w:t>
      </w:r>
      <w:r w:rsidR="00324B58">
        <w:rPr>
          <w:sz w:val="24"/>
          <w:szCs w:val="24"/>
        </w:rPr>
        <w:t>March 1, 2012</w:t>
      </w:r>
      <w:r w:rsidR="00347845" w:rsidRPr="00154B78">
        <w:rPr>
          <w:sz w:val="24"/>
          <w:szCs w:val="24"/>
        </w:rPr>
        <w:t xml:space="preserve"> by regular first-class mail to the address </w:t>
      </w:r>
      <w:r>
        <w:rPr>
          <w:sz w:val="24"/>
          <w:szCs w:val="24"/>
        </w:rPr>
        <w:t>he listed</w:t>
      </w:r>
      <w:r w:rsidR="00347845" w:rsidRPr="00154B78">
        <w:rPr>
          <w:sz w:val="24"/>
          <w:szCs w:val="24"/>
        </w:rPr>
        <w:t xml:space="preserve"> in the complaint</w:t>
      </w:r>
      <w:r w:rsidR="00347845">
        <w:rPr>
          <w:sz w:val="24"/>
          <w:szCs w:val="24"/>
        </w:rPr>
        <w:t>.  The notice</w:t>
      </w:r>
      <w:r w:rsidR="00347845" w:rsidRPr="00154B78">
        <w:rPr>
          <w:sz w:val="24"/>
          <w:szCs w:val="24"/>
        </w:rPr>
        <w:t xml:space="preserve"> was </w:t>
      </w:r>
      <w:r w:rsidR="00347845">
        <w:rPr>
          <w:sz w:val="24"/>
          <w:szCs w:val="24"/>
        </w:rPr>
        <w:t>not</w:t>
      </w:r>
      <w:r w:rsidR="00347845" w:rsidRPr="00154B78">
        <w:rPr>
          <w:sz w:val="24"/>
          <w:szCs w:val="24"/>
        </w:rPr>
        <w:t xml:space="preserve"> returned to the sender.  </w:t>
      </w:r>
      <w:r w:rsidR="00347845">
        <w:rPr>
          <w:sz w:val="24"/>
          <w:szCs w:val="24"/>
        </w:rPr>
        <w:t xml:space="preserve">The </w:t>
      </w:r>
      <w:r w:rsidR="00347845" w:rsidRPr="00154B78">
        <w:rPr>
          <w:sz w:val="24"/>
          <w:szCs w:val="24"/>
        </w:rPr>
        <w:t>Prehearing Order</w:t>
      </w:r>
      <w:r>
        <w:rPr>
          <w:sz w:val="24"/>
          <w:szCs w:val="24"/>
        </w:rPr>
        <w:t xml:space="preserve">, </w:t>
      </w:r>
      <w:r w:rsidR="00347845">
        <w:rPr>
          <w:sz w:val="24"/>
          <w:szCs w:val="24"/>
        </w:rPr>
        <w:t xml:space="preserve">dated </w:t>
      </w:r>
      <w:r w:rsidR="00324B58">
        <w:rPr>
          <w:sz w:val="24"/>
          <w:szCs w:val="24"/>
        </w:rPr>
        <w:t>March 9, 2012</w:t>
      </w:r>
      <w:r>
        <w:rPr>
          <w:sz w:val="24"/>
          <w:szCs w:val="24"/>
        </w:rPr>
        <w:t xml:space="preserve">, was sent to Complainant </w:t>
      </w:r>
      <w:r w:rsidRPr="00154B78">
        <w:rPr>
          <w:sz w:val="24"/>
          <w:szCs w:val="24"/>
        </w:rPr>
        <w:t xml:space="preserve">by regular first-class mail to the </w:t>
      </w:r>
      <w:r>
        <w:rPr>
          <w:sz w:val="24"/>
          <w:szCs w:val="24"/>
        </w:rPr>
        <w:t xml:space="preserve">same address, which is the </w:t>
      </w:r>
      <w:r w:rsidRPr="00154B78">
        <w:rPr>
          <w:sz w:val="24"/>
          <w:szCs w:val="24"/>
        </w:rPr>
        <w:t xml:space="preserve">address </w:t>
      </w:r>
      <w:r>
        <w:rPr>
          <w:sz w:val="24"/>
          <w:szCs w:val="24"/>
        </w:rPr>
        <w:t>he listed</w:t>
      </w:r>
      <w:r w:rsidRPr="00154B78">
        <w:rPr>
          <w:sz w:val="24"/>
          <w:szCs w:val="24"/>
        </w:rPr>
        <w:t xml:space="preserve"> in the complaint</w:t>
      </w:r>
      <w:r w:rsidR="00347845" w:rsidRPr="00154B78">
        <w:rPr>
          <w:sz w:val="24"/>
          <w:szCs w:val="24"/>
        </w:rPr>
        <w:t>.</w:t>
      </w:r>
      <w:r>
        <w:rPr>
          <w:sz w:val="24"/>
          <w:szCs w:val="24"/>
        </w:rPr>
        <w:t xml:space="preserve">  That </w:t>
      </w:r>
      <w:r w:rsidR="00D71AAE">
        <w:rPr>
          <w:sz w:val="24"/>
          <w:szCs w:val="24"/>
        </w:rPr>
        <w:t>O</w:t>
      </w:r>
      <w:r>
        <w:rPr>
          <w:sz w:val="24"/>
          <w:szCs w:val="24"/>
        </w:rPr>
        <w:t>rder was</w:t>
      </w:r>
      <w:r w:rsidR="000A5812">
        <w:rPr>
          <w:sz w:val="24"/>
          <w:szCs w:val="24"/>
        </w:rPr>
        <w:t xml:space="preserve"> not</w:t>
      </w:r>
      <w:r>
        <w:rPr>
          <w:sz w:val="24"/>
          <w:szCs w:val="24"/>
        </w:rPr>
        <w:t xml:space="preserve"> returned by the United States Postal Service as non-deliverable.</w:t>
      </w:r>
      <w:r w:rsidR="00347845" w:rsidRPr="00154B78">
        <w:rPr>
          <w:sz w:val="24"/>
          <w:szCs w:val="24"/>
        </w:rPr>
        <w:t xml:space="preserve">  </w:t>
      </w:r>
    </w:p>
    <w:p w:rsidR="00324B58" w:rsidRDefault="00324B58" w:rsidP="00347845">
      <w:pPr>
        <w:pStyle w:val="BodyText"/>
        <w:ind w:firstLine="1440"/>
        <w:jc w:val="left"/>
        <w:rPr>
          <w:sz w:val="24"/>
          <w:szCs w:val="24"/>
        </w:rPr>
      </w:pPr>
    </w:p>
    <w:p w:rsidR="00324B58" w:rsidRDefault="00324B58" w:rsidP="00324B58">
      <w:pPr>
        <w:pStyle w:val="BodyText"/>
        <w:ind w:firstLine="1440"/>
        <w:jc w:val="left"/>
        <w:rPr>
          <w:sz w:val="24"/>
          <w:szCs w:val="24"/>
        </w:rPr>
      </w:pPr>
      <w:r>
        <w:rPr>
          <w:sz w:val="24"/>
          <w:szCs w:val="24"/>
        </w:rPr>
        <w:t xml:space="preserve">In addition, after granting Complainant’s request to continue the hearing scheduled for April 24, 2012, the Office of Administrative Law Judge issued a subsequent notice on April 23, 2012 which scheduled an initial telephonic hearing for June 5, 2012.  </w:t>
      </w:r>
      <w:proofErr w:type="gramStart"/>
      <w:r>
        <w:rPr>
          <w:sz w:val="24"/>
          <w:szCs w:val="24"/>
        </w:rPr>
        <w:t>This reschedule notice, plus the First Interim Order issued by the presiding officer on April 23, 2012, were</w:t>
      </w:r>
      <w:proofErr w:type="gramEnd"/>
      <w:r>
        <w:rPr>
          <w:sz w:val="24"/>
          <w:szCs w:val="24"/>
        </w:rPr>
        <w:t xml:space="preserve"> sent by regular first-class mail to the address which Complainant listed on his complaint.  Neither the hearing notice nor the First Interim Order </w:t>
      </w:r>
      <w:proofErr w:type="gramStart"/>
      <w:r>
        <w:rPr>
          <w:sz w:val="24"/>
          <w:szCs w:val="24"/>
        </w:rPr>
        <w:t>were</w:t>
      </w:r>
      <w:proofErr w:type="gramEnd"/>
      <w:r>
        <w:rPr>
          <w:sz w:val="24"/>
          <w:szCs w:val="24"/>
        </w:rPr>
        <w:t xml:space="preserve"> returned by the United States Postal Service as non-deliverable.</w:t>
      </w:r>
      <w:r w:rsidRPr="00154B78">
        <w:rPr>
          <w:sz w:val="24"/>
          <w:szCs w:val="24"/>
        </w:rPr>
        <w:t xml:space="preserve">  </w:t>
      </w:r>
    </w:p>
    <w:p w:rsidR="006E4B76" w:rsidRDefault="006E4B76" w:rsidP="00347845">
      <w:pPr>
        <w:pStyle w:val="BodyText"/>
        <w:ind w:firstLine="1440"/>
        <w:jc w:val="left"/>
        <w:rPr>
          <w:sz w:val="24"/>
          <w:szCs w:val="24"/>
        </w:rPr>
      </w:pPr>
    </w:p>
    <w:p w:rsidR="00347845" w:rsidRPr="00154B78" w:rsidRDefault="00347845" w:rsidP="00347845">
      <w:pPr>
        <w:pStyle w:val="BodyText"/>
        <w:ind w:firstLine="1440"/>
        <w:jc w:val="left"/>
        <w:rPr>
          <w:sz w:val="24"/>
          <w:szCs w:val="24"/>
        </w:rPr>
      </w:pPr>
      <w:r>
        <w:rPr>
          <w:sz w:val="24"/>
          <w:szCs w:val="24"/>
        </w:rPr>
        <w:t>All of the orders and notices</w:t>
      </w:r>
      <w:r w:rsidRPr="00154B78">
        <w:rPr>
          <w:sz w:val="24"/>
          <w:szCs w:val="24"/>
        </w:rPr>
        <w:t xml:space="preserve"> mailed to Complainant </w:t>
      </w:r>
      <w:r>
        <w:rPr>
          <w:sz w:val="24"/>
          <w:szCs w:val="24"/>
        </w:rPr>
        <w:t xml:space="preserve">were addressed to the same mailing address provided by Complainant on </w:t>
      </w:r>
      <w:r w:rsidRPr="00154B78">
        <w:rPr>
          <w:sz w:val="24"/>
          <w:szCs w:val="24"/>
        </w:rPr>
        <w:t>the complaint</w:t>
      </w:r>
      <w:r>
        <w:rPr>
          <w:sz w:val="24"/>
          <w:szCs w:val="24"/>
        </w:rPr>
        <w:t xml:space="preserve"> form</w:t>
      </w:r>
      <w:r w:rsidRPr="00154B78">
        <w:rPr>
          <w:sz w:val="24"/>
          <w:szCs w:val="24"/>
        </w:rPr>
        <w:t xml:space="preserve">.  Accordingly, one must presume </w:t>
      </w:r>
      <w:r w:rsidR="00C04994">
        <w:rPr>
          <w:sz w:val="24"/>
          <w:szCs w:val="24"/>
        </w:rPr>
        <w:t>the hearing notice</w:t>
      </w:r>
      <w:r w:rsidRPr="00154B78">
        <w:rPr>
          <w:sz w:val="24"/>
          <w:szCs w:val="24"/>
        </w:rPr>
        <w:t xml:space="preserve">, which was sent in the ordinary course of business, was received by </w:t>
      </w:r>
      <w:r w:rsidR="00C04994">
        <w:rPr>
          <w:sz w:val="24"/>
          <w:szCs w:val="24"/>
        </w:rPr>
        <w:t xml:space="preserve">Complainant as </w:t>
      </w:r>
      <w:r w:rsidRPr="00154B78">
        <w:rPr>
          <w:sz w:val="24"/>
          <w:szCs w:val="24"/>
        </w:rPr>
        <w:t xml:space="preserve">the addressee.  </w:t>
      </w:r>
      <w:proofErr w:type="gramStart"/>
      <w:r w:rsidRPr="00154B78">
        <w:rPr>
          <w:sz w:val="24"/>
          <w:szCs w:val="24"/>
          <w:u w:val="single"/>
        </w:rPr>
        <w:t>Berkowitz v. Mayflower Securities, Inc.</w:t>
      </w:r>
      <w:r w:rsidRPr="00154B78">
        <w:rPr>
          <w:sz w:val="24"/>
          <w:szCs w:val="24"/>
        </w:rPr>
        <w:t xml:space="preserve">, 455 Pa. 531, 317 A.2d 584 (1974); </w:t>
      </w:r>
      <w:r w:rsidRPr="00154B78">
        <w:rPr>
          <w:sz w:val="24"/>
          <w:szCs w:val="24"/>
          <w:u w:val="single"/>
        </w:rPr>
        <w:t>Meierdierck v. Miller</w:t>
      </w:r>
      <w:r w:rsidRPr="00154B78">
        <w:rPr>
          <w:sz w:val="24"/>
          <w:szCs w:val="24"/>
        </w:rPr>
        <w:t xml:space="preserve">, 394 Pa. 484, 147 A.2d 406 (1959); </w:t>
      </w:r>
      <w:r w:rsidRPr="00154B78">
        <w:rPr>
          <w:sz w:val="24"/>
          <w:szCs w:val="24"/>
          <w:u w:val="single"/>
        </w:rPr>
        <w:t>Samaras v. Hartwick</w:t>
      </w:r>
      <w:r w:rsidRPr="00154B78">
        <w:rPr>
          <w:sz w:val="24"/>
          <w:szCs w:val="24"/>
        </w:rPr>
        <w:t xml:space="preserve">, 698 A.2d 71 (Pa. Superior Ct. 1997); and </w:t>
      </w:r>
      <w:r w:rsidRPr="00154B78">
        <w:rPr>
          <w:sz w:val="24"/>
          <w:szCs w:val="24"/>
          <w:u w:val="single"/>
        </w:rPr>
        <w:t>Judge v. Celina Mutual Insurance Co.</w:t>
      </w:r>
      <w:r w:rsidRPr="00154B78">
        <w:rPr>
          <w:sz w:val="24"/>
          <w:szCs w:val="24"/>
        </w:rPr>
        <w:t>, 303 Pa. Superior Ct. 221, 444 A.2d 658 (1982).</w:t>
      </w:r>
      <w:proofErr w:type="gramEnd"/>
      <w:r w:rsidR="00324B58">
        <w:rPr>
          <w:sz w:val="24"/>
          <w:szCs w:val="24"/>
        </w:rPr>
        <w:t xml:space="preserve">  In fact, Complainant obviously received the notices concerning the first scheduled hearing on April 24, 2012, as evidenced by his request for a continuance on April</w:t>
      </w:r>
      <w:r w:rsidR="00042832">
        <w:rPr>
          <w:sz w:val="24"/>
          <w:szCs w:val="24"/>
        </w:rPr>
        <w:t> </w:t>
      </w:r>
      <w:r w:rsidR="00324B58">
        <w:rPr>
          <w:sz w:val="24"/>
          <w:szCs w:val="24"/>
        </w:rPr>
        <w:t xml:space="preserve">23, 2012.  </w:t>
      </w:r>
    </w:p>
    <w:p w:rsidR="00347845" w:rsidRPr="00154B78" w:rsidRDefault="00347845" w:rsidP="00347845">
      <w:pPr>
        <w:pStyle w:val="BodyText"/>
        <w:jc w:val="left"/>
        <w:rPr>
          <w:sz w:val="24"/>
          <w:szCs w:val="24"/>
        </w:rPr>
      </w:pPr>
      <w:r w:rsidRPr="00154B78">
        <w:rPr>
          <w:sz w:val="24"/>
          <w:szCs w:val="24"/>
        </w:rPr>
        <w:lastRenderedPageBreak/>
        <w:tab/>
      </w:r>
      <w:r w:rsidRPr="00154B78">
        <w:rPr>
          <w:sz w:val="24"/>
          <w:szCs w:val="24"/>
        </w:rPr>
        <w:tab/>
      </w:r>
      <w:r w:rsidR="00324B58">
        <w:rPr>
          <w:sz w:val="24"/>
          <w:szCs w:val="24"/>
        </w:rPr>
        <w:t xml:space="preserve">However, on June 5, 2012, </w:t>
      </w:r>
      <w:r w:rsidRPr="00154B78">
        <w:rPr>
          <w:sz w:val="24"/>
          <w:szCs w:val="24"/>
        </w:rPr>
        <w:t>Complainant did not appear and was not available when the presiding officer placed calls at the time of the hearing to the telephone number</w:t>
      </w:r>
      <w:r w:rsidR="00324B58">
        <w:rPr>
          <w:sz w:val="24"/>
          <w:szCs w:val="24"/>
        </w:rPr>
        <w:t>s</w:t>
      </w:r>
      <w:r w:rsidRPr="00154B78">
        <w:rPr>
          <w:sz w:val="24"/>
          <w:szCs w:val="24"/>
        </w:rPr>
        <w:t xml:space="preserve"> he provided</w:t>
      </w:r>
      <w:r w:rsidR="00324B58">
        <w:rPr>
          <w:sz w:val="24"/>
          <w:szCs w:val="24"/>
        </w:rPr>
        <w:t>, even after</w:t>
      </w:r>
      <w:r w:rsidRPr="00154B78">
        <w:rPr>
          <w:sz w:val="24"/>
          <w:szCs w:val="24"/>
        </w:rPr>
        <w:t xml:space="preserve"> Complainant notified </w:t>
      </w:r>
      <w:r>
        <w:rPr>
          <w:sz w:val="24"/>
          <w:szCs w:val="24"/>
        </w:rPr>
        <w:t>the presiding officer</w:t>
      </w:r>
      <w:r w:rsidRPr="00154B78">
        <w:rPr>
          <w:sz w:val="24"/>
          <w:szCs w:val="24"/>
        </w:rPr>
        <w:t xml:space="preserve"> of another telephone number where he could be contacted.  </w:t>
      </w:r>
      <w:r w:rsidR="002E6E2C">
        <w:rPr>
          <w:sz w:val="24"/>
          <w:szCs w:val="24"/>
        </w:rPr>
        <w:t>Complainant failed to appear</w:t>
      </w:r>
      <w:r w:rsidR="000A5812">
        <w:rPr>
          <w:sz w:val="24"/>
          <w:szCs w:val="24"/>
        </w:rPr>
        <w:t xml:space="preserve">, </w:t>
      </w:r>
      <w:r w:rsidR="002E6E2C">
        <w:rPr>
          <w:sz w:val="24"/>
          <w:szCs w:val="24"/>
        </w:rPr>
        <w:t xml:space="preserve">failed to provide the presiding officer with </w:t>
      </w:r>
      <w:r w:rsidR="00324B58">
        <w:rPr>
          <w:sz w:val="24"/>
          <w:szCs w:val="24"/>
        </w:rPr>
        <w:t>a valid</w:t>
      </w:r>
      <w:r w:rsidR="002E6E2C">
        <w:rPr>
          <w:sz w:val="24"/>
          <w:szCs w:val="24"/>
        </w:rPr>
        <w:t xml:space="preserve"> </w:t>
      </w:r>
      <w:r w:rsidR="000A5812">
        <w:rPr>
          <w:sz w:val="24"/>
          <w:szCs w:val="24"/>
        </w:rPr>
        <w:t>telephone number, and failed to</w:t>
      </w:r>
      <w:r w:rsidR="002E6E2C">
        <w:rPr>
          <w:sz w:val="24"/>
          <w:szCs w:val="24"/>
        </w:rPr>
        <w:t xml:space="preserve"> be present at the time of the hearing despite receiving the hearing notice </w:t>
      </w:r>
      <w:r w:rsidR="000A5812">
        <w:rPr>
          <w:sz w:val="24"/>
          <w:szCs w:val="24"/>
        </w:rPr>
        <w:t>and the Prehearing Order</w:t>
      </w:r>
      <w:r w:rsidR="002E6E2C">
        <w:rPr>
          <w:sz w:val="24"/>
          <w:szCs w:val="24"/>
        </w:rPr>
        <w:t xml:space="preserve">.  </w:t>
      </w:r>
      <w:r w:rsidRPr="00154B78">
        <w:rPr>
          <w:sz w:val="24"/>
          <w:szCs w:val="24"/>
        </w:rPr>
        <w:t xml:space="preserve">Under these circumstances, it appears Complainant had ample opportunity to appear and be heard in this proceeding, but voluntarily chose not to do so.  Therefore, the due process rights of Complainant have been fully protected.  </w:t>
      </w:r>
      <w:r w:rsidRPr="00154B78">
        <w:rPr>
          <w:sz w:val="24"/>
          <w:szCs w:val="24"/>
          <w:u w:val="single"/>
        </w:rPr>
        <w:t xml:space="preserve">Sentner v. Bell Telephone Company of </w:t>
      </w:r>
      <w:smartTag w:uri="urn:schemas-microsoft-com:office:smarttags" w:element="place">
        <w:smartTag w:uri="urn:schemas-microsoft-com:office:smarttags" w:element="State">
          <w:r w:rsidRPr="00154B78">
            <w:rPr>
              <w:sz w:val="24"/>
              <w:szCs w:val="24"/>
              <w:u w:val="single"/>
            </w:rPr>
            <w:t>Pennsylvania</w:t>
          </w:r>
        </w:smartTag>
      </w:smartTag>
      <w:r w:rsidRPr="00154B78">
        <w:rPr>
          <w:sz w:val="24"/>
          <w:szCs w:val="24"/>
        </w:rPr>
        <w:t>, Docket No. </w:t>
      </w:r>
      <w:proofErr w:type="gramStart"/>
      <w:r w:rsidRPr="00154B78">
        <w:rPr>
          <w:sz w:val="24"/>
          <w:szCs w:val="24"/>
        </w:rPr>
        <w:t>F</w:t>
      </w:r>
      <w:r w:rsidRPr="00154B78">
        <w:rPr>
          <w:sz w:val="24"/>
          <w:szCs w:val="24"/>
        </w:rPr>
        <w:noBreakHyphen/>
        <w:t>00161106 (Order entered October 25, 1993); and 52 Pa. Code §5.245(a).</w:t>
      </w:r>
      <w:proofErr w:type="gramEnd"/>
    </w:p>
    <w:p w:rsidR="00347845" w:rsidRPr="00154B78" w:rsidRDefault="00347845" w:rsidP="00347845">
      <w:pPr>
        <w:spacing w:line="360" w:lineRule="auto"/>
        <w:ind w:firstLine="1440"/>
      </w:pPr>
    </w:p>
    <w:p w:rsidR="00347845" w:rsidRPr="00154B78" w:rsidRDefault="00347845" w:rsidP="00347845">
      <w:pPr>
        <w:spacing w:line="360" w:lineRule="auto"/>
        <w:ind w:firstLine="1440"/>
      </w:pPr>
      <w:r w:rsidRPr="00154B78">
        <w:t xml:space="preserve">As the party seeking affirmative relief from the Commission, Complainant bears the burden of proof.  </w:t>
      </w:r>
      <w:proofErr w:type="gramStart"/>
      <w:r w:rsidRPr="00154B78">
        <w:t>66 Pa. C.S. §332(a).</w:t>
      </w:r>
      <w:proofErr w:type="gramEnd"/>
      <w:r w:rsidRPr="00154B78">
        <w:t xml:space="preserve">  By failing to appear and proffer any evidence to support </w:t>
      </w:r>
      <w:r w:rsidR="00324B58">
        <w:t>the</w:t>
      </w:r>
      <w:r w:rsidRPr="00154B78">
        <w:t xml:space="preserve"> complaint, Complainant failed to meet this burden.  Complainant’s fa</w:t>
      </w:r>
      <w:r>
        <w:t>ilur</w:t>
      </w:r>
      <w:r w:rsidR="00324B58">
        <w:t>e to appear is unexcused.  H</w:t>
      </w:r>
      <w:r w:rsidRPr="00154B78">
        <w:t xml:space="preserve">e waived the opportunity to participate in the hearing and this case must be dismissed with prejudice.  52 </w:t>
      </w:r>
      <w:smartTag w:uri="urn:schemas-microsoft-com:office:smarttags" w:element="State">
        <w:r w:rsidRPr="00154B78">
          <w:t>Pa.</w:t>
        </w:r>
      </w:smartTag>
      <w:r w:rsidRPr="00154B78">
        <w:t xml:space="preserve"> Code §5.245(a); </w:t>
      </w:r>
      <w:smartTag w:uri="urn:schemas-microsoft-com:office:smarttags" w:element="place">
        <w:r w:rsidRPr="00154B78">
          <w:rPr>
            <w:spacing w:val="-3"/>
            <w:u w:val="single"/>
          </w:rPr>
          <w:t>Jefferson</w:t>
        </w:r>
      </w:smartTag>
      <w:r w:rsidRPr="00154B78">
        <w:rPr>
          <w:spacing w:val="-3"/>
          <w:u w:val="single"/>
        </w:rPr>
        <w:t xml:space="preserve"> v. </w:t>
      </w:r>
      <w:smartTag w:uri="urn:schemas-microsoft-com:office:smarttags" w:element="stockticker">
        <w:r w:rsidRPr="00154B78">
          <w:rPr>
            <w:spacing w:val="-3"/>
            <w:u w:val="single"/>
          </w:rPr>
          <w:t>UGI</w:t>
        </w:r>
      </w:smartTag>
      <w:r w:rsidRPr="00154B78">
        <w:rPr>
          <w:spacing w:val="-3"/>
          <w:u w:val="single"/>
        </w:rPr>
        <w:t xml:space="preserve"> Utilities, Inc.</w:t>
      </w:r>
      <w:r w:rsidRPr="00154B78">
        <w:rPr>
          <w:spacing w:val="-3"/>
        </w:rPr>
        <w:t xml:space="preserve">, Opinion and Order entered </w:t>
      </w:r>
      <w:smartTag w:uri="urn:schemas-microsoft-com:office:smarttags" w:element="date">
        <w:smartTagPr>
          <w:attr w:name="ls" w:val="trans"/>
          <w:attr w:name="Month" w:val="12"/>
          <w:attr w:name="Day" w:val="26"/>
          <w:attr w:name="Year" w:val="1995"/>
        </w:smartTagPr>
        <w:r w:rsidRPr="00154B78">
          <w:rPr>
            <w:spacing w:val="-3"/>
          </w:rPr>
          <w:t>December 26, 1995</w:t>
        </w:r>
      </w:smartTag>
      <w:r w:rsidRPr="00154B78">
        <w:rPr>
          <w:spacing w:val="-3"/>
        </w:rPr>
        <w:t xml:space="preserve"> at Docket No. Z</w:t>
      </w:r>
      <w:r w:rsidRPr="00154B78">
        <w:rPr>
          <w:spacing w:val="-3"/>
        </w:rPr>
        <w:noBreakHyphen/>
        <w:t xml:space="preserve">00269892.  </w:t>
      </w:r>
      <w:r w:rsidRPr="00154B78">
        <w:t xml:space="preserve">     </w:t>
      </w:r>
    </w:p>
    <w:p w:rsidR="00347845" w:rsidRPr="00154B78" w:rsidRDefault="00347845" w:rsidP="00347845">
      <w:pPr>
        <w:spacing w:line="360" w:lineRule="auto"/>
        <w:ind w:firstLine="1440"/>
      </w:pPr>
    </w:p>
    <w:p w:rsidR="00347845" w:rsidRPr="00154B78" w:rsidRDefault="00347845" w:rsidP="00347845">
      <w:pPr>
        <w:spacing w:line="360" w:lineRule="auto"/>
        <w:jc w:val="center"/>
        <w:rPr>
          <w:u w:val="single"/>
        </w:rPr>
      </w:pPr>
      <w:r w:rsidRPr="00154B78">
        <w:rPr>
          <w:u w:val="single"/>
        </w:rPr>
        <w:t>CONCLUSIONS OF LAW</w:t>
      </w:r>
    </w:p>
    <w:p w:rsidR="00347845" w:rsidRPr="00154B78" w:rsidRDefault="00347845" w:rsidP="00347845">
      <w:pPr>
        <w:spacing w:line="360" w:lineRule="auto"/>
        <w:ind w:firstLine="1440"/>
      </w:pPr>
    </w:p>
    <w:p w:rsidR="00347845" w:rsidRPr="00154B78" w:rsidRDefault="00347845" w:rsidP="00347845">
      <w:pPr>
        <w:numPr>
          <w:ilvl w:val="0"/>
          <w:numId w:val="1"/>
        </w:numPr>
        <w:tabs>
          <w:tab w:val="clear" w:pos="900"/>
          <w:tab w:val="num" w:pos="2160"/>
        </w:tabs>
        <w:spacing w:line="360" w:lineRule="auto"/>
        <w:ind w:left="0" w:firstLine="1440"/>
      </w:pPr>
      <w:r w:rsidRPr="00154B78">
        <w:t xml:space="preserve">The Commission has jurisdiction over the parties and the subject matter of this proceeding.  66 </w:t>
      </w:r>
      <w:smartTag w:uri="urn:schemas-microsoft-com:office:smarttags" w:element="place">
        <w:smartTag w:uri="urn:schemas-microsoft-com:office:smarttags" w:element="State">
          <w:r w:rsidRPr="00154B78">
            <w:t>Pa.</w:t>
          </w:r>
        </w:smartTag>
      </w:smartTag>
      <w:r w:rsidRPr="00154B78">
        <w:t xml:space="preserve"> C.S. §701.</w:t>
      </w:r>
    </w:p>
    <w:p w:rsidR="00347845" w:rsidRPr="00154B78" w:rsidRDefault="00347845" w:rsidP="00347845">
      <w:pPr>
        <w:tabs>
          <w:tab w:val="num" w:pos="2160"/>
        </w:tabs>
        <w:spacing w:line="360" w:lineRule="auto"/>
        <w:ind w:firstLine="1260"/>
      </w:pPr>
    </w:p>
    <w:p w:rsidR="00347845" w:rsidRPr="00154B78" w:rsidRDefault="00347845" w:rsidP="00347845">
      <w:pPr>
        <w:spacing w:line="360" w:lineRule="auto"/>
        <w:ind w:firstLine="720"/>
      </w:pPr>
      <w:r w:rsidRPr="00154B78">
        <w:rPr>
          <w:spacing w:val="-3"/>
        </w:rPr>
        <w:t xml:space="preserve">             2.</w:t>
      </w:r>
      <w:r w:rsidRPr="00154B78">
        <w:rPr>
          <w:spacing w:val="-3"/>
        </w:rPr>
        <w:tab/>
        <w:t xml:space="preserve">Notice mailed to a party’s last known address and not returned by the post office is presumed to have been received.  </w:t>
      </w:r>
      <w:r w:rsidRPr="00154B78">
        <w:rPr>
          <w:u w:val="single"/>
        </w:rPr>
        <w:t xml:space="preserve">Chartiers Industrial and Commercial Development Authority v. </w:t>
      </w:r>
      <w:smartTag w:uri="urn:schemas-microsoft-com:office:smarttags" w:element="place">
        <w:smartTag w:uri="urn:schemas-microsoft-com:office:smarttags" w:element="PlaceName">
          <w:r w:rsidRPr="00154B78">
            <w:rPr>
              <w:u w:val="single"/>
            </w:rPr>
            <w:t>Allegheny</w:t>
          </w:r>
        </w:smartTag>
        <w:r w:rsidRPr="00154B78">
          <w:rPr>
            <w:u w:val="single"/>
          </w:rPr>
          <w:t xml:space="preserve"> </w:t>
        </w:r>
        <w:smartTag w:uri="urn:schemas-microsoft-com:office:smarttags" w:element="PlaceType">
          <w:r w:rsidRPr="00154B78">
            <w:rPr>
              <w:u w:val="single"/>
            </w:rPr>
            <w:t>County</w:t>
          </w:r>
        </w:smartTag>
      </w:smartTag>
      <w:r w:rsidRPr="00154B78">
        <w:rPr>
          <w:u w:val="single"/>
        </w:rPr>
        <w:t xml:space="preserve"> Board of Property Assessment Appeals and Review</w:t>
      </w:r>
      <w:r w:rsidRPr="00154B78">
        <w:t>, 645 A.2d 944 (1994).</w:t>
      </w:r>
    </w:p>
    <w:p w:rsidR="00347845" w:rsidRPr="00154B78" w:rsidRDefault="00347845" w:rsidP="00347845">
      <w:pPr>
        <w:spacing w:line="360" w:lineRule="auto"/>
        <w:ind w:left="540"/>
      </w:pPr>
    </w:p>
    <w:p w:rsidR="00347845" w:rsidRDefault="00347845" w:rsidP="00347845">
      <w:pPr>
        <w:spacing w:line="360" w:lineRule="auto"/>
      </w:pPr>
      <w:r w:rsidRPr="00154B78">
        <w:tab/>
      </w:r>
      <w:r w:rsidRPr="00154B78">
        <w:tab/>
        <w:t>3.</w:t>
      </w:r>
      <w:r w:rsidRPr="00154B78">
        <w:tab/>
        <w:t>The due process rights of Complainant have been fully protected in this proceeding.</w:t>
      </w:r>
    </w:p>
    <w:p w:rsidR="00324B58" w:rsidRPr="00154B78" w:rsidRDefault="00324B58" w:rsidP="00347845">
      <w:pPr>
        <w:spacing w:line="360" w:lineRule="auto"/>
      </w:pPr>
    </w:p>
    <w:p w:rsidR="00347845" w:rsidRPr="00154B78" w:rsidRDefault="00C31492" w:rsidP="00347845">
      <w:pPr>
        <w:spacing w:line="360" w:lineRule="auto"/>
        <w:rPr>
          <w:u w:val="single"/>
        </w:rPr>
      </w:pPr>
      <w:r>
        <w:lastRenderedPageBreak/>
        <w:tab/>
      </w:r>
      <w:r>
        <w:tab/>
        <w:t>4.</w:t>
      </w:r>
      <w:r>
        <w:tab/>
      </w:r>
      <w:r w:rsidR="00347845" w:rsidRPr="00154B78">
        <w:t xml:space="preserve">Complainant failed to meet </w:t>
      </w:r>
      <w:r w:rsidR="00324B58">
        <w:t>the</w:t>
      </w:r>
      <w:r w:rsidR="00347845" w:rsidRPr="00154B78">
        <w:t xml:space="preserve"> burden of proving he is entitled to the relief he seeks from the Commission</w:t>
      </w:r>
      <w:r w:rsidR="00324B58">
        <w:t xml:space="preserve"> when </w:t>
      </w:r>
      <w:r>
        <w:t xml:space="preserve">he failed to appear and proffer any evidence to support </w:t>
      </w:r>
      <w:r w:rsidR="00324B58">
        <w:t>the</w:t>
      </w:r>
      <w:r>
        <w:t xml:space="preserve"> complaint</w:t>
      </w:r>
      <w:r w:rsidR="00347845" w:rsidRPr="00154B78">
        <w:t xml:space="preserve">.  </w:t>
      </w:r>
      <w:proofErr w:type="gramStart"/>
      <w:r w:rsidR="00347845" w:rsidRPr="00154B78">
        <w:t xml:space="preserve">66 Pa. C.S. </w:t>
      </w:r>
      <w:r w:rsidR="00C3095E">
        <w:t>§</w:t>
      </w:r>
      <w:r w:rsidR="00347845" w:rsidRPr="00154B78">
        <w:t>332(a).</w:t>
      </w:r>
      <w:proofErr w:type="gramEnd"/>
    </w:p>
    <w:p w:rsidR="00C31492" w:rsidRPr="00154B78" w:rsidRDefault="00C31492" w:rsidP="00347845">
      <w:pPr>
        <w:tabs>
          <w:tab w:val="num" w:pos="2160"/>
        </w:tabs>
        <w:spacing w:line="360" w:lineRule="auto"/>
        <w:jc w:val="center"/>
        <w:rPr>
          <w:u w:val="single"/>
        </w:rPr>
      </w:pPr>
    </w:p>
    <w:p w:rsidR="00347845" w:rsidRPr="00154B78" w:rsidRDefault="00347845" w:rsidP="00347845">
      <w:pPr>
        <w:tabs>
          <w:tab w:val="num" w:pos="2160"/>
        </w:tabs>
        <w:spacing w:line="360" w:lineRule="auto"/>
        <w:jc w:val="center"/>
        <w:rPr>
          <w:u w:val="single"/>
        </w:rPr>
      </w:pPr>
      <w:r w:rsidRPr="00154B78">
        <w:rPr>
          <w:u w:val="single"/>
        </w:rPr>
        <w:t>ORDER</w:t>
      </w:r>
    </w:p>
    <w:p w:rsidR="00347845" w:rsidRDefault="00347845" w:rsidP="00347845">
      <w:pPr>
        <w:tabs>
          <w:tab w:val="num" w:pos="2160"/>
        </w:tabs>
        <w:spacing w:line="360" w:lineRule="auto"/>
        <w:ind w:firstLine="1440"/>
      </w:pPr>
    </w:p>
    <w:p w:rsidR="00BF46E7" w:rsidRPr="00154B78" w:rsidRDefault="00BF46E7" w:rsidP="00347845">
      <w:pPr>
        <w:tabs>
          <w:tab w:val="num" w:pos="2160"/>
        </w:tabs>
        <w:spacing w:line="360" w:lineRule="auto"/>
        <w:ind w:firstLine="1440"/>
      </w:pPr>
    </w:p>
    <w:p w:rsidR="00347845" w:rsidRPr="00154B78" w:rsidRDefault="00347845" w:rsidP="00347845">
      <w:pPr>
        <w:tabs>
          <w:tab w:val="num" w:pos="2160"/>
        </w:tabs>
        <w:spacing w:line="360" w:lineRule="auto"/>
        <w:ind w:firstLine="1440"/>
      </w:pPr>
      <w:r w:rsidRPr="00154B78">
        <w:t xml:space="preserve">THEREFORE, </w:t>
      </w:r>
    </w:p>
    <w:p w:rsidR="00347845" w:rsidRPr="00154B78" w:rsidRDefault="00347845" w:rsidP="00347845">
      <w:pPr>
        <w:tabs>
          <w:tab w:val="num" w:pos="2160"/>
        </w:tabs>
        <w:spacing w:line="360" w:lineRule="auto"/>
      </w:pPr>
    </w:p>
    <w:p w:rsidR="00347845" w:rsidRPr="00154B78" w:rsidRDefault="00347845" w:rsidP="00347845">
      <w:pPr>
        <w:tabs>
          <w:tab w:val="num" w:pos="2160"/>
        </w:tabs>
        <w:spacing w:line="360" w:lineRule="auto"/>
        <w:ind w:firstLine="1440"/>
      </w:pPr>
      <w:r w:rsidRPr="00154B78">
        <w:t>IT IS ORDERED:</w:t>
      </w:r>
    </w:p>
    <w:p w:rsidR="00347845" w:rsidRPr="00154B78" w:rsidRDefault="00347845" w:rsidP="00347845">
      <w:pPr>
        <w:tabs>
          <w:tab w:val="num" w:pos="2160"/>
        </w:tabs>
        <w:spacing w:line="360" w:lineRule="auto"/>
        <w:rPr>
          <w:b/>
        </w:rPr>
      </w:pPr>
    </w:p>
    <w:p w:rsidR="00347845" w:rsidRPr="00154B78" w:rsidRDefault="00347845" w:rsidP="00347845">
      <w:pPr>
        <w:tabs>
          <w:tab w:val="num" w:pos="2160"/>
        </w:tabs>
        <w:spacing w:line="360" w:lineRule="auto"/>
        <w:ind w:firstLine="1440"/>
      </w:pPr>
      <w:r w:rsidRPr="00154B78">
        <w:t>1.</w:t>
      </w:r>
      <w:r w:rsidRPr="00154B78">
        <w:tab/>
        <w:t xml:space="preserve">That the motion of </w:t>
      </w:r>
      <w:r w:rsidR="00324B58">
        <w:t>PECO Energy Company</w:t>
      </w:r>
      <w:r w:rsidRPr="00154B78">
        <w:t xml:space="preserve"> to dismiss the complaint of </w:t>
      </w:r>
      <w:r w:rsidR="00324B58">
        <w:t xml:space="preserve">Paul </w:t>
      </w:r>
      <w:proofErr w:type="spellStart"/>
      <w:r w:rsidR="00324B58">
        <w:t>Kopanycia</w:t>
      </w:r>
      <w:proofErr w:type="spellEnd"/>
      <w:r w:rsidRPr="00154B78">
        <w:t xml:space="preserve"> at Docket No. </w:t>
      </w:r>
      <w:r w:rsidR="000A5812">
        <w:t>C</w:t>
      </w:r>
      <w:r w:rsidR="00C31492">
        <w:t>-</w:t>
      </w:r>
      <w:r w:rsidR="00324B58">
        <w:t>2012-2283948</w:t>
      </w:r>
      <w:r w:rsidRPr="00154B78">
        <w:t xml:space="preserve"> is granted.</w:t>
      </w:r>
    </w:p>
    <w:p w:rsidR="00347845" w:rsidRPr="00154B78" w:rsidRDefault="00347845" w:rsidP="00347845">
      <w:pPr>
        <w:tabs>
          <w:tab w:val="num" w:pos="2160"/>
        </w:tabs>
        <w:spacing w:line="360" w:lineRule="auto"/>
        <w:ind w:firstLine="1440"/>
      </w:pPr>
    </w:p>
    <w:p w:rsidR="00347845" w:rsidRPr="00154B78" w:rsidRDefault="00347845" w:rsidP="00347845">
      <w:pPr>
        <w:tabs>
          <w:tab w:val="num" w:pos="2160"/>
        </w:tabs>
        <w:spacing w:line="360" w:lineRule="auto"/>
        <w:ind w:firstLine="1440"/>
      </w:pPr>
      <w:r w:rsidRPr="00154B78">
        <w:t>2.</w:t>
      </w:r>
      <w:r w:rsidRPr="00154B78">
        <w:tab/>
        <w:t xml:space="preserve">That the complaint filed by </w:t>
      </w:r>
      <w:r w:rsidR="00324B58">
        <w:t xml:space="preserve">Paul </w:t>
      </w:r>
      <w:proofErr w:type="spellStart"/>
      <w:r w:rsidR="00324B58">
        <w:t>Kopanycia</w:t>
      </w:r>
      <w:proofErr w:type="spellEnd"/>
      <w:r w:rsidR="00C31492">
        <w:t xml:space="preserve"> versus </w:t>
      </w:r>
      <w:r w:rsidR="00324B58">
        <w:t>PECO Energy Company</w:t>
      </w:r>
      <w:r w:rsidRPr="00154B78">
        <w:t xml:space="preserve"> at Docket No. </w:t>
      </w:r>
      <w:r w:rsidR="000A5812">
        <w:t>C</w:t>
      </w:r>
      <w:r w:rsidR="00C31492">
        <w:t>-</w:t>
      </w:r>
      <w:r w:rsidR="00324B58">
        <w:t>2012-2283948</w:t>
      </w:r>
      <w:r w:rsidR="000A5812">
        <w:t xml:space="preserve"> </w:t>
      </w:r>
      <w:r w:rsidRPr="00154B78">
        <w:t>is dismissed with prejudice for failure to prosecute.</w:t>
      </w:r>
    </w:p>
    <w:p w:rsidR="00347845" w:rsidRDefault="00347845" w:rsidP="00347845"/>
    <w:p w:rsidR="00347845" w:rsidRPr="00154B78" w:rsidRDefault="00347845" w:rsidP="00347845"/>
    <w:p w:rsidR="00347845" w:rsidRDefault="00347845" w:rsidP="00347845"/>
    <w:p w:rsidR="003A7F58" w:rsidRPr="00154B78" w:rsidRDefault="003A7F58" w:rsidP="00347845"/>
    <w:p w:rsidR="00347845" w:rsidRPr="00154B78" w:rsidRDefault="00347845" w:rsidP="00347845">
      <w:r w:rsidRPr="00154B78">
        <w:t>Date:</w:t>
      </w:r>
      <w:r w:rsidR="00E67464">
        <w:t xml:space="preserve"> </w:t>
      </w:r>
      <w:r w:rsidRPr="00154B78">
        <w:t xml:space="preserve"> </w:t>
      </w:r>
      <w:r w:rsidR="00324B58">
        <w:rPr>
          <w:u w:val="single"/>
        </w:rPr>
        <w:t>June 6, 2012</w:t>
      </w:r>
      <w:r w:rsidRPr="00154B78">
        <w:tab/>
      </w:r>
      <w:r w:rsidR="00324B58">
        <w:tab/>
      </w:r>
      <w:r w:rsidRPr="00154B78">
        <w:tab/>
      </w:r>
      <w:r w:rsidRPr="00154B78">
        <w:tab/>
      </w:r>
      <w:r w:rsidRPr="00154B78">
        <w:tab/>
      </w:r>
      <w:r>
        <w:tab/>
      </w:r>
      <w:r w:rsidRPr="00154B78">
        <w:rPr>
          <w:u w:val="single"/>
        </w:rPr>
        <w:tab/>
      </w:r>
      <w:r w:rsidRPr="00154B78">
        <w:rPr>
          <w:u w:val="single"/>
        </w:rPr>
        <w:tab/>
      </w:r>
      <w:r w:rsidRPr="00154B78">
        <w:rPr>
          <w:u w:val="single"/>
        </w:rPr>
        <w:tab/>
      </w:r>
      <w:r w:rsidRPr="00154B78">
        <w:rPr>
          <w:u w:val="single"/>
        </w:rPr>
        <w:tab/>
      </w:r>
      <w:r w:rsidRPr="00154B78">
        <w:rPr>
          <w:u w:val="single"/>
        </w:rPr>
        <w:tab/>
      </w:r>
    </w:p>
    <w:p w:rsidR="00347845" w:rsidRPr="00154B78" w:rsidRDefault="00347845" w:rsidP="00347845">
      <w:r w:rsidRPr="00154B78">
        <w:tab/>
      </w:r>
      <w:r w:rsidRPr="00154B78">
        <w:tab/>
      </w:r>
      <w:r w:rsidRPr="00154B78">
        <w:tab/>
      </w:r>
      <w:r w:rsidRPr="00154B78">
        <w:tab/>
      </w:r>
      <w:r w:rsidRPr="00154B78">
        <w:tab/>
      </w:r>
      <w:r w:rsidRPr="00154B78">
        <w:tab/>
      </w:r>
      <w:r w:rsidRPr="00154B78">
        <w:tab/>
      </w:r>
      <w:r>
        <w:tab/>
      </w:r>
      <w:r w:rsidRPr="00154B78">
        <w:t>Katrina L. Dunderdale</w:t>
      </w:r>
    </w:p>
    <w:p w:rsidR="00B3278A" w:rsidRDefault="00347845" w:rsidP="00BD4C99">
      <w:r w:rsidRPr="00154B78">
        <w:tab/>
      </w:r>
      <w:r w:rsidRPr="00154B78">
        <w:tab/>
      </w:r>
      <w:r w:rsidRPr="00154B78">
        <w:tab/>
      </w:r>
      <w:r w:rsidRPr="00154B78">
        <w:tab/>
      </w:r>
      <w:r w:rsidRPr="00154B78">
        <w:tab/>
      </w:r>
      <w:r w:rsidRPr="00154B78">
        <w:tab/>
      </w:r>
      <w:r w:rsidRPr="00154B78">
        <w:tab/>
      </w:r>
      <w:r>
        <w:tab/>
      </w:r>
      <w:r w:rsidRPr="00154B78">
        <w:t>Administrative Law Judge</w:t>
      </w:r>
    </w:p>
    <w:sectPr w:rsidR="00B3278A" w:rsidSect="004E3933">
      <w:footerReference w:type="even" r:id="rId8"/>
      <w:footerReference w:type="default" r:id="rId9"/>
      <w:pgSz w:w="12240" w:h="15840" w:code="1"/>
      <w:pgMar w:top="1440" w:right="1440" w:bottom="1440" w:left="1440" w:header="720" w:footer="720" w:gutter="0"/>
      <w:paperSrc w:first="4"/>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969" w:rsidRDefault="00055969">
      <w:r>
        <w:separator/>
      </w:r>
    </w:p>
  </w:endnote>
  <w:endnote w:type="continuationSeparator" w:id="0">
    <w:p w:rsidR="00055969" w:rsidRDefault="0005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18B" w:rsidRDefault="00D06CB1" w:rsidP="008E4FD6">
    <w:pPr>
      <w:pStyle w:val="Footer"/>
      <w:framePr w:wrap="around" w:vAnchor="text" w:hAnchor="margin" w:xAlign="center" w:y="1"/>
      <w:rPr>
        <w:rStyle w:val="PageNumber"/>
      </w:rPr>
    </w:pPr>
    <w:r>
      <w:rPr>
        <w:rStyle w:val="PageNumber"/>
      </w:rPr>
      <w:fldChar w:fldCharType="begin"/>
    </w:r>
    <w:r w:rsidR="0059718B">
      <w:rPr>
        <w:rStyle w:val="PageNumber"/>
      </w:rPr>
      <w:instrText xml:space="preserve">PAGE  </w:instrText>
    </w:r>
    <w:r>
      <w:rPr>
        <w:rStyle w:val="PageNumber"/>
      </w:rPr>
      <w:fldChar w:fldCharType="end"/>
    </w:r>
  </w:p>
  <w:p w:rsidR="0059718B" w:rsidRDefault="005971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18B" w:rsidRPr="0066511C" w:rsidRDefault="00D06CB1" w:rsidP="008E4FD6">
    <w:pPr>
      <w:pStyle w:val="Footer"/>
      <w:framePr w:wrap="around" w:vAnchor="text" w:hAnchor="margin" w:xAlign="center" w:y="1"/>
      <w:rPr>
        <w:rStyle w:val="PageNumber"/>
      </w:rPr>
    </w:pPr>
    <w:r w:rsidRPr="0066511C">
      <w:rPr>
        <w:rStyle w:val="PageNumber"/>
      </w:rPr>
      <w:fldChar w:fldCharType="begin"/>
    </w:r>
    <w:r w:rsidR="0059718B" w:rsidRPr="0066511C">
      <w:rPr>
        <w:rStyle w:val="PageNumber"/>
      </w:rPr>
      <w:instrText xml:space="preserve">PAGE  </w:instrText>
    </w:r>
    <w:r w:rsidRPr="0066511C">
      <w:rPr>
        <w:rStyle w:val="PageNumber"/>
      </w:rPr>
      <w:fldChar w:fldCharType="separate"/>
    </w:r>
    <w:r w:rsidR="009C1A0F">
      <w:rPr>
        <w:rStyle w:val="PageNumber"/>
        <w:noProof/>
      </w:rPr>
      <w:t>5</w:t>
    </w:r>
    <w:r w:rsidRPr="0066511C">
      <w:rPr>
        <w:rStyle w:val="PageNumber"/>
      </w:rPr>
      <w:fldChar w:fldCharType="end"/>
    </w:r>
  </w:p>
  <w:p w:rsidR="0059718B" w:rsidRDefault="00597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969" w:rsidRDefault="00055969">
      <w:r>
        <w:separator/>
      </w:r>
    </w:p>
  </w:footnote>
  <w:footnote w:type="continuationSeparator" w:id="0">
    <w:p w:rsidR="00055969" w:rsidRDefault="00055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218E1"/>
    <w:rsid w:val="0002788A"/>
    <w:rsid w:val="000312D8"/>
    <w:rsid w:val="000326C7"/>
    <w:rsid w:val="0003405D"/>
    <w:rsid w:val="00034D3C"/>
    <w:rsid w:val="0003750C"/>
    <w:rsid w:val="00042832"/>
    <w:rsid w:val="000453D8"/>
    <w:rsid w:val="00051FFD"/>
    <w:rsid w:val="000539E5"/>
    <w:rsid w:val="00055969"/>
    <w:rsid w:val="00065204"/>
    <w:rsid w:val="00065B67"/>
    <w:rsid w:val="00080A87"/>
    <w:rsid w:val="00081933"/>
    <w:rsid w:val="000A5812"/>
    <w:rsid w:val="000A5FF8"/>
    <w:rsid w:val="000B1399"/>
    <w:rsid w:val="000B4044"/>
    <w:rsid w:val="000C3871"/>
    <w:rsid w:val="000C6633"/>
    <w:rsid w:val="000D5BB7"/>
    <w:rsid w:val="000E0DDA"/>
    <w:rsid w:val="000F4D6B"/>
    <w:rsid w:val="0010040A"/>
    <w:rsid w:val="00103B9D"/>
    <w:rsid w:val="00111CAA"/>
    <w:rsid w:val="0011403F"/>
    <w:rsid w:val="0011788E"/>
    <w:rsid w:val="0012146B"/>
    <w:rsid w:val="00125CCD"/>
    <w:rsid w:val="00132605"/>
    <w:rsid w:val="001339E0"/>
    <w:rsid w:val="00144748"/>
    <w:rsid w:val="001452F3"/>
    <w:rsid w:val="00151004"/>
    <w:rsid w:val="001513EC"/>
    <w:rsid w:val="00166246"/>
    <w:rsid w:val="0018379D"/>
    <w:rsid w:val="001942FA"/>
    <w:rsid w:val="001D79FF"/>
    <w:rsid w:val="001E40CC"/>
    <w:rsid w:val="001F2543"/>
    <w:rsid w:val="00200ED0"/>
    <w:rsid w:val="00201B03"/>
    <w:rsid w:val="00205722"/>
    <w:rsid w:val="00206B04"/>
    <w:rsid w:val="00226BE1"/>
    <w:rsid w:val="0024092F"/>
    <w:rsid w:val="00263EFE"/>
    <w:rsid w:val="00264A57"/>
    <w:rsid w:val="00267BDA"/>
    <w:rsid w:val="0027124B"/>
    <w:rsid w:val="00273D9C"/>
    <w:rsid w:val="0029483C"/>
    <w:rsid w:val="002A3127"/>
    <w:rsid w:val="002A7863"/>
    <w:rsid w:val="002A7893"/>
    <w:rsid w:val="002B276A"/>
    <w:rsid w:val="002B4DFA"/>
    <w:rsid w:val="002C0F0C"/>
    <w:rsid w:val="002C382D"/>
    <w:rsid w:val="002E5290"/>
    <w:rsid w:val="002E5A74"/>
    <w:rsid w:val="002E6401"/>
    <w:rsid w:val="002E6E2C"/>
    <w:rsid w:val="00302C62"/>
    <w:rsid w:val="00304A7C"/>
    <w:rsid w:val="00304DE7"/>
    <w:rsid w:val="00324B58"/>
    <w:rsid w:val="00347845"/>
    <w:rsid w:val="00347F51"/>
    <w:rsid w:val="00354794"/>
    <w:rsid w:val="003649AC"/>
    <w:rsid w:val="003670E2"/>
    <w:rsid w:val="0037694C"/>
    <w:rsid w:val="003A7F58"/>
    <w:rsid w:val="003B7783"/>
    <w:rsid w:val="003D374F"/>
    <w:rsid w:val="003D500A"/>
    <w:rsid w:val="003D5173"/>
    <w:rsid w:val="003D5CCF"/>
    <w:rsid w:val="003E2BB0"/>
    <w:rsid w:val="003E2D32"/>
    <w:rsid w:val="003E60E7"/>
    <w:rsid w:val="003F1BC1"/>
    <w:rsid w:val="003F56DB"/>
    <w:rsid w:val="0040125C"/>
    <w:rsid w:val="004054DB"/>
    <w:rsid w:val="004139C1"/>
    <w:rsid w:val="00421585"/>
    <w:rsid w:val="00427282"/>
    <w:rsid w:val="004279F9"/>
    <w:rsid w:val="004322BD"/>
    <w:rsid w:val="00435696"/>
    <w:rsid w:val="00440B6B"/>
    <w:rsid w:val="00460F2E"/>
    <w:rsid w:val="00470AFC"/>
    <w:rsid w:val="00474C53"/>
    <w:rsid w:val="0049315E"/>
    <w:rsid w:val="004A2614"/>
    <w:rsid w:val="004B2F4F"/>
    <w:rsid w:val="004B34C6"/>
    <w:rsid w:val="004B422F"/>
    <w:rsid w:val="004D0C39"/>
    <w:rsid w:val="004D454A"/>
    <w:rsid w:val="004E2CEC"/>
    <w:rsid w:val="004E3933"/>
    <w:rsid w:val="004E768A"/>
    <w:rsid w:val="00513D94"/>
    <w:rsid w:val="005159CD"/>
    <w:rsid w:val="00517217"/>
    <w:rsid w:val="00522985"/>
    <w:rsid w:val="005447FE"/>
    <w:rsid w:val="00544F7E"/>
    <w:rsid w:val="00545D25"/>
    <w:rsid w:val="0057115F"/>
    <w:rsid w:val="00593B93"/>
    <w:rsid w:val="0059718B"/>
    <w:rsid w:val="005E791C"/>
    <w:rsid w:val="005F5666"/>
    <w:rsid w:val="00614B42"/>
    <w:rsid w:val="00625D05"/>
    <w:rsid w:val="00630829"/>
    <w:rsid w:val="00633976"/>
    <w:rsid w:val="00636813"/>
    <w:rsid w:val="00640FA6"/>
    <w:rsid w:val="00641052"/>
    <w:rsid w:val="00651AB0"/>
    <w:rsid w:val="0066511C"/>
    <w:rsid w:val="006663CA"/>
    <w:rsid w:val="006706E2"/>
    <w:rsid w:val="006745F8"/>
    <w:rsid w:val="006771E3"/>
    <w:rsid w:val="006772A2"/>
    <w:rsid w:val="00680C3B"/>
    <w:rsid w:val="00685F88"/>
    <w:rsid w:val="006869B5"/>
    <w:rsid w:val="00691FDA"/>
    <w:rsid w:val="0069229E"/>
    <w:rsid w:val="006954BC"/>
    <w:rsid w:val="00696EBA"/>
    <w:rsid w:val="006B7DE7"/>
    <w:rsid w:val="006C30D0"/>
    <w:rsid w:val="006C4CFE"/>
    <w:rsid w:val="006D2E25"/>
    <w:rsid w:val="006D2F3E"/>
    <w:rsid w:val="006E0E78"/>
    <w:rsid w:val="006E12A1"/>
    <w:rsid w:val="006E175B"/>
    <w:rsid w:val="006E4B76"/>
    <w:rsid w:val="006E59A8"/>
    <w:rsid w:val="006F7227"/>
    <w:rsid w:val="007121EF"/>
    <w:rsid w:val="0071586C"/>
    <w:rsid w:val="00754FD3"/>
    <w:rsid w:val="00755B0E"/>
    <w:rsid w:val="00756B45"/>
    <w:rsid w:val="00780273"/>
    <w:rsid w:val="0078110D"/>
    <w:rsid w:val="00783095"/>
    <w:rsid w:val="00794F1B"/>
    <w:rsid w:val="00797D2A"/>
    <w:rsid w:val="007A2269"/>
    <w:rsid w:val="007A5552"/>
    <w:rsid w:val="007B63C8"/>
    <w:rsid w:val="007D2EAB"/>
    <w:rsid w:val="007D7909"/>
    <w:rsid w:val="007D79D2"/>
    <w:rsid w:val="007E7B4E"/>
    <w:rsid w:val="007F6597"/>
    <w:rsid w:val="00806E0D"/>
    <w:rsid w:val="00824890"/>
    <w:rsid w:val="00827442"/>
    <w:rsid w:val="0083497D"/>
    <w:rsid w:val="00846AF7"/>
    <w:rsid w:val="00863CD4"/>
    <w:rsid w:val="0086657E"/>
    <w:rsid w:val="00873D8A"/>
    <w:rsid w:val="00892630"/>
    <w:rsid w:val="008927B5"/>
    <w:rsid w:val="008A0344"/>
    <w:rsid w:val="008A28F8"/>
    <w:rsid w:val="008C1613"/>
    <w:rsid w:val="008C1809"/>
    <w:rsid w:val="008D6E2C"/>
    <w:rsid w:val="008E4FD6"/>
    <w:rsid w:val="00920310"/>
    <w:rsid w:val="0093543A"/>
    <w:rsid w:val="0093781D"/>
    <w:rsid w:val="0094142D"/>
    <w:rsid w:val="00943CC8"/>
    <w:rsid w:val="009540A4"/>
    <w:rsid w:val="00966C36"/>
    <w:rsid w:val="00972B9B"/>
    <w:rsid w:val="0097336E"/>
    <w:rsid w:val="009737D0"/>
    <w:rsid w:val="00976BE6"/>
    <w:rsid w:val="009905F2"/>
    <w:rsid w:val="00996F63"/>
    <w:rsid w:val="009A0AC0"/>
    <w:rsid w:val="009A1E66"/>
    <w:rsid w:val="009A2D7D"/>
    <w:rsid w:val="009A3CA1"/>
    <w:rsid w:val="009A5AF8"/>
    <w:rsid w:val="009C05E9"/>
    <w:rsid w:val="009C1A0F"/>
    <w:rsid w:val="009C4526"/>
    <w:rsid w:val="009C5DB0"/>
    <w:rsid w:val="009D0AB3"/>
    <w:rsid w:val="009D2B67"/>
    <w:rsid w:val="009D47A5"/>
    <w:rsid w:val="009D529F"/>
    <w:rsid w:val="009E6876"/>
    <w:rsid w:val="009F52BD"/>
    <w:rsid w:val="00A04076"/>
    <w:rsid w:val="00A05487"/>
    <w:rsid w:val="00A10010"/>
    <w:rsid w:val="00A15C68"/>
    <w:rsid w:val="00A35B4B"/>
    <w:rsid w:val="00A40B0F"/>
    <w:rsid w:val="00A46AA1"/>
    <w:rsid w:val="00A52673"/>
    <w:rsid w:val="00A801E7"/>
    <w:rsid w:val="00A80E4E"/>
    <w:rsid w:val="00A831C5"/>
    <w:rsid w:val="00A86E3D"/>
    <w:rsid w:val="00A93EC0"/>
    <w:rsid w:val="00A94A48"/>
    <w:rsid w:val="00A95B3A"/>
    <w:rsid w:val="00AA53BB"/>
    <w:rsid w:val="00AA70E2"/>
    <w:rsid w:val="00AC1893"/>
    <w:rsid w:val="00AC1F4C"/>
    <w:rsid w:val="00AC4ABB"/>
    <w:rsid w:val="00AC5246"/>
    <w:rsid w:val="00AD01E0"/>
    <w:rsid w:val="00AE290D"/>
    <w:rsid w:val="00AF5FC0"/>
    <w:rsid w:val="00B056E3"/>
    <w:rsid w:val="00B175E8"/>
    <w:rsid w:val="00B222E9"/>
    <w:rsid w:val="00B23445"/>
    <w:rsid w:val="00B3278A"/>
    <w:rsid w:val="00B43D2E"/>
    <w:rsid w:val="00B5162C"/>
    <w:rsid w:val="00B557CC"/>
    <w:rsid w:val="00B70664"/>
    <w:rsid w:val="00B7268D"/>
    <w:rsid w:val="00B922AF"/>
    <w:rsid w:val="00B93777"/>
    <w:rsid w:val="00B94FFF"/>
    <w:rsid w:val="00B95B41"/>
    <w:rsid w:val="00B96938"/>
    <w:rsid w:val="00BA00AB"/>
    <w:rsid w:val="00BB5F78"/>
    <w:rsid w:val="00BB70B3"/>
    <w:rsid w:val="00BB7D46"/>
    <w:rsid w:val="00BD2112"/>
    <w:rsid w:val="00BD4C99"/>
    <w:rsid w:val="00BE0C6F"/>
    <w:rsid w:val="00BF28AB"/>
    <w:rsid w:val="00BF34F4"/>
    <w:rsid w:val="00BF46E7"/>
    <w:rsid w:val="00C00415"/>
    <w:rsid w:val="00C04994"/>
    <w:rsid w:val="00C07543"/>
    <w:rsid w:val="00C13DF0"/>
    <w:rsid w:val="00C23DE7"/>
    <w:rsid w:val="00C3095E"/>
    <w:rsid w:val="00C3109E"/>
    <w:rsid w:val="00C31492"/>
    <w:rsid w:val="00C3358D"/>
    <w:rsid w:val="00C41027"/>
    <w:rsid w:val="00C85078"/>
    <w:rsid w:val="00C85225"/>
    <w:rsid w:val="00C862A2"/>
    <w:rsid w:val="00C908DB"/>
    <w:rsid w:val="00CA57BA"/>
    <w:rsid w:val="00CC069F"/>
    <w:rsid w:val="00CE1628"/>
    <w:rsid w:val="00D06B34"/>
    <w:rsid w:val="00D06CB1"/>
    <w:rsid w:val="00D27CC5"/>
    <w:rsid w:val="00D470C5"/>
    <w:rsid w:val="00D654B3"/>
    <w:rsid w:val="00D71AAE"/>
    <w:rsid w:val="00D74BA4"/>
    <w:rsid w:val="00D761B6"/>
    <w:rsid w:val="00D766FB"/>
    <w:rsid w:val="00D85ADB"/>
    <w:rsid w:val="00D87C47"/>
    <w:rsid w:val="00D90501"/>
    <w:rsid w:val="00D93D99"/>
    <w:rsid w:val="00D94038"/>
    <w:rsid w:val="00DB3C3C"/>
    <w:rsid w:val="00DB7463"/>
    <w:rsid w:val="00DD003C"/>
    <w:rsid w:val="00DD020B"/>
    <w:rsid w:val="00DD2547"/>
    <w:rsid w:val="00DD3BC4"/>
    <w:rsid w:val="00DE1A73"/>
    <w:rsid w:val="00DF4B76"/>
    <w:rsid w:val="00E07F16"/>
    <w:rsid w:val="00E10608"/>
    <w:rsid w:val="00E1627C"/>
    <w:rsid w:val="00E24472"/>
    <w:rsid w:val="00E362CA"/>
    <w:rsid w:val="00E401F5"/>
    <w:rsid w:val="00E6023E"/>
    <w:rsid w:val="00E645B5"/>
    <w:rsid w:val="00E67464"/>
    <w:rsid w:val="00E7573A"/>
    <w:rsid w:val="00E7797A"/>
    <w:rsid w:val="00E83B41"/>
    <w:rsid w:val="00E86BB6"/>
    <w:rsid w:val="00E87C90"/>
    <w:rsid w:val="00E9731D"/>
    <w:rsid w:val="00EA1752"/>
    <w:rsid w:val="00EB369B"/>
    <w:rsid w:val="00EB4EF5"/>
    <w:rsid w:val="00EC6DA3"/>
    <w:rsid w:val="00ED0A26"/>
    <w:rsid w:val="00ED6AF6"/>
    <w:rsid w:val="00ED7A75"/>
    <w:rsid w:val="00F03EF9"/>
    <w:rsid w:val="00F24967"/>
    <w:rsid w:val="00F27D7F"/>
    <w:rsid w:val="00F337B1"/>
    <w:rsid w:val="00F35B71"/>
    <w:rsid w:val="00F40D95"/>
    <w:rsid w:val="00F50E29"/>
    <w:rsid w:val="00F53B58"/>
    <w:rsid w:val="00F633E8"/>
    <w:rsid w:val="00F650AC"/>
    <w:rsid w:val="00F93376"/>
    <w:rsid w:val="00F95F05"/>
    <w:rsid w:val="00FA7693"/>
    <w:rsid w:val="00FC0796"/>
    <w:rsid w:val="00FC23D6"/>
    <w:rsid w:val="00FC627C"/>
    <w:rsid w:val="00FC7961"/>
    <w:rsid w:val="00FD001B"/>
    <w:rsid w:val="00FE2D16"/>
    <w:rsid w:val="00FE457A"/>
    <w:rsid w:val="00FF021A"/>
    <w:rsid w:val="00FF3624"/>
    <w:rsid w:val="00FF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semiHidden/>
    <w:rsid w:val="009540A4"/>
    <w:rPr>
      <w:sz w:val="20"/>
      <w:szCs w:val="20"/>
    </w:rPr>
  </w:style>
  <w:style w:type="character" w:styleId="FootnoteReference">
    <w:name w:val="footnote reference"/>
    <w:basedOn w:val="DefaultParagraphFont"/>
    <w:semiHidden/>
    <w:rsid w:val="009540A4"/>
    <w:rPr>
      <w:vertAlign w:val="superscript"/>
    </w:rPr>
  </w:style>
  <w:style w:type="paragraph" w:styleId="Header">
    <w:name w:val="header"/>
    <w:basedOn w:val="Normal"/>
    <w:rsid w:val="00304DE7"/>
    <w:pPr>
      <w:tabs>
        <w:tab w:val="center" w:pos="4320"/>
        <w:tab w:val="right" w:pos="8640"/>
      </w:tabs>
    </w:pPr>
  </w:style>
  <w:style w:type="character" w:customStyle="1" w:styleId="FooterChar">
    <w:name w:val="Footer Char"/>
    <w:basedOn w:val="DefaultParagraphFont"/>
    <w:link w:val="Footer"/>
    <w:rsid w:val="00347845"/>
    <w:rPr>
      <w:sz w:val="24"/>
      <w:szCs w:val="24"/>
    </w:rPr>
  </w:style>
  <w:style w:type="character" w:customStyle="1" w:styleId="BodyTextChar">
    <w:name w:val="Body Text Char"/>
    <w:basedOn w:val="DefaultParagraphFont"/>
    <w:link w:val="BodyText"/>
    <w:rsid w:val="00347845"/>
    <w:rPr>
      <w:sz w:val="26"/>
    </w:rPr>
  </w:style>
  <w:style w:type="paragraph" w:styleId="ListParagraph">
    <w:name w:val="List Paragraph"/>
    <w:basedOn w:val="Normal"/>
    <w:uiPriority w:val="34"/>
    <w:qFormat/>
    <w:rsid w:val="00324B58"/>
    <w:pPr>
      <w:ind w:left="720"/>
      <w:contextualSpacing/>
    </w:pPr>
  </w:style>
  <w:style w:type="paragraph" w:styleId="BalloonText">
    <w:name w:val="Balloon Text"/>
    <w:basedOn w:val="Normal"/>
    <w:link w:val="BalloonTextChar"/>
    <w:rsid w:val="00B056E3"/>
    <w:rPr>
      <w:rFonts w:ascii="Tahoma" w:hAnsi="Tahoma" w:cs="Tahoma"/>
      <w:sz w:val="16"/>
      <w:szCs w:val="16"/>
    </w:rPr>
  </w:style>
  <w:style w:type="character" w:customStyle="1" w:styleId="BalloonTextChar">
    <w:name w:val="Balloon Text Char"/>
    <w:basedOn w:val="DefaultParagraphFont"/>
    <w:link w:val="BalloonText"/>
    <w:rsid w:val="00B056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semiHidden/>
    <w:rsid w:val="009540A4"/>
    <w:rPr>
      <w:sz w:val="20"/>
      <w:szCs w:val="20"/>
    </w:rPr>
  </w:style>
  <w:style w:type="character" w:styleId="FootnoteReference">
    <w:name w:val="footnote reference"/>
    <w:basedOn w:val="DefaultParagraphFont"/>
    <w:semiHidden/>
    <w:rsid w:val="009540A4"/>
    <w:rPr>
      <w:vertAlign w:val="superscript"/>
    </w:rPr>
  </w:style>
  <w:style w:type="paragraph" w:styleId="Header">
    <w:name w:val="header"/>
    <w:basedOn w:val="Normal"/>
    <w:rsid w:val="00304DE7"/>
    <w:pPr>
      <w:tabs>
        <w:tab w:val="center" w:pos="4320"/>
        <w:tab w:val="right" w:pos="8640"/>
      </w:tabs>
    </w:pPr>
  </w:style>
  <w:style w:type="character" w:customStyle="1" w:styleId="FooterChar">
    <w:name w:val="Footer Char"/>
    <w:basedOn w:val="DefaultParagraphFont"/>
    <w:link w:val="Footer"/>
    <w:rsid w:val="00347845"/>
    <w:rPr>
      <w:sz w:val="24"/>
      <w:szCs w:val="24"/>
    </w:rPr>
  </w:style>
  <w:style w:type="character" w:customStyle="1" w:styleId="BodyTextChar">
    <w:name w:val="Body Text Char"/>
    <w:basedOn w:val="DefaultParagraphFont"/>
    <w:link w:val="BodyText"/>
    <w:rsid w:val="00347845"/>
    <w:rPr>
      <w:sz w:val="26"/>
    </w:rPr>
  </w:style>
  <w:style w:type="paragraph" w:styleId="ListParagraph">
    <w:name w:val="List Paragraph"/>
    <w:basedOn w:val="Normal"/>
    <w:uiPriority w:val="34"/>
    <w:qFormat/>
    <w:rsid w:val="00324B58"/>
    <w:pPr>
      <w:ind w:left="720"/>
      <w:contextualSpacing/>
    </w:pPr>
  </w:style>
  <w:style w:type="paragraph" w:styleId="BalloonText">
    <w:name w:val="Balloon Text"/>
    <w:basedOn w:val="Normal"/>
    <w:link w:val="BalloonTextChar"/>
    <w:rsid w:val="00B056E3"/>
    <w:rPr>
      <w:rFonts w:ascii="Tahoma" w:hAnsi="Tahoma" w:cs="Tahoma"/>
      <w:sz w:val="16"/>
      <w:szCs w:val="16"/>
    </w:rPr>
  </w:style>
  <w:style w:type="character" w:customStyle="1" w:styleId="BalloonTextChar">
    <w:name w:val="Balloon Text Char"/>
    <w:basedOn w:val="DefaultParagraphFont"/>
    <w:link w:val="BalloonText"/>
    <w:rsid w:val="00B056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13</cp:revision>
  <cp:lastPrinted>2012-06-06T13:37:00Z</cp:lastPrinted>
  <dcterms:created xsi:type="dcterms:W3CDTF">2012-06-05T19:11:00Z</dcterms:created>
  <dcterms:modified xsi:type="dcterms:W3CDTF">2012-06-06T13:38:00Z</dcterms:modified>
</cp:coreProperties>
</file>