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r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E00F6E" w:rsidP="00964AD0">
      <w:pPr>
        <w:jc w:val="right"/>
        <w:rPr>
          <w:szCs w:val="26"/>
        </w:rPr>
      </w:pPr>
      <w:r w:rsidRPr="003472DA">
        <w:rPr>
          <w:szCs w:val="26"/>
        </w:rPr>
        <w:t xml:space="preserve">Public Meeting held </w:t>
      </w:r>
      <w:r w:rsidR="0024045B">
        <w:rPr>
          <w:szCs w:val="26"/>
        </w:rPr>
        <w:t>June 21</w:t>
      </w:r>
      <w:r w:rsidR="00764FDB">
        <w:rPr>
          <w:szCs w:val="26"/>
        </w:rPr>
        <w:t>, 201</w:t>
      </w:r>
      <w:r w:rsidR="009737E6">
        <w:rPr>
          <w:szCs w:val="26"/>
        </w:rPr>
        <w:t>2</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ind w:firstLine="720"/>
        <w:rPr>
          <w:szCs w:val="26"/>
        </w:rPr>
      </w:pPr>
      <w:r w:rsidRPr="003472DA">
        <w:rPr>
          <w:szCs w:val="26"/>
        </w:rPr>
        <w:t>Wayne E. Gardner</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r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Pr="005625F5" w:rsidRDefault="00B23CA3" w:rsidP="00F94F57">
            <w:pPr>
              <w:tabs>
                <w:tab w:val="left" w:pos="330"/>
              </w:tabs>
              <w:ind w:left="720" w:right="-720" w:hanging="720"/>
              <w:rPr>
                <w:szCs w:val="26"/>
              </w:rPr>
            </w:pPr>
          </w:p>
          <w:p w:rsidR="007B6A3C" w:rsidRPr="005625F5" w:rsidRDefault="0024045B" w:rsidP="00F94F57">
            <w:pPr>
              <w:tabs>
                <w:tab w:val="left" w:pos="330"/>
              </w:tabs>
              <w:ind w:left="720" w:right="-720" w:hanging="720"/>
              <w:rPr>
                <w:szCs w:val="26"/>
              </w:rPr>
            </w:pPr>
            <w:r w:rsidRPr="005625F5">
              <w:rPr>
                <w:szCs w:val="26"/>
              </w:rPr>
              <w:t>James Munro</w:t>
            </w:r>
          </w:p>
          <w:p w:rsidR="007B6A3C" w:rsidRPr="005625F5" w:rsidRDefault="007B6A3C" w:rsidP="00F94F57">
            <w:pPr>
              <w:tabs>
                <w:tab w:val="left" w:pos="330"/>
              </w:tabs>
              <w:ind w:left="720" w:right="-720" w:hanging="720"/>
              <w:rPr>
                <w:szCs w:val="26"/>
              </w:rPr>
            </w:pPr>
          </w:p>
          <w:p w:rsidR="007B6A3C" w:rsidRPr="005625F5" w:rsidRDefault="00DB7CBC" w:rsidP="00F94F57">
            <w:pPr>
              <w:tabs>
                <w:tab w:val="left" w:pos="330"/>
              </w:tabs>
              <w:ind w:left="720" w:right="-720" w:hanging="720"/>
              <w:rPr>
                <w:szCs w:val="26"/>
              </w:rPr>
            </w:pPr>
            <w:r w:rsidRPr="005625F5">
              <w:rPr>
                <w:szCs w:val="26"/>
              </w:rPr>
              <w:tab/>
            </w:r>
            <w:r w:rsidR="007B6A3C" w:rsidRPr="005625F5">
              <w:rPr>
                <w:szCs w:val="26"/>
              </w:rPr>
              <w:t>v.</w:t>
            </w:r>
          </w:p>
          <w:p w:rsidR="007B6A3C" w:rsidRPr="005625F5" w:rsidRDefault="007B6A3C" w:rsidP="00F94F57">
            <w:pPr>
              <w:tabs>
                <w:tab w:val="left" w:pos="330"/>
              </w:tabs>
              <w:ind w:left="720" w:right="-720" w:hanging="720"/>
              <w:rPr>
                <w:szCs w:val="26"/>
              </w:rPr>
            </w:pPr>
          </w:p>
          <w:p w:rsidR="009737E6" w:rsidRPr="005625F5" w:rsidRDefault="009737E6" w:rsidP="004A5231">
            <w:pPr>
              <w:tabs>
                <w:tab w:val="left" w:pos="330"/>
              </w:tabs>
              <w:ind w:left="720" w:right="-720" w:hanging="720"/>
              <w:rPr>
                <w:szCs w:val="26"/>
              </w:rPr>
            </w:pPr>
            <w:r w:rsidRPr="005625F5">
              <w:rPr>
                <w:szCs w:val="26"/>
              </w:rPr>
              <w:t>PECO Energy Company</w:t>
            </w:r>
          </w:p>
        </w:tc>
        <w:tc>
          <w:tcPr>
            <w:tcW w:w="2700" w:type="dxa"/>
          </w:tcPr>
          <w:p w:rsidR="00671438" w:rsidRPr="0024045B" w:rsidRDefault="00671438" w:rsidP="00F94F57">
            <w:pPr>
              <w:ind w:right="-720"/>
              <w:rPr>
                <w:b/>
                <w:szCs w:val="26"/>
              </w:rPr>
            </w:pPr>
          </w:p>
          <w:p w:rsidR="00E00F6E" w:rsidRPr="0024045B" w:rsidRDefault="00AD144A" w:rsidP="009737E6">
            <w:pPr>
              <w:tabs>
                <w:tab w:val="left" w:pos="792"/>
              </w:tabs>
              <w:ind w:right="-720"/>
              <w:rPr>
                <w:szCs w:val="26"/>
              </w:rPr>
            </w:pPr>
            <w:r w:rsidRPr="0024045B">
              <w:rPr>
                <w:b/>
                <w:szCs w:val="26"/>
              </w:rPr>
              <w:t xml:space="preserve">            </w:t>
            </w:r>
            <w:r w:rsidR="007B6A3C" w:rsidRPr="0024045B">
              <w:rPr>
                <w:szCs w:val="26"/>
              </w:rPr>
              <w:t>C-20</w:t>
            </w:r>
            <w:r w:rsidR="009737E6" w:rsidRPr="0024045B">
              <w:rPr>
                <w:szCs w:val="26"/>
              </w:rPr>
              <w:t>10</w:t>
            </w:r>
            <w:r w:rsidR="007B6A3C" w:rsidRPr="0024045B">
              <w:rPr>
                <w:szCs w:val="26"/>
              </w:rPr>
              <w:t>-</w:t>
            </w:r>
            <w:r w:rsidR="009737E6" w:rsidRPr="0024045B">
              <w:rPr>
                <w:szCs w:val="26"/>
              </w:rPr>
              <w:t>2</w:t>
            </w:r>
            <w:r w:rsidR="0024045B">
              <w:rPr>
                <w:szCs w:val="26"/>
              </w:rPr>
              <w:t>214718</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9737E6">
            <w:pPr>
              <w:ind w:right="-720"/>
              <w:rPr>
                <w:b/>
                <w:szCs w:val="26"/>
              </w:rPr>
            </w:pPr>
            <w:r w:rsidRPr="0024045B">
              <w:rPr>
                <w:b/>
                <w:szCs w:val="26"/>
              </w:rPr>
              <w:t xml:space="preserve">            </w:t>
            </w:r>
          </w:p>
          <w:p w:rsidR="009737E6" w:rsidRPr="0024045B" w:rsidRDefault="009737E6" w:rsidP="0024045B">
            <w:pPr>
              <w:ind w:left="792" w:right="-720" w:hanging="792"/>
              <w:rPr>
                <w:b/>
                <w:szCs w:val="26"/>
              </w:rPr>
            </w:pPr>
            <w:r w:rsidRPr="0024045B">
              <w:rPr>
                <w:b/>
                <w:szCs w:val="26"/>
              </w:rPr>
              <w:t xml:space="preserve">            </w:t>
            </w: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3C55F4"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James Munro </w:t>
      </w:r>
      <w:r w:rsidRPr="00571F5C">
        <w:rPr>
          <w:szCs w:val="26"/>
        </w:rPr>
        <w:t>(</w:t>
      </w:r>
      <w:r w:rsidR="007B6A3C">
        <w:rPr>
          <w:szCs w:val="26"/>
        </w:rPr>
        <w:t>Complainant</w:t>
      </w:r>
      <w:r w:rsidRPr="00571F5C">
        <w:rPr>
          <w:szCs w:val="26"/>
        </w:rPr>
        <w:t>)</w:t>
      </w:r>
      <w:r w:rsidR="00611B06">
        <w:rPr>
          <w:szCs w:val="26"/>
        </w:rPr>
        <w:t>, filed</w:t>
      </w:r>
      <w:r w:rsidR="007F5118">
        <w:rPr>
          <w:szCs w:val="26"/>
        </w:rPr>
        <w:t xml:space="preserve"> </w:t>
      </w:r>
      <w:r w:rsidRPr="00571F5C">
        <w:rPr>
          <w:szCs w:val="26"/>
        </w:rPr>
        <w:t xml:space="preserve">on </w:t>
      </w:r>
      <w:r w:rsidR="00611B06">
        <w:rPr>
          <w:szCs w:val="26"/>
        </w:rPr>
        <w:t>February 9, 2012</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611B06">
        <w:rPr>
          <w:szCs w:val="26"/>
        </w:rPr>
        <w:t>Eranda Vero</w:t>
      </w:r>
      <w:r w:rsidR="00101D54">
        <w:rPr>
          <w:szCs w:val="26"/>
        </w:rPr>
        <w:t>,</w:t>
      </w:r>
      <w:r w:rsidR="008F7A43">
        <w:rPr>
          <w:szCs w:val="26"/>
        </w:rPr>
        <w:t xml:space="preserve"> </w:t>
      </w:r>
      <w:r w:rsidR="00C55576">
        <w:rPr>
          <w:szCs w:val="26"/>
        </w:rPr>
        <w:t>issued</w:t>
      </w:r>
      <w:r w:rsidR="008F7A43">
        <w:rPr>
          <w:szCs w:val="26"/>
        </w:rPr>
        <w:t xml:space="preserve"> </w:t>
      </w:r>
      <w:r w:rsidR="00995B85">
        <w:rPr>
          <w:szCs w:val="26"/>
        </w:rPr>
        <w:t>January 18, 2012</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EA7E01">
        <w:rPr>
          <w:szCs w:val="26"/>
        </w:rPr>
        <w:t>PECO Energy Company</w:t>
      </w:r>
      <w:r w:rsidRPr="00571F5C">
        <w:rPr>
          <w:szCs w:val="26"/>
        </w:rPr>
        <w:t xml:space="preserve"> (</w:t>
      </w:r>
      <w:r w:rsidR="00EA7E01">
        <w:rPr>
          <w:szCs w:val="26"/>
        </w:rPr>
        <w:t>PECO</w:t>
      </w:r>
      <w:r w:rsidRPr="00571F5C">
        <w:rPr>
          <w:szCs w:val="26"/>
        </w:rPr>
        <w:t xml:space="preserve">) </w:t>
      </w:r>
      <w:r w:rsidR="00B47B46">
        <w:rPr>
          <w:szCs w:val="26"/>
        </w:rPr>
        <w:t xml:space="preserve">filed Replies to Exceptions </w:t>
      </w:r>
      <w:r w:rsidRPr="00571F5C">
        <w:rPr>
          <w:szCs w:val="26"/>
        </w:rPr>
        <w:t xml:space="preserve">on </w:t>
      </w:r>
      <w:r w:rsidR="00EA7E01">
        <w:rPr>
          <w:szCs w:val="26"/>
        </w:rPr>
        <w:t>February 17, 2012</w:t>
      </w:r>
      <w:r w:rsidRPr="00571F5C">
        <w:rPr>
          <w:szCs w:val="26"/>
        </w:rPr>
        <w:t>.</w:t>
      </w:r>
      <w:r w:rsidR="00D76068">
        <w:rPr>
          <w:szCs w:val="26"/>
        </w:rPr>
        <w:t xml:space="preserve">  For the reasons set forth herein, </w:t>
      </w:r>
      <w:r w:rsidR="00D76068" w:rsidRPr="00E33B53">
        <w:rPr>
          <w:szCs w:val="26"/>
        </w:rPr>
        <w:t>we shall</w:t>
      </w:r>
      <w:r w:rsidR="003C55F4">
        <w:rPr>
          <w:szCs w:val="26"/>
        </w:rPr>
        <w:t xml:space="preserve"> </w:t>
      </w:r>
      <w:r w:rsidR="009962A4">
        <w:rPr>
          <w:szCs w:val="26"/>
        </w:rPr>
        <w:t>grant</w:t>
      </w:r>
      <w:r w:rsidR="003C55F4">
        <w:rPr>
          <w:szCs w:val="26"/>
        </w:rPr>
        <w:t xml:space="preserve"> the Complainant’s Exceptions</w:t>
      </w:r>
      <w:r w:rsidR="009962A4">
        <w:rPr>
          <w:szCs w:val="26"/>
        </w:rPr>
        <w:t>, in part, deny the Complainant’s Exceptions, in part,</w:t>
      </w:r>
      <w:r w:rsidR="003C55F4">
        <w:rPr>
          <w:szCs w:val="26"/>
        </w:rPr>
        <w:t xml:space="preserve"> and modify the Initial Decision consistent with the discussion in this Opinion and Order.  </w:t>
      </w:r>
    </w:p>
    <w:p w:rsidR="003C55F4" w:rsidRDefault="003C55F4" w:rsidP="003C55F4">
      <w:pPr>
        <w:spacing w:line="360" w:lineRule="auto"/>
        <w:ind w:firstLine="1440"/>
        <w:rPr>
          <w:szCs w:val="26"/>
        </w:rPr>
      </w:pPr>
    </w:p>
    <w:p w:rsidR="005625F5" w:rsidRDefault="005625F5" w:rsidP="003C55F4">
      <w:pPr>
        <w:spacing w:line="360" w:lineRule="auto"/>
        <w:ind w:firstLine="1440"/>
        <w:rPr>
          <w:szCs w:val="26"/>
        </w:rPr>
      </w:pPr>
    </w:p>
    <w:p w:rsidR="00524BED" w:rsidRDefault="00524BED" w:rsidP="003C55F4">
      <w:pPr>
        <w:spacing w:line="360" w:lineRule="auto"/>
        <w:ind w:left="720" w:hanging="720"/>
        <w:jc w:val="center"/>
        <w:rPr>
          <w:b/>
          <w:szCs w:val="26"/>
        </w:rPr>
      </w:pPr>
      <w:r>
        <w:rPr>
          <w:b/>
          <w:szCs w:val="26"/>
        </w:rPr>
        <w:lastRenderedPageBreak/>
        <w:t>History of the Proceeding</w:t>
      </w:r>
    </w:p>
    <w:p w:rsidR="00567496" w:rsidRDefault="00567496" w:rsidP="00524BED">
      <w:pPr>
        <w:spacing w:line="360" w:lineRule="auto"/>
        <w:rPr>
          <w:szCs w:val="26"/>
        </w:rPr>
      </w:pPr>
    </w:p>
    <w:p w:rsidR="007B5775" w:rsidRPr="007B5775" w:rsidRDefault="007B5775" w:rsidP="007B5775">
      <w:pPr>
        <w:autoSpaceDE w:val="0"/>
        <w:autoSpaceDN w:val="0"/>
        <w:spacing w:line="360" w:lineRule="auto"/>
        <w:ind w:firstLine="1440"/>
        <w:rPr>
          <w:szCs w:val="24"/>
        </w:rPr>
      </w:pPr>
      <w:r w:rsidRPr="007B5775">
        <w:rPr>
          <w:szCs w:val="24"/>
        </w:rPr>
        <w:t xml:space="preserve">On December 7, 2010, </w:t>
      </w:r>
      <w:r w:rsidR="0019507A">
        <w:rPr>
          <w:szCs w:val="24"/>
        </w:rPr>
        <w:t xml:space="preserve">the Complainant </w:t>
      </w:r>
      <w:r w:rsidRPr="007B5775">
        <w:rPr>
          <w:szCs w:val="24"/>
        </w:rPr>
        <w:t xml:space="preserve">filed a </w:t>
      </w:r>
      <w:r w:rsidR="0019507A">
        <w:rPr>
          <w:szCs w:val="24"/>
        </w:rPr>
        <w:t>F</w:t>
      </w:r>
      <w:r w:rsidRPr="007B5775">
        <w:rPr>
          <w:szCs w:val="24"/>
        </w:rPr>
        <w:t>ormal Complaint (Complaint) against PECO</w:t>
      </w:r>
      <w:r w:rsidR="0019507A">
        <w:rPr>
          <w:szCs w:val="24"/>
        </w:rPr>
        <w:t>,</w:t>
      </w:r>
      <w:r w:rsidRPr="007B5775">
        <w:rPr>
          <w:szCs w:val="24"/>
        </w:rPr>
        <w:t xml:space="preserve"> alleging that there </w:t>
      </w:r>
      <w:r w:rsidR="0019507A">
        <w:rPr>
          <w:szCs w:val="24"/>
        </w:rPr>
        <w:t>we</w:t>
      </w:r>
      <w:r w:rsidRPr="007B5775">
        <w:rPr>
          <w:szCs w:val="24"/>
        </w:rPr>
        <w:t>re incorrect charges on his electric bill</w:t>
      </w:r>
      <w:r w:rsidR="00F25A94">
        <w:rPr>
          <w:szCs w:val="24"/>
        </w:rPr>
        <w:t>.</w:t>
      </w:r>
      <w:r w:rsidR="0019507A">
        <w:rPr>
          <w:szCs w:val="24"/>
        </w:rPr>
        <w:t xml:space="preserve"> </w:t>
      </w:r>
      <w:r w:rsidR="00F25A94">
        <w:rPr>
          <w:szCs w:val="24"/>
        </w:rPr>
        <w:t xml:space="preserve"> He indicated that he was disputing </w:t>
      </w:r>
      <w:r w:rsidRPr="007B5775">
        <w:rPr>
          <w:szCs w:val="24"/>
        </w:rPr>
        <w:t>$3,612 of the past due amount.  Complaint</w:t>
      </w:r>
      <w:r w:rsidR="00F25A94">
        <w:rPr>
          <w:szCs w:val="24"/>
        </w:rPr>
        <w:t xml:space="preserve"> at</w:t>
      </w:r>
      <w:r w:rsidRPr="007B5775">
        <w:rPr>
          <w:szCs w:val="24"/>
        </w:rPr>
        <w:t xml:space="preserve"> ¶ 5. </w:t>
      </w:r>
    </w:p>
    <w:p w:rsidR="007B5775" w:rsidRPr="007B5775" w:rsidRDefault="007B5775" w:rsidP="007B5775">
      <w:pPr>
        <w:autoSpaceDE w:val="0"/>
        <w:autoSpaceDN w:val="0"/>
        <w:spacing w:line="360" w:lineRule="auto"/>
        <w:ind w:firstLine="1440"/>
        <w:rPr>
          <w:szCs w:val="24"/>
        </w:rPr>
      </w:pPr>
    </w:p>
    <w:p w:rsidR="007B5775" w:rsidRPr="007B5775" w:rsidRDefault="007B5775" w:rsidP="007B5775">
      <w:pPr>
        <w:autoSpaceDE w:val="0"/>
        <w:autoSpaceDN w:val="0"/>
        <w:spacing w:line="360" w:lineRule="auto"/>
        <w:ind w:firstLine="1440"/>
        <w:rPr>
          <w:szCs w:val="24"/>
        </w:rPr>
      </w:pPr>
      <w:r w:rsidRPr="007B5775">
        <w:rPr>
          <w:szCs w:val="24"/>
        </w:rPr>
        <w:t xml:space="preserve">On January 3, 2011, </w:t>
      </w:r>
      <w:r w:rsidR="002B3DF1">
        <w:rPr>
          <w:szCs w:val="24"/>
        </w:rPr>
        <w:t>PECO</w:t>
      </w:r>
      <w:r w:rsidRPr="007B5775">
        <w:rPr>
          <w:szCs w:val="24"/>
        </w:rPr>
        <w:t xml:space="preserve"> filed a Preliminary Objection, averring that </w:t>
      </w:r>
      <w:r w:rsidR="002B3DF1">
        <w:rPr>
          <w:szCs w:val="24"/>
        </w:rPr>
        <w:t>the</w:t>
      </w:r>
      <w:r w:rsidRPr="007B5775">
        <w:rPr>
          <w:szCs w:val="24"/>
        </w:rPr>
        <w:t xml:space="preserve"> Complaint lacked specificity and requesting that </w:t>
      </w:r>
      <w:r w:rsidR="002B3DF1">
        <w:rPr>
          <w:szCs w:val="24"/>
        </w:rPr>
        <w:t xml:space="preserve">the </w:t>
      </w:r>
      <w:r w:rsidRPr="007B5775">
        <w:rPr>
          <w:szCs w:val="24"/>
        </w:rPr>
        <w:t>Complainant file an amended complaint.</w:t>
      </w:r>
      <w:r w:rsidR="002B3DF1">
        <w:rPr>
          <w:szCs w:val="24"/>
        </w:rPr>
        <w:t xml:space="preserve">  </w:t>
      </w:r>
      <w:r w:rsidRPr="007B5775">
        <w:rPr>
          <w:szCs w:val="24"/>
        </w:rPr>
        <w:t xml:space="preserve">By letter dated January 11, 2011, </w:t>
      </w:r>
      <w:r w:rsidR="00AB5132">
        <w:rPr>
          <w:szCs w:val="24"/>
        </w:rPr>
        <w:t xml:space="preserve">the </w:t>
      </w:r>
      <w:r w:rsidRPr="007B5775">
        <w:rPr>
          <w:szCs w:val="24"/>
        </w:rPr>
        <w:t xml:space="preserve">Complainant submitted additional information in response to </w:t>
      </w:r>
      <w:r w:rsidR="00AB5132">
        <w:rPr>
          <w:szCs w:val="24"/>
        </w:rPr>
        <w:t>PECO</w:t>
      </w:r>
      <w:r w:rsidRPr="007B5775">
        <w:rPr>
          <w:szCs w:val="24"/>
        </w:rPr>
        <w:t xml:space="preserve">’s Preliminary Objection.  In his response, </w:t>
      </w:r>
      <w:r w:rsidR="00AB5132">
        <w:rPr>
          <w:szCs w:val="24"/>
        </w:rPr>
        <w:t xml:space="preserve">the Complainant stated </w:t>
      </w:r>
      <w:r w:rsidRPr="007B5775">
        <w:rPr>
          <w:szCs w:val="24"/>
        </w:rPr>
        <w:t>that</w:t>
      </w:r>
      <w:r w:rsidR="00AB5132">
        <w:rPr>
          <w:szCs w:val="24"/>
        </w:rPr>
        <w:t>,</w:t>
      </w:r>
      <w:r w:rsidRPr="007B5775">
        <w:rPr>
          <w:szCs w:val="24"/>
        </w:rPr>
        <w:t xml:space="preserve"> </w:t>
      </w:r>
      <w:r w:rsidR="00AB5132">
        <w:rPr>
          <w:szCs w:val="24"/>
        </w:rPr>
        <w:t>o</w:t>
      </w:r>
      <w:r w:rsidRPr="007B5775">
        <w:rPr>
          <w:szCs w:val="24"/>
        </w:rPr>
        <w:t>n or about 1989</w:t>
      </w:r>
      <w:r w:rsidR="00AB5132">
        <w:rPr>
          <w:szCs w:val="24"/>
        </w:rPr>
        <w:t>,</w:t>
      </w:r>
      <w:r w:rsidRPr="007B5775">
        <w:rPr>
          <w:szCs w:val="24"/>
        </w:rPr>
        <w:t xml:space="preserve"> he sol</w:t>
      </w:r>
      <w:r w:rsidR="00AB5132">
        <w:rPr>
          <w:szCs w:val="24"/>
        </w:rPr>
        <w:t>d</w:t>
      </w:r>
      <w:r w:rsidRPr="007B5775">
        <w:rPr>
          <w:szCs w:val="24"/>
        </w:rPr>
        <w:t xml:space="preserve"> </w:t>
      </w:r>
      <w:r w:rsidR="00AB5132">
        <w:rPr>
          <w:szCs w:val="24"/>
        </w:rPr>
        <w:t>a</w:t>
      </w:r>
      <w:r w:rsidRPr="007B5775">
        <w:rPr>
          <w:szCs w:val="24"/>
        </w:rPr>
        <w:t xml:space="preserve"> property at 1902 Weatherstone Drive, Paoli, P</w:t>
      </w:r>
      <w:r w:rsidR="00AB5132">
        <w:rPr>
          <w:szCs w:val="24"/>
        </w:rPr>
        <w:t>ennsylvania</w:t>
      </w:r>
      <w:r w:rsidRPr="007B5775">
        <w:rPr>
          <w:szCs w:val="24"/>
        </w:rPr>
        <w:t xml:space="preserve">.  </w:t>
      </w:r>
      <w:r w:rsidR="00AB5132">
        <w:rPr>
          <w:szCs w:val="24"/>
        </w:rPr>
        <w:t>According to the Complainant, t</w:t>
      </w:r>
      <w:r w:rsidRPr="007B5775">
        <w:rPr>
          <w:szCs w:val="24"/>
        </w:rPr>
        <w:t xml:space="preserve">he settlement sheet included a balance due to PECO of approximately $200 </w:t>
      </w:r>
      <w:r w:rsidR="00AB5132">
        <w:rPr>
          <w:szCs w:val="24"/>
        </w:rPr>
        <w:t>t</w:t>
      </w:r>
      <w:r w:rsidRPr="007B5775">
        <w:rPr>
          <w:szCs w:val="24"/>
        </w:rPr>
        <w:t>h</w:t>
      </w:r>
      <w:r w:rsidR="00AB5132">
        <w:rPr>
          <w:szCs w:val="24"/>
        </w:rPr>
        <w:t>at</w:t>
      </w:r>
      <w:r w:rsidRPr="007B5775">
        <w:rPr>
          <w:szCs w:val="24"/>
        </w:rPr>
        <w:t xml:space="preserve"> was to be paid by the buyer.  </w:t>
      </w:r>
      <w:r w:rsidR="00AB5132">
        <w:rPr>
          <w:szCs w:val="24"/>
        </w:rPr>
        <w:t xml:space="preserve">The </w:t>
      </w:r>
      <w:r w:rsidRPr="007B5775">
        <w:rPr>
          <w:szCs w:val="24"/>
        </w:rPr>
        <w:t>Complainant averred that that old balance had grown through the years to $3,829.03</w:t>
      </w:r>
      <w:r w:rsidR="00AB5132">
        <w:rPr>
          <w:szCs w:val="24"/>
        </w:rPr>
        <w:t>,</w:t>
      </w:r>
      <w:r w:rsidRPr="007B5775">
        <w:rPr>
          <w:szCs w:val="24"/>
          <w:vertAlign w:val="superscript"/>
        </w:rPr>
        <w:footnoteReference w:id="1"/>
      </w:r>
      <w:r w:rsidRPr="007B5775">
        <w:rPr>
          <w:szCs w:val="24"/>
        </w:rPr>
        <w:t xml:space="preserve"> mainly as a result of interest and penalties.  </w:t>
      </w:r>
      <w:r w:rsidR="00AB5132">
        <w:rPr>
          <w:szCs w:val="24"/>
        </w:rPr>
        <w:t>He</w:t>
      </w:r>
      <w:r w:rsidRPr="007B5775">
        <w:rPr>
          <w:szCs w:val="24"/>
        </w:rPr>
        <w:t xml:space="preserve"> disputed the $3,829.03 amount and </w:t>
      </w:r>
      <w:r w:rsidR="00AB5132">
        <w:rPr>
          <w:szCs w:val="24"/>
        </w:rPr>
        <w:t>indicated</w:t>
      </w:r>
      <w:r w:rsidRPr="007B5775">
        <w:rPr>
          <w:szCs w:val="24"/>
        </w:rPr>
        <w:t xml:space="preserve"> </w:t>
      </w:r>
      <w:r w:rsidR="00AB5132">
        <w:rPr>
          <w:szCs w:val="24"/>
        </w:rPr>
        <w:t xml:space="preserve">that he was </w:t>
      </w:r>
      <w:r w:rsidRPr="007B5775">
        <w:rPr>
          <w:szCs w:val="24"/>
        </w:rPr>
        <w:t>willing to pay the original balance.</w:t>
      </w:r>
      <w:r w:rsidR="00AB5132">
        <w:rPr>
          <w:szCs w:val="24"/>
        </w:rPr>
        <w:t xml:space="preserve">  </w:t>
      </w:r>
    </w:p>
    <w:p w:rsidR="007B5775" w:rsidRPr="007B5775" w:rsidRDefault="007B5775" w:rsidP="007B5775">
      <w:pPr>
        <w:autoSpaceDE w:val="0"/>
        <w:autoSpaceDN w:val="0"/>
        <w:spacing w:line="360" w:lineRule="auto"/>
        <w:ind w:firstLine="1440"/>
        <w:rPr>
          <w:szCs w:val="24"/>
        </w:rPr>
      </w:pPr>
    </w:p>
    <w:p w:rsidR="007B5775" w:rsidRDefault="007B5775" w:rsidP="007B5775">
      <w:pPr>
        <w:autoSpaceDE w:val="0"/>
        <w:autoSpaceDN w:val="0"/>
        <w:spacing w:line="360" w:lineRule="auto"/>
        <w:ind w:firstLine="1440"/>
        <w:rPr>
          <w:szCs w:val="24"/>
        </w:rPr>
      </w:pPr>
      <w:r w:rsidRPr="007B5775">
        <w:rPr>
          <w:szCs w:val="24"/>
        </w:rPr>
        <w:t xml:space="preserve">On February 4, 2011, </w:t>
      </w:r>
      <w:r w:rsidR="00265908">
        <w:rPr>
          <w:szCs w:val="24"/>
        </w:rPr>
        <w:t>ALJ Vero</w:t>
      </w:r>
      <w:r w:rsidRPr="007B5775">
        <w:rPr>
          <w:szCs w:val="24"/>
        </w:rPr>
        <w:t xml:space="preserve"> issued an Order denying </w:t>
      </w:r>
      <w:r w:rsidR="00265908">
        <w:rPr>
          <w:szCs w:val="24"/>
        </w:rPr>
        <w:t>PECO</w:t>
      </w:r>
      <w:r w:rsidRPr="007B5775">
        <w:rPr>
          <w:szCs w:val="24"/>
        </w:rPr>
        <w:t xml:space="preserve">’s Preliminary Objection, and ordering PECO to file an Answer to </w:t>
      </w:r>
      <w:r w:rsidR="00265908">
        <w:rPr>
          <w:szCs w:val="24"/>
        </w:rPr>
        <w:t>the</w:t>
      </w:r>
      <w:r w:rsidRPr="007B5775">
        <w:rPr>
          <w:szCs w:val="24"/>
        </w:rPr>
        <w:t xml:space="preserve"> Complaint, as amended by the </w:t>
      </w:r>
      <w:r w:rsidR="00265908">
        <w:rPr>
          <w:szCs w:val="24"/>
        </w:rPr>
        <w:t xml:space="preserve">Complainant’s </w:t>
      </w:r>
      <w:r w:rsidRPr="007B5775">
        <w:rPr>
          <w:szCs w:val="24"/>
        </w:rPr>
        <w:t>letter dated January 11, 2011, within twenty days of the issuance of the Order.</w:t>
      </w:r>
    </w:p>
    <w:p w:rsidR="00882007" w:rsidRPr="007B5775" w:rsidRDefault="00882007" w:rsidP="007B5775">
      <w:pPr>
        <w:autoSpaceDE w:val="0"/>
        <w:autoSpaceDN w:val="0"/>
        <w:spacing w:line="360" w:lineRule="auto"/>
        <w:ind w:firstLine="1440"/>
        <w:rPr>
          <w:szCs w:val="24"/>
        </w:rPr>
      </w:pPr>
    </w:p>
    <w:p w:rsidR="00075FD6" w:rsidRDefault="00A65E36" w:rsidP="007B5775">
      <w:pPr>
        <w:autoSpaceDE w:val="0"/>
        <w:autoSpaceDN w:val="0"/>
        <w:spacing w:line="360" w:lineRule="auto"/>
        <w:ind w:firstLine="1440"/>
        <w:rPr>
          <w:szCs w:val="24"/>
        </w:rPr>
      </w:pPr>
      <w:r>
        <w:rPr>
          <w:szCs w:val="24"/>
        </w:rPr>
        <w:t xml:space="preserve">PECO filed an Answer and New Matter on </w:t>
      </w:r>
      <w:r w:rsidR="007B5775" w:rsidRPr="007B5775">
        <w:rPr>
          <w:szCs w:val="24"/>
        </w:rPr>
        <w:t xml:space="preserve">January 31, 2011.  In its New Matter, </w:t>
      </w:r>
      <w:r>
        <w:rPr>
          <w:szCs w:val="24"/>
        </w:rPr>
        <w:t>PECO</w:t>
      </w:r>
      <w:r w:rsidR="007B5775" w:rsidRPr="007B5775">
        <w:rPr>
          <w:szCs w:val="24"/>
        </w:rPr>
        <w:t xml:space="preserve"> averred that </w:t>
      </w:r>
      <w:r>
        <w:rPr>
          <w:szCs w:val="24"/>
        </w:rPr>
        <w:t xml:space="preserve">the </w:t>
      </w:r>
      <w:r w:rsidR="007B5775" w:rsidRPr="007B5775">
        <w:rPr>
          <w:szCs w:val="24"/>
        </w:rPr>
        <w:t xml:space="preserve">Complainant </w:t>
      </w:r>
      <w:r>
        <w:rPr>
          <w:szCs w:val="24"/>
        </w:rPr>
        <w:t>wa</w:t>
      </w:r>
      <w:r w:rsidR="007B5775" w:rsidRPr="007B5775">
        <w:rPr>
          <w:szCs w:val="24"/>
        </w:rPr>
        <w:t xml:space="preserve">s improperly attempting to dispute charges for which he previously admitted liability; that PECO properly credited the Complainant’s account for all payments made; </w:t>
      </w:r>
      <w:r>
        <w:rPr>
          <w:szCs w:val="24"/>
        </w:rPr>
        <w:t xml:space="preserve">and </w:t>
      </w:r>
      <w:r w:rsidR="007B5775" w:rsidRPr="007B5775">
        <w:rPr>
          <w:szCs w:val="24"/>
        </w:rPr>
        <w:t>that</w:t>
      </w:r>
      <w:r>
        <w:rPr>
          <w:szCs w:val="24"/>
        </w:rPr>
        <w:t>,</w:t>
      </w:r>
      <w:r w:rsidR="007B5775" w:rsidRPr="007B5775">
        <w:rPr>
          <w:szCs w:val="24"/>
        </w:rPr>
        <w:t xml:space="preserve"> absent a change in income, </w:t>
      </w:r>
      <w:r>
        <w:rPr>
          <w:szCs w:val="24"/>
        </w:rPr>
        <w:t xml:space="preserve">the </w:t>
      </w:r>
      <w:r w:rsidR="007B5775" w:rsidRPr="007B5775">
        <w:rPr>
          <w:szCs w:val="24"/>
        </w:rPr>
        <w:t xml:space="preserve">Complainant </w:t>
      </w:r>
      <w:r>
        <w:rPr>
          <w:szCs w:val="24"/>
        </w:rPr>
        <w:t>wa</w:t>
      </w:r>
      <w:r w:rsidR="007B5775" w:rsidRPr="007B5775">
        <w:rPr>
          <w:szCs w:val="24"/>
        </w:rPr>
        <w:t xml:space="preserve">s not eligible for a new payment arrangement </w:t>
      </w:r>
      <w:r>
        <w:rPr>
          <w:szCs w:val="24"/>
        </w:rPr>
        <w:t>because he</w:t>
      </w:r>
      <w:r w:rsidR="007B5775" w:rsidRPr="007B5775">
        <w:rPr>
          <w:szCs w:val="24"/>
        </w:rPr>
        <w:t xml:space="preserve"> </w:t>
      </w:r>
      <w:r>
        <w:rPr>
          <w:szCs w:val="24"/>
        </w:rPr>
        <w:t xml:space="preserve">had </w:t>
      </w:r>
      <w:r w:rsidR="007B5775" w:rsidRPr="007B5775">
        <w:rPr>
          <w:szCs w:val="24"/>
        </w:rPr>
        <w:t xml:space="preserve">defaulted </w:t>
      </w:r>
      <w:r w:rsidR="007B5775" w:rsidRPr="007B5775">
        <w:rPr>
          <w:szCs w:val="24"/>
        </w:rPr>
        <w:lastRenderedPageBreak/>
        <w:t xml:space="preserve">on two </w:t>
      </w:r>
      <w:r>
        <w:rPr>
          <w:szCs w:val="24"/>
        </w:rPr>
        <w:t xml:space="preserve">prior </w:t>
      </w:r>
      <w:r w:rsidR="007B5775" w:rsidRPr="007B5775">
        <w:rPr>
          <w:szCs w:val="24"/>
        </w:rPr>
        <w:t>Commission-issued payment arrangements</w:t>
      </w:r>
      <w:r>
        <w:rPr>
          <w:szCs w:val="24"/>
        </w:rPr>
        <w:t xml:space="preserve">.  </w:t>
      </w:r>
      <w:r w:rsidR="00075FD6">
        <w:rPr>
          <w:szCs w:val="24"/>
        </w:rPr>
        <w:t xml:space="preserve">PECO also averred </w:t>
      </w:r>
      <w:r w:rsidR="007B5775" w:rsidRPr="00075FD6">
        <w:rPr>
          <w:szCs w:val="24"/>
        </w:rPr>
        <w:t>that any dispute</w:t>
      </w:r>
      <w:r w:rsidR="00075FD6">
        <w:rPr>
          <w:szCs w:val="24"/>
        </w:rPr>
        <w:t>s</w:t>
      </w:r>
      <w:r w:rsidR="007B5775" w:rsidRPr="00075FD6">
        <w:rPr>
          <w:szCs w:val="24"/>
        </w:rPr>
        <w:t xml:space="preserve"> </w:t>
      </w:r>
      <w:r w:rsidR="00075FD6">
        <w:rPr>
          <w:szCs w:val="24"/>
        </w:rPr>
        <w:t>regarding</w:t>
      </w:r>
      <w:r w:rsidR="007B5775" w:rsidRPr="00075FD6">
        <w:rPr>
          <w:szCs w:val="24"/>
        </w:rPr>
        <w:t xml:space="preserve"> billings dating more than four years prior to the filing of the Complaint </w:t>
      </w:r>
      <w:r w:rsidR="00075FD6">
        <w:rPr>
          <w:szCs w:val="24"/>
        </w:rPr>
        <w:t>were</w:t>
      </w:r>
      <w:r w:rsidR="007B5775" w:rsidRPr="00075FD6">
        <w:rPr>
          <w:szCs w:val="24"/>
        </w:rPr>
        <w:t xml:space="preserve"> barred by </w:t>
      </w:r>
      <w:r w:rsidR="00075FD6">
        <w:rPr>
          <w:szCs w:val="24"/>
        </w:rPr>
        <w:t>Section 1312 of the Public Utility Code (Code),</w:t>
      </w:r>
      <w:r w:rsidR="007B5775" w:rsidRPr="00075FD6">
        <w:rPr>
          <w:szCs w:val="24"/>
        </w:rPr>
        <w:t xml:space="preserve"> 66 Pa. C.S. </w:t>
      </w:r>
    </w:p>
    <w:p w:rsidR="007B5775" w:rsidRPr="00075FD6" w:rsidRDefault="007B5775" w:rsidP="00075FD6">
      <w:pPr>
        <w:autoSpaceDE w:val="0"/>
        <w:autoSpaceDN w:val="0"/>
        <w:spacing w:line="360" w:lineRule="auto"/>
        <w:rPr>
          <w:szCs w:val="24"/>
        </w:rPr>
      </w:pPr>
      <w:r w:rsidRPr="00075FD6">
        <w:rPr>
          <w:szCs w:val="24"/>
        </w:rPr>
        <w:t>§</w:t>
      </w:r>
      <w:r w:rsidR="00075FD6">
        <w:rPr>
          <w:szCs w:val="24"/>
        </w:rPr>
        <w:t xml:space="preserve"> </w:t>
      </w:r>
      <w:r w:rsidRPr="00075FD6">
        <w:rPr>
          <w:szCs w:val="24"/>
        </w:rPr>
        <w:t xml:space="preserve">1312; and that any disputed acts which occurred more than three years prior to the filing of the Complaint </w:t>
      </w:r>
      <w:r w:rsidR="00075FD6">
        <w:rPr>
          <w:szCs w:val="24"/>
        </w:rPr>
        <w:t>we</w:t>
      </w:r>
      <w:r w:rsidRPr="00075FD6">
        <w:rPr>
          <w:szCs w:val="24"/>
        </w:rPr>
        <w:t>re barred by</w:t>
      </w:r>
      <w:r w:rsidRPr="007B5775">
        <w:rPr>
          <w:szCs w:val="24"/>
        </w:rPr>
        <w:t xml:space="preserve"> </w:t>
      </w:r>
      <w:r w:rsidR="00075FD6">
        <w:rPr>
          <w:szCs w:val="24"/>
        </w:rPr>
        <w:t>Section 3314 of the Code,</w:t>
      </w:r>
      <w:r w:rsidRPr="007B5775">
        <w:rPr>
          <w:szCs w:val="24"/>
        </w:rPr>
        <w:t xml:space="preserve"> 66 Pa. C.S. § 3314.  New Matter </w:t>
      </w:r>
      <m:oMath>
        <m:r>
          <m:rPr>
            <m:sty m:val="p"/>
          </m:rPr>
          <w:rPr>
            <w:rFonts w:ascii="Cambria Math" w:hAnsi="Cambria Math"/>
            <w:szCs w:val="24"/>
          </w:rPr>
          <m:t>at</m:t>
        </m:r>
        <m:r>
          <w:rPr>
            <w:rFonts w:ascii="Cambria Math" w:hAnsi="Cambria Math"/>
            <w:szCs w:val="24"/>
          </w:rPr>
          <m:t xml:space="preserve"> ¶¶ </m:t>
        </m:r>
      </m:oMath>
      <w:r w:rsidRPr="00075FD6">
        <w:rPr>
          <w:szCs w:val="24"/>
        </w:rPr>
        <w:t>20-24.</w:t>
      </w:r>
      <w:r w:rsidR="00075FD6">
        <w:rPr>
          <w:szCs w:val="24"/>
        </w:rPr>
        <w:t xml:space="preserve">  </w:t>
      </w:r>
    </w:p>
    <w:p w:rsidR="007B5775" w:rsidRPr="007B5775" w:rsidRDefault="007B5775" w:rsidP="007B5775">
      <w:pPr>
        <w:autoSpaceDE w:val="0"/>
        <w:autoSpaceDN w:val="0"/>
        <w:spacing w:line="360" w:lineRule="auto"/>
        <w:ind w:firstLine="1440"/>
        <w:rPr>
          <w:szCs w:val="24"/>
        </w:rPr>
      </w:pPr>
    </w:p>
    <w:p w:rsidR="002362E6" w:rsidRDefault="002362E6" w:rsidP="007B5775">
      <w:pPr>
        <w:spacing w:line="360" w:lineRule="auto"/>
        <w:ind w:firstLine="1440"/>
        <w:rPr>
          <w:szCs w:val="24"/>
        </w:rPr>
      </w:pPr>
      <w:r>
        <w:rPr>
          <w:szCs w:val="24"/>
        </w:rPr>
        <w:t>By</w:t>
      </w:r>
      <w:r w:rsidR="007B5775" w:rsidRPr="007B5775">
        <w:rPr>
          <w:szCs w:val="24"/>
        </w:rPr>
        <w:t xml:space="preserve"> Hearing Notice dated February 8, 2011, </w:t>
      </w:r>
      <w:r>
        <w:rPr>
          <w:szCs w:val="24"/>
        </w:rPr>
        <w:t xml:space="preserve">the Parties were </w:t>
      </w:r>
      <w:r w:rsidR="007B5775" w:rsidRPr="007B5775">
        <w:rPr>
          <w:szCs w:val="24"/>
        </w:rPr>
        <w:t>notified that an initial hearing was scheduled for March 16, 2011, at 10:00 a.m.</w:t>
      </w:r>
      <w:r>
        <w:rPr>
          <w:szCs w:val="24"/>
        </w:rPr>
        <w:t xml:space="preserve">  </w:t>
      </w:r>
      <w:r w:rsidR="007B5775" w:rsidRPr="007B5775">
        <w:rPr>
          <w:szCs w:val="24"/>
        </w:rPr>
        <w:t xml:space="preserve">A Prehearing Order was issued on February 16, 2011, advising the </w:t>
      </w:r>
      <w:r>
        <w:rPr>
          <w:szCs w:val="24"/>
        </w:rPr>
        <w:t>P</w:t>
      </w:r>
      <w:r w:rsidR="007B5775" w:rsidRPr="007B5775">
        <w:rPr>
          <w:szCs w:val="24"/>
        </w:rPr>
        <w:t>arties of the date and time of the scheduled hearing, informing them of procedures applicable to this proceeding, and directing the submission of documents at the hearing.</w:t>
      </w:r>
    </w:p>
    <w:p w:rsidR="007B5775" w:rsidRPr="007B5775" w:rsidRDefault="007B5775" w:rsidP="007B5775">
      <w:pPr>
        <w:spacing w:line="360" w:lineRule="auto"/>
        <w:ind w:firstLine="1440"/>
        <w:rPr>
          <w:szCs w:val="24"/>
        </w:rPr>
      </w:pPr>
      <w:r w:rsidRPr="007B5775">
        <w:rPr>
          <w:szCs w:val="24"/>
        </w:rPr>
        <w:t xml:space="preserve"> </w:t>
      </w:r>
    </w:p>
    <w:p w:rsidR="007B5775" w:rsidRPr="007B5775" w:rsidRDefault="007B5775" w:rsidP="007B5775">
      <w:pPr>
        <w:spacing w:line="360" w:lineRule="auto"/>
        <w:rPr>
          <w:szCs w:val="24"/>
        </w:rPr>
      </w:pPr>
      <w:r w:rsidRPr="007B5775">
        <w:rPr>
          <w:szCs w:val="24"/>
        </w:rPr>
        <w:tab/>
      </w:r>
      <w:r w:rsidRPr="007B5775">
        <w:rPr>
          <w:szCs w:val="24"/>
        </w:rPr>
        <w:tab/>
        <w:t xml:space="preserve">On March 9, 2011, </w:t>
      </w:r>
      <w:r w:rsidR="002362E6">
        <w:rPr>
          <w:szCs w:val="24"/>
        </w:rPr>
        <w:t xml:space="preserve">the </w:t>
      </w:r>
      <w:r w:rsidRPr="007B5775">
        <w:rPr>
          <w:szCs w:val="24"/>
        </w:rPr>
        <w:t>Complainant submitted via facsimile a written request for continuance of the March 16, 2011</w:t>
      </w:r>
      <w:r w:rsidR="002362E6">
        <w:rPr>
          <w:szCs w:val="24"/>
        </w:rPr>
        <w:t>,</w:t>
      </w:r>
      <w:r w:rsidRPr="007B5775">
        <w:rPr>
          <w:szCs w:val="24"/>
        </w:rPr>
        <w:t xml:space="preserve"> hearing for medical reasons.  By letter dated March 9, 2011,</w:t>
      </w:r>
      <w:r w:rsidR="002362E6">
        <w:rPr>
          <w:szCs w:val="24"/>
        </w:rPr>
        <w:t xml:space="preserve"> the ALJ</w:t>
      </w:r>
      <w:r w:rsidRPr="007B5775">
        <w:rPr>
          <w:szCs w:val="24"/>
        </w:rPr>
        <w:t xml:space="preserve"> granted </w:t>
      </w:r>
      <w:r w:rsidR="002362E6">
        <w:rPr>
          <w:szCs w:val="24"/>
        </w:rPr>
        <w:t xml:space="preserve">the </w:t>
      </w:r>
      <w:r w:rsidRPr="007B5775">
        <w:rPr>
          <w:szCs w:val="24"/>
        </w:rPr>
        <w:t xml:space="preserve">Complainant’s request for </w:t>
      </w:r>
      <w:r w:rsidR="00B23CA3">
        <w:rPr>
          <w:szCs w:val="24"/>
        </w:rPr>
        <w:t xml:space="preserve">a </w:t>
      </w:r>
      <w:r w:rsidRPr="007B5775">
        <w:rPr>
          <w:szCs w:val="24"/>
        </w:rPr>
        <w:t>continuance.</w:t>
      </w:r>
    </w:p>
    <w:p w:rsidR="007B5775" w:rsidRPr="007B5775" w:rsidRDefault="007B5775" w:rsidP="007B5775">
      <w:pPr>
        <w:spacing w:line="360" w:lineRule="auto"/>
        <w:rPr>
          <w:szCs w:val="24"/>
        </w:rPr>
      </w:pPr>
    </w:p>
    <w:p w:rsidR="007B5775" w:rsidRPr="007B5775" w:rsidRDefault="007B5775" w:rsidP="007B5775">
      <w:pPr>
        <w:spacing w:line="360" w:lineRule="auto"/>
        <w:ind w:firstLine="1440"/>
        <w:rPr>
          <w:szCs w:val="24"/>
        </w:rPr>
      </w:pPr>
      <w:r w:rsidRPr="007B5775">
        <w:rPr>
          <w:szCs w:val="24"/>
        </w:rPr>
        <w:t xml:space="preserve">On March 15, 2011, the </w:t>
      </w:r>
      <w:r w:rsidR="00534183">
        <w:rPr>
          <w:szCs w:val="24"/>
        </w:rPr>
        <w:t>Office of Administrative Law Judge (OALJ)</w:t>
      </w:r>
      <w:r w:rsidRPr="007B5775">
        <w:rPr>
          <w:szCs w:val="24"/>
        </w:rPr>
        <w:t xml:space="preserve"> issued a Hearing Cancellation/Reschedule Notice scheduling the initial hearing for April 29, 2011.  Due to a conflict in </w:t>
      </w:r>
      <w:r w:rsidR="00534183">
        <w:rPr>
          <w:szCs w:val="24"/>
        </w:rPr>
        <w:t xml:space="preserve">the ALJ’s </w:t>
      </w:r>
      <w:r w:rsidRPr="007B5775">
        <w:rPr>
          <w:szCs w:val="24"/>
        </w:rPr>
        <w:t xml:space="preserve">schedule, </w:t>
      </w:r>
      <w:r w:rsidR="00534183">
        <w:rPr>
          <w:szCs w:val="24"/>
        </w:rPr>
        <w:t xml:space="preserve">the OALJ issued </w:t>
      </w:r>
      <w:r w:rsidRPr="007B5775">
        <w:rPr>
          <w:szCs w:val="24"/>
        </w:rPr>
        <w:t>a second Hearing</w:t>
      </w:r>
      <w:r w:rsidR="00534183">
        <w:rPr>
          <w:szCs w:val="24"/>
        </w:rPr>
        <w:t xml:space="preserve"> C</w:t>
      </w:r>
      <w:r w:rsidRPr="007B5775">
        <w:rPr>
          <w:szCs w:val="24"/>
        </w:rPr>
        <w:t xml:space="preserve">ancellation/Reschedule Notice on March 17, 2011, notifying the </w:t>
      </w:r>
      <w:r w:rsidR="00534183">
        <w:rPr>
          <w:szCs w:val="24"/>
        </w:rPr>
        <w:t>P</w:t>
      </w:r>
      <w:r w:rsidRPr="007B5775">
        <w:rPr>
          <w:szCs w:val="24"/>
        </w:rPr>
        <w:t>arties that the initial hearing was scheduled for April 21, 2011, at 1:30 p.m.</w:t>
      </w:r>
    </w:p>
    <w:p w:rsidR="007B5775" w:rsidRPr="007B5775" w:rsidRDefault="007B5775" w:rsidP="007B5775">
      <w:pPr>
        <w:spacing w:line="360" w:lineRule="auto"/>
        <w:ind w:firstLine="1440"/>
        <w:rPr>
          <w:szCs w:val="24"/>
        </w:rPr>
      </w:pPr>
    </w:p>
    <w:p w:rsidR="007B5775" w:rsidRPr="007B5775" w:rsidRDefault="007B5775" w:rsidP="007B5775">
      <w:pPr>
        <w:spacing w:line="360" w:lineRule="auto"/>
        <w:ind w:firstLine="1440"/>
        <w:rPr>
          <w:szCs w:val="24"/>
        </w:rPr>
      </w:pPr>
      <w:r w:rsidRPr="007B5775">
        <w:rPr>
          <w:szCs w:val="24"/>
        </w:rPr>
        <w:t xml:space="preserve">On the day of the hearing, </w:t>
      </w:r>
      <w:r w:rsidR="007C79A1">
        <w:rPr>
          <w:szCs w:val="24"/>
        </w:rPr>
        <w:t>the Complainant</w:t>
      </w:r>
      <w:r w:rsidRPr="007B5775">
        <w:rPr>
          <w:szCs w:val="24"/>
        </w:rPr>
        <w:t xml:space="preserve"> arrived at the lobby of the Commission’s Philadelphia Office at approximately 10:00 a.m.  With the </w:t>
      </w:r>
      <w:r w:rsidR="007C79A1">
        <w:rPr>
          <w:szCs w:val="24"/>
        </w:rPr>
        <w:t>assistance</w:t>
      </w:r>
      <w:r w:rsidRPr="007B5775">
        <w:rPr>
          <w:szCs w:val="24"/>
        </w:rPr>
        <w:t xml:space="preserve"> of PECO’s counsel and the court reporting agency, </w:t>
      </w:r>
      <w:r w:rsidR="007C79A1">
        <w:rPr>
          <w:szCs w:val="24"/>
        </w:rPr>
        <w:t>ALJ Vero</w:t>
      </w:r>
      <w:r w:rsidRPr="007B5775">
        <w:rPr>
          <w:szCs w:val="24"/>
        </w:rPr>
        <w:t xml:space="preserve"> was able to accommodate </w:t>
      </w:r>
      <w:r w:rsidR="007C79A1">
        <w:rPr>
          <w:szCs w:val="24"/>
        </w:rPr>
        <w:t>the Complainant</w:t>
      </w:r>
      <w:r w:rsidRPr="007B5775">
        <w:rPr>
          <w:szCs w:val="24"/>
        </w:rPr>
        <w:t xml:space="preserve"> by starting the hearing at approximately 10:45 a.m.</w:t>
      </w:r>
      <w:r w:rsidR="007C79A1">
        <w:rPr>
          <w:szCs w:val="24"/>
        </w:rPr>
        <w:t xml:space="preserve">, as opposed to the 1:30 p.m. scheduled starting time. </w:t>
      </w:r>
    </w:p>
    <w:p w:rsidR="007B5775" w:rsidRPr="007B5775" w:rsidRDefault="00FE19F2" w:rsidP="007B5775">
      <w:pPr>
        <w:tabs>
          <w:tab w:val="left" w:pos="-1440"/>
          <w:tab w:val="left" w:pos="-720"/>
        </w:tabs>
        <w:suppressAutoHyphens/>
        <w:spacing w:line="360" w:lineRule="auto"/>
        <w:ind w:firstLine="1440"/>
        <w:rPr>
          <w:szCs w:val="24"/>
        </w:rPr>
      </w:pPr>
      <w:r>
        <w:rPr>
          <w:szCs w:val="24"/>
        </w:rPr>
        <w:lastRenderedPageBreak/>
        <w:t xml:space="preserve">The Complainant appeared </w:t>
      </w:r>
      <w:r w:rsidRPr="00FE19F2">
        <w:rPr>
          <w:i/>
          <w:szCs w:val="24"/>
        </w:rPr>
        <w:t>pro se</w:t>
      </w:r>
      <w:r>
        <w:rPr>
          <w:szCs w:val="24"/>
        </w:rPr>
        <w:t xml:space="preserve">, </w:t>
      </w:r>
      <w:r w:rsidR="007B5775" w:rsidRPr="007B5775">
        <w:rPr>
          <w:szCs w:val="24"/>
        </w:rPr>
        <w:t xml:space="preserve">testified on </w:t>
      </w:r>
      <w:r>
        <w:rPr>
          <w:szCs w:val="24"/>
        </w:rPr>
        <w:t xml:space="preserve">his own </w:t>
      </w:r>
      <w:r w:rsidR="007B5775" w:rsidRPr="007B5775">
        <w:rPr>
          <w:szCs w:val="24"/>
        </w:rPr>
        <w:t>behalf</w:t>
      </w:r>
      <w:r>
        <w:rPr>
          <w:szCs w:val="24"/>
        </w:rPr>
        <w:t xml:space="preserve">, </w:t>
      </w:r>
      <w:r w:rsidR="007B5775" w:rsidRPr="007B5775">
        <w:rPr>
          <w:szCs w:val="24"/>
        </w:rPr>
        <w:t>and sponsored one exhibit</w:t>
      </w:r>
      <w:r>
        <w:rPr>
          <w:szCs w:val="24"/>
        </w:rPr>
        <w:t xml:space="preserve"> that was admitted into the record</w:t>
      </w:r>
      <w:r w:rsidR="007B5775" w:rsidRPr="007B5775">
        <w:rPr>
          <w:szCs w:val="24"/>
        </w:rPr>
        <w:t xml:space="preserve">.  </w:t>
      </w:r>
      <w:r>
        <w:rPr>
          <w:szCs w:val="24"/>
        </w:rPr>
        <w:t>PECO was represented by counsel,</w:t>
      </w:r>
      <w:r w:rsidR="007B5775" w:rsidRPr="007B5775">
        <w:rPr>
          <w:szCs w:val="24"/>
        </w:rPr>
        <w:t xml:space="preserve"> presented the testimony of </w:t>
      </w:r>
      <w:r>
        <w:rPr>
          <w:szCs w:val="24"/>
        </w:rPr>
        <w:t>its</w:t>
      </w:r>
      <w:r w:rsidR="007B5775" w:rsidRPr="007B5775">
        <w:rPr>
          <w:szCs w:val="24"/>
        </w:rPr>
        <w:t xml:space="preserve"> senior regulatory assessor </w:t>
      </w:r>
      <w:r>
        <w:rPr>
          <w:szCs w:val="24"/>
        </w:rPr>
        <w:t>in</w:t>
      </w:r>
      <w:r w:rsidR="007B5775" w:rsidRPr="007B5775">
        <w:rPr>
          <w:szCs w:val="24"/>
        </w:rPr>
        <w:t xml:space="preserve"> charge of investigating complaints filed with the Commission</w:t>
      </w:r>
      <w:r>
        <w:rPr>
          <w:szCs w:val="24"/>
        </w:rPr>
        <w:t>, and</w:t>
      </w:r>
      <w:r w:rsidR="007B5775" w:rsidRPr="007B5775">
        <w:rPr>
          <w:szCs w:val="24"/>
        </w:rPr>
        <w:t xml:space="preserve"> sponsored </w:t>
      </w:r>
      <w:r>
        <w:rPr>
          <w:szCs w:val="24"/>
        </w:rPr>
        <w:t>five</w:t>
      </w:r>
      <w:r w:rsidR="007B5775" w:rsidRPr="007B5775">
        <w:rPr>
          <w:szCs w:val="24"/>
        </w:rPr>
        <w:t xml:space="preserve"> exhibits</w:t>
      </w:r>
      <w:r>
        <w:rPr>
          <w:szCs w:val="24"/>
        </w:rPr>
        <w:t xml:space="preserve"> that were admitted into the record</w:t>
      </w:r>
      <w:r w:rsidR="007B5775" w:rsidRPr="007B5775">
        <w:rPr>
          <w:szCs w:val="24"/>
        </w:rPr>
        <w:t>.</w:t>
      </w:r>
      <w:r>
        <w:rPr>
          <w:szCs w:val="24"/>
        </w:rPr>
        <w:t xml:space="preserve">  </w:t>
      </w:r>
    </w:p>
    <w:p w:rsidR="007B5775" w:rsidRPr="007B5775" w:rsidRDefault="007B5775" w:rsidP="007B5775">
      <w:pPr>
        <w:tabs>
          <w:tab w:val="left" w:pos="-1440"/>
          <w:tab w:val="left" w:pos="-720"/>
        </w:tabs>
        <w:suppressAutoHyphens/>
        <w:spacing w:line="360" w:lineRule="auto"/>
        <w:ind w:firstLine="1440"/>
        <w:rPr>
          <w:szCs w:val="24"/>
        </w:rPr>
      </w:pPr>
    </w:p>
    <w:p w:rsidR="007B5775" w:rsidRPr="007B5775" w:rsidRDefault="007B5775" w:rsidP="007B5775">
      <w:pPr>
        <w:tabs>
          <w:tab w:val="left" w:pos="-1440"/>
          <w:tab w:val="left" w:pos="-720"/>
        </w:tabs>
        <w:suppressAutoHyphens/>
        <w:spacing w:line="360" w:lineRule="auto"/>
        <w:ind w:firstLine="1440"/>
        <w:rPr>
          <w:szCs w:val="24"/>
        </w:rPr>
      </w:pPr>
      <w:r w:rsidRPr="007B5775">
        <w:rPr>
          <w:szCs w:val="24"/>
        </w:rPr>
        <w:t xml:space="preserve">During the hearing, PECO </w:t>
      </w:r>
      <w:r w:rsidR="0020132D">
        <w:rPr>
          <w:szCs w:val="24"/>
        </w:rPr>
        <w:t>objected to the Complainant’s testimony regarding a high bill dispute</w:t>
      </w:r>
      <w:r w:rsidR="00DA0C12">
        <w:rPr>
          <w:szCs w:val="24"/>
        </w:rPr>
        <w:t xml:space="preserve"> because </w:t>
      </w:r>
      <w:r w:rsidRPr="007B5775">
        <w:rPr>
          <w:szCs w:val="24"/>
        </w:rPr>
        <w:t xml:space="preserve">it had not been served with </w:t>
      </w:r>
      <w:r w:rsidR="00DA0C12">
        <w:rPr>
          <w:szCs w:val="24"/>
        </w:rPr>
        <w:t>the Complainant’s</w:t>
      </w:r>
      <w:r w:rsidRPr="007B5775">
        <w:rPr>
          <w:szCs w:val="24"/>
        </w:rPr>
        <w:t xml:space="preserve"> Answer to PECO’s New Matter and had not had an opportunity to investigate the allegations about the disputed billing.  </w:t>
      </w:r>
      <w:r w:rsidR="00DA0C12">
        <w:rPr>
          <w:szCs w:val="24"/>
        </w:rPr>
        <w:t>Tr.</w:t>
      </w:r>
      <w:r w:rsidR="002624CD">
        <w:rPr>
          <w:szCs w:val="24"/>
        </w:rPr>
        <w:t xml:space="preserve"> April 21, 2011,</w:t>
      </w:r>
      <w:r w:rsidR="00DA0C12">
        <w:rPr>
          <w:szCs w:val="24"/>
        </w:rPr>
        <w:t xml:space="preserve"> at</w:t>
      </w:r>
      <w:r w:rsidRPr="007B5775">
        <w:rPr>
          <w:szCs w:val="24"/>
        </w:rPr>
        <w:t xml:space="preserve"> 20.  </w:t>
      </w:r>
      <w:r w:rsidR="00DA0C12">
        <w:rPr>
          <w:szCs w:val="24"/>
        </w:rPr>
        <w:t>As a result, t</w:t>
      </w:r>
      <w:r w:rsidRPr="007B5775">
        <w:rPr>
          <w:szCs w:val="24"/>
        </w:rPr>
        <w:t xml:space="preserve">he </w:t>
      </w:r>
      <w:r w:rsidR="00DA0C12">
        <w:rPr>
          <w:szCs w:val="24"/>
        </w:rPr>
        <w:t>ALJ agreed</w:t>
      </w:r>
      <w:r w:rsidRPr="007B5775">
        <w:rPr>
          <w:szCs w:val="24"/>
        </w:rPr>
        <w:t xml:space="preserve"> to schedule a further hearing for the limited purpose of gathering evidence on and adjudicating </w:t>
      </w:r>
      <w:r w:rsidR="00DA0C12">
        <w:rPr>
          <w:szCs w:val="24"/>
        </w:rPr>
        <w:t xml:space="preserve">the </w:t>
      </w:r>
      <w:r w:rsidRPr="007B5775">
        <w:rPr>
          <w:szCs w:val="24"/>
        </w:rPr>
        <w:t>Complainant’s high billing dispute.  T</w:t>
      </w:r>
      <w:r w:rsidR="00DA0C12">
        <w:rPr>
          <w:szCs w:val="24"/>
        </w:rPr>
        <w:t>r</w:t>
      </w:r>
      <w:r w:rsidRPr="007B5775">
        <w:rPr>
          <w:szCs w:val="24"/>
        </w:rPr>
        <w:t xml:space="preserve">. </w:t>
      </w:r>
      <w:r w:rsidR="002624CD">
        <w:rPr>
          <w:szCs w:val="24"/>
        </w:rPr>
        <w:t xml:space="preserve">April 21, 2011, </w:t>
      </w:r>
      <w:r w:rsidR="00DA0C12">
        <w:rPr>
          <w:szCs w:val="24"/>
        </w:rPr>
        <w:t xml:space="preserve">at </w:t>
      </w:r>
      <w:r w:rsidRPr="007B5775">
        <w:rPr>
          <w:szCs w:val="24"/>
        </w:rPr>
        <w:t>21-22</w:t>
      </w:r>
      <w:r w:rsidR="00DA0C12">
        <w:rPr>
          <w:szCs w:val="24"/>
        </w:rPr>
        <w:t>,</w:t>
      </w:r>
      <w:r w:rsidRPr="007B5775">
        <w:rPr>
          <w:szCs w:val="24"/>
        </w:rPr>
        <w:t xml:space="preserve"> 85-87.</w:t>
      </w:r>
      <w:r w:rsidR="00DA0C12">
        <w:rPr>
          <w:szCs w:val="24"/>
        </w:rPr>
        <w:t xml:space="preserve">  </w:t>
      </w:r>
      <w:r w:rsidRPr="007B5775">
        <w:rPr>
          <w:szCs w:val="24"/>
        </w:rPr>
        <w:t xml:space="preserve">By Hearing Notice dated August 19, 2011, the </w:t>
      </w:r>
      <w:r w:rsidR="00DA0C12">
        <w:rPr>
          <w:szCs w:val="24"/>
        </w:rPr>
        <w:t>OALJ s</w:t>
      </w:r>
      <w:r w:rsidRPr="007B5775">
        <w:rPr>
          <w:szCs w:val="24"/>
        </w:rPr>
        <w:t>cheduled a further hearing for October 3, 2011, at 10:00 a.m.</w:t>
      </w:r>
    </w:p>
    <w:p w:rsidR="007B5775" w:rsidRPr="007B5775" w:rsidRDefault="007B5775" w:rsidP="007B5775">
      <w:pPr>
        <w:tabs>
          <w:tab w:val="left" w:pos="-1440"/>
          <w:tab w:val="left" w:pos="-720"/>
        </w:tabs>
        <w:suppressAutoHyphens/>
        <w:spacing w:line="360" w:lineRule="auto"/>
        <w:ind w:firstLine="1440"/>
        <w:rPr>
          <w:szCs w:val="24"/>
        </w:rPr>
      </w:pPr>
    </w:p>
    <w:p w:rsidR="007B5775" w:rsidRPr="007B5775" w:rsidRDefault="007B5775" w:rsidP="007B5775">
      <w:pPr>
        <w:tabs>
          <w:tab w:val="left" w:pos="-1440"/>
          <w:tab w:val="left" w:pos="-720"/>
        </w:tabs>
        <w:suppressAutoHyphens/>
        <w:spacing w:line="360" w:lineRule="auto"/>
        <w:ind w:firstLine="1440"/>
        <w:rPr>
          <w:szCs w:val="24"/>
        </w:rPr>
      </w:pPr>
      <w:r w:rsidRPr="007B5775">
        <w:rPr>
          <w:szCs w:val="24"/>
        </w:rPr>
        <w:t xml:space="preserve">On September 14, 2011, the </w:t>
      </w:r>
      <w:r w:rsidR="009C2850">
        <w:rPr>
          <w:szCs w:val="24"/>
        </w:rPr>
        <w:t xml:space="preserve">ALJ </w:t>
      </w:r>
      <w:r w:rsidRPr="007B5775">
        <w:rPr>
          <w:szCs w:val="24"/>
        </w:rPr>
        <w:t xml:space="preserve">received a facsimile from the Complainant requesting a continuance of the hearing </w:t>
      </w:r>
      <w:r w:rsidR="006A3021">
        <w:rPr>
          <w:szCs w:val="24"/>
        </w:rPr>
        <w:t>on the basis</w:t>
      </w:r>
      <w:r w:rsidRPr="007B5775">
        <w:rPr>
          <w:szCs w:val="24"/>
        </w:rPr>
        <w:t xml:space="preserve"> </w:t>
      </w:r>
      <w:r w:rsidR="006A3021">
        <w:rPr>
          <w:szCs w:val="24"/>
        </w:rPr>
        <w:t xml:space="preserve">that </w:t>
      </w:r>
      <w:r w:rsidRPr="007B5775">
        <w:rPr>
          <w:szCs w:val="24"/>
        </w:rPr>
        <w:t>he had not received any information from PECO since the initial hearing</w:t>
      </w:r>
      <w:r w:rsidR="009C2850">
        <w:rPr>
          <w:szCs w:val="24"/>
        </w:rPr>
        <w:t>,</w:t>
      </w:r>
      <w:r w:rsidRPr="007B5775">
        <w:rPr>
          <w:szCs w:val="24"/>
        </w:rPr>
        <w:t xml:space="preserve"> and because the Hearing Notice dated August 19, 2011, contained no </w:t>
      </w:r>
      <w:r w:rsidR="009C2850">
        <w:rPr>
          <w:szCs w:val="24"/>
        </w:rPr>
        <w:t>information regarding</w:t>
      </w:r>
      <w:r w:rsidRPr="007B5775">
        <w:rPr>
          <w:szCs w:val="24"/>
        </w:rPr>
        <w:t xml:space="preserve"> the subject matter of the hearing.  </w:t>
      </w:r>
    </w:p>
    <w:p w:rsidR="007B5775" w:rsidRPr="007B5775" w:rsidRDefault="007B5775" w:rsidP="007B5775">
      <w:pPr>
        <w:tabs>
          <w:tab w:val="left" w:pos="-1440"/>
          <w:tab w:val="left" w:pos="-720"/>
        </w:tabs>
        <w:suppressAutoHyphens/>
        <w:spacing w:line="360" w:lineRule="auto"/>
        <w:ind w:firstLine="1440"/>
        <w:rPr>
          <w:szCs w:val="24"/>
        </w:rPr>
      </w:pPr>
    </w:p>
    <w:p w:rsidR="007B5775" w:rsidRPr="007B5775" w:rsidRDefault="007B5775" w:rsidP="007B5775">
      <w:pPr>
        <w:tabs>
          <w:tab w:val="left" w:pos="-1440"/>
          <w:tab w:val="left" w:pos="-720"/>
        </w:tabs>
        <w:suppressAutoHyphens/>
        <w:spacing w:line="360" w:lineRule="auto"/>
        <w:ind w:firstLine="1440"/>
        <w:rPr>
          <w:szCs w:val="24"/>
        </w:rPr>
      </w:pPr>
      <w:r w:rsidRPr="007B5775">
        <w:rPr>
          <w:szCs w:val="24"/>
        </w:rPr>
        <w:t>On September 15, 2011,</w:t>
      </w:r>
      <w:r w:rsidR="00D35406">
        <w:rPr>
          <w:szCs w:val="24"/>
        </w:rPr>
        <w:t xml:space="preserve"> ALJ Vero</w:t>
      </w:r>
      <w:r w:rsidRPr="007B5775">
        <w:rPr>
          <w:szCs w:val="24"/>
        </w:rPr>
        <w:t xml:space="preserve"> issued a letter-response to </w:t>
      </w:r>
      <w:r w:rsidR="00D35406">
        <w:rPr>
          <w:szCs w:val="24"/>
        </w:rPr>
        <w:t>the Complainant</w:t>
      </w:r>
      <w:r w:rsidRPr="007B5775">
        <w:rPr>
          <w:szCs w:val="24"/>
        </w:rPr>
        <w:t xml:space="preserve">, reminding </w:t>
      </w:r>
      <w:r w:rsidR="00D35406">
        <w:rPr>
          <w:szCs w:val="24"/>
        </w:rPr>
        <w:t>him</w:t>
      </w:r>
      <w:r w:rsidRPr="007B5775">
        <w:rPr>
          <w:szCs w:val="24"/>
        </w:rPr>
        <w:t xml:space="preserve"> that the purpose of the further hearing was to collect evidence on and adjudicate his high billing dispute concerning the period </w:t>
      </w:r>
      <w:r w:rsidR="00D35406">
        <w:rPr>
          <w:szCs w:val="24"/>
        </w:rPr>
        <w:t xml:space="preserve">from </w:t>
      </w:r>
      <w:r w:rsidRPr="007B5775">
        <w:rPr>
          <w:szCs w:val="24"/>
        </w:rPr>
        <w:t xml:space="preserve">December 2010 </w:t>
      </w:r>
      <w:r w:rsidR="00D35406">
        <w:rPr>
          <w:szCs w:val="24"/>
        </w:rPr>
        <w:t>through</w:t>
      </w:r>
      <w:r w:rsidRPr="007B5775">
        <w:rPr>
          <w:szCs w:val="24"/>
        </w:rPr>
        <w:t xml:space="preserve"> January 2011.  The </w:t>
      </w:r>
      <w:r w:rsidR="00D35406">
        <w:rPr>
          <w:szCs w:val="24"/>
        </w:rPr>
        <w:t>ALJ also denied the Co</w:t>
      </w:r>
      <w:r w:rsidRPr="007B5775">
        <w:rPr>
          <w:szCs w:val="24"/>
        </w:rPr>
        <w:t>mplainant</w:t>
      </w:r>
      <w:r w:rsidR="00D35406">
        <w:rPr>
          <w:szCs w:val="24"/>
        </w:rPr>
        <w:t>’s</w:t>
      </w:r>
      <w:r w:rsidRPr="007B5775">
        <w:rPr>
          <w:szCs w:val="24"/>
        </w:rPr>
        <w:t xml:space="preserve"> request for</w:t>
      </w:r>
      <w:r w:rsidR="00D35406">
        <w:rPr>
          <w:szCs w:val="24"/>
        </w:rPr>
        <w:t xml:space="preserve"> a</w:t>
      </w:r>
      <w:r w:rsidRPr="007B5775">
        <w:rPr>
          <w:szCs w:val="24"/>
        </w:rPr>
        <w:t xml:space="preserve"> continuance.</w:t>
      </w:r>
      <w:r w:rsidR="00D35406">
        <w:rPr>
          <w:szCs w:val="24"/>
        </w:rPr>
        <w:t xml:space="preserve">  </w:t>
      </w:r>
      <w:r w:rsidRPr="007B5775">
        <w:rPr>
          <w:szCs w:val="24"/>
        </w:rPr>
        <w:t xml:space="preserve"> </w:t>
      </w:r>
    </w:p>
    <w:p w:rsidR="007B5775" w:rsidRPr="007B5775" w:rsidRDefault="007B5775" w:rsidP="007B5775">
      <w:pPr>
        <w:tabs>
          <w:tab w:val="left" w:pos="-1440"/>
          <w:tab w:val="left" w:pos="-720"/>
        </w:tabs>
        <w:suppressAutoHyphens/>
        <w:spacing w:line="360" w:lineRule="auto"/>
        <w:ind w:firstLine="1440"/>
        <w:rPr>
          <w:szCs w:val="24"/>
        </w:rPr>
      </w:pPr>
    </w:p>
    <w:p w:rsidR="007B5775" w:rsidRDefault="007B5775" w:rsidP="007B5775">
      <w:pPr>
        <w:tabs>
          <w:tab w:val="left" w:pos="-1440"/>
          <w:tab w:val="left" w:pos="-720"/>
        </w:tabs>
        <w:suppressAutoHyphens/>
        <w:spacing w:line="360" w:lineRule="auto"/>
        <w:ind w:firstLine="1440"/>
        <w:rPr>
          <w:szCs w:val="24"/>
        </w:rPr>
      </w:pPr>
      <w:r w:rsidRPr="007B5775">
        <w:rPr>
          <w:szCs w:val="24"/>
        </w:rPr>
        <w:t xml:space="preserve">On September 29, 2011, the </w:t>
      </w:r>
      <w:r w:rsidR="00004052">
        <w:rPr>
          <w:szCs w:val="24"/>
        </w:rPr>
        <w:t xml:space="preserve">Complainant sent </w:t>
      </w:r>
      <w:r w:rsidRPr="007B5775">
        <w:rPr>
          <w:szCs w:val="24"/>
        </w:rPr>
        <w:t>another facsimile t</w:t>
      </w:r>
      <w:r w:rsidR="00004052">
        <w:rPr>
          <w:szCs w:val="24"/>
        </w:rPr>
        <w:t>o the ALJ</w:t>
      </w:r>
      <w:r w:rsidRPr="007B5775">
        <w:rPr>
          <w:szCs w:val="24"/>
        </w:rPr>
        <w:t xml:space="preserve"> requesting a continuance of the hearing </w:t>
      </w:r>
      <w:r w:rsidR="00004052">
        <w:rPr>
          <w:szCs w:val="24"/>
        </w:rPr>
        <w:t>on the basis that</w:t>
      </w:r>
      <w:r w:rsidRPr="007B5775">
        <w:rPr>
          <w:szCs w:val="24"/>
        </w:rPr>
        <w:t xml:space="preserve"> PECO fail</w:t>
      </w:r>
      <w:r w:rsidR="00004052">
        <w:rPr>
          <w:szCs w:val="24"/>
        </w:rPr>
        <w:t>ed</w:t>
      </w:r>
      <w:r w:rsidRPr="007B5775">
        <w:rPr>
          <w:szCs w:val="24"/>
        </w:rPr>
        <w:t xml:space="preserve"> to test his meter </w:t>
      </w:r>
      <w:r w:rsidRPr="007B5775">
        <w:rPr>
          <w:szCs w:val="24"/>
        </w:rPr>
        <w:lastRenderedPageBreak/>
        <w:t xml:space="preserve">and </w:t>
      </w:r>
      <w:r w:rsidR="00004052">
        <w:rPr>
          <w:szCs w:val="24"/>
        </w:rPr>
        <w:t xml:space="preserve">to </w:t>
      </w:r>
      <w:r w:rsidRPr="007B5775">
        <w:rPr>
          <w:szCs w:val="24"/>
        </w:rPr>
        <w:t>prepare a meter report.</w:t>
      </w:r>
      <w:r w:rsidR="00004052">
        <w:rPr>
          <w:szCs w:val="24"/>
        </w:rPr>
        <w:t xml:space="preserve">  </w:t>
      </w:r>
      <w:r w:rsidRPr="007B5775">
        <w:rPr>
          <w:szCs w:val="24"/>
        </w:rPr>
        <w:t xml:space="preserve">Due to time restrictions, </w:t>
      </w:r>
      <w:r w:rsidR="00004052">
        <w:rPr>
          <w:szCs w:val="24"/>
        </w:rPr>
        <w:t>the ALJ</w:t>
      </w:r>
      <w:r w:rsidRPr="007B5775">
        <w:rPr>
          <w:szCs w:val="24"/>
        </w:rPr>
        <w:t xml:space="preserve"> called </w:t>
      </w:r>
      <w:r w:rsidR="00004052">
        <w:rPr>
          <w:szCs w:val="24"/>
        </w:rPr>
        <w:t>the Complainant</w:t>
      </w:r>
      <w:r w:rsidRPr="007B5775">
        <w:rPr>
          <w:szCs w:val="24"/>
        </w:rPr>
        <w:t xml:space="preserve"> on September 29, 2011, and left a message on his answering machine informing him that his request for </w:t>
      </w:r>
      <w:r w:rsidR="00004052">
        <w:rPr>
          <w:szCs w:val="24"/>
        </w:rPr>
        <w:t xml:space="preserve">a </w:t>
      </w:r>
      <w:r w:rsidRPr="007B5775">
        <w:rPr>
          <w:szCs w:val="24"/>
        </w:rPr>
        <w:t>continuance was denied.</w:t>
      </w:r>
      <w:r w:rsidR="009C48D1">
        <w:rPr>
          <w:szCs w:val="24"/>
        </w:rPr>
        <w:t xml:space="preserve">  I.D. at 4.  </w:t>
      </w:r>
      <w:r w:rsidR="00004052">
        <w:rPr>
          <w:szCs w:val="24"/>
        </w:rPr>
        <w:t xml:space="preserve">  </w:t>
      </w:r>
    </w:p>
    <w:p w:rsidR="00F80220" w:rsidRPr="007B5775" w:rsidRDefault="00F80220" w:rsidP="007B5775">
      <w:pPr>
        <w:tabs>
          <w:tab w:val="left" w:pos="-1440"/>
          <w:tab w:val="left" w:pos="-720"/>
        </w:tabs>
        <w:suppressAutoHyphens/>
        <w:spacing w:line="360" w:lineRule="auto"/>
        <w:ind w:firstLine="1440"/>
        <w:rPr>
          <w:szCs w:val="24"/>
        </w:rPr>
      </w:pPr>
    </w:p>
    <w:p w:rsidR="007B5775" w:rsidRPr="007B5775" w:rsidRDefault="007B5775" w:rsidP="007B5775">
      <w:pPr>
        <w:tabs>
          <w:tab w:val="left" w:pos="-1440"/>
          <w:tab w:val="left" w:pos="-720"/>
        </w:tabs>
        <w:suppressAutoHyphens/>
        <w:spacing w:line="360" w:lineRule="auto"/>
        <w:ind w:firstLine="1440"/>
        <w:rPr>
          <w:szCs w:val="24"/>
        </w:rPr>
      </w:pPr>
      <w:r w:rsidRPr="007B5775">
        <w:rPr>
          <w:szCs w:val="24"/>
        </w:rPr>
        <w:t xml:space="preserve">The further hearing </w:t>
      </w:r>
      <w:r w:rsidR="00F80220">
        <w:rPr>
          <w:szCs w:val="24"/>
        </w:rPr>
        <w:t>was held</w:t>
      </w:r>
      <w:r w:rsidRPr="007B5775">
        <w:rPr>
          <w:szCs w:val="24"/>
        </w:rPr>
        <w:t xml:space="preserve"> as scheduled on October 3, 2011.  </w:t>
      </w:r>
      <w:r w:rsidR="00F80220">
        <w:rPr>
          <w:szCs w:val="24"/>
        </w:rPr>
        <w:t>T</w:t>
      </w:r>
      <w:r w:rsidRPr="007B5775">
        <w:rPr>
          <w:szCs w:val="24"/>
        </w:rPr>
        <w:t>he Complain</w:t>
      </w:r>
      <w:r w:rsidR="00022EC2">
        <w:rPr>
          <w:szCs w:val="24"/>
        </w:rPr>
        <w:t>an</w:t>
      </w:r>
      <w:r w:rsidRPr="007B5775">
        <w:rPr>
          <w:szCs w:val="24"/>
        </w:rPr>
        <w:t xml:space="preserve">t </w:t>
      </w:r>
      <w:r w:rsidR="00F80220">
        <w:rPr>
          <w:szCs w:val="24"/>
        </w:rPr>
        <w:t xml:space="preserve">appeared </w:t>
      </w:r>
      <w:r w:rsidRPr="007B5775">
        <w:rPr>
          <w:i/>
          <w:szCs w:val="24"/>
        </w:rPr>
        <w:t>pro se</w:t>
      </w:r>
      <w:r w:rsidRPr="007B5775">
        <w:rPr>
          <w:szCs w:val="24"/>
        </w:rPr>
        <w:t xml:space="preserve"> and sponsored one exhibit</w:t>
      </w:r>
      <w:r w:rsidR="00F80220">
        <w:rPr>
          <w:szCs w:val="24"/>
        </w:rPr>
        <w:t xml:space="preserve"> that was admitted into the record</w:t>
      </w:r>
      <w:r w:rsidRPr="007B5775">
        <w:rPr>
          <w:szCs w:val="24"/>
        </w:rPr>
        <w:t>.</w:t>
      </w:r>
      <w:r w:rsidR="00F80220">
        <w:rPr>
          <w:szCs w:val="24"/>
        </w:rPr>
        <w:t xml:space="preserve">  PECO was </w:t>
      </w:r>
      <w:r w:rsidRPr="007B5775">
        <w:rPr>
          <w:szCs w:val="24"/>
        </w:rPr>
        <w:t xml:space="preserve">represented </w:t>
      </w:r>
      <w:r w:rsidR="00F80220">
        <w:rPr>
          <w:szCs w:val="24"/>
        </w:rPr>
        <w:t>by counsel</w:t>
      </w:r>
      <w:r w:rsidRPr="007B5775">
        <w:rPr>
          <w:szCs w:val="24"/>
        </w:rPr>
        <w:t xml:space="preserve">, presented the testimony of </w:t>
      </w:r>
      <w:r w:rsidR="00F80220">
        <w:rPr>
          <w:szCs w:val="24"/>
        </w:rPr>
        <w:t>its</w:t>
      </w:r>
      <w:r w:rsidRPr="007B5775">
        <w:rPr>
          <w:szCs w:val="24"/>
        </w:rPr>
        <w:t xml:space="preserve"> high bill field supervisor</w:t>
      </w:r>
      <w:r w:rsidR="00F80220">
        <w:rPr>
          <w:szCs w:val="24"/>
        </w:rPr>
        <w:t>,</w:t>
      </w:r>
      <w:r w:rsidRPr="007B5775">
        <w:rPr>
          <w:szCs w:val="24"/>
        </w:rPr>
        <w:t xml:space="preserve"> </w:t>
      </w:r>
      <w:r w:rsidR="00F80220">
        <w:rPr>
          <w:szCs w:val="24"/>
        </w:rPr>
        <w:t xml:space="preserve">and </w:t>
      </w:r>
      <w:r w:rsidRPr="007B5775">
        <w:rPr>
          <w:szCs w:val="24"/>
        </w:rPr>
        <w:t>sponsored three exhibits</w:t>
      </w:r>
      <w:r w:rsidR="00F80220">
        <w:rPr>
          <w:szCs w:val="24"/>
        </w:rPr>
        <w:t xml:space="preserve"> that were admitted into the record</w:t>
      </w:r>
      <w:r w:rsidRPr="007B5775">
        <w:rPr>
          <w:szCs w:val="24"/>
        </w:rPr>
        <w:t xml:space="preserve">.  During the hearing, </w:t>
      </w:r>
      <w:r w:rsidR="00F80220">
        <w:rPr>
          <w:szCs w:val="24"/>
        </w:rPr>
        <w:t>the ALJ</w:t>
      </w:r>
      <w:r w:rsidRPr="007B5775">
        <w:rPr>
          <w:szCs w:val="24"/>
        </w:rPr>
        <w:t xml:space="preserve"> requested that </w:t>
      </w:r>
      <w:r w:rsidR="00F80220">
        <w:rPr>
          <w:szCs w:val="24"/>
        </w:rPr>
        <w:t>PECO</w:t>
      </w:r>
      <w:r w:rsidRPr="007B5775">
        <w:rPr>
          <w:szCs w:val="24"/>
        </w:rPr>
        <w:t xml:space="preserve"> submit information regarding degree days for the Winter of 2009 to 2010, and the Winter of 2010 to 2011.</w:t>
      </w:r>
      <w:r w:rsidR="00AB51AE">
        <w:rPr>
          <w:szCs w:val="24"/>
        </w:rPr>
        <w:t xml:space="preserve">  </w:t>
      </w:r>
      <w:r w:rsidR="005625F5">
        <w:rPr>
          <w:szCs w:val="24"/>
        </w:rPr>
        <w:t>By cover letter dated October </w:t>
      </w:r>
      <w:r w:rsidRPr="007B5775">
        <w:rPr>
          <w:szCs w:val="24"/>
        </w:rPr>
        <w:t xml:space="preserve">5, 2011, </w:t>
      </w:r>
      <w:r w:rsidR="00AB51AE">
        <w:rPr>
          <w:szCs w:val="24"/>
        </w:rPr>
        <w:t>PECO</w:t>
      </w:r>
      <w:r w:rsidRPr="007B5775">
        <w:rPr>
          <w:szCs w:val="24"/>
        </w:rPr>
        <w:t xml:space="preserve"> submitted three exhibits</w:t>
      </w:r>
      <w:r w:rsidR="00AB51AE">
        <w:rPr>
          <w:szCs w:val="24"/>
        </w:rPr>
        <w:t xml:space="preserve"> in response to the ALJ’s request which were admitted</w:t>
      </w:r>
      <w:r w:rsidRPr="007B5775">
        <w:rPr>
          <w:szCs w:val="24"/>
        </w:rPr>
        <w:t xml:space="preserve"> into the record.  </w:t>
      </w:r>
    </w:p>
    <w:p w:rsidR="007B5775" w:rsidRPr="007B5775" w:rsidRDefault="007B5775" w:rsidP="007B5775">
      <w:pPr>
        <w:tabs>
          <w:tab w:val="left" w:pos="-1440"/>
          <w:tab w:val="left" w:pos="-720"/>
        </w:tabs>
        <w:suppressAutoHyphens/>
        <w:spacing w:line="360" w:lineRule="auto"/>
        <w:ind w:firstLine="1440"/>
        <w:rPr>
          <w:szCs w:val="24"/>
        </w:rPr>
      </w:pPr>
    </w:p>
    <w:p w:rsidR="007B5775" w:rsidRDefault="007B5775" w:rsidP="007B5775">
      <w:pPr>
        <w:tabs>
          <w:tab w:val="left" w:pos="-1440"/>
          <w:tab w:val="left" w:pos="-720"/>
        </w:tabs>
        <w:suppressAutoHyphens/>
        <w:spacing w:line="360" w:lineRule="auto"/>
        <w:ind w:firstLine="1440"/>
        <w:rPr>
          <w:szCs w:val="24"/>
        </w:rPr>
      </w:pPr>
      <w:r w:rsidRPr="007B5775">
        <w:rPr>
          <w:szCs w:val="24"/>
        </w:rPr>
        <w:t>The record closed on October 20, 2011, and consist</w:t>
      </w:r>
      <w:r w:rsidR="00C962DD">
        <w:rPr>
          <w:szCs w:val="24"/>
        </w:rPr>
        <w:t>ed</w:t>
      </w:r>
      <w:r w:rsidRPr="007B5775">
        <w:rPr>
          <w:szCs w:val="24"/>
        </w:rPr>
        <w:t xml:space="preserve"> of the </w:t>
      </w:r>
      <w:r w:rsidR="00C962DD">
        <w:rPr>
          <w:szCs w:val="24"/>
        </w:rPr>
        <w:t>t</w:t>
      </w:r>
      <w:r w:rsidRPr="007B5775">
        <w:rPr>
          <w:szCs w:val="24"/>
        </w:rPr>
        <w:t>ranscript of the April 21, 2011 initial hearing, pages 1-90</w:t>
      </w:r>
      <w:r w:rsidR="00C962DD">
        <w:rPr>
          <w:szCs w:val="24"/>
        </w:rPr>
        <w:t>,</w:t>
      </w:r>
      <w:r w:rsidRPr="007B5775">
        <w:rPr>
          <w:szCs w:val="24"/>
        </w:rPr>
        <w:t xml:space="preserve"> </w:t>
      </w:r>
      <w:r w:rsidR="00C962DD">
        <w:rPr>
          <w:szCs w:val="24"/>
        </w:rPr>
        <w:t>and the t</w:t>
      </w:r>
      <w:r w:rsidRPr="007B5775">
        <w:rPr>
          <w:szCs w:val="24"/>
        </w:rPr>
        <w:t>ranscript of the October 3, 2011 further hearing, pages 1-92</w:t>
      </w:r>
      <w:r w:rsidR="00C962DD">
        <w:rPr>
          <w:szCs w:val="24"/>
        </w:rPr>
        <w:t xml:space="preserve">, as well as the exhibits submitted by the Parties.  </w:t>
      </w:r>
      <w:r w:rsidRPr="007B5775">
        <w:rPr>
          <w:szCs w:val="24"/>
        </w:rPr>
        <w:t xml:space="preserve"> </w:t>
      </w:r>
    </w:p>
    <w:p w:rsidR="00C962DD" w:rsidRDefault="00C962DD" w:rsidP="007B5775">
      <w:pPr>
        <w:tabs>
          <w:tab w:val="left" w:pos="-1440"/>
          <w:tab w:val="left" w:pos="-720"/>
        </w:tabs>
        <w:suppressAutoHyphens/>
        <w:spacing w:line="360" w:lineRule="auto"/>
        <w:ind w:firstLine="1440"/>
        <w:rPr>
          <w:szCs w:val="24"/>
        </w:rPr>
      </w:pPr>
    </w:p>
    <w:p w:rsidR="0052085B" w:rsidRDefault="00C962DD" w:rsidP="007B5775">
      <w:pPr>
        <w:tabs>
          <w:tab w:val="left" w:pos="-1440"/>
          <w:tab w:val="left" w:pos="-720"/>
        </w:tabs>
        <w:suppressAutoHyphens/>
        <w:spacing w:line="360" w:lineRule="auto"/>
        <w:ind w:firstLine="1440"/>
        <w:rPr>
          <w:szCs w:val="24"/>
        </w:rPr>
      </w:pPr>
      <w:r>
        <w:rPr>
          <w:szCs w:val="24"/>
        </w:rPr>
        <w:t>In the Initial Decision, issued on January 18, 2012, the ALJ dismissed the Complaint with prejudice.  As previously noted, the Complainant filed Exceptions on February 9, 2012.</w:t>
      </w:r>
      <w:r w:rsidR="00882007">
        <w:rPr>
          <w:rStyle w:val="FootnoteReference"/>
          <w:szCs w:val="24"/>
        </w:rPr>
        <w:footnoteReference w:id="2"/>
      </w:r>
      <w:r>
        <w:rPr>
          <w:szCs w:val="24"/>
        </w:rPr>
        <w:t xml:space="preserve">  PECO filed Replies to Exceptions on February 17, 2012. </w:t>
      </w:r>
    </w:p>
    <w:p w:rsidR="0052085B" w:rsidRDefault="0052085B" w:rsidP="007B5775">
      <w:pPr>
        <w:tabs>
          <w:tab w:val="left" w:pos="-1440"/>
          <w:tab w:val="left" w:pos="-720"/>
        </w:tabs>
        <w:suppressAutoHyphens/>
        <w:spacing w:line="360" w:lineRule="auto"/>
        <w:ind w:firstLine="1440"/>
        <w:rPr>
          <w:szCs w:val="24"/>
        </w:rPr>
      </w:pPr>
    </w:p>
    <w:p w:rsidR="00C962DD" w:rsidRDefault="00C962DD" w:rsidP="007B5775">
      <w:pPr>
        <w:tabs>
          <w:tab w:val="left" w:pos="-1440"/>
          <w:tab w:val="left" w:pos="-720"/>
        </w:tabs>
        <w:suppressAutoHyphens/>
        <w:spacing w:line="360" w:lineRule="auto"/>
        <w:ind w:firstLine="1440"/>
        <w:rPr>
          <w:szCs w:val="24"/>
        </w:rPr>
      </w:pPr>
      <w:r>
        <w:rPr>
          <w:szCs w:val="24"/>
        </w:rPr>
        <w:t xml:space="preserve">  </w:t>
      </w:r>
    </w:p>
    <w:p w:rsidR="00E33352" w:rsidRDefault="002561C5" w:rsidP="00F37924">
      <w:pPr>
        <w:pStyle w:val="BodyText"/>
        <w:tabs>
          <w:tab w:val="left" w:pos="0"/>
        </w:tabs>
        <w:spacing w:line="360" w:lineRule="auto"/>
        <w:jc w:val="center"/>
        <w:rPr>
          <w:b/>
          <w:szCs w:val="26"/>
        </w:rPr>
      </w:pPr>
      <w:r w:rsidRPr="002561C5">
        <w:rPr>
          <w:b/>
          <w:szCs w:val="26"/>
        </w:rPr>
        <w:lastRenderedPageBreak/>
        <w:t>Discussion</w:t>
      </w:r>
    </w:p>
    <w:p w:rsidR="002561C5" w:rsidRDefault="002561C5" w:rsidP="002561C5">
      <w:pPr>
        <w:spacing w:line="360" w:lineRule="auto"/>
        <w:jc w:val="center"/>
        <w:rPr>
          <w:b/>
          <w:szCs w:val="26"/>
        </w:rPr>
      </w:pPr>
    </w:p>
    <w:p w:rsidR="00C42659" w:rsidRPr="00C42659" w:rsidRDefault="00C42659" w:rsidP="00C42659">
      <w:pPr>
        <w:widowControl w:val="0"/>
        <w:spacing w:line="360" w:lineRule="auto"/>
        <w:ind w:firstLine="1440"/>
        <w:rPr>
          <w:szCs w:val="26"/>
        </w:rPr>
      </w:pPr>
      <w:r w:rsidRPr="00C42659">
        <w:rPr>
          <w:szCs w:val="26"/>
        </w:rPr>
        <w:t xml:space="preserve">As the proponent of a rule or order, the Complainant in this proceeding bears the burden of proof pursuant to Section 332(a) of the </w:t>
      </w:r>
      <w:r w:rsidR="005E250D">
        <w:rPr>
          <w:szCs w:val="26"/>
        </w:rPr>
        <w:t>Code</w:t>
      </w:r>
      <w:r w:rsidR="00443DD7">
        <w:rPr>
          <w:szCs w:val="26"/>
        </w:rPr>
        <w:t>,</w:t>
      </w:r>
      <w:r w:rsidRPr="00C42659">
        <w:rPr>
          <w:szCs w:val="26"/>
        </w:rPr>
        <w:t xml:space="preserve"> 66 Pa. C.S. § 332(a).  To establish a sufficient case and satisfy the burden of proof, the Complainant must show that the Respondent is responsible or accountable for the problem described in the Complaint.  </w:t>
      </w:r>
      <w:r w:rsidRPr="00C42659">
        <w:rPr>
          <w:i/>
          <w:szCs w:val="26"/>
        </w:rPr>
        <w:t>Patterson v. The Bell Telephone Company of Pennsylvania</w:t>
      </w:r>
      <w:r w:rsidRPr="00C42659">
        <w:rPr>
          <w:szCs w:val="26"/>
        </w:rPr>
        <w:t xml:space="preserve">, 72 Pa. P.U.C. 196 (1990).  Such a showing must be by a preponderance of the evidence.  </w:t>
      </w:r>
      <w:r w:rsidRPr="00C42659">
        <w:rPr>
          <w:i/>
          <w:iCs/>
          <w:szCs w:val="26"/>
        </w:rPr>
        <w:t>Samuel J. Lansberry, Inc. v. Pa. PUC</w:t>
      </w:r>
      <w:r w:rsidRPr="00C42659">
        <w:rPr>
          <w:szCs w:val="26"/>
        </w:rPr>
        <w:t xml:space="preserve">, 578 A.2d 600 (Pa. Cmwlth. 1990), </w:t>
      </w:r>
      <w:r w:rsidRPr="00C42659">
        <w:rPr>
          <w:i/>
          <w:szCs w:val="26"/>
        </w:rPr>
        <w:t>alloc. denied,</w:t>
      </w:r>
      <w:r w:rsidR="005625F5">
        <w:rPr>
          <w:szCs w:val="26"/>
        </w:rPr>
        <w:t xml:space="preserve"> 529 Pa. </w:t>
      </w:r>
      <w:r w:rsidRPr="00C42659">
        <w:rPr>
          <w:szCs w:val="26"/>
        </w:rPr>
        <w:t>654, 602 A.2d 863 (1992).  That is, the Complainant’s evidence must be more convincing, by even the smallest amount, than tha</w:t>
      </w:r>
      <w:r w:rsidR="005625F5">
        <w:rPr>
          <w:szCs w:val="26"/>
        </w:rPr>
        <w:t xml:space="preserve">t presented by the Respondent.  </w:t>
      </w:r>
      <w:r w:rsidR="005625F5">
        <w:rPr>
          <w:i/>
          <w:szCs w:val="26"/>
        </w:rPr>
        <w:t>Se</w:t>
      </w:r>
      <w:r w:rsidR="005625F5">
        <w:rPr>
          <w:i/>
          <w:szCs w:val="26"/>
        </w:rPr>
        <w:noBreakHyphen/>
        <w:t>Ling </w:t>
      </w:r>
      <w:r w:rsidRPr="00C42659">
        <w:rPr>
          <w:i/>
          <w:szCs w:val="26"/>
        </w:rPr>
        <w:t>Hosiery, Inc. v. Margulies</w:t>
      </w:r>
      <w:r w:rsidRPr="00C4265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42659">
        <w:rPr>
          <w:i/>
          <w:szCs w:val="26"/>
        </w:rPr>
        <w:t xml:space="preserve">Norfolk &amp; Western Ry. Co. v. Pa. PUC, </w:t>
      </w:r>
      <w:r w:rsidRPr="00C42659">
        <w:rPr>
          <w:szCs w:val="26"/>
        </w:rPr>
        <w:t>489 Pa. 109, 413 A.2d 1037 (1980).</w:t>
      </w:r>
    </w:p>
    <w:p w:rsidR="00C42659" w:rsidRPr="00C42659" w:rsidRDefault="00C42659" w:rsidP="00C42659">
      <w:pPr>
        <w:widowControl w:val="0"/>
        <w:spacing w:line="360" w:lineRule="auto"/>
        <w:rPr>
          <w:szCs w:val="26"/>
        </w:rPr>
      </w:pPr>
    </w:p>
    <w:p w:rsidR="005E2B87" w:rsidRDefault="00C42659" w:rsidP="00C42659">
      <w:pPr>
        <w:widowControl w:val="0"/>
        <w:spacing w:line="360" w:lineRule="auto"/>
        <w:ind w:firstLine="1440"/>
      </w:pPr>
      <w:r w:rsidRPr="00C42659">
        <w:t xml:space="preserve">Upon the presentation by a complainant of evidence sufficient to initially satisfy the burden of proof, the burden of going forward with the evidence to rebut the evidence of the customer shifts to the respondent. </w:t>
      </w:r>
      <w:r w:rsidR="00DF7F58">
        <w:t xml:space="preserve"> </w:t>
      </w:r>
      <w:r w:rsidRPr="00C42659">
        <w:t xml:space="preserve">If the evidence presented by the respondent is of co-equal value or “weight,” the burden of proof has not been satisfied. The complainant now has to provide some additional evidence to rebut that of the respondent. </w:t>
      </w:r>
      <w:r w:rsidRPr="00C42659">
        <w:rPr>
          <w:iCs/>
        </w:rPr>
        <w:t xml:space="preserve"> </w:t>
      </w:r>
      <w:hyperlink r:id="rId9" w:history="1">
        <w:r w:rsidRPr="00DF7F58">
          <w:rPr>
            <w:rFonts w:ascii="Times New (W1)" w:hAnsi="Times New (W1)"/>
            <w:i/>
          </w:rPr>
          <w:t>Burleson v. Pa. PUC</w:t>
        </w:r>
        <w:r w:rsidRPr="00DF7F58">
          <w:rPr>
            <w:rFonts w:ascii="Times New (W1)" w:hAnsi="Times New (W1)"/>
          </w:rPr>
          <w:t xml:space="preserve">, 443 A.2d 1373 (Pa. Cmwlth. 1982), </w:t>
        </w:r>
        <w:r w:rsidRPr="000C213E">
          <w:rPr>
            <w:rFonts w:ascii="Times New (W1)" w:hAnsi="Times New (W1)"/>
            <w:i/>
          </w:rPr>
          <w:t>aff’d</w:t>
        </w:r>
        <w:r w:rsidRPr="00DF7F58">
          <w:rPr>
            <w:rFonts w:ascii="Times New (W1)" w:hAnsi="Times New (W1)"/>
          </w:rPr>
          <w:t>, 501 Pa. 433, 461 A.2d 1234 (1983).</w:t>
        </w:r>
      </w:hyperlink>
      <w:r w:rsidR="00DF7F58">
        <w:rPr>
          <w:rFonts w:ascii="Times New (W1)" w:hAnsi="Times New (W1)"/>
          <w:iCs/>
        </w:rPr>
        <w:t xml:space="preserve">  </w:t>
      </w:r>
      <w:r w:rsidRPr="00C42659">
        <w:t xml:space="preserve">While the burden of </w:t>
      </w:r>
      <w:r w:rsidR="00022EC2">
        <w:t>going forward with the evidence</w:t>
      </w:r>
      <w:r w:rsidRPr="00C42659">
        <w:t xml:space="preserve"> may </w:t>
      </w:r>
      <w:r w:rsidRPr="00DF7F58">
        <w:rPr>
          <w:bCs/>
        </w:rPr>
        <w:t>shift</w:t>
      </w:r>
      <w:r w:rsidRPr="00C42659">
        <w:t xml:space="preserve"> back and forth during a proceeding, the </w:t>
      </w:r>
      <w:r w:rsidRPr="00DF7F58">
        <w:rPr>
          <w:bCs/>
        </w:rPr>
        <w:t>burden of proof</w:t>
      </w:r>
      <w:r w:rsidRPr="00C42659">
        <w:t xml:space="preserve"> never </w:t>
      </w:r>
      <w:r w:rsidRPr="00DF7F58">
        <w:rPr>
          <w:bCs/>
        </w:rPr>
        <w:t xml:space="preserve">shifts. </w:t>
      </w:r>
      <w:r w:rsidR="00FA3E1D">
        <w:rPr>
          <w:bCs/>
        </w:rPr>
        <w:t xml:space="preserve"> </w:t>
      </w:r>
      <w:r w:rsidRPr="00DF7F58">
        <w:rPr>
          <w:bCs/>
        </w:rPr>
        <w:t>The burden of proof</w:t>
      </w:r>
      <w:r w:rsidRPr="00C42659">
        <w:t xml:space="preserve"> always remains on the party seeking affirmative relief from the Commission.  </w:t>
      </w:r>
      <w:r w:rsidRPr="00C42659">
        <w:rPr>
          <w:i/>
        </w:rPr>
        <w:t xml:space="preserve">Milkie v. Pa. PUC, </w:t>
      </w:r>
      <w:r w:rsidRPr="00C42659">
        <w:t>768 A.2d 1217 (Pa. Cmwlth. 2001).</w:t>
      </w:r>
      <w:r w:rsidR="005E2B87">
        <w:t xml:space="preserve">  </w:t>
      </w:r>
    </w:p>
    <w:p w:rsidR="005E2B87" w:rsidRDefault="005E2B87" w:rsidP="00C42659">
      <w:pPr>
        <w:widowControl w:val="0"/>
        <w:spacing w:line="360" w:lineRule="auto"/>
        <w:ind w:firstLine="1440"/>
      </w:pPr>
    </w:p>
    <w:p w:rsidR="00C42659" w:rsidRPr="00C42659" w:rsidRDefault="00C42659" w:rsidP="00C42659">
      <w:pPr>
        <w:widowControl w:val="0"/>
        <w:spacing w:line="360" w:lineRule="auto"/>
        <w:ind w:firstLine="1440"/>
        <w:rPr>
          <w:szCs w:val="26"/>
        </w:rPr>
      </w:pPr>
      <w:r w:rsidRPr="00C42659">
        <w:rPr>
          <w:szCs w:val="26"/>
        </w:rPr>
        <w:lastRenderedPageBreak/>
        <w:t xml:space="preserve">ALJ </w:t>
      </w:r>
      <w:r w:rsidR="005E2B87">
        <w:rPr>
          <w:szCs w:val="26"/>
        </w:rPr>
        <w:t>Vero</w:t>
      </w:r>
      <w:r w:rsidR="00DF7F58">
        <w:rPr>
          <w:szCs w:val="26"/>
        </w:rPr>
        <w:t xml:space="preserve"> </w:t>
      </w:r>
      <w:r w:rsidRPr="00C42659">
        <w:rPr>
          <w:szCs w:val="26"/>
        </w:rPr>
        <w:t xml:space="preserve">made </w:t>
      </w:r>
      <w:r w:rsidR="005E2B87">
        <w:rPr>
          <w:szCs w:val="26"/>
        </w:rPr>
        <w:t xml:space="preserve">fifty-three </w:t>
      </w:r>
      <w:r w:rsidRPr="00C42659">
        <w:rPr>
          <w:szCs w:val="26"/>
        </w:rPr>
        <w:t>Findings of Fact and reached</w:t>
      </w:r>
      <w:r w:rsidR="00DF7F58">
        <w:rPr>
          <w:szCs w:val="26"/>
        </w:rPr>
        <w:t xml:space="preserve"> e</w:t>
      </w:r>
      <w:r w:rsidR="005E2B87">
        <w:rPr>
          <w:szCs w:val="26"/>
        </w:rPr>
        <w:t>ight</w:t>
      </w:r>
      <w:r w:rsidRPr="00C42659">
        <w:rPr>
          <w:szCs w:val="26"/>
        </w:rPr>
        <w:t xml:space="preserve"> Conclusions of Law.</w:t>
      </w:r>
      <w:r w:rsidR="00DF7F58">
        <w:rPr>
          <w:szCs w:val="26"/>
        </w:rPr>
        <w:t xml:space="preserve">  I.D. at </w:t>
      </w:r>
      <w:r w:rsidR="005E2B87">
        <w:rPr>
          <w:szCs w:val="26"/>
        </w:rPr>
        <w:t>5</w:t>
      </w:r>
      <w:r w:rsidR="00DF7F58">
        <w:rPr>
          <w:szCs w:val="26"/>
        </w:rPr>
        <w:t>-</w:t>
      </w:r>
      <w:r w:rsidR="005E2B87">
        <w:rPr>
          <w:szCs w:val="26"/>
        </w:rPr>
        <w:t>13</w:t>
      </w:r>
      <w:r w:rsidR="00DF7F58">
        <w:rPr>
          <w:szCs w:val="26"/>
        </w:rPr>
        <w:t xml:space="preserve">, </w:t>
      </w:r>
      <w:r w:rsidR="005E2B87">
        <w:rPr>
          <w:szCs w:val="26"/>
        </w:rPr>
        <w:t>28</w:t>
      </w:r>
      <w:r w:rsidR="00DF7F58">
        <w:rPr>
          <w:szCs w:val="26"/>
        </w:rPr>
        <w:t>-</w:t>
      </w:r>
      <w:r w:rsidR="005E2B87">
        <w:rPr>
          <w:szCs w:val="26"/>
        </w:rPr>
        <w:t>29</w:t>
      </w:r>
      <w:r w:rsidR="00DF7F58">
        <w:rPr>
          <w:szCs w:val="26"/>
        </w:rPr>
        <w:t>.</w:t>
      </w:r>
      <w:r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42659" w:rsidRPr="00C42659" w:rsidRDefault="00C42659" w:rsidP="00C42659">
      <w:pPr>
        <w:widowControl w:val="0"/>
        <w:spacing w:line="360" w:lineRule="auto"/>
        <w:rPr>
          <w:szCs w:val="26"/>
        </w:rPr>
      </w:pPr>
    </w:p>
    <w:p w:rsidR="00D83968" w:rsidRDefault="00C42659" w:rsidP="00C42659">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00FA3E1D">
          <w:rPr>
            <w:i/>
            <w:iCs/>
            <w:color w:val="000000"/>
            <w:szCs w:val="26"/>
          </w:rPr>
          <w:t>Consolidated Rail Corp. v. Pa. </w:t>
        </w:r>
        <w:r w:rsidRPr="001F73C2">
          <w:rPr>
            <w:i/>
            <w:iCs/>
            <w:color w:val="000000"/>
            <w:szCs w:val="26"/>
          </w:rPr>
          <w:t xml:space="preserve">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1" w:history="1">
        <w:r w:rsidRPr="001F73C2">
          <w:rPr>
            <w:i/>
            <w:iCs/>
            <w:color w:val="000000"/>
            <w:szCs w:val="26"/>
          </w:rPr>
          <w:t>University of Pennsylvania v. Pa. PUC</w:t>
        </w:r>
        <w:r w:rsidRPr="001F73C2">
          <w:rPr>
            <w:color w:val="000000"/>
            <w:szCs w:val="26"/>
          </w:rPr>
          <w:t>, 485 A.2d 1217 (Pa. Cmwlth. 1984).</w:t>
        </w:r>
      </w:hyperlink>
    </w:p>
    <w:p w:rsidR="00B922E1" w:rsidRDefault="00B922E1" w:rsidP="005E1B9D">
      <w:pPr>
        <w:spacing w:line="360" w:lineRule="auto"/>
        <w:ind w:firstLine="1440"/>
        <w:rPr>
          <w:b/>
          <w:szCs w:val="26"/>
        </w:rPr>
      </w:pPr>
    </w:p>
    <w:p w:rsidR="003C55F4" w:rsidRDefault="00662253" w:rsidP="005E1B9D">
      <w:pPr>
        <w:spacing w:line="360" w:lineRule="auto"/>
        <w:ind w:firstLine="1440"/>
        <w:rPr>
          <w:szCs w:val="26"/>
        </w:rPr>
      </w:pPr>
      <w:r>
        <w:rPr>
          <w:szCs w:val="26"/>
        </w:rPr>
        <w:t xml:space="preserve">In the Initial Decision, the ALJ initially addressed the Complainant’s claim of incorrect charges on his electric bill from PECO.  The ALJ determined that PECO had properly billed the Complainant for service rendered and had credited the Complainant’s account for all payments made.  Accordingly, she found that the Complainant was responsible for the entire balance </w:t>
      </w:r>
      <w:r w:rsidR="00267BD9">
        <w:rPr>
          <w:szCs w:val="26"/>
        </w:rPr>
        <w:t>o</w:t>
      </w:r>
      <w:r>
        <w:rPr>
          <w:szCs w:val="26"/>
        </w:rPr>
        <w:t xml:space="preserve">n his account with PECO.  </w:t>
      </w:r>
      <w:r w:rsidR="001766B5">
        <w:rPr>
          <w:szCs w:val="26"/>
        </w:rPr>
        <w:t xml:space="preserve">I.D. at 21.  </w:t>
      </w:r>
      <w:r>
        <w:rPr>
          <w:szCs w:val="26"/>
        </w:rPr>
        <w:t>In reaching her determination, the ALJ first concluded that the Complainant was disputing charges for which he had continuously admitted liability</w:t>
      </w:r>
      <w:r w:rsidR="00A7607E">
        <w:rPr>
          <w:szCs w:val="26"/>
        </w:rPr>
        <w:t xml:space="preserve">.  </w:t>
      </w:r>
      <w:r w:rsidR="001766B5" w:rsidRPr="001766B5">
        <w:rPr>
          <w:i/>
          <w:szCs w:val="26"/>
        </w:rPr>
        <w:t>Id</w:t>
      </w:r>
      <w:r w:rsidR="001766B5">
        <w:rPr>
          <w:szCs w:val="26"/>
        </w:rPr>
        <w:t xml:space="preserve">. at 17.  </w:t>
      </w:r>
      <w:r w:rsidR="00A7607E">
        <w:rPr>
          <w:szCs w:val="26"/>
        </w:rPr>
        <w:t xml:space="preserve">The ALJ reasoned that the Complainant had entered into three payment arrangements, and on each of these occasions, he admitted liability for billed services, including the transferred balance in dispute.  Second, the ALJ stated that the Complainant failed to present any reasons why he should be reimbursed for paying current charges.  Third, the ALJ concluded that the Complainant’s high balance dispute was barred by the statute of limitations pursuant to </w:t>
      </w:r>
    </w:p>
    <w:p w:rsidR="003C55F4" w:rsidRDefault="003C55F4">
      <w:pPr>
        <w:spacing w:after="200" w:line="276" w:lineRule="auto"/>
        <w:rPr>
          <w:szCs w:val="26"/>
        </w:rPr>
      </w:pPr>
      <w:r>
        <w:rPr>
          <w:szCs w:val="26"/>
        </w:rPr>
        <w:br w:type="page"/>
      </w:r>
    </w:p>
    <w:p w:rsidR="000E7C57" w:rsidRDefault="00A7607E" w:rsidP="003C55F4">
      <w:pPr>
        <w:spacing w:line="360" w:lineRule="auto"/>
        <w:rPr>
          <w:szCs w:val="26"/>
        </w:rPr>
      </w:pPr>
      <w:r>
        <w:rPr>
          <w:szCs w:val="26"/>
        </w:rPr>
        <w:lastRenderedPageBreak/>
        <w:t>Section 3314 of the Code, 66 Pa.</w:t>
      </w:r>
      <w:r w:rsidR="009E3F5A">
        <w:rPr>
          <w:szCs w:val="26"/>
        </w:rPr>
        <w:t xml:space="preserve"> </w:t>
      </w:r>
      <w:r>
        <w:rPr>
          <w:szCs w:val="26"/>
        </w:rPr>
        <w:t>C.S. § 3314.</w:t>
      </w:r>
      <w:r w:rsidR="00B36B8C">
        <w:rPr>
          <w:rStyle w:val="FootnoteReference"/>
          <w:szCs w:val="26"/>
        </w:rPr>
        <w:footnoteReference w:id="3"/>
      </w:r>
      <w:r w:rsidR="002C7287">
        <w:rPr>
          <w:szCs w:val="26"/>
        </w:rPr>
        <w:t xml:space="preserve">  </w:t>
      </w:r>
      <w:r w:rsidR="001766B5" w:rsidRPr="001766B5">
        <w:rPr>
          <w:i/>
          <w:szCs w:val="26"/>
        </w:rPr>
        <w:t>Id</w:t>
      </w:r>
      <w:r w:rsidR="001766B5">
        <w:rPr>
          <w:szCs w:val="26"/>
        </w:rPr>
        <w:t xml:space="preserve">. at 18.  </w:t>
      </w:r>
      <w:r w:rsidR="002C7287">
        <w:rPr>
          <w:szCs w:val="26"/>
        </w:rPr>
        <w:t xml:space="preserve">The ALJ stated that, even if the Complainant first became aware of the $400 outstanding balance in March 2004, the events that gave rise to his claim were almost seven years old when he filed the instant Complaint on December 7, 2010.  </w:t>
      </w:r>
      <w:r w:rsidR="001766B5" w:rsidRPr="001766B5">
        <w:rPr>
          <w:i/>
          <w:szCs w:val="26"/>
        </w:rPr>
        <w:t>Id</w:t>
      </w:r>
      <w:r w:rsidR="001766B5">
        <w:rPr>
          <w:szCs w:val="26"/>
        </w:rPr>
        <w:t xml:space="preserve">. at 19.  </w:t>
      </w:r>
      <w:r w:rsidR="000E7C57">
        <w:rPr>
          <w:szCs w:val="26"/>
        </w:rPr>
        <w:t>The ALJ further stated that she found the Complainant’s balance to be the direct result of the Complainant’s history of making late, partial, or no payments to his account.</w:t>
      </w:r>
      <w:r w:rsidR="001766B5" w:rsidRPr="001766B5">
        <w:rPr>
          <w:i/>
          <w:szCs w:val="26"/>
        </w:rPr>
        <w:t xml:space="preserve"> </w:t>
      </w:r>
      <w:r w:rsidR="001766B5">
        <w:rPr>
          <w:i/>
          <w:szCs w:val="26"/>
        </w:rPr>
        <w:t xml:space="preserve"> </w:t>
      </w:r>
      <w:r w:rsidR="001766B5" w:rsidRPr="001766B5">
        <w:rPr>
          <w:i/>
          <w:szCs w:val="26"/>
        </w:rPr>
        <w:t>Id</w:t>
      </w:r>
      <w:r w:rsidR="001766B5">
        <w:rPr>
          <w:szCs w:val="26"/>
        </w:rPr>
        <w:t>. at 20.</w:t>
      </w:r>
    </w:p>
    <w:p w:rsidR="000E7C57" w:rsidRDefault="000E7C57" w:rsidP="005E1B9D">
      <w:pPr>
        <w:spacing w:line="360" w:lineRule="auto"/>
        <w:ind w:firstLine="1440"/>
        <w:rPr>
          <w:szCs w:val="26"/>
        </w:rPr>
      </w:pPr>
    </w:p>
    <w:p w:rsidR="00E5418E" w:rsidRDefault="000E7C57" w:rsidP="005E1B9D">
      <w:pPr>
        <w:spacing w:line="360" w:lineRule="auto"/>
        <w:ind w:firstLine="1440"/>
        <w:rPr>
          <w:szCs w:val="26"/>
        </w:rPr>
      </w:pPr>
      <w:r>
        <w:rPr>
          <w:szCs w:val="26"/>
        </w:rPr>
        <w:t xml:space="preserve">The ALJ also addressed the Complainant’s high billing dispute which covered the billing period from December 14, 2010, to January 18, 2010.  </w:t>
      </w:r>
      <w:r w:rsidR="005033E0">
        <w:rPr>
          <w:szCs w:val="26"/>
        </w:rPr>
        <w:t xml:space="preserve">The ALJ concluded that any circumstantial evidence the Complainant presented to support his high billing claim was insufficient to demonstrate that his potential for electricity consumption was low.  </w:t>
      </w:r>
      <w:r w:rsidR="00982372" w:rsidRPr="00982372">
        <w:rPr>
          <w:i/>
          <w:szCs w:val="26"/>
        </w:rPr>
        <w:t>Id</w:t>
      </w:r>
      <w:r w:rsidR="00982372">
        <w:rPr>
          <w:szCs w:val="26"/>
        </w:rPr>
        <w:t xml:space="preserve">. at 24.  </w:t>
      </w:r>
      <w:r w:rsidR="005033E0">
        <w:rPr>
          <w:szCs w:val="26"/>
        </w:rPr>
        <w:t xml:space="preserve">Additionally, the ALJ determined that a comparison of the bill the Complainant received in January 2011 and the bill he received in January 2010 did not show the 30% to 40% increase in consumption that the Complainant claimed in his testimony but, rather, the increase in consumption was only 22.06%.  </w:t>
      </w:r>
      <w:r w:rsidR="00E5418E">
        <w:rPr>
          <w:szCs w:val="26"/>
        </w:rPr>
        <w:t xml:space="preserve">The ALJ further noted that the winter of 2010-2011 was more severe than the winter of 2009-2010.  </w:t>
      </w:r>
      <w:r w:rsidR="00982372" w:rsidRPr="00982372">
        <w:rPr>
          <w:i/>
          <w:szCs w:val="26"/>
        </w:rPr>
        <w:t>Id</w:t>
      </w:r>
      <w:r w:rsidR="00FA3E1D">
        <w:rPr>
          <w:szCs w:val="26"/>
        </w:rPr>
        <w:t>. at </w:t>
      </w:r>
      <w:r w:rsidR="00982372">
        <w:rPr>
          <w:szCs w:val="26"/>
        </w:rPr>
        <w:t xml:space="preserve">25.  </w:t>
      </w:r>
      <w:r w:rsidR="00E5418E">
        <w:rPr>
          <w:szCs w:val="26"/>
        </w:rPr>
        <w:t>The ALJ found that the Complainant’s bill was correct as rendered based on her consideration of PECO’s exhibits and testimony and the results of PECO’s meter test.</w:t>
      </w:r>
      <w:r w:rsidR="00982372">
        <w:rPr>
          <w:szCs w:val="26"/>
        </w:rPr>
        <w:t xml:space="preserve">  </w:t>
      </w:r>
      <w:r w:rsidR="00982372" w:rsidRPr="00982372">
        <w:rPr>
          <w:i/>
          <w:szCs w:val="26"/>
        </w:rPr>
        <w:t>Id</w:t>
      </w:r>
      <w:r w:rsidR="00982372">
        <w:rPr>
          <w:szCs w:val="26"/>
        </w:rPr>
        <w:t>. at 26.</w:t>
      </w:r>
      <w:r w:rsidR="001766B5">
        <w:rPr>
          <w:szCs w:val="26"/>
        </w:rPr>
        <w:t xml:space="preserve"> </w:t>
      </w:r>
    </w:p>
    <w:p w:rsidR="00E5418E" w:rsidRDefault="00E5418E" w:rsidP="005E1B9D">
      <w:pPr>
        <w:spacing w:line="360" w:lineRule="auto"/>
        <w:ind w:firstLine="1440"/>
        <w:rPr>
          <w:szCs w:val="26"/>
        </w:rPr>
      </w:pPr>
    </w:p>
    <w:p w:rsidR="003C55F4" w:rsidRDefault="0014737F" w:rsidP="005E1B9D">
      <w:pPr>
        <w:spacing w:line="360" w:lineRule="auto"/>
        <w:ind w:firstLine="1440"/>
        <w:rPr>
          <w:szCs w:val="26"/>
        </w:rPr>
      </w:pPr>
      <w:r>
        <w:rPr>
          <w:szCs w:val="26"/>
        </w:rPr>
        <w:t xml:space="preserve">Lastly, the ALJ addressed the Complainant’s request for a payment arrangement.  In reaching her conclusion that the Complainant was not entitled to </w:t>
      </w:r>
      <w:r w:rsidR="00246B19">
        <w:rPr>
          <w:szCs w:val="26"/>
        </w:rPr>
        <w:t xml:space="preserve">a </w:t>
      </w:r>
      <w:r w:rsidR="00246B19">
        <w:rPr>
          <w:szCs w:val="26"/>
        </w:rPr>
        <w:lastRenderedPageBreak/>
        <w:t xml:space="preserve">payment arrangement, the ALJ relied on </w:t>
      </w:r>
      <w:r w:rsidR="00246B19">
        <w:rPr>
          <w:i/>
          <w:szCs w:val="26"/>
        </w:rPr>
        <w:t>George Crawford v. National Fuel Gas Distribution Corporation</w:t>
      </w:r>
      <w:r w:rsidR="00246B19">
        <w:rPr>
          <w:szCs w:val="26"/>
        </w:rPr>
        <w:t xml:space="preserve">, Docket No. C-20066348 (Order entered December 6, 2007), and found that the Complainant did not demonstrate a good faith effort to pay his bills timely or in full.  </w:t>
      </w:r>
      <w:r w:rsidR="001766B5">
        <w:rPr>
          <w:szCs w:val="26"/>
        </w:rPr>
        <w:t>I.D. at 27.</w:t>
      </w:r>
      <w:r w:rsidR="005033E0">
        <w:rPr>
          <w:szCs w:val="26"/>
        </w:rPr>
        <w:t xml:space="preserve">   </w:t>
      </w:r>
    </w:p>
    <w:p w:rsidR="00926F92" w:rsidRDefault="005033E0" w:rsidP="005E1B9D">
      <w:pPr>
        <w:spacing w:line="360" w:lineRule="auto"/>
        <w:ind w:firstLine="1440"/>
        <w:rPr>
          <w:szCs w:val="26"/>
        </w:rPr>
      </w:pPr>
      <w:r>
        <w:rPr>
          <w:szCs w:val="26"/>
        </w:rPr>
        <w:t xml:space="preserve">  </w:t>
      </w:r>
    </w:p>
    <w:p w:rsidR="00926F92" w:rsidRDefault="00926F92" w:rsidP="005E1B9D">
      <w:pPr>
        <w:spacing w:line="360" w:lineRule="auto"/>
        <w:ind w:firstLine="1440"/>
        <w:rPr>
          <w:szCs w:val="26"/>
        </w:rPr>
      </w:pPr>
      <w:r>
        <w:rPr>
          <w:szCs w:val="26"/>
        </w:rPr>
        <w:t>In his first Exception, the Complainant states that the ALJ incorrectly described his appearance at the April 21, 2011, hearing</w:t>
      </w:r>
      <w:r w:rsidR="00466D88">
        <w:rPr>
          <w:szCs w:val="26"/>
        </w:rPr>
        <w:t xml:space="preserve"> on page three of the Initial Decision</w:t>
      </w:r>
      <w:r>
        <w:rPr>
          <w:szCs w:val="26"/>
        </w:rPr>
        <w:t xml:space="preserve">.  The Complainant avers that both he and PECO’s witness arrived at the hearing at the scheduled 10:00 a.m. time and that PECO’s counsel was incorrect about the hearing start time.  Exc. at 1.  </w:t>
      </w:r>
    </w:p>
    <w:p w:rsidR="00926F92" w:rsidRDefault="00926F92" w:rsidP="005E1B9D">
      <w:pPr>
        <w:spacing w:line="360" w:lineRule="auto"/>
        <w:ind w:firstLine="1440"/>
        <w:rPr>
          <w:szCs w:val="26"/>
        </w:rPr>
      </w:pPr>
    </w:p>
    <w:p w:rsidR="00C810C0" w:rsidRDefault="00926F92" w:rsidP="005E1B9D">
      <w:pPr>
        <w:spacing w:line="360" w:lineRule="auto"/>
        <w:ind w:firstLine="1440"/>
        <w:rPr>
          <w:szCs w:val="26"/>
        </w:rPr>
      </w:pPr>
      <w:r>
        <w:rPr>
          <w:szCs w:val="26"/>
        </w:rPr>
        <w:t>In response, PECO states that the ALJ did not err and correctly outlined the events as supported by the record.  PECO indicates that the March 17, 2011 Hearing Cancellation/Reschedule Notice served on the Complainant and PECO rescheduled the hearing for April 21, 2011, at 1:30 p.m.</w:t>
      </w:r>
      <w:r w:rsidR="00466D88">
        <w:rPr>
          <w:szCs w:val="26"/>
        </w:rPr>
        <w:t xml:space="preserve">  R. Exc. at 6. </w:t>
      </w:r>
    </w:p>
    <w:p w:rsidR="00C810C0" w:rsidRDefault="00C810C0" w:rsidP="005E1B9D">
      <w:pPr>
        <w:spacing w:line="360" w:lineRule="auto"/>
        <w:ind w:firstLine="1440"/>
        <w:rPr>
          <w:szCs w:val="26"/>
        </w:rPr>
      </w:pPr>
    </w:p>
    <w:p w:rsidR="00466D88" w:rsidRDefault="00C810C0" w:rsidP="005E1B9D">
      <w:pPr>
        <w:spacing w:line="360" w:lineRule="auto"/>
        <w:ind w:firstLine="1440"/>
        <w:rPr>
          <w:szCs w:val="26"/>
        </w:rPr>
      </w:pPr>
      <w:r>
        <w:rPr>
          <w:szCs w:val="26"/>
        </w:rPr>
        <w:t xml:space="preserve">Based on our reading of the </w:t>
      </w:r>
      <w:r w:rsidR="00C32ACF" w:rsidRPr="007B5775">
        <w:rPr>
          <w:szCs w:val="24"/>
        </w:rPr>
        <w:t>second Hearing</w:t>
      </w:r>
      <w:r w:rsidR="00C32ACF">
        <w:rPr>
          <w:szCs w:val="24"/>
        </w:rPr>
        <w:t xml:space="preserve"> C</w:t>
      </w:r>
      <w:r w:rsidR="00C32ACF" w:rsidRPr="007B5775">
        <w:rPr>
          <w:szCs w:val="24"/>
        </w:rPr>
        <w:t>ancellation/Reschedule Notice</w:t>
      </w:r>
      <w:r w:rsidR="00C32ACF">
        <w:rPr>
          <w:szCs w:val="24"/>
        </w:rPr>
        <w:t>, dated</w:t>
      </w:r>
      <w:r w:rsidR="00C32ACF" w:rsidRPr="007B5775">
        <w:rPr>
          <w:szCs w:val="24"/>
        </w:rPr>
        <w:t xml:space="preserve"> March 17, 2011, </w:t>
      </w:r>
      <w:r w:rsidR="00C32ACF">
        <w:rPr>
          <w:szCs w:val="24"/>
        </w:rPr>
        <w:t xml:space="preserve">which was served on both Parties, it is clear that the </w:t>
      </w:r>
      <w:r w:rsidR="00C32ACF" w:rsidRPr="007B5775">
        <w:rPr>
          <w:szCs w:val="24"/>
        </w:rPr>
        <w:t>initial hearing was scheduled for April 21, 2011, at 1:30 p.m.</w:t>
      </w:r>
      <w:r w:rsidR="00C32ACF">
        <w:rPr>
          <w:szCs w:val="24"/>
        </w:rPr>
        <w:t xml:space="preserve">  </w:t>
      </w:r>
      <w:r w:rsidR="00267BD9">
        <w:rPr>
          <w:szCs w:val="24"/>
        </w:rPr>
        <w:t xml:space="preserve">The ALJ accommodated the Complainant by arranging to start the hearing at approximately 10:45 a.m.  </w:t>
      </w:r>
      <w:r w:rsidR="00C32ACF">
        <w:rPr>
          <w:szCs w:val="24"/>
        </w:rPr>
        <w:t>Therefore, the Complainant’s Exception on this issue is denied.</w:t>
      </w:r>
    </w:p>
    <w:p w:rsidR="00466D88" w:rsidRDefault="00466D88" w:rsidP="005E1B9D">
      <w:pPr>
        <w:spacing w:line="360" w:lineRule="auto"/>
        <w:ind w:firstLine="1440"/>
        <w:rPr>
          <w:szCs w:val="26"/>
        </w:rPr>
      </w:pPr>
    </w:p>
    <w:p w:rsidR="00466D88" w:rsidRDefault="00466D88" w:rsidP="005E1B9D">
      <w:pPr>
        <w:spacing w:line="360" w:lineRule="auto"/>
        <w:ind w:firstLine="1440"/>
        <w:rPr>
          <w:szCs w:val="26"/>
        </w:rPr>
      </w:pPr>
      <w:r>
        <w:rPr>
          <w:szCs w:val="26"/>
        </w:rPr>
        <w:t>In his second Exception, the Complainant contests the ALJ’s rulings during the hearing that some of the testimony he submitted was inadmissible as hearsay.  The Complainant points to his testimony regarding information a PECO employee told him during a conversation about a bill increase from $812 to $2,200.  Exc. at 1</w:t>
      </w:r>
      <w:r w:rsidR="004B6827">
        <w:rPr>
          <w:szCs w:val="26"/>
        </w:rPr>
        <w:t>; Tr. April 21, 2011, at 76, 78</w:t>
      </w:r>
      <w:r>
        <w:rPr>
          <w:szCs w:val="26"/>
        </w:rPr>
        <w:t xml:space="preserve">.  </w:t>
      </w:r>
    </w:p>
    <w:p w:rsidR="00466D88" w:rsidRDefault="00466D88" w:rsidP="005E1B9D">
      <w:pPr>
        <w:spacing w:line="360" w:lineRule="auto"/>
        <w:ind w:firstLine="1440"/>
        <w:rPr>
          <w:szCs w:val="26"/>
        </w:rPr>
      </w:pPr>
    </w:p>
    <w:p w:rsidR="00455B45" w:rsidRDefault="00466D88" w:rsidP="00455B45">
      <w:pPr>
        <w:spacing w:line="360" w:lineRule="auto"/>
        <w:ind w:firstLine="1440"/>
        <w:rPr>
          <w:szCs w:val="26"/>
        </w:rPr>
      </w:pPr>
      <w:r>
        <w:rPr>
          <w:szCs w:val="26"/>
        </w:rPr>
        <w:lastRenderedPageBreak/>
        <w:t xml:space="preserve">In response, PECO asserts that the ALJ properly disallowed the Complainant to testify about what a PECO employee allegedly told him about a bill because the PECO employee did not testify at the hearing, and the Complainant did not provide any reason to allow the testimony into the record under any exception to the hearsay rule.  </w:t>
      </w:r>
      <w:r w:rsidR="00AF63C1">
        <w:rPr>
          <w:szCs w:val="26"/>
        </w:rPr>
        <w:t xml:space="preserve">R. Exc. at 6-7 (citing </w:t>
      </w:r>
      <w:r w:rsidR="00FC47AB">
        <w:rPr>
          <w:szCs w:val="26"/>
        </w:rPr>
        <w:t xml:space="preserve">Rules 801, 802, and 803 of the Pennsylvania Rules of Evidence, </w:t>
      </w:r>
      <w:r w:rsidR="00AF63C1">
        <w:rPr>
          <w:szCs w:val="26"/>
        </w:rPr>
        <w:t>Pa.</w:t>
      </w:r>
      <w:r w:rsidR="00FC47AB">
        <w:rPr>
          <w:szCs w:val="26"/>
        </w:rPr>
        <w:t xml:space="preserve"> </w:t>
      </w:r>
      <w:r w:rsidR="00AF63C1">
        <w:rPr>
          <w:szCs w:val="26"/>
        </w:rPr>
        <w:t>R.E. 801, 802, and 803).</w:t>
      </w:r>
      <w:r w:rsidR="00FC47AB">
        <w:rPr>
          <w:szCs w:val="26"/>
        </w:rPr>
        <w:t xml:space="preserve">  </w:t>
      </w:r>
      <w:r w:rsidR="00B926BD">
        <w:rPr>
          <w:szCs w:val="26"/>
        </w:rPr>
        <w:t xml:space="preserve"> </w:t>
      </w:r>
    </w:p>
    <w:p w:rsidR="00455B45" w:rsidRDefault="00455B45" w:rsidP="00455B45">
      <w:pPr>
        <w:spacing w:line="360" w:lineRule="auto"/>
        <w:ind w:firstLine="1440"/>
        <w:rPr>
          <w:szCs w:val="26"/>
        </w:rPr>
      </w:pPr>
    </w:p>
    <w:p w:rsidR="00455B45" w:rsidRDefault="00455B45" w:rsidP="005E1B9D">
      <w:pPr>
        <w:spacing w:line="360" w:lineRule="auto"/>
        <w:ind w:firstLine="1440"/>
      </w:pPr>
      <w:r w:rsidRPr="00455B45">
        <w:t>We find merit in the Complainant’s second Exception as we believe that the Complainant’s testimony likely falls within an exception to the hearsay rule pertaining to an admission by a party-opponent. </w:t>
      </w:r>
      <w:r w:rsidRPr="00455B45">
        <w:rPr>
          <w:i/>
          <w:iCs/>
        </w:rPr>
        <w:t xml:space="preserve"> See</w:t>
      </w:r>
      <w:r w:rsidRPr="00455B45">
        <w:t xml:space="preserve"> Pa. R.E. 803(25).  In considering the Complainant’s testimony, however, we find that it does not present any new information and is not dispositive to the outcome in this case.  While we will grant this Exception, it is not necessary to modify any portion of the Initial Decision as a result. </w:t>
      </w:r>
    </w:p>
    <w:p w:rsidR="00455B45" w:rsidRDefault="00455B45" w:rsidP="005E1B9D">
      <w:pPr>
        <w:spacing w:line="360" w:lineRule="auto"/>
        <w:ind w:firstLine="1440"/>
      </w:pPr>
    </w:p>
    <w:p w:rsidR="009B6B5C" w:rsidRDefault="002609B8" w:rsidP="005E1B9D">
      <w:pPr>
        <w:spacing w:line="360" w:lineRule="auto"/>
        <w:ind w:firstLine="1440"/>
        <w:rPr>
          <w:szCs w:val="26"/>
        </w:rPr>
      </w:pPr>
      <w:r>
        <w:rPr>
          <w:szCs w:val="26"/>
        </w:rPr>
        <w:t xml:space="preserve">In his third Exception, the Complainant maintains that </w:t>
      </w:r>
      <w:r w:rsidR="009B6B5C">
        <w:rPr>
          <w:szCs w:val="26"/>
        </w:rPr>
        <w:t>the ALJ and counsel for PECO had friendly exchanges and joked between themselves and that this demonstrated the ALJ’s bias toward PECO.  Exc. at 2.  In response, PECO state</w:t>
      </w:r>
      <w:r w:rsidR="00F94F57">
        <w:rPr>
          <w:szCs w:val="26"/>
        </w:rPr>
        <w:t>s</w:t>
      </w:r>
      <w:r w:rsidR="009B6B5C">
        <w:rPr>
          <w:szCs w:val="26"/>
        </w:rPr>
        <w:t xml:space="preserve"> that the Complainant’s assertion is not supported by the record.  R. Exc. at 7.</w:t>
      </w:r>
    </w:p>
    <w:p w:rsidR="00A45DBA" w:rsidRDefault="00A45DBA" w:rsidP="005E1B9D">
      <w:pPr>
        <w:spacing w:line="360" w:lineRule="auto"/>
        <w:ind w:firstLine="1440"/>
        <w:rPr>
          <w:szCs w:val="26"/>
        </w:rPr>
      </w:pPr>
    </w:p>
    <w:p w:rsidR="00A45DBA" w:rsidRDefault="00A45DBA" w:rsidP="005E1B9D">
      <w:pPr>
        <w:spacing w:line="360" w:lineRule="auto"/>
        <w:ind w:firstLine="1440"/>
        <w:rPr>
          <w:szCs w:val="26"/>
        </w:rPr>
      </w:pPr>
      <w:r>
        <w:rPr>
          <w:szCs w:val="26"/>
        </w:rPr>
        <w:t xml:space="preserve">Based on our review of the record, it does not appear that the ALJ exhibited bias in favor of PECO in conducting this proceeding.  Therefore, the Complainant’s third Exception is denied.     </w:t>
      </w:r>
    </w:p>
    <w:p w:rsidR="009B6B5C" w:rsidRDefault="009B6B5C" w:rsidP="005E1B9D">
      <w:pPr>
        <w:spacing w:line="360" w:lineRule="auto"/>
        <w:ind w:firstLine="1440"/>
        <w:rPr>
          <w:szCs w:val="26"/>
        </w:rPr>
      </w:pPr>
    </w:p>
    <w:p w:rsidR="00F94F57" w:rsidRDefault="009B6B5C" w:rsidP="005E1B9D">
      <w:pPr>
        <w:spacing w:line="360" w:lineRule="auto"/>
        <w:ind w:firstLine="1440"/>
        <w:rPr>
          <w:szCs w:val="26"/>
        </w:rPr>
      </w:pPr>
      <w:r>
        <w:rPr>
          <w:szCs w:val="26"/>
        </w:rPr>
        <w:t>In his fourth Exception, the Complainant avers that</w:t>
      </w:r>
      <w:r w:rsidR="00930B36">
        <w:rPr>
          <w:szCs w:val="26"/>
        </w:rPr>
        <w:t xml:space="preserve"> </w:t>
      </w:r>
      <w:r w:rsidR="00F94F57">
        <w:rPr>
          <w:szCs w:val="26"/>
        </w:rPr>
        <w:t>a $400 arrearage from a prior account continued to increase over time to a</w:t>
      </w:r>
      <w:r w:rsidR="000031B7">
        <w:rPr>
          <w:szCs w:val="26"/>
        </w:rPr>
        <w:t>n arrearage over</w:t>
      </w:r>
      <w:r w:rsidR="00F94F57">
        <w:rPr>
          <w:szCs w:val="26"/>
        </w:rPr>
        <w:t xml:space="preserve"> $3,000.  He states that PECO never informed him of the $400 bill or the addition</w:t>
      </w:r>
      <w:r w:rsidR="00FA3E1D">
        <w:rPr>
          <w:szCs w:val="26"/>
        </w:rPr>
        <w:t>al charges until 2004.  Exc. at </w:t>
      </w:r>
      <w:r w:rsidR="00F94F57">
        <w:rPr>
          <w:szCs w:val="26"/>
        </w:rPr>
        <w:t xml:space="preserve">2.  </w:t>
      </w:r>
    </w:p>
    <w:p w:rsidR="00F94F57" w:rsidRDefault="00F94F57" w:rsidP="005E1B9D">
      <w:pPr>
        <w:spacing w:line="360" w:lineRule="auto"/>
        <w:ind w:firstLine="1440"/>
        <w:rPr>
          <w:szCs w:val="26"/>
        </w:rPr>
      </w:pPr>
    </w:p>
    <w:p w:rsidR="004F0147" w:rsidRDefault="00F94F57" w:rsidP="005E1B9D">
      <w:pPr>
        <w:spacing w:line="360" w:lineRule="auto"/>
        <w:ind w:firstLine="1440"/>
        <w:rPr>
          <w:szCs w:val="26"/>
        </w:rPr>
      </w:pPr>
      <w:r>
        <w:rPr>
          <w:szCs w:val="26"/>
        </w:rPr>
        <w:lastRenderedPageBreak/>
        <w:t>In reply, PECO asserts that the ALJ correctly concluded that the Complainant’s claims regarding incorrect charges on his bill dating back to 1999</w:t>
      </w:r>
      <w:r w:rsidR="002C6E17">
        <w:rPr>
          <w:rStyle w:val="FootnoteReference"/>
          <w:szCs w:val="26"/>
        </w:rPr>
        <w:footnoteReference w:id="4"/>
      </w:r>
      <w:r>
        <w:rPr>
          <w:szCs w:val="26"/>
        </w:rPr>
        <w:t xml:space="preserve"> were barred by the three-year statute of limitations in Section 3314 of the Code, 66 Pa.</w:t>
      </w:r>
      <w:r w:rsidR="00267BD9">
        <w:rPr>
          <w:szCs w:val="26"/>
        </w:rPr>
        <w:t xml:space="preserve"> </w:t>
      </w:r>
      <w:r>
        <w:rPr>
          <w:szCs w:val="26"/>
        </w:rPr>
        <w:t xml:space="preserve">C.S. </w:t>
      </w:r>
    </w:p>
    <w:p w:rsidR="00F94F57" w:rsidRDefault="00F94F57" w:rsidP="004F0147">
      <w:pPr>
        <w:spacing w:line="360" w:lineRule="auto"/>
        <w:rPr>
          <w:szCs w:val="26"/>
        </w:rPr>
      </w:pPr>
      <w:r>
        <w:rPr>
          <w:szCs w:val="26"/>
        </w:rPr>
        <w:t xml:space="preserve">§ 3314.  </w:t>
      </w:r>
    </w:p>
    <w:p w:rsidR="004F0147" w:rsidRDefault="004F0147" w:rsidP="005E1B9D">
      <w:pPr>
        <w:spacing w:line="360" w:lineRule="auto"/>
        <w:ind w:firstLine="1440"/>
        <w:rPr>
          <w:szCs w:val="26"/>
        </w:rPr>
      </w:pPr>
    </w:p>
    <w:p w:rsidR="004F0147" w:rsidRDefault="004F0147" w:rsidP="005E1B9D">
      <w:pPr>
        <w:spacing w:line="360" w:lineRule="auto"/>
        <w:ind w:firstLine="1440"/>
        <w:rPr>
          <w:szCs w:val="26"/>
        </w:rPr>
      </w:pPr>
      <w:r>
        <w:rPr>
          <w:szCs w:val="26"/>
        </w:rPr>
        <w:t>In his Exception, the Complainant is asserting the same claims he made in his Complaint which were properly rejected by the ALJ.  We agree with the ALJ’s conclusion that the Complainant was disputing charges for which he had continuously admitted liability based on the fact that he had entered into three payment arrangements.  As the ALJ noted, Section 1403 of the Code, 66 Pa.</w:t>
      </w:r>
      <w:r w:rsidR="00267BD9">
        <w:rPr>
          <w:szCs w:val="26"/>
        </w:rPr>
        <w:t xml:space="preserve"> </w:t>
      </w:r>
      <w:r>
        <w:rPr>
          <w:szCs w:val="26"/>
        </w:rPr>
        <w:t xml:space="preserve">C.S. § 1403, defines a “payment agreement” as “[a]n agreement whereby a customer who admits liability for billed service is permitted to amortize or pay the unpaid balance of the account in one or more payments.”  </w:t>
      </w:r>
      <w:r w:rsidRPr="004F0147">
        <w:rPr>
          <w:i/>
          <w:szCs w:val="26"/>
        </w:rPr>
        <w:t>S</w:t>
      </w:r>
      <w:r>
        <w:rPr>
          <w:i/>
          <w:szCs w:val="26"/>
        </w:rPr>
        <w:t>ee</w:t>
      </w:r>
      <w:r w:rsidR="00022EC2">
        <w:rPr>
          <w:i/>
          <w:szCs w:val="26"/>
        </w:rPr>
        <w:t>,</w:t>
      </w:r>
      <w:r>
        <w:rPr>
          <w:i/>
          <w:szCs w:val="26"/>
        </w:rPr>
        <w:t xml:space="preserve"> </w:t>
      </w:r>
      <w:r>
        <w:rPr>
          <w:szCs w:val="26"/>
        </w:rPr>
        <w:t>I.D. at 17-18.  Furthermore, we concur with the ALJ that the</w:t>
      </w:r>
      <w:r w:rsidR="00B670A4">
        <w:rPr>
          <w:szCs w:val="26"/>
        </w:rPr>
        <w:t xml:space="preserve"> Complainant’s claims were barred by the three-year statute of limitations set forth in Section 3314(a) of the Code, 66 Pa. C.S. § 3314(a).  As such, this Exception is denied.</w:t>
      </w:r>
    </w:p>
    <w:p w:rsidR="00F94F57" w:rsidRDefault="00F94F57" w:rsidP="005E1B9D">
      <w:pPr>
        <w:spacing w:line="360" w:lineRule="auto"/>
        <w:ind w:firstLine="1440"/>
        <w:rPr>
          <w:szCs w:val="26"/>
        </w:rPr>
      </w:pPr>
    </w:p>
    <w:p w:rsidR="00F94F57" w:rsidRDefault="00F94F57" w:rsidP="005E1B9D">
      <w:pPr>
        <w:spacing w:line="360" w:lineRule="auto"/>
        <w:ind w:firstLine="1440"/>
        <w:rPr>
          <w:szCs w:val="26"/>
        </w:rPr>
      </w:pPr>
      <w:r>
        <w:rPr>
          <w:szCs w:val="26"/>
        </w:rPr>
        <w:t xml:space="preserve">In the Complainant’s fifth Exception, he </w:t>
      </w:r>
      <w:r w:rsidR="00D554E7">
        <w:rPr>
          <w:szCs w:val="26"/>
        </w:rPr>
        <w:t xml:space="preserve">refers to paragraph two on page fifteen of the Initial Decision.  He </w:t>
      </w:r>
      <w:r>
        <w:rPr>
          <w:szCs w:val="26"/>
        </w:rPr>
        <w:t>indicates that he entered into a payment arrangement with PECO in 2008, and before sending his first payment, he called PECO to verify the payment amount.  According to the Complainant, a PECO billing representative provided him with the incorrect amount, he then sent in the incorrect amount, and</w:t>
      </w:r>
      <w:r w:rsidR="003D3FDB">
        <w:rPr>
          <w:szCs w:val="26"/>
        </w:rPr>
        <w:t>, as a result,</w:t>
      </w:r>
      <w:r>
        <w:rPr>
          <w:szCs w:val="26"/>
        </w:rPr>
        <w:t xml:space="preserve"> PECO terminated the payment arrangement.  Exc. at 2.  </w:t>
      </w:r>
    </w:p>
    <w:p w:rsidR="00F94F57" w:rsidRDefault="00F94F57" w:rsidP="005E1B9D">
      <w:pPr>
        <w:spacing w:line="360" w:lineRule="auto"/>
        <w:ind w:firstLine="1440"/>
        <w:rPr>
          <w:szCs w:val="26"/>
        </w:rPr>
      </w:pPr>
    </w:p>
    <w:p w:rsidR="00EE5785" w:rsidRDefault="00F94F57" w:rsidP="005E1B9D">
      <w:pPr>
        <w:spacing w:line="360" w:lineRule="auto"/>
        <w:ind w:firstLine="1440"/>
        <w:rPr>
          <w:szCs w:val="26"/>
        </w:rPr>
      </w:pPr>
      <w:r>
        <w:rPr>
          <w:szCs w:val="26"/>
        </w:rPr>
        <w:t xml:space="preserve">In reply, PECO submits that the Complainant is mischaracterizing the payment agreements he had and attempting again to introduce hearsay evidence.  PECO </w:t>
      </w:r>
      <w:r>
        <w:rPr>
          <w:szCs w:val="26"/>
        </w:rPr>
        <w:lastRenderedPageBreak/>
        <w:t xml:space="preserve">avers that the record shows that the Complainant received </w:t>
      </w:r>
      <w:r w:rsidR="00EE5785">
        <w:rPr>
          <w:szCs w:val="26"/>
        </w:rPr>
        <w:t xml:space="preserve">six payment agreements and that none of the agreements were made in 2008.  R. Exc. at 8.  </w:t>
      </w:r>
    </w:p>
    <w:p w:rsidR="00D554E7" w:rsidRDefault="00D554E7" w:rsidP="005E1B9D">
      <w:pPr>
        <w:spacing w:line="360" w:lineRule="auto"/>
        <w:ind w:firstLine="1440"/>
        <w:rPr>
          <w:szCs w:val="26"/>
        </w:rPr>
      </w:pPr>
    </w:p>
    <w:p w:rsidR="00D554E7" w:rsidRDefault="00D554E7" w:rsidP="005E1B9D">
      <w:pPr>
        <w:spacing w:line="360" w:lineRule="auto"/>
        <w:ind w:firstLine="1440"/>
        <w:rPr>
          <w:szCs w:val="26"/>
        </w:rPr>
      </w:pPr>
      <w:r>
        <w:rPr>
          <w:szCs w:val="26"/>
        </w:rPr>
        <w:t xml:space="preserve">The record does not support the Complainant’s claim that he entered into a payment arrangement with PECO in 2008.  In fact, the record demonstrates that PECO determined that payment arrangements were not warranted in response to the Complainant's requests for payment arrangements on both April 10, 2008, and on November 19, 2008.  PECO Exhibit 4.  </w:t>
      </w:r>
      <w:r w:rsidR="00506957">
        <w:rPr>
          <w:szCs w:val="26"/>
        </w:rPr>
        <w:t>Accordingly, the Complainant’s Exception is denied.</w:t>
      </w:r>
      <w:r>
        <w:rPr>
          <w:szCs w:val="26"/>
        </w:rPr>
        <w:t xml:space="preserve">  </w:t>
      </w:r>
    </w:p>
    <w:p w:rsidR="00EE5785" w:rsidRDefault="00EE5785" w:rsidP="005E1B9D">
      <w:pPr>
        <w:spacing w:line="360" w:lineRule="auto"/>
        <w:ind w:firstLine="1440"/>
        <w:rPr>
          <w:szCs w:val="26"/>
        </w:rPr>
      </w:pPr>
    </w:p>
    <w:p w:rsidR="00B03318" w:rsidRDefault="00EE5785" w:rsidP="005E1B9D">
      <w:pPr>
        <w:spacing w:line="360" w:lineRule="auto"/>
        <w:ind w:firstLine="1440"/>
        <w:rPr>
          <w:szCs w:val="26"/>
        </w:rPr>
      </w:pPr>
      <w:r>
        <w:rPr>
          <w:szCs w:val="26"/>
        </w:rPr>
        <w:t>In his sixth Exception, the Complainant avers that</w:t>
      </w:r>
      <w:r w:rsidR="000A18F9">
        <w:rPr>
          <w:szCs w:val="26"/>
        </w:rPr>
        <w:t xml:space="preserve"> paragraph two on page eighteen of the Initial Decision incorrectly states that the Complainant was not under a payment arrangement</w:t>
      </w:r>
      <w:r w:rsidR="00B03318">
        <w:rPr>
          <w:szCs w:val="26"/>
        </w:rPr>
        <w:t xml:space="preserve"> with either the Commission or PECO</w:t>
      </w:r>
      <w:r w:rsidR="00784B40">
        <w:rPr>
          <w:szCs w:val="26"/>
        </w:rPr>
        <w:t xml:space="preserve"> from January 2009, through and including January 2010</w:t>
      </w:r>
      <w:r w:rsidR="00B03318">
        <w:rPr>
          <w:szCs w:val="26"/>
        </w:rPr>
        <w:t xml:space="preserve">.  According to the Complainant, payment arrangements were in place in 2009 and 2010.  He also states that he paid $3,600 toward a bill that should not have been billed to him and that PECO failed to notify him of his arrearage for five years.  As such, the Complainant believes he is entitled to a refund or credit from PECO.  Exc. at 2.  </w:t>
      </w:r>
    </w:p>
    <w:p w:rsidR="00B03318" w:rsidRDefault="00B03318" w:rsidP="005E1B9D">
      <w:pPr>
        <w:spacing w:line="360" w:lineRule="auto"/>
        <w:ind w:firstLine="1440"/>
        <w:rPr>
          <w:szCs w:val="26"/>
        </w:rPr>
      </w:pPr>
    </w:p>
    <w:p w:rsidR="00DB3070" w:rsidRDefault="00B03318" w:rsidP="005E1B9D">
      <w:pPr>
        <w:spacing w:line="360" w:lineRule="auto"/>
        <w:ind w:firstLine="1440"/>
        <w:rPr>
          <w:szCs w:val="26"/>
        </w:rPr>
      </w:pPr>
      <w:r>
        <w:rPr>
          <w:szCs w:val="26"/>
        </w:rPr>
        <w:t xml:space="preserve">In reply, PECO avers that the Complainant mischaracterizes the evidence regarding </w:t>
      </w:r>
      <w:r w:rsidR="00022EC2">
        <w:rPr>
          <w:szCs w:val="26"/>
        </w:rPr>
        <w:t>his</w:t>
      </w:r>
      <w:r>
        <w:rPr>
          <w:szCs w:val="26"/>
        </w:rPr>
        <w:t xml:space="preserve"> six payment arrangements</w:t>
      </w:r>
      <w:r w:rsidR="00022EC2">
        <w:rPr>
          <w:szCs w:val="26"/>
        </w:rPr>
        <w:t>, whether</w:t>
      </w:r>
      <w:r w:rsidR="002439CE">
        <w:rPr>
          <w:szCs w:val="26"/>
        </w:rPr>
        <w:t xml:space="preserve"> negotiated </w:t>
      </w:r>
      <w:r>
        <w:rPr>
          <w:szCs w:val="26"/>
        </w:rPr>
        <w:t xml:space="preserve">with PECO or </w:t>
      </w:r>
      <w:r w:rsidR="002439CE">
        <w:rPr>
          <w:szCs w:val="26"/>
        </w:rPr>
        <w:t xml:space="preserve">ordered by </w:t>
      </w:r>
      <w:r>
        <w:rPr>
          <w:szCs w:val="26"/>
        </w:rPr>
        <w:t>the Commission.  PECO asserts that the Complainant has a history of broken payment arrangements and has not paid his bills on time for a long period of time.  R.</w:t>
      </w:r>
      <w:r w:rsidR="009E3F5A">
        <w:rPr>
          <w:szCs w:val="26"/>
        </w:rPr>
        <w:t xml:space="preserve"> </w:t>
      </w:r>
      <w:r>
        <w:rPr>
          <w:szCs w:val="26"/>
        </w:rPr>
        <w:t xml:space="preserve">Exc. at 8.  </w:t>
      </w:r>
    </w:p>
    <w:p w:rsidR="00DB3070" w:rsidRDefault="00DB3070" w:rsidP="005E1B9D">
      <w:pPr>
        <w:spacing w:line="360" w:lineRule="auto"/>
        <w:ind w:firstLine="1440"/>
        <w:rPr>
          <w:szCs w:val="26"/>
        </w:rPr>
      </w:pPr>
    </w:p>
    <w:p w:rsidR="00973110" w:rsidRDefault="004D7C37" w:rsidP="005E1B9D">
      <w:pPr>
        <w:spacing w:line="360" w:lineRule="auto"/>
        <w:ind w:firstLine="1440"/>
        <w:rPr>
          <w:szCs w:val="26"/>
        </w:rPr>
      </w:pPr>
      <w:r>
        <w:rPr>
          <w:szCs w:val="26"/>
        </w:rPr>
        <w:t xml:space="preserve">On review of this Exception, we find that the ALJ’s decision that the Complainant should not be reimbursed for paying current charges on regular bills without contributing toward his arrearage was proper.  </w:t>
      </w:r>
      <w:r w:rsidR="000C0E0E">
        <w:rPr>
          <w:szCs w:val="26"/>
        </w:rPr>
        <w:t xml:space="preserve">The evidence shows that the Complainant did not have any payment arrangements in place between January 2009 and January 2010.  </w:t>
      </w:r>
      <w:r w:rsidR="00A50D28">
        <w:rPr>
          <w:szCs w:val="26"/>
        </w:rPr>
        <w:t xml:space="preserve">While the Commission established a payment arrangement on the Complainant’s </w:t>
      </w:r>
      <w:r w:rsidR="00A50D28">
        <w:rPr>
          <w:szCs w:val="26"/>
        </w:rPr>
        <w:lastRenderedPageBreak/>
        <w:t xml:space="preserve">behalf on January 28, 2010, this arrangement had no impact on the Complainant’s January 19, 2010 regular bill from PECO.  PECO Exhibits 1, 6.  </w:t>
      </w:r>
      <w:r w:rsidR="005C7FDE">
        <w:rPr>
          <w:szCs w:val="26"/>
        </w:rPr>
        <w:t>Therefore, this Exception is denied.</w:t>
      </w:r>
    </w:p>
    <w:p w:rsidR="00784B40" w:rsidRDefault="00784B40" w:rsidP="005E1B9D">
      <w:pPr>
        <w:spacing w:line="360" w:lineRule="auto"/>
        <w:ind w:firstLine="1440"/>
        <w:rPr>
          <w:szCs w:val="26"/>
        </w:rPr>
      </w:pPr>
    </w:p>
    <w:p w:rsidR="0072067F" w:rsidRDefault="0072067F" w:rsidP="005E1B9D">
      <w:pPr>
        <w:spacing w:line="360" w:lineRule="auto"/>
        <w:ind w:firstLine="1440"/>
        <w:rPr>
          <w:szCs w:val="26"/>
        </w:rPr>
      </w:pPr>
      <w:r>
        <w:rPr>
          <w:szCs w:val="26"/>
        </w:rPr>
        <w:t xml:space="preserve">In his seventh Exception, the Complainant responds to the ALJ’s statement in the first paragraph of page twenty-five of the Initial Decision, which indicates that the increase in consumption between January 2010 and January 2011 at the Complainant’s residence was only 22.06%.  The Complainant avers that, as he previously submitted, he spent little time in his home in January 2011 due to surgery, and he continues to dispute the amount billed to his account in January 2012.  Exc. at 3.  </w:t>
      </w:r>
    </w:p>
    <w:p w:rsidR="0072067F" w:rsidRDefault="0072067F" w:rsidP="005E1B9D">
      <w:pPr>
        <w:spacing w:line="360" w:lineRule="auto"/>
        <w:ind w:firstLine="1440"/>
        <w:rPr>
          <w:szCs w:val="26"/>
        </w:rPr>
      </w:pPr>
    </w:p>
    <w:p w:rsidR="00461C2D" w:rsidRDefault="0072067F" w:rsidP="005E1B9D">
      <w:pPr>
        <w:spacing w:line="360" w:lineRule="auto"/>
        <w:ind w:firstLine="1440"/>
        <w:rPr>
          <w:szCs w:val="26"/>
        </w:rPr>
      </w:pPr>
      <w:r>
        <w:rPr>
          <w:szCs w:val="26"/>
        </w:rPr>
        <w:t>In response, PECO states that the ALJ correctly relied upon the evidence that establishe</w:t>
      </w:r>
      <w:r w:rsidR="000C0E0E">
        <w:rPr>
          <w:szCs w:val="26"/>
        </w:rPr>
        <w:t>d</w:t>
      </w:r>
      <w:r>
        <w:rPr>
          <w:szCs w:val="26"/>
        </w:rPr>
        <w:t xml:space="preserve"> PECO’s bill for the disputed period was correct as rendered.  PECO avers that the Complainant testified that he was in and out of his residence </w:t>
      </w:r>
      <w:r w:rsidR="0091564A">
        <w:rPr>
          <w:szCs w:val="26"/>
        </w:rPr>
        <w:t>from January 1, 201</w:t>
      </w:r>
      <w:r w:rsidR="000C0E0E">
        <w:rPr>
          <w:szCs w:val="26"/>
        </w:rPr>
        <w:t>1</w:t>
      </w:r>
      <w:r w:rsidR="0091564A">
        <w:rPr>
          <w:szCs w:val="26"/>
        </w:rPr>
        <w:t>, through on or about January 14 or 15, 2011, when he returned to his residence on a full time basis.  R. Exc. at 9; Tr. October 3, 2011, at 26.  According to PECO, when the Complainant was in his residence on a part time basis, he maintained the heat at 66 or 67 degrees, which was just three degrees less than his typical temperature, because his dog was at the residence.  R.</w:t>
      </w:r>
      <w:r w:rsidR="009E3F5A">
        <w:rPr>
          <w:szCs w:val="26"/>
        </w:rPr>
        <w:t xml:space="preserve"> </w:t>
      </w:r>
      <w:r w:rsidR="0091564A">
        <w:rPr>
          <w:szCs w:val="26"/>
        </w:rPr>
        <w:t xml:space="preserve">Exc. at 9; Tr. October 3, 2011, at 27, 29, 30.  PECO indicates that this period of time coincided with one of the coldest winters in Pennsylvania, as noted by the ALJ.  R. Exc. at 9; Tr. October 3, 2011, at 30. </w:t>
      </w:r>
    </w:p>
    <w:p w:rsidR="00461C2D" w:rsidRDefault="00461C2D" w:rsidP="005E1B9D">
      <w:pPr>
        <w:spacing w:line="360" w:lineRule="auto"/>
        <w:ind w:firstLine="1440"/>
        <w:rPr>
          <w:szCs w:val="26"/>
        </w:rPr>
      </w:pPr>
    </w:p>
    <w:p w:rsidR="0091564A" w:rsidRDefault="00461C2D" w:rsidP="005E1B9D">
      <w:pPr>
        <w:spacing w:line="360" w:lineRule="auto"/>
        <w:ind w:firstLine="1440"/>
        <w:rPr>
          <w:szCs w:val="26"/>
        </w:rPr>
      </w:pPr>
      <w:r>
        <w:rPr>
          <w:szCs w:val="26"/>
        </w:rPr>
        <w:t xml:space="preserve">We concur with the ALJ’s resolution of the Complainant’s high bill claim.  </w:t>
      </w:r>
      <w:r w:rsidR="00E81325">
        <w:rPr>
          <w:szCs w:val="26"/>
        </w:rPr>
        <w:t xml:space="preserve">First, the ALJ applied the correct legal standard for evaluating high bill complaints.  She noted that the Commission may consider the billing history of the account, any change in usage patterns, such as a change in the number of occupants residing in the household or potential energy utilization, and any other relevant facts or circumstances that come to light during the proceeding.  I.D. at 22 (citing </w:t>
      </w:r>
      <w:r w:rsidR="00E81325">
        <w:rPr>
          <w:i/>
          <w:szCs w:val="26"/>
        </w:rPr>
        <w:t>Charisse Bennett v. Peoples Natural Gas Co</w:t>
      </w:r>
      <w:r w:rsidR="00E81325">
        <w:rPr>
          <w:szCs w:val="26"/>
        </w:rPr>
        <w:t xml:space="preserve">., Docket No. C-2009-2122979 (Order entered October 13, 2010); </w:t>
      </w:r>
      <w:r w:rsidR="00E81325">
        <w:rPr>
          <w:i/>
          <w:szCs w:val="26"/>
        </w:rPr>
        <w:t xml:space="preserve">Thomas v. PECO </w:t>
      </w:r>
      <w:r w:rsidR="00E81325">
        <w:rPr>
          <w:i/>
          <w:szCs w:val="26"/>
        </w:rPr>
        <w:lastRenderedPageBreak/>
        <w:t>Energy Company</w:t>
      </w:r>
      <w:r w:rsidR="00E81325">
        <w:rPr>
          <w:szCs w:val="26"/>
        </w:rPr>
        <w:t>, Docket No. C-2010-2187197 (Order entered November 15, 2011)).</w:t>
      </w:r>
      <w:r w:rsidR="0021316F">
        <w:rPr>
          <w:szCs w:val="26"/>
        </w:rPr>
        <w:t xml:space="preserve">  The ALJ </w:t>
      </w:r>
      <w:r w:rsidR="00CD6344">
        <w:rPr>
          <w:szCs w:val="26"/>
        </w:rPr>
        <w:t xml:space="preserve">also </w:t>
      </w:r>
      <w:r w:rsidR="0021316F">
        <w:rPr>
          <w:szCs w:val="26"/>
        </w:rPr>
        <w:t>properly considered the relevant evidence</w:t>
      </w:r>
      <w:r w:rsidR="00E81325">
        <w:rPr>
          <w:szCs w:val="26"/>
        </w:rPr>
        <w:t xml:space="preserve"> </w:t>
      </w:r>
      <w:r w:rsidR="0021316F">
        <w:rPr>
          <w:szCs w:val="26"/>
        </w:rPr>
        <w:t>in this case in determining that PECO’s bill was correct as rendered.</w:t>
      </w:r>
    </w:p>
    <w:p w:rsidR="0091564A" w:rsidRDefault="0091564A" w:rsidP="005E1B9D">
      <w:pPr>
        <w:spacing w:line="360" w:lineRule="auto"/>
        <w:ind w:firstLine="1440"/>
        <w:rPr>
          <w:szCs w:val="26"/>
        </w:rPr>
      </w:pPr>
    </w:p>
    <w:p w:rsidR="003075BA" w:rsidRDefault="0091564A" w:rsidP="005E1B9D">
      <w:pPr>
        <w:spacing w:line="360" w:lineRule="auto"/>
        <w:ind w:firstLine="1440"/>
        <w:rPr>
          <w:szCs w:val="26"/>
        </w:rPr>
      </w:pPr>
      <w:r>
        <w:rPr>
          <w:szCs w:val="26"/>
        </w:rPr>
        <w:t xml:space="preserve">In the Complainant’s final Exception, he </w:t>
      </w:r>
      <w:r w:rsidR="009B2FC9">
        <w:rPr>
          <w:szCs w:val="26"/>
        </w:rPr>
        <w:t>refers to information pertaining to a settlement discussion between the Complainant and PECO which was not included in the Initial Decision.  Exc. at 3.  In reply, PECO states that settlement discussions are usually confidential and would not typically be addressed in an Initial Decision and that Pa.</w:t>
      </w:r>
      <w:r w:rsidR="009E3F5A">
        <w:rPr>
          <w:szCs w:val="26"/>
        </w:rPr>
        <w:t xml:space="preserve"> </w:t>
      </w:r>
      <w:r w:rsidR="009B2FC9">
        <w:rPr>
          <w:szCs w:val="26"/>
        </w:rPr>
        <w:t>R.E. 408 prohibits submitting as evidence statements made in relation to settlement discussions.  Accordingly, PECO submits that the ALJ properly did not consider the information regarding settlement discussions between PECO and the Complainant.  R.</w:t>
      </w:r>
      <w:r w:rsidR="000F5E69">
        <w:rPr>
          <w:szCs w:val="26"/>
        </w:rPr>
        <w:t> </w:t>
      </w:r>
      <w:r w:rsidR="009B2FC9">
        <w:rPr>
          <w:szCs w:val="26"/>
        </w:rPr>
        <w:t xml:space="preserve">Exc. at 9.   </w:t>
      </w:r>
    </w:p>
    <w:p w:rsidR="003075BA" w:rsidRDefault="003075BA" w:rsidP="005E1B9D">
      <w:pPr>
        <w:spacing w:line="360" w:lineRule="auto"/>
        <w:ind w:firstLine="1440"/>
        <w:rPr>
          <w:szCs w:val="26"/>
        </w:rPr>
      </w:pPr>
    </w:p>
    <w:p w:rsidR="003C55F4" w:rsidRDefault="003075BA" w:rsidP="005E1B9D">
      <w:pPr>
        <w:spacing w:line="360" w:lineRule="auto"/>
        <w:ind w:firstLine="1440"/>
        <w:rPr>
          <w:szCs w:val="26"/>
        </w:rPr>
      </w:pPr>
      <w:r>
        <w:rPr>
          <w:szCs w:val="26"/>
        </w:rPr>
        <w:t>Based on our review of this Exception, we find that the ALJ’s decision not to address settlement discussions in the Initial Decision was appropriate and consistent with Commission practice.  We note that Section 5.231(d) of our Regulations, 52 Pa. Code § 5.231(d)</w:t>
      </w:r>
      <w:r w:rsidR="0081351E">
        <w:rPr>
          <w:szCs w:val="26"/>
        </w:rPr>
        <w:t>,</w:t>
      </w:r>
      <w:r>
        <w:rPr>
          <w:szCs w:val="26"/>
        </w:rPr>
        <w:t xml:space="preserve"> provides that offers of settlement are not admissible in evidence against counsel or a party claiming the privilege.  </w:t>
      </w:r>
      <w:r w:rsidR="001B0475">
        <w:rPr>
          <w:szCs w:val="26"/>
        </w:rPr>
        <w:t>Thus</w:t>
      </w:r>
      <w:r>
        <w:rPr>
          <w:szCs w:val="26"/>
        </w:rPr>
        <w:t xml:space="preserve">, the Complainant’s final Exception is denied.    </w:t>
      </w:r>
    </w:p>
    <w:p w:rsidR="003C55F4" w:rsidRDefault="003C55F4" w:rsidP="005E1B9D">
      <w:pPr>
        <w:spacing w:line="360" w:lineRule="auto"/>
        <w:ind w:firstLine="1440"/>
        <w:rPr>
          <w:szCs w:val="26"/>
        </w:rPr>
      </w:pPr>
    </w:p>
    <w:p w:rsidR="00926F92" w:rsidRDefault="003C55F4" w:rsidP="005E1B9D">
      <w:pPr>
        <w:spacing w:line="360" w:lineRule="auto"/>
        <w:ind w:firstLine="1440"/>
        <w:rPr>
          <w:szCs w:val="26"/>
        </w:rPr>
      </w:pPr>
      <w:r>
        <w:rPr>
          <w:szCs w:val="26"/>
        </w:rPr>
        <w:t>Moreover, while we agree with the ALJ’s decision that the Complainant was not entitled to a payment arrangement in this case, we disagree with the reasoning in the Initial Decision on this issue.  We believe that the ALJ improperly relie</w:t>
      </w:r>
      <w:r w:rsidR="00FA1166">
        <w:rPr>
          <w:szCs w:val="26"/>
        </w:rPr>
        <w:t>d</w:t>
      </w:r>
      <w:r>
        <w:rPr>
          <w:szCs w:val="26"/>
        </w:rPr>
        <w:t xml:space="preserve"> on</w:t>
      </w:r>
      <w:r w:rsidR="00FA1166">
        <w:rPr>
          <w:szCs w:val="26"/>
        </w:rPr>
        <w:t xml:space="preserve"> </w:t>
      </w:r>
      <w:r w:rsidR="001D6F21">
        <w:rPr>
          <w:i/>
          <w:szCs w:val="26"/>
        </w:rPr>
        <w:t>Crawford, supra</w:t>
      </w:r>
      <w:r w:rsidR="001D6F21">
        <w:rPr>
          <w:szCs w:val="26"/>
        </w:rPr>
        <w:t>, because the analysis in that case</w:t>
      </w:r>
      <w:r w:rsidR="001D6F21">
        <w:t xml:space="preserve"> does not apply to payment arrangements for active customers like the Complainant whose service has not been terminated for non-payment.  </w:t>
      </w:r>
      <w:r w:rsidR="00250871" w:rsidRPr="008278B3">
        <w:rPr>
          <w:i/>
        </w:rPr>
        <w:t>Crawford</w:t>
      </w:r>
      <w:r w:rsidR="00250871">
        <w:t xml:space="preserve">, at 15.  </w:t>
      </w:r>
      <w:r w:rsidR="00D40EAB">
        <w:t xml:space="preserve">Rather, </w:t>
      </w:r>
      <w:r w:rsidR="000F5E69">
        <w:t>Section 1405(d) of the Code, 66 </w:t>
      </w:r>
      <w:r w:rsidR="00D40EAB">
        <w:t>Pa.</w:t>
      </w:r>
      <w:r w:rsidR="000F5E69">
        <w:t xml:space="preserve"> </w:t>
      </w:r>
      <w:r w:rsidR="00D40EAB">
        <w:t>C.S. § 1405(d), does not allow us to establish another payment arrangement for the Complainant.</w:t>
      </w:r>
      <w:r w:rsidR="00B00307">
        <w:t xml:space="preserve">  Section 1405(d) provides that “[a]bsent a change in income, the commission shall not establish or order a public utility to establish a second or </w:t>
      </w:r>
      <w:r w:rsidR="00B00307">
        <w:lastRenderedPageBreak/>
        <w:t xml:space="preserve">subsequent payment agreement if a customer has defaulted on a previous payment agreement.”  </w:t>
      </w:r>
      <w:r w:rsidR="00450362">
        <w:t xml:space="preserve">In this case, the Complainant has defaulted on two Commission-established payment arrangements, one that was established on December 7, 2004, at BCS Case No. 1801817, and one that was established on January 28, 2010, at BCS Case No. 2641001.  Tr. </w:t>
      </w:r>
      <w:r w:rsidR="00CD6344">
        <w:t xml:space="preserve">April 21, 2011, </w:t>
      </w:r>
      <w:r w:rsidR="00450362">
        <w:t xml:space="preserve">at 14, 39-41; PECO Exhibits 1, 2, 3, 4, 6.  </w:t>
      </w:r>
      <w:r w:rsidR="00E46693">
        <w:t>The Complainant has not presented any evidence to demonstrate a change in his income.  Accordingly, the Complainant’s request for a payment arrangement sh</w:t>
      </w:r>
      <w:r w:rsidR="00E63739">
        <w:t>all</w:t>
      </w:r>
      <w:r w:rsidR="00E46693">
        <w:t xml:space="preserve"> be denied on this basis.</w:t>
      </w:r>
      <w:r w:rsidR="00926F92">
        <w:rPr>
          <w:szCs w:val="26"/>
        </w:rPr>
        <w:t xml:space="preserve">  </w:t>
      </w:r>
    </w:p>
    <w:p w:rsidR="00926F92" w:rsidRDefault="00926F92" w:rsidP="005E1B9D">
      <w:pPr>
        <w:spacing w:line="360" w:lineRule="auto"/>
        <w:ind w:firstLine="1440"/>
        <w:rPr>
          <w:szCs w:val="26"/>
        </w:rPr>
      </w:pPr>
    </w:p>
    <w:p w:rsidR="00BC1B7D" w:rsidRDefault="005C446F" w:rsidP="009F11DD">
      <w:pPr>
        <w:spacing w:line="360" w:lineRule="auto"/>
        <w:jc w:val="center"/>
        <w:rPr>
          <w:rFonts w:ascii="Times New (W1)" w:hAnsi="Times New (W1)"/>
          <w:b/>
          <w:szCs w:val="22"/>
        </w:rPr>
      </w:pPr>
      <w:r>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Pr="007828A8" w:rsidRDefault="000A4744" w:rsidP="00066A76">
      <w:pPr>
        <w:spacing w:line="360" w:lineRule="auto"/>
        <w:rPr>
          <w:szCs w:val="26"/>
        </w:rPr>
      </w:pPr>
      <w:r w:rsidRPr="00A55BFB">
        <w:rPr>
          <w:b/>
          <w:szCs w:val="22"/>
        </w:rPr>
        <w:tab/>
      </w:r>
      <w:r w:rsidRPr="00A55BFB">
        <w:rPr>
          <w:b/>
          <w:szCs w:val="22"/>
        </w:rPr>
        <w:tab/>
      </w:r>
      <w:r w:rsidRPr="00A55BFB">
        <w:rPr>
          <w:szCs w:val="22"/>
        </w:rPr>
        <w:t xml:space="preserve">Based upon our review of the </w:t>
      </w:r>
      <w:r w:rsidR="005C5EA3">
        <w:rPr>
          <w:szCs w:val="22"/>
        </w:rPr>
        <w:t xml:space="preserve">Exceptions, the Initial Decision, and the record in this proceeding, including the Parties’ filings, we shall </w:t>
      </w:r>
      <w:r w:rsidR="009962A4">
        <w:rPr>
          <w:szCs w:val="22"/>
        </w:rPr>
        <w:t xml:space="preserve">grant the Complainant’s Exceptions, in part, </w:t>
      </w:r>
      <w:r w:rsidR="00645526">
        <w:rPr>
          <w:szCs w:val="22"/>
        </w:rPr>
        <w:t>deny the Complainant’s Except</w:t>
      </w:r>
      <w:r w:rsidR="005C5EA3">
        <w:rPr>
          <w:szCs w:val="22"/>
        </w:rPr>
        <w:t>ions</w:t>
      </w:r>
      <w:r w:rsidR="009962A4">
        <w:rPr>
          <w:szCs w:val="22"/>
        </w:rPr>
        <w:t>, in part,</w:t>
      </w:r>
      <w:r w:rsidR="005C5EA3">
        <w:rPr>
          <w:szCs w:val="22"/>
        </w:rPr>
        <w:t xml:space="preserve"> and modify the Initial Decision, consistent with this Opinion and Order</w:t>
      </w:r>
      <w:r w:rsidR="0044197C" w:rsidRPr="00A55BFB">
        <w:rPr>
          <w:szCs w:val="22"/>
        </w:rPr>
        <w:t xml:space="preserve">; </w:t>
      </w:r>
      <w:r w:rsidR="00066A76" w:rsidRPr="007828A8">
        <w:rPr>
          <w:b/>
          <w:szCs w:val="26"/>
        </w:rPr>
        <w:t>THEREFORE,</w:t>
      </w:r>
      <w:r w:rsidR="00066A76" w:rsidRPr="007828A8">
        <w:rPr>
          <w:szCs w:val="26"/>
        </w:rPr>
        <w:t xml:space="preserve"> </w:t>
      </w:r>
    </w:p>
    <w:p w:rsidR="00645526" w:rsidRDefault="00066A76" w:rsidP="00645526">
      <w:pPr>
        <w:spacing w:line="360" w:lineRule="auto"/>
        <w:rPr>
          <w:szCs w:val="26"/>
        </w:rPr>
      </w:pPr>
      <w:r w:rsidRPr="00066A76">
        <w:rPr>
          <w:szCs w:val="26"/>
        </w:rPr>
        <w:tab/>
      </w:r>
      <w:r w:rsidRPr="00066A76">
        <w:rPr>
          <w:szCs w:val="26"/>
        </w:rPr>
        <w:tab/>
      </w:r>
    </w:p>
    <w:p w:rsidR="00066A76" w:rsidRPr="00066A76" w:rsidRDefault="00066A76" w:rsidP="00645526">
      <w:pPr>
        <w:spacing w:line="360" w:lineRule="auto"/>
        <w:ind w:left="720" w:firstLine="720"/>
        <w:rPr>
          <w:b/>
          <w:szCs w:val="26"/>
        </w:rPr>
      </w:pPr>
      <w:r w:rsidRPr="00066A76">
        <w:rPr>
          <w:b/>
          <w:szCs w:val="26"/>
        </w:rPr>
        <w:t>IT IS ORDERED:</w:t>
      </w:r>
    </w:p>
    <w:p w:rsidR="00066A76" w:rsidRPr="00066A76" w:rsidRDefault="00066A76" w:rsidP="00066A76">
      <w:pPr>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151C0A">
        <w:rPr>
          <w:szCs w:val="26"/>
        </w:rPr>
        <w:t>James Munro, filed on February 9, 2012,</w:t>
      </w:r>
      <w:r w:rsidR="009F11DD">
        <w:rPr>
          <w:szCs w:val="26"/>
        </w:rPr>
        <w:t xml:space="preserve"> </w:t>
      </w:r>
      <w:r w:rsidR="00151C0A">
        <w:rPr>
          <w:szCs w:val="26"/>
        </w:rPr>
        <w:t xml:space="preserve">are </w:t>
      </w:r>
      <w:r w:rsidR="009962A4">
        <w:rPr>
          <w:szCs w:val="26"/>
        </w:rPr>
        <w:t xml:space="preserve">granted, in part, and </w:t>
      </w:r>
      <w:r>
        <w:rPr>
          <w:szCs w:val="26"/>
        </w:rPr>
        <w:t>denied</w:t>
      </w:r>
      <w:r w:rsidR="00151C0A">
        <w:rPr>
          <w:szCs w:val="26"/>
        </w:rPr>
        <w:t>,</w:t>
      </w:r>
      <w:r>
        <w:rPr>
          <w:szCs w:val="26"/>
        </w:rPr>
        <w:t xml:space="preserve"> </w:t>
      </w:r>
      <w:r w:rsidR="009962A4">
        <w:rPr>
          <w:szCs w:val="26"/>
        </w:rPr>
        <w:t xml:space="preserve">in part, </w:t>
      </w:r>
      <w:r>
        <w:rPr>
          <w:szCs w:val="26"/>
        </w:rPr>
        <w:t>consistent with this Opinion and Order.</w:t>
      </w:r>
    </w:p>
    <w:p w:rsidR="009F11DD" w:rsidRDefault="009F11DD"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Initial Decision of Administrative Law Judge </w:t>
      </w:r>
      <w:r w:rsidR="00151C0A">
        <w:rPr>
          <w:szCs w:val="26"/>
        </w:rPr>
        <w:t>Eranda Vero</w:t>
      </w:r>
      <w:r>
        <w:rPr>
          <w:szCs w:val="26"/>
        </w:rPr>
        <w:t xml:space="preserve">, issued </w:t>
      </w:r>
      <w:r w:rsidR="00151C0A">
        <w:rPr>
          <w:szCs w:val="26"/>
        </w:rPr>
        <w:t>January 18, 2012</w:t>
      </w:r>
      <w:r>
        <w:rPr>
          <w:szCs w:val="26"/>
        </w:rPr>
        <w:t xml:space="preserve">, is </w:t>
      </w:r>
      <w:r w:rsidR="009F11DD">
        <w:rPr>
          <w:szCs w:val="26"/>
        </w:rPr>
        <w:t>modified</w:t>
      </w:r>
      <w:r>
        <w:rPr>
          <w:szCs w:val="26"/>
        </w:rPr>
        <w:t xml:space="preserve">, consistent with this Opinion and Order.  </w:t>
      </w:r>
    </w:p>
    <w:p w:rsidR="00066A76" w:rsidRDefault="00066A76" w:rsidP="00066A76">
      <w:pPr>
        <w:spacing w:line="360" w:lineRule="auto"/>
        <w:rPr>
          <w:szCs w:val="26"/>
        </w:rPr>
      </w:pPr>
    </w:p>
    <w:p w:rsidR="00691A22" w:rsidRDefault="00066A76" w:rsidP="00691A22">
      <w:pPr>
        <w:spacing w:line="360" w:lineRule="auto"/>
        <w:rPr>
          <w:szCs w:val="26"/>
        </w:rPr>
      </w:pPr>
      <w:r>
        <w:rPr>
          <w:szCs w:val="26"/>
        </w:rPr>
        <w:tab/>
      </w:r>
      <w:r>
        <w:rPr>
          <w:szCs w:val="26"/>
        </w:rPr>
        <w:tab/>
      </w:r>
      <w:r w:rsidR="00691A22">
        <w:rPr>
          <w:szCs w:val="26"/>
        </w:rPr>
        <w:t>3.</w:t>
      </w:r>
      <w:r w:rsidR="00691A22">
        <w:rPr>
          <w:szCs w:val="26"/>
        </w:rPr>
        <w:tab/>
        <w:t>That the Complaint filed by James Munro against PECO Energy Company at Docket No. C-2010-2214718 is dismissed, with prejudice.</w:t>
      </w:r>
    </w:p>
    <w:p w:rsidR="00661C22" w:rsidRDefault="00661C22" w:rsidP="00691A22">
      <w:pPr>
        <w:spacing w:line="360" w:lineRule="auto"/>
        <w:rPr>
          <w:szCs w:val="26"/>
        </w:rPr>
      </w:pPr>
    </w:p>
    <w:p w:rsidR="00661C22" w:rsidRDefault="00661C22" w:rsidP="00691A22">
      <w:pPr>
        <w:spacing w:line="360" w:lineRule="auto"/>
        <w:rPr>
          <w:szCs w:val="26"/>
        </w:rPr>
      </w:pPr>
    </w:p>
    <w:p w:rsidR="00661C22" w:rsidRDefault="00661C22" w:rsidP="00691A22">
      <w:pPr>
        <w:spacing w:line="360" w:lineRule="auto"/>
        <w:rPr>
          <w:szCs w:val="26"/>
        </w:rPr>
      </w:pPr>
    </w:p>
    <w:p w:rsidR="00661C22" w:rsidRDefault="00661C22" w:rsidP="00691A22">
      <w:pPr>
        <w:spacing w:line="360" w:lineRule="auto"/>
        <w:rPr>
          <w:szCs w:val="26"/>
        </w:rPr>
      </w:pPr>
    </w:p>
    <w:p w:rsidR="00066A76" w:rsidRDefault="00130FC1" w:rsidP="00691A22">
      <w:pPr>
        <w:spacing w:line="360" w:lineRule="auto"/>
        <w:rPr>
          <w:szCs w:val="26"/>
        </w:rPr>
      </w:pPr>
      <w:r>
        <w:rPr>
          <w:szCs w:val="26"/>
        </w:rPr>
        <w:lastRenderedPageBreak/>
        <w:tab/>
      </w:r>
      <w:r w:rsidR="00691A22">
        <w:rPr>
          <w:szCs w:val="26"/>
        </w:rPr>
        <w:tab/>
        <w:t>4.</w:t>
      </w:r>
      <w:r w:rsidR="00691A22">
        <w:rPr>
          <w:szCs w:val="26"/>
        </w:rPr>
        <w:tab/>
        <w:t xml:space="preserve">That this case shall be marked closed.    </w:t>
      </w:r>
    </w:p>
    <w:p w:rsidR="00691A22" w:rsidRPr="00066A76" w:rsidRDefault="00691A22" w:rsidP="00691A22">
      <w:pPr>
        <w:spacing w:line="360" w:lineRule="auto"/>
        <w:rPr>
          <w:szCs w:val="26"/>
        </w:rPr>
      </w:pPr>
    </w:p>
    <w:p w:rsidR="00066A76" w:rsidRPr="00066A76" w:rsidRDefault="000615BA" w:rsidP="00066A76">
      <w:pPr>
        <w:spacing w:line="360" w:lineRule="auto"/>
        <w:rPr>
          <w:szCs w:val="24"/>
        </w:rPr>
      </w:pPr>
      <w:bookmarkStart w:id="0" w:name="_GoBack"/>
      <w:r w:rsidRPr="00A14635">
        <w:rPr>
          <w:noProof/>
        </w:rPr>
        <w:drawing>
          <wp:anchor distT="0" distB="0" distL="114300" distR="114300" simplePos="0" relativeHeight="251659264" behindDoc="1" locked="0" layoutInCell="1" allowOverlap="1" wp14:anchorId="45F9B3AE" wp14:editId="176EE5E4">
            <wp:simplePos x="0" y="0"/>
            <wp:positionH relativeFrom="column">
              <wp:posOffset>2960370</wp:posOffset>
            </wp:positionH>
            <wp:positionV relativeFrom="paragraph">
              <wp:posOffset>70485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691A22">
        <w:rPr>
          <w:szCs w:val="24"/>
        </w:rPr>
        <w:t>June 21</w:t>
      </w:r>
      <w:r w:rsidRPr="00066A76">
        <w:rPr>
          <w:szCs w:val="24"/>
        </w:rPr>
        <w:t>, 201</w:t>
      </w:r>
      <w:r w:rsidR="00C442B4">
        <w:rPr>
          <w:szCs w:val="24"/>
        </w:rPr>
        <w:t>2</w:t>
      </w:r>
      <w:r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0615BA">
        <w:rPr>
          <w:rFonts w:ascii="Times New (W1)" w:hAnsi="Times New (W1)"/>
          <w:szCs w:val="22"/>
        </w:rPr>
        <w:t>June 21, 2012</w:t>
      </w:r>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AC" w:rsidRDefault="004737AC" w:rsidP="00567496">
      <w:r>
        <w:separator/>
      </w:r>
    </w:p>
  </w:endnote>
  <w:endnote w:type="continuationSeparator" w:id="0">
    <w:p w:rsidR="004737AC" w:rsidRDefault="004737AC"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F94F57" w:rsidRDefault="00F94F57">
        <w:pPr>
          <w:pStyle w:val="Footer"/>
          <w:jc w:val="center"/>
        </w:pPr>
        <w:r>
          <w:fldChar w:fldCharType="begin"/>
        </w:r>
        <w:r>
          <w:instrText xml:space="preserve"> PAGE   \* MERGEFORMAT </w:instrText>
        </w:r>
        <w:r>
          <w:fldChar w:fldCharType="separate"/>
        </w:r>
        <w:r w:rsidR="000615BA">
          <w:rPr>
            <w:noProof/>
          </w:rPr>
          <w:t>16</w:t>
        </w:r>
        <w:r>
          <w:rPr>
            <w:noProof/>
          </w:rPr>
          <w:fldChar w:fldCharType="end"/>
        </w:r>
      </w:p>
    </w:sdtContent>
  </w:sdt>
  <w:p w:rsidR="00F94F57" w:rsidRDefault="00F9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AC" w:rsidRDefault="004737AC" w:rsidP="00567496">
      <w:r>
        <w:separator/>
      </w:r>
    </w:p>
  </w:footnote>
  <w:footnote w:type="continuationSeparator" w:id="0">
    <w:p w:rsidR="004737AC" w:rsidRDefault="004737AC" w:rsidP="00567496">
      <w:r>
        <w:continuationSeparator/>
      </w:r>
    </w:p>
  </w:footnote>
  <w:footnote w:id="1">
    <w:p w:rsidR="00F94F57" w:rsidRPr="00AB5132" w:rsidRDefault="00F94F57" w:rsidP="00AB5132">
      <w:pPr>
        <w:pStyle w:val="FootnoteText"/>
        <w:ind w:firstLine="720"/>
        <w:rPr>
          <w:sz w:val="26"/>
        </w:rPr>
      </w:pPr>
      <w:r w:rsidRPr="00AB5132">
        <w:rPr>
          <w:rStyle w:val="FootnoteReference"/>
          <w:sz w:val="26"/>
        </w:rPr>
        <w:footnoteRef/>
      </w:r>
      <w:r w:rsidRPr="00AB5132">
        <w:rPr>
          <w:sz w:val="26"/>
        </w:rPr>
        <w:t xml:space="preserve"> </w:t>
      </w:r>
      <w:r w:rsidRPr="00AB5132">
        <w:rPr>
          <w:sz w:val="26"/>
        </w:rPr>
        <w:tab/>
        <w:t>The amount disputed in the Complaint was $3,612.00, not $3,829.03.</w:t>
      </w:r>
    </w:p>
  </w:footnote>
  <w:footnote w:id="2">
    <w:p w:rsidR="00F94F57" w:rsidRDefault="00F94F57" w:rsidP="00882007">
      <w:pPr>
        <w:pStyle w:val="FootnoteText"/>
        <w:tabs>
          <w:tab w:val="left" w:pos="720"/>
          <w:tab w:val="left" w:pos="1440"/>
        </w:tabs>
        <w:rPr>
          <w:sz w:val="26"/>
        </w:rPr>
      </w:pPr>
      <w:r>
        <w:rPr>
          <w:sz w:val="26"/>
        </w:rPr>
        <w:tab/>
      </w:r>
      <w:r w:rsidRPr="00882007">
        <w:rPr>
          <w:rStyle w:val="FootnoteReference"/>
          <w:sz w:val="26"/>
        </w:rPr>
        <w:footnoteRef/>
      </w:r>
      <w:r w:rsidRPr="00882007">
        <w:rPr>
          <w:sz w:val="26"/>
        </w:rPr>
        <w:t xml:space="preserve"> </w:t>
      </w:r>
      <w:r>
        <w:rPr>
          <w:sz w:val="26"/>
        </w:rPr>
        <w:tab/>
      </w:r>
      <w:r w:rsidRPr="00882007">
        <w:rPr>
          <w:sz w:val="26"/>
        </w:rPr>
        <w:t>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w:t>
      </w:r>
      <w:r>
        <w:rPr>
          <w:sz w:val="26"/>
        </w:rPr>
        <w:t xml:space="preserve">  We also note that the Exceptions were filed two days after the deadline for filing Exceptions.</w:t>
      </w:r>
      <w:r w:rsidRPr="00882007">
        <w:rPr>
          <w:sz w:val="26"/>
        </w:rPr>
        <w:t xml:space="preserve">  Nevertheless, particularly because the Complainant is appearing </w:t>
      </w:r>
      <w:r w:rsidRPr="00882007">
        <w:rPr>
          <w:i/>
          <w:sz w:val="26"/>
        </w:rPr>
        <w:t>pro se</w:t>
      </w:r>
      <w:r w:rsidRPr="00882007">
        <w:rPr>
          <w:sz w:val="26"/>
        </w:rPr>
        <w:t xml:space="preserve">, we will accept the Exceptions as filed pursuant to Section 1.2(a) of our Regulations, 52 Pa. Code </w:t>
      </w:r>
    </w:p>
    <w:p w:rsidR="00F94F57" w:rsidRDefault="00F94F57" w:rsidP="005E2B87">
      <w:pPr>
        <w:pStyle w:val="FootnoteText"/>
        <w:tabs>
          <w:tab w:val="left" w:pos="720"/>
          <w:tab w:val="left" w:pos="1440"/>
        </w:tabs>
      </w:pPr>
      <w:r w:rsidRPr="00882007">
        <w:rPr>
          <w:sz w:val="26"/>
        </w:rPr>
        <w:t>§ 1.2(a), in order to secure a just, speedy, and inexpensive determination</w:t>
      </w:r>
      <w:r>
        <w:rPr>
          <w:sz w:val="26"/>
        </w:rPr>
        <w:t xml:space="preserve"> in this proceeding</w:t>
      </w:r>
      <w:r w:rsidRPr="00882007">
        <w:rPr>
          <w:sz w:val="26"/>
        </w:rPr>
        <w:t>.</w:t>
      </w:r>
    </w:p>
  </w:footnote>
  <w:footnote w:id="3">
    <w:p w:rsidR="00F94F57" w:rsidRDefault="00F94F57" w:rsidP="00B36B8C">
      <w:pPr>
        <w:ind w:firstLine="720"/>
        <w:rPr>
          <w:color w:val="000000"/>
          <w:szCs w:val="18"/>
        </w:rPr>
      </w:pPr>
      <w:r w:rsidRPr="00B36B8C">
        <w:rPr>
          <w:rStyle w:val="FootnoteReference"/>
        </w:rPr>
        <w:footnoteRef/>
      </w:r>
      <w:r w:rsidRPr="00B36B8C">
        <w:rPr>
          <w:color w:val="000000"/>
          <w:szCs w:val="18"/>
        </w:rPr>
        <w:t xml:space="preserve"> </w:t>
      </w:r>
      <w:r>
        <w:rPr>
          <w:color w:val="000000"/>
          <w:szCs w:val="18"/>
        </w:rPr>
        <w:tab/>
        <w:t>Section 3314</w:t>
      </w:r>
      <w:r w:rsidR="00B670A4">
        <w:rPr>
          <w:color w:val="000000"/>
          <w:szCs w:val="18"/>
        </w:rPr>
        <w:t>(a)</w:t>
      </w:r>
      <w:r>
        <w:rPr>
          <w:color w:val="000000"/>
          <w:szCs w:val="18"/>
        </w:rPr>
        <w:t xml:space="preserve"> of the Code provides the following:  </w:t>
      </w:r>
    </w:p>
    <w:p w:rsidR="00F94F57" w:rsidRDefault="00F94F57" w:rsidP="00B36B8C">
      <w:pPr>
        <w:ind w:firstLine="720"/>
        <w:rPr>
          <w:color w:val="000000"/>
          <w:szCs w:val="18"/>
        </w:rPr>
      </w:pPr>
    </w:p>
    <w:p w:rsidR="00F94F57" w:rsidRPr="00B36B8C" w:rsidRDefault="00F94F57" w:rsidP="00B36B8C">
      <w:pPr>
        <w:ind w:left="1440" w:right="1440"/>
        <w:rPr>
          <w:color w:val="000000"/>
          <w:szCs w:val="18"/>
        </w:rPr>
      </w:pPr>
      <w:r w:rsidRPr="00B36B8C">
        <w:rPr>
          <w:color w:val="000000"/>
          <w:szCs w:val="18"/>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rsidR="00F94F57" w:rsidRPr="00B36B8C" w:rsidRDefault="00F94F57" w:rsidP="00B36B8C">
      <w:pPr>
        <w:pStyle w:val="FootnoteText"/>
        <w:ind w:left="1440" w:right="1440"/>
        <w:rPr>
          <w:sz w:val="26"/>
        </w:rPr>
      </w:pPr>
      <w:r w:rsidRPr="00B36B8C">
        <w:rPr>
          <w:sz w:val="26"/>
        </w:rPr>
        <w:t xml:space="preserve"> </w:t>
      </w:r>
    </w:p>
  </w:footnote>
  <w:footnote w:id="4">
    <w:p w:rsidR="002C6E17" w:rsidRPr="008278B3" w:rsidRDefault="002C6E17" w:rsidP="008278B3">
      <w:pPr>
        <w:pStyle w:val="FootnoteText"/>
        <w:ind w:firstLine="720"/>
        <w:rPr>
          <w:sz w:val="26"/>
        </w:rPr>
      </w:pPr>
      <w:r w:rsidRPr="008278B3">
        <w:rPr>
          <w:rStyle w:val="FootnoteReference"/>
          <w:sz w:val="26"/>
        </w:rPr>
        <w:footnoteRef/>
      </w:r>
      <w:r w:rsidRPr="008278B3">
        <w:rPr>
          <w:sz w:val="26"/>
        </w:rPr>
        <w:t xml:space="preserve"> </w:t>
      </w:r>
      <w:r w:rsidRPr="008278B3">
        <w:rPr>
          <w:sz w:val="26"/>
        </w:rPr>
        <w:tab/>
        <w:t>At the April 21, 2011 hearing, the Complainant testified that in 1999 he sold his home at 1902 Weatherstone Drive</w:t>
      </w:r>
      <w:r w:rsidR="00451D76" w:rsidRPr="008278B3">
        <w:rPr>
          <w:sz w:val="26"/>
        </w:rPr>
        <w:t>, Paoli, Pennsylvania, and there was an outstanding balance of $400 that was not paid by the buyer in settlement.</w:t>
      </w:r>
      <w:r w:rsidR="00337B04">
        <w:rPr>
          <w:sz w:val="26"/>
        </w:rPr>
        <w:t xml:space="preserve">  Tr. April 21, 2011, at 8.</w:t>
      </w:r>
      <w:r w:rsidR="0081351E">
        <w:rPr>
          <w:sz w:val="26"/>
        </w:rPr>
        <w:t xml:space="preserve">  The information the Complainant provided during the hearing is different from the information he provided in his amended Complaint.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1B7"/>
    <w:rsid w:val="000036E9"/>
    <w:rsid w:val="00004052"/>
    <w:rsid w:val="00004858"/>
    <w:rsid w:val="00004E2C"/>
    <w:rsid w:val="00004F7C"/>
    <w:rsid w:val="00006415"/>
    <w:rsid w:val="00006ECB"/>
    <w:rsid w:val="00006EFA"/>
    <w:rsid w:val="00013322"/>
    <w:rsid w:val="0001578F"/>
    <w:rsid w:val="00016924"/>
    <w:rsid w:val="00016B40"/>
    <w:rsid w:val="00017680"/>
    <w:rsid w:val="000211D0"/>
    <w:rsid w:val="00021A4A"/>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38F"/>
    <w:rsid w:val="00034F46"/>
    <w:rsid w:val="00034F90"/>
    <w:rsid w:val="000422E7"/>
    <w:rsid w:val="00042CC3"/>
    <w:rsid w:val="000447CE"/>
    <w:rsid w:val="00044CEB"/>
    <w:rsid w:val="00045551"/>
    <w:rsid w:val="00045911"/>
    <w:rsid w:val="00046962"/>
    <w:rsid w:val="00047785"/>
    <w:rsid w:val="000506DB"/>
    <w:rsid w:val="00050CF6"/>
    <w:rsid w:val="00051324"/>
    <w:rsid w:val="000519B5"/>
    <w:rsid w:val="00052468"/>
    <w:rsid w:val="00052D75"/>
    <w:rsid w:val="000550E9"/>
    <w:rsid w:val="00055623"/>
    <w:rsid w:val="00057D94"/>
    <w:rsid w:val="0006109C"/>
    <w:rsid w:val="000615BA"/>
    <w:rsid w:val="00061888"/>
    <w:rsid w:val="00063D15"/>
    <w:rsid w:val="00063E1C"/>
    <w:rsid w:val="00064136"/>
    <w:rsid w:val="00064894"/>
    <w:rsid w:val="000658EB"/>
    <w:rsid w:val="00065A18"/>
    <w:rsid w:val="00065F0E"/>
    <w:rsid w:val="00066A76"/>
    <w:rsid w:val="00066AE5"/>
    <w:rsid w:val="0007219D"/>
    <w:rsid w:val="000728F9"/>
    <w:rsid w:val="000732CB"/>
    <w:rsid w:val="000740B8"/>
    <w:rsid w:val="00074262"/>
    <w:rsid w:val="00074274"/>
    <w:rsid w:val="000749FD"/>
    <w:rsid w:val="0007550D"/>
    <w:rsid w:val="00075FD6"/>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90183"/>
    <w:rsid w:val="000917D1"/>
    <w:rsid w:val="00092F02"/>
    <w:rsid w:val="00093996"/>
    <w:rsid w:val="00093FE1"/>
    <w:rsid w:val="00094193"/>
    <w:rsid w:val="00094355"/>
    <w:rsid w:val="000950BB"/>
    <w:rsid w:val="00096209"/>
    <w:rsid w:val="000971B5"/>
    <w:rsid w:val="000979D4"/>
    <w:rsid w:val="000A06B5"/>
    <w:rsid w:val="000A0C77"/>
    <w:rsid w:val="000A13F2"/>
    <w:rsid w:val="000A1613"/>
    <w:rsid w:val="000A18F9"/>
    <w:rsid w:val="000A1BE6"/>
    <w:rsid w:val="000A4744"/>
    <w:rsid w:val="000A4F3F"/>
    <w:rsid w:val="000A6F8A"/>
    <w:rsid w:val="000A718D"/>
    <w:rsid w:val="000A7DED"/>
    <w:rsid w:val="000B0210"/>
    <w:rsid w:val="000B12E3"/>
    <w:rsid w:val="000B1971"/>
    <w:rsid w:val="000B1E0D"/>
    <w:rsid w:val="000B1F90"/>
    <w:rsid w:val="000B531C"/>
    <w:rsid w:val="000B599B"/>
    <w:rsid w:val="000B6883"/>
    <w:rsid w:val="000B6C4C"/>
    <w:rsid w:val="000B710E"/>
    <w:rsid w:val="000B75DD"/>
    <w:rsid w:val="000C0E0E"/>
    <w:rsid w:val="000C213E"/>
    <w:rsid w:val="000C35F6"/>
    <w:rsid w:val="000C459A"/>
    <w:rsid w:val="000C5F40"/>
    <w:rsid w:val="000C69AD"/>
    <w:rsid w:val="000C7089"/>
    <w:rsid w:val="000C7A35"/>
    <w:rsid w:val="000D0D98"/>
    <w:rsid w:val="000D1091"/>
    <w:rsid w:val="000D2A6B"/>
    <w:rsid w:val="000D380B"/>
    <w:rsid w:val="000D3DCC"/>
    <w:rsid w:val="000D43BE"/>
    <w:rsid w:val="000D476B"/>
    <w:rsid w:val="000D48F9"/>
    <w:rsid w:val="000D520C"/>
    <w:rsid w:val="000D5D86"/>
    <w:rsid w:val="000D6CEF"/>
    <w:rsid w:val="000D74EC"/>
    <w:rsid w:val="000D7FD2"/>
    <w:rsid w:val="000E007A"/>
    <w:rsid w:val="000E01F7"/>
    <w:rsid w:val="000E0269"/>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EA5"/>
    <w:rsid w:val="000F2AEE"/>
    <w:rsid w:val="000F3544"/>
    <w:rsid w:val="000F415F"/>
    <w:rsid w:val="000F45BD"/>
    <w:rsid w:val="000F461C"/>
    <w:rsid w:val="000F46D2"/>
    <w:rsid w:val="000F501F"/>
    <w:rsid w:val="000F50A2"/>
    <w:rsid w:val="000F50C8"/>
    <w:rsid w:val="000F5E69"/>
    <w:rsid w:val="000F5F90"/>
    <w:rsid w:val="000F7411"/>
    <w:rsid w:val="000F7DAE"/>
    <w:rsid w:val="00100BCA"/>
    <w:rsid w:val="0010174E"/>
    <w:rsid w:val="00101D54"/>
    <w:rsid w:val="00102F7E"/>
    <w:rsid w:val="00104159"/>
    <w:rsid w:val="00105BF5"/>
    <w:rsid w:val="00105E00"/>
    <w:rsid w:val="00105F1D"/>
    <w:rsid w:val="00106B30"/>
    <w:rsid w:val="00107493"/>
    <w:rsid w:val="00107BD9"/>
    <w:rsid w:val="00112874"/>
    <w:rsid w:val="00115130"/>
    <w:rsid w:val="00115FB0"/>
    <w:rsid w:val="00116C7B"/>
    <w:rsid w:val="0011729D"/>
    <w:rsid w:val="001172E7"/>
    <w:rsid w:val="00117A81"/>
    <w:rsid w:val="00120481"/>
    <w:rsid w:val="001212C2"/>
    <w:rsid w:val="00121D4A"/>
    <w:rsid w:val="00121DD2"/>
    <w:rsid w:val="00122DEA"/>
    <w:rsid w:val="0012301B"/>
    <w:rsid w:val="00123544"/>
    <w:rsid w:val="001248B9"/>
    <w:rsid w:val="00124CAA"/>
    <w:rsid w:val="00124D07"/>
    <w:rsid w:val="001251FA"/>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DD1"/>
    <w:rsid w:val="00137474"/>
    <w:rsid w:val="00137993"/>
    <w:rsid w:val="00140308"/>
    <w:rsid w:val="00141235"/>
    <w:rsid w:val="0014343B"/>
    <w:rsid w:val="00143548"/>
    <w:rsid w:val="00143873"/>
    <w:rsid w:val="00143B1D"/>
    <w:rsid w:val="0014737F"/>
    <w:rsid w:val="00150526"/>
    <w:rsid w:val="00150E8C"/>
    <w:rsid w:val="00151710"/>
    <w:rsid w:val="00151C0A"/>
    <w:rsid w:val="00151E19"/>
    <w:rsid w:val="001520DA"/>
    <w:rsid w:val="00152175"/>
    <w:rsid w:val="00153381"/>
    <w:rsid w:val="00153DA6"/>
    <w:rsid w:val="00153E8D"/>
    <w:rsid w:val="00153F8F"/>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7166"/>
    <w:rsid w:val="00167B7B"/>
    <w:rsid w:val="00167E4A"/>
    <w:rsid w:val="001701B4"/>
    <w:rsid w:val="00172E5B"/>
    <w:rsid w:val="00173196"/>
    <w:rsid w:val="0017378E"/>
    <w:rsid w:val="00174348"/>
    <w:rsid w:val="001743B6"/>
    <w:rsid w:val="00174916"/>
    <w:rsid w:val="001757B6"/>
    <w:rsid w:val="00175ED3"/>
    <w:rsid w:val="001766B5"/>
    <w:rsid w:val="0018006C"/>
    <w:rsid w:val="00180D82"/>
    <w:rsid w:val="00182093"/>
    <w:rsid w:val="00184831"/>
    <w:rsid w:val="00185FB2"/>
    <w:rsid w:val="00187958"/>
    <w:rsid w:val="0019027A"/>
    <w:rsid w:val="0019028A"/>
    <w:rsid w:val="00191C9B"/>
    <w:rsid w:val="00192C94"/>
    <w:rsid w:val="0019507A"/>
    <w:rsid w:val="001958F7"/>
    <w:rsid w:val="001960EE"/>
    <w:rsid w:val="001A0BA6"/>
    <w:rsid w:val="001A1EF3"/>
    <w:rsid w:val="001A253A"/>
    <w:rsid w:val="001A272B"/>
    <w:rsid w:val="001A2965"/>
    <w:rsid w:val="001A410D"/>
    <w:rsid w:val="001A462A"/>
    <w:rsid w:val="001A4EB7"/>
    <w:rsid w:val="001A6C53"/>
    <w:rsid w:val="001A7031"/>
    <w:rsid w:val="001A7064"/>
    <w:rsid w:val="001A7E39"/>
    <w:rsid w:val="001B0475"/>
    <w:rsid w:val="001B1E6E"/>
    <w:rsid w:val="001B2A8A"/>
    <w:rsid w:val="001B4D9F"/>
    <w:rsid w:val="001B4DBE"/>
    <w:rsid w:val="001B5DE4"/>
    <w:rsid w:val="001B5ECD"/>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B37"/>
    <w:rsid w:val="001D2F20"/>
    <w:rsid w:val="001D3050"/>
    <w:rsid w:val="001D6158"/>
    <w:rsid w:val="001D62D6"/>
    <w:rsid w:val="001D6915"/>
    <w:rsid w:val="001D6F21"/>
    <w:rsid w:val="001E00F5"/>
    <w:rsid w:val="001E197D"/>
    <w:rsid w:val="001E19B2"/>
    <w:rsid w:val="001E31CE"/>
    <w:rsid w:val="001E3599"/>
    <w:rsid w:val="001E3A20"/>
    <w:rsid w:val="001E5224"/>
    <w:rsid w:val="001E6623"/>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30C"/>
    <w:rsid w:val="001F66B3"/>
    <w:rsid w:val="001F709D"/>
    <w:rsid w:val="001F71DF"/>
    <w:rsid w:val="001F73C2"/>
    <w:rsid w:val="0020062B"/>
    <w:rsid w:val="00200D38"/>
    <w:rsid w:val="00200F19"/>
    <w:rsid w:val="0020132D"/>
    <w:rsid w:val="00201A51"/>
    <w:rsid w:val="00201C6A"/>
    <w:rsid w:val="00201DF0"/>
    <w:rsid w:val="00203A63"/>
    <w:rsid w:val="00204170"/>
    <w:rsid w:val="00204A77"/>
    <w:rsid w:val="002056F8"/>
    <w:rsid w:val="00205C93"/>
    <w:rsid w:val="0020767E"/>
    <w:rsid w:val="0021316F"/>
    <w:rsid w:val="002133BD"/>
    <w:rsid w:val="00213844"/>
    <w:rsid w:val="00213CEC"/>
    <w:rsid w:val="0021490C"/>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DF9"/>
    <w:rsid w:val="00227EA0"/>
    <w:rsid w:val="00227F83"/>
    <w:rsid w:val="00230192"/>
    <w:rsid w:val="00230DE7"/>
    <w:rsid w:val="00231DE5"/>
    <w:rsid w:val="00232902"/>
    <w:rsid w:val="00232D7D"/>
    <w:rsid w:val="0023365D"/>
    <w:rsid w:val="00234136"/>
    <w:rsid w:val="002362E6"/>
    <w:rsid w:val="00236652"/>
    <w:rsid w:val="002403F6"/>
    <w:rsid w:val="0024045B"/>
    <w:rsid w:val="00240734"/>
    <w:rsid w:val="0024138C"/>
    <w:rsid w:val="00241868"/>
    <w:rsid w:val="00243200"/>
    <w:rsid w:val="002432FA"/>
    <w:rsid w:val="002439CE"/>
    <w:rsid w:val="00245113"/>
    <w:rsid w:val="00245BA0"/>
    <w:rsid w:val="00246B19"/>
    <w:rsid w:val="00246E31"/>
    <w:rsid w:val="00247038"/>
    <w:rsid w:val="00250871"/>
    <w:rsid w:val="0025268A"/>
    <w:rsid w:val="00252AD1"/>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4A2"/>
    <w:rsid w:val="00264338"/>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4B3E"/>
    <w:rsid w:val="00274CA0"/>
    <w:rsid w:val="00275369"/>
    <w:rsid w:val="00280E7B"/>
    <w:rsid w:val="00281A01"/>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DC5"/>
    <w:rsid w:val="00293120"/>
    <w:rsid w:val="00293AFA"/>
    <w:rsid w:val="002957BF"/>
    <w:rsid w:val="0029593E"/>
    <w:rsid w:val="002964BA"/>
    <w:rsid w:val="002974DC"/>
    <w:rsid w:val="002A14E0"/>
    <w:rsid w:val="002A2130"/>
    <w:rsid w:val="002A3932"/>
    <w:rsid w:val="002A4218"/>
    <w:rsid w:val="002A48A3"/>
    <w:rsid w:val="002A5492"/>
    <w:rsid w:val="002A54B9"/>
    <w:rsid w:val="002A609D"/>
    <w:rsid w:val="002A678C"/>
    <w:rsid w:val="002A6C71"/>
    <w:rsid w:val="002A7B3F"/>
    <w:rsid w:val="002B1787"/>
    <w:rsid w:val="002B3D1D"/>
    <w:rsid w:val="002B3DF1"/>
    <w:rsid w:val="002B56B3"/>
    <w:rsid w:val="002C0E1C"/>
    <w:rsid w:val="002C15C0"/>
    <w:rsid w:val="002C1776"/>
    <w:rsid w:val="002C2BA6"/>
    <w:rsid w:val="002C3E78"/>
    <w:rsid w:val="002C403A"/>
    <w:rsid w:val="002C4F37"/>
    <w:rsid w:val="002C5120"/>
    <w:rsid w:val="002C519E"/>
    <w:rsid w:val="002C6E17"/>
    <w:rsid w:val="002C712F"/>
    <w:rsid w:val="002C7287"/>
    <w:rsid w:val="002C73F8"/>
    <w:rsid w:val="002C794E"/>
    <w:rsid w:val="002C7AD3"/>
    <w:rsid w:val="002D035A"/>
    <w:rsid w:val="002D0DE8"/>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E588A"/>
    <w:rsid w:val="002F028F"/>
    <w:rsid w:val="002F0B35"/>
    <w:rsid w:val="002F0D1C"/>
    <w:rsid w:val="002F1C7E"/>
    <w:rsid w:val="002F3676"/>
    <w:rsid w:val="002F645C"/>
    <w:rsid w:val="002F6B14"/>
    <w:rsid w:val="002F7734"/>
    <w:rsid w:val="002F7AFB"/>
    <w:rsid w:val="00300758"/>
    <w:rsid w:val="00301D87"/>
    <w:rsid w:val="00302476"/>
    <w:rsid w:val="00303159"/>
    <w:rsid w:val="0030374F"/>
    <w:rsid w:val="003066F3"/>
    <w:rsid w:val="00306F3B"/>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C9"/>
    <w:rsid w:val="003249EC"/>
    <w:rsid w:val="00324D69"/>
    <w:rsid w:val="003257FD"/>
    <w:rsid w:val="0032598F"/>
    <w:rsid w:val="0032606A"/>
    <w:rsid w:val="00326389"/>
    <w:rsid w:val="003279E9"/>
    <w:rsid w:val="00330B22"/>
    <w:rsid w:val="00331602"/>
    <w:rsid w:val="00331847"/>
    <w:rsid w:val="00331885"/>
    <w:rsid w:val="00331985"/>
    <w:rsid w:val="003319DD"/>
    <w:rsid w:val="00332DC9"/>
    <w:rsid w:val="00333DB3"/>
    <w:rsid w:val="0033458B"/>
    <w:rsid w:val="0033524A"/>
    <w:rsid w:val="003356A1"/>
    <w:rsid w:val="00336BF4"/>
    <w:rsid w:val="00337357"/>
    <w:rsid w:val="0033758D"/>
    <w:rsid w:val="00337B04"/>
    <w:rsid w:val="00341DC5"/>
    <w:rsid w:val="003436D0"/>
    <w:rsid w:val="00343A19"/>
    <w:rsid w:val="00347FE2"/>
    <w:rsid w:val="00350630"/>
    <w:rsid w:val="00350C04"/>
    <w:rsid w:val="00350EB2"/>
    <w:rsid w:val="00351617"/>
    <w:rsid w:val="00351BF4"/>
    <w:rsid w:val="00351E77"/>
    <w:rsid w:val="003526AD"/>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A0C"/>
    <w:rsid w:val="00363E3B"/>
    <w:rsid w:val="0036420A"/>
    <w:rsid w:val="00364537"/>
    <w:rsid w:val="003647B6"/>
    <w:rsid w:val="0036503E"/>
    <w:rsid w:val="003663E2"/>
    <w:rsid w:val="003668EF"/>
    <w:rsid w:val="003674E8"/>
    <w:rsid w:val="003715E6"/>
    <w:rsid w:val="0037449F"/>
    <w:rsid w:val="003754B9"/>
    <w:rsid w:val="0037610D"/>
    <w:rsid w:val="00377275"/>
    <w:rsid w:val="003773B6"/>
    <w:rsid w:val="0037748F"/>
    <w:rsid w:val="0038179A"/>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69F0"/>
    <w:rsid w:val="003A14E5"/>
    <w:rsid w:val="003A1ACF"/>
    <w:rsid w:val="003A2E8C"/>
    <w:rsid w:val="003A3420"/>
    <w:rsid w:val="003A3D81"/>
    <w:rsid w:val="003A4B56"/>
    <w:rsid w:val="003A53FE"/>
    <w:rsid w:val="003A6101"/>
    <w:rsid w:val="003A70D4"/>
    <w:rsid w:val="003A7A08"/>
    <w:rsid w:val="003A7D61"/>
    <w:rsid w:val="003B063B"/>
    <w:rsid w:val="003B14B4"/>
    <w:rsid w:val="003B2D9C"/>
    <w:rsid w:val="003B431A"/>
    <w:rsid w:val="003B4495"/>
    <w:rsid w:val="003B4648"/>
    <w:rsid w:val="003B51D4"/>
    <w:rsid w:val="003B5ADE"/>
    <w:rsid w:val="003B5FFD"/>
    <w:rsid w:val="003B6749"/>
    <w:rsid w:val="003B7145"/>
    <w:rsid w:val="003B7921"/>
    <w:rsid w:val="003B79E7"/>
    <w:rsid w:val="003B7E65"/>
    <w:rsid w:val="003C066C"/>
    <w:rsid w:val="003C126B"/>
    <w:rsid w:val="003C15E8"/>
    <w:rsid w:val="003C1869"/>
    <w:rsid w:val="003C27F1"/>
    <w:rsid w:val="003C36DD"/>
    <w:rsid w:val="003C4974"/>
    <w:rsid w:val="003C49D4"/>
    <w:rsid w:val="003C55F4"/>
    <w:rsid w:val="003C5846"/>
    <w:rsid w:val="003C5B12"/>
    <w:rsid w:val="003C78C2"/>
    <w:rsid w:val="003C7E10"/>
    <w:rsid w:val="003C7F9D"/>
    <w:rsid w:val="003D00D4"/>
    <w:rsid w:val="003D02B7"/>
    <w:rsid w:val="003D059B"/>
    <w:rsid w:val="003D3FDB"/>
    <w:rsid w:val="003D457A"/>
    <w:rsid w:val="003D7A67"/>
    <w:rsid w:val="003E0094"/>
    <w:rsid w:val="003E0158"/>
    <w:rsid w:val="003E1087"/>
    <w:rsid w:val="003E1582"/>
    <w:rsid w:val="003E2D04"/>
    <w:rsid w:val="003E3489"/>
    <w:rsid w:val="003E3902"/>
    <w:rsid w:val="003E3BF6"/>
    <w:rsid w:val="003E3D43"/>
    <w:rsid w:val="003E4036"/>
    <w:rsid w:val="003E49D2"/>
    <w:rsid w:val="003E5F24"/>
    <w:rsid w:val="003E61EF"/>
    <w:rsid w:val="003E7C58"/>
    <w:rsid w:val="003F0D49"/>
    <w:rsid w:val="003F1A9A"/>
    <w:rsid w:val="003F1D06"/>
    <w:rsid w:val="003F2343"/>
    <w:rsid w:val="003F301C"/>
    <w:rsid w:val="003F3031"/>
    <w:rsid w:val="003F34B2"/>
    <w:rsid w:val="003F3D4C"/>
    <w:rsid w:val="003F4EA6"/>
    <w:rsid w:val="00401266"/>
    <w:rsid w:val="00401A88"/>
    <w:rsid w:val="00402A9C"/>
    <w:rsid w:val="00402CE7"/>
    <w:rsid w:val="00402FB6"/>
    <w:rsid w:val="00403424"/>
    <w:rsid w:val="00404584"/>
    <w:rsid w:val="00404B93"/>
    <w:rsid w:val="0040664F"/>
    <w:rsid w:val="0040677B"/>
    <w:rsid w:val="00407677"/>
    <w:rsid w:val="004076D5"/>
    <w:rsid w:val="00407AFD"/>
    <w:rsid w:val="0041131A"/>
    <w:rsid w:val="00411387"/>
    <w:rsid w:val="00411649"/>
    <w:rsid w:val="00411782"/>
    <w:rsid w:val="00412105"/>
    <w:rsid w:val="004121A0"/>
    <w:rsid w:val="0041460A"/>
    <w:rsid w:val="00414F35"/>
    <w:rsid w:val="004162DA"/>
    <w:rsid w:val="00416468"/>
    <w:rsid w:val="00417BD6"/>
    <w:rsid w:val="00421932"/>
    <w:rsid w:val="00421ABF"/>
    <w:rsid w:val="00422697"/>
    <w:rsid w:val="00423CDB"/>
    <w:rsid w:val="004240CD"/>
    <w:rsid w:val="00424367"/>
    <w:rsid w:val="0042459E"/>
    <w:rsid w:val="00424786"/>
    <w:rsid w:val="004249BE"/>
    <w:rsid w:val="00425C56"/>
    <w:rsid w:val="00426DFB"/>
    <w:rsid w:val="00431EAD"/>
    <w:rsid w:val="004327CD"/>
    <w:rsid w:val="00433826"/>
    <w:rsid w:val="0043525E"/>
    <w:rsid w:val="004352B1"/>
    <w:rsid w:val="004358C9"/>
    <w:rsid w:val="004358E7"/>
    <w:rsid w:val="00435BA6"/>
    <w:rsid w:val="00435D68"/>
    <w:rsid w:val="00436CED"/>
    <w:rsid w:val="00437D58"/>
    <w:rsid w:val="00441614"/>
    <w:rsid w:val="0044197C"/>
    <w:rsid w:val="004428D1"/>
    <w:rsid w:val="00443444"/>
    <w:rsid w:val="00443DD7"/>
    <w:rsid w:val="00444B37"/>
    <w:rsid w:val="00444D21"/>
    <w:rsid w:val="00445513"/>
    <w:rsid w:val="0044597E"/>
    <w:rsid w:val="0044608D"/>
    <w:rsid w:val="00446B41"/>
    <w:rsid w:val="00447015"/>
    <w:rsid w:val="00447A4D"/>
    <w:rsid w:val="00447DEA"/>
    <w:rsid w:val="00450362"/>
    <w:rsid w:val="00450395"/>
    <w:rsid w:val="0045102C"/>
    <w:rsid w:val="00451239"/>
    <w:rsid w:val="00451D76"/>
    <w:rsid w:val="004523B6"/>
    <w:rsid w:val="0045433D"/>
    <w:rsid w:val="00455B45"/>
    <w:rsid w:val="00455D63"/>
    <w:rsid w:val="00455F99"/>
    <w:rsid w:val="00456053"/>
    <w:rsid w:val="0045661F"/>
    <w:rsid w:val="00460630"/>
    <w:rsid w:val="00461029"/>
    <w:rsid w:val="00461396"/>
    <w:rsid w:val="00461C2D"/>
    <w:rsid w:val="0046257A"/>
    <w:rsid w:val="00462DA5"/>
    <w:rsid w:val="00465726"/>
    <w:rsid w:val="00465EF1"/>
    <w:rsid w:val="00466D88"/>
    <w:rsid w:val="00467B47"/>
    <w:rsid w:val="0047257E"/>
    <w:rsid w:val="00472EB7"/>
    <w:rsid w:val="004737AC"/>
    <w:rsid w:val="00473BA6"/>
    <w:rsid w:val="00473DF1"/>
    <w:rsid w:val="00474671"/>
    <w:rsid w:val="0047586F"/>
    <w:rsid w:val="0047611E"/>
    <w:rsid w:val="004763F9"/>
    <w:rsid w:val="00476D6A"/>
    <w:rsid w:val="004774E8"/>
    <w:rsid w:val="004804C0"/>
    <w:rsid w:val="00480FD6"/>
    <w:rsid w:val="004810A6"/>
    <w:rsid w:val="0048189C"/>
    <w:rsid w:val="00483798"/>
    <w:rsid w:val="00484210"/>
    <w:rsid w:val="00485478"/>
    <w:rsid w:val="00487AB5"/>
    <w:rsid w:val="00490D47"/>
    <w:rsid w:val="00492623"/>
    <w:rsid w:val="00492F3F"/>
    <w:rsid w:val="004937D4"/>
    <w:rsid w:val="004938B3"/>
    <w:rsid w:val="00493CAD"/>
    <w:rsid w:val="004945A6"/>
    <w:rsid w:val="00495EDD"/>
    <w:rsid w:val="004962D6"/>
    <w:rsid w:val="00496924"/>
    <w:rsid w:val="00496C05"/>
    <w:rsid w:val="00496DAD"/>
    <w:rsid w:val="004A0ECB"/>
    <w:rsid w:val="004A1AF2"/>
    <w:rsid w:val="004A457F"/>
    <w:rsid w:val="004A4D88"/>
    <w:rsid w:val="004A5231"/>
    <w:rsid w:val="004A56DF"/>
    <w:rsid w:val="004A641C"/>
    <w:rsid w:val="004A74B7"/>
    <w:rsid w:val="004A7C3F"/>
    <w:rsid w:val="004B1218"/>
    <w:rsid w:val="004B13E3"/>
    <w:rsid w:val="004B2521"/>
    <w:rsid w:val="004B3847"/>
    <w:rsid w:val="004B5212"/>
    <w:rsid w:val="004B53D5"/>
    <w:rsid w:val="004B5417"/>
    <w:rsid w:val="004B6827"/>
    <w:rsid w:val="004C13FC"/>
    <w:rsid w:val="004C175F"/>
    <w:rsid w:val="004C3681"/>
    <w:rsid w:val="004C3B49"/>
    <w:rsid w:val="004C55C6"/>
    <w:rsid w:val="004C576F"/>
    <w:rsid w:val="004C662B"/>
    <w:rsid w:val="004C6F98"/>
    <w:rsid w:val="004C6FC9"/>
    <w:rsid w:val="004C7296"/>
    <w:rsid w:val="004C779E"/>
    <w:rsid w:val="004C7E0A"/>
    <w:rsid w:val="004C7F5C"/>
    <w:rsid w:val="004D0689"/>
    <w:rsid w:val="004D1FBC"/>
    <w:rsid w:val="004D2576"/>
    <w:rsid w:val="004D3124"/>
    <w:rsid w:val="004D3451"/>
    <w:rsid w:val="004D34C7"/>
    <w:rsid w:val="004D3741"/>
    <w:rsid w:val="004D3805"/>
    <w:rsid w:val="004D4091"/>
    <w:rsid w:val="004D4685"/>
    <w:rsid w:val="004D485B"/>
    <w:rsid w:val="004D7C37"/>
    <w:rsid w:val="004E0B69"/>
    <w:rsid w:val="004E2C91"/>
    <w:rsid w:val="004E2E45"/>
    <w:rsid w:val="004E34A2"/>
    <w:rsid w:val="004E446A"/>
    <w:rsid w:val="004E4E16"/>
    <w:rsid w:val="004E5252"/>
    <w:rsid w:val="004E7093"/>
    <w:rsid w:val="004E7884"/>
    <w:rsid w:val="004F0147"/>
    <w:rsid w:val="004F20EE"/>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60CE"/>
    <w:rsid w:val="00506957"/>
    <w:rsid w:val="005072FD"/>
    <w:rsid w:val="00507D5E"/>
    <w:rsid w:val="00510538"/>
    <w:rsid w:val="005107E0"/>
    <w:rsid w:val="00510914"/>
    <w:rsid w:val="005116AE"/>
    <w:rsid w:val="00511F17"/>
    <w:rsid w:val="005134AF"/>
    <w:rsid w:val="005134D7"/>
    <w:rsid w:val="00513681"/>
    <w:rsid w:val="00514742"/>
    <w:rsid w:val="00515A6F"/>
    <w:rsid w:val="005171CB"/>
    <w:rsid w:val="00520858"/>
    <w:rsid w:val="0052085B"/>
    <w:rsid w:val="00520AA0"/>
    <w:rsid w:val="00521B49"/>
    <w:rsid w:val="00522CD1"/>
    <w:rsid w:val="00524BED"/>
    <w:rsid w:val="005252D4"/>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541"/>
    <w:rsid w:val="00537A00"/>
    <w:rsid w:val="00537A88"/>
    <w:rsid w:val="0054198D"/>
    <w:rsid w:val="005419D7"/>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7611"/>
    <w:rsid w:val="00557DDC"/>
    <w:rsid w:val="00560C20"/>
    <w:rsid w:val="00560CEE"/>
    <w:rsid w:val="00561C42"/>
    <w:rsid w:val="005621B2"/>
    <w:rsid w:val="005625C9"/>
    <w:rsid w:val="005625F5"/>
    <w:rsid w:val="00562A88"/>
    <w:rsid w:val="00562B19"/>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4276"/>
    <w:rsid w:val="00584629"/>
    <w:rsid w:val="005852B1"/>
    <w:rsid w:val="0058540F"/>
    <w:rsid w:val="005861AC"/>
    <w:rsid w:val="005870B1"/>
    <w:rsid w:val="00587D9E"/>
    <w:rsid w:val="00587E5F"/>
    <w:rsid w:val="005904FB"/>
    <w:rsid w:val="00591023"/>
    <w:rsid w:val="005935DB"/>
    <w:rsid w:val="0059436D"/>
    <w:rsid w:val="00594B8F"/>
    <w:rsid w:val="00594E2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D2C"/>
    <w:rsid w:val="005B7DEA"/>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78E1"/>
    <w:rsid w:val="005E0286"/>
    <w:rsid w:val="005E037C"/>
    <w:rsid w:val="005E1B9D"/>
    <w:rsid w:val="005E23DF"/>
    <w:rsid w:val="005E250D"/>
    <w:rsid w:val="005E2B61"/>
    <w:rsid w:val="005E2B87"/>
    <w:rsid w:val="005E3461"/>
    <w:rsid w:val="005E3725"/>
    <w:rsid w:val="005E45AF"/>
    <w:rsid w:val="005E49CD"/>
    <w:rsid w:val="005E51E1"/>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6075"/>
    <w:rsid w:val="005F637A"/>
    <w:rsid w:val="005F742A"/>
    <w:rsid w:val="00600D1E"/>
    <w:rsid w:val="006028DA"/>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6C9B"/>
    <w:rsid w:val="00622ED8"/>
    <w:rsid w:val="0062421D"/>
    <w:rsid w:val="006248B5"/>
    <w:rsid w:val="00624CA0"/>
    <w:rsid w:val="00627124"/>
    <w:rsid w:val="00627147"/>
    <w:rsid w:val="00630A8F"/>
    <w:rsid w:val="0063189C"/>
    <w:rsid w:val="00631AE8"/>
    <w:rsid w:val="006339B2"/>
    <w:rsid w:val="00634240"/>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A51"/>
    <w:rsid w:val="00661C22"/>
    <w:rsid w:val="00662253"/>
    <w:rsid w:val="00662653"/>
    <w:rsid w:val="00664117"/>
    <w:rsid w:val="006644D0"/>
    <w:rsid w:val="00665289"/>
    <w:rsid w:val="006657F6"/>
    <w:rsid w:val="0066630E"/>
    <w:rsid w:val="0066644E"/>
    <w:rsid w:val="006665EC"/>
    <w:rsid w:val="00666697"/>
    <w:rsid w:val="00666DBC"/>
    <w:rsid w:val="00667AAF"/>
    <w:rsid w:val="00670A27"/>
    <w:rsid w:val="00671438"/>
    <w:rsid w:val="006719E1"/>
    <w:rsid w:val="00671AA4"/>
    <w:rsid w:val="00673439"/>
    <w:rsid w:val="00674FC9"/>
    <w:rsid w:val="0067535F"/>
    <w:rsid w:val="00675A9C"/>
    <w:rsid w:val="00677382"/>
    <w:rsid w:val="00680689"/>
    <w:rsid w:val="0068114D"/>
    <w:rsid w:val="00681BCD"/>
    <w:rsid w:val="00681F82"/>
    <w:rsid w:val="00684638"/>
    <w:rsid w:val="00685B16"/>
    <w:rsid w:val="006872FF"/>
    <w:rsid w:val="006909A3"/>
    <w:rsid w:val="0069120E"/>
    <w:rsid w:val="00691A22"/>
    <w:rsid w:val="00691ED8"/>
    <w:rsid w:val="00693378"/>
    <w:rsid w:val="0069557A"/>
    <w:rsid w:val="00695E3F"/>
    <w:rsid w:val="00695E4C"/>
    <w:rsid w:val="00696CFE"/>
    <w:rsid w:val="00697928"/>
    <w:rsid w:val="006A1585"/>
    <w:rsid w:val="006A3021"/>
    <w:rsid w:val="006A3879"/>
    <w:rsid w:val="006A3EAE"/>
    <w:rsid w:val="006A3F88"/>
    <w:rsid w:val="006A520A"/>
    <w:rsid w:val="006B0138"/>
    <w:rsid w:val="006B0B4D"/>
    <w:rsid w:val="006B266C"/>
    <w:rsid w:val="006B2831"/>
    <w:rsid w:val="006B3133"/>
    <w:rsid w:val="006B50CA"/>
    <w:rsid w:val="006B6347"/>
    <w:rsid w:val="006B6C8C"/>
    <w:rsid w:val="006B6DDD"/>
    <w:rsid w:val="006B6E8F"/>
    <w:rsid w:val="006B726D"/>
    <w:rsid w:val="006B786A"/>
    <w:rsid w:val="006B7936"/>
    <w:rsid w:val="006C06E9"/>
    <w:rsid w:val="006C07A2"/>
    <w:rsid w:val="006C10C7"/>
    <w:rsid w:val="006C17F3"/>
    <w:rsid w:val="006C3593"/>
    <w:rsid w:val="006C44D0"/>
    <w:rsid w:val="006C5595"/>
    <w:rsid w:val="006C5B18"/>
    <w:rsid w:val="006C5EA5"/>
    <w:rsid w:val="006C64DD"/>
    <w:rsid w:val="006C6614"/>
    <w:rsid w:val="006C6740"/>
    <w:rsid w:val="006C6D21"/>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2484"/>
    <w:rsid w:val="0070346B"/>
    <w:rsid w:val="00703FFD"/>
    <w:rsid w:val="00704A18"/>
    <w:rsid w:val="00704DC8"/>
    <w:rsid w:val="00705B2A"/>
    <w:rsid w:val="00705C9F"/>
    <w:rsid w:val="00706D1C"/>
    <w:rsid w:val="00707FA3"/>
    <w:rsid w:val="00707FDB"/>
    <w:rsid w:val="00710028"/>
    <w:rsid w:val="0071030E"/>
    <w:rsid w:val="00710F31"/>
    <w:rsid w:val="007116DF"/>
    <w:rsid w:val="00711AD7"/>
    <w:rsid w:val="007121F7"/>
    <w:rsid w:val="0071285C"/>
    <w:rsid w:val="00713464"/>
    <w:rsid w:val="0071373D"/>
    <w:rsid w:val="007162D0"/>
    <w:rsid w:val="0071743D"/>
    <w:rsid w:val="00717625"/>
    <w:rsid w:val="0072067F"/>
    <w:rsid w:val="00720F4C"/>
    <w:rsid w:val="00720F81"/>
    <w:rsid w:val="007227DF"/>
    <w:rsid w:val="0072298B"/>
    <w:rsid w:val="00723777"/>
    <w:rsid w:val="00725ABF"/>
    <w:rsid w:val="007260A7"/>
    <w:rsid w:val="00726574"/>
    <w:rsid w:val="007279BD"/>
    <w:rsid w:val="0073059E"/>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448F"/>
    <w:rsid w:val="00755869"/>
    <w:rsid w:val="00755F14"/>
    <w:rsid w:val="007573A6"/>
    <w:rsid w:val="00757CBE"/>
    <w:rsid w:val="007603D4"/>
    <w:rsid w:val="00760409"/>
    <w:rsid w:val="007605E8"/>
    <w:rsid w:val="00761D16"/>
    <w:rsid w:val="00761EE7"/>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A8"/>
    <w:rsid w:val="00784B40"/>
    <w:rsid w:val="00784DC1"/>
    <w:rsid w:val="00790638"/>
    <w:rsid w:val="007923ED"/>
    <w:rsid w:val="00793110"/>
    <w:rsid w:val="00794433"/>
    <w:rsid w:val="00795707"/>
    <w:rsid w:val="007957C7"/>
    <w:rsid w:val="0079648F"/>
    <w:rsid w:val="0079657C"/>
    <w:rsid w:val="0079657E"/>
    <w:rsid w:val="00797E29"/>
    <w:rsid w:val="007A083C"/>
    <w:rsid w:val="007A1B99"/>
    <w:rsid w:val="007A26A5"/>
    <w:rsid w:val="007A315F"/>
    <w:rsid w:val="007A488F"/>
    <w:rsid w:val="007A600F"/>
    <w:rsid w:val="007A6202"/>
    <w:rsid w:val="007A6318"/>
    <w:rsid w:val="007A6DBD"/>
    <w:rsid w:val="007A7122"/>
    <w:rsid w:val="007A7178"/>
    <w:rsid w:val="007B28EB"/>
    <w:rsid w:val="007B2B9C"/>
    <w:rsid w:val="007B3BCE"/>
    <w:rsid w:val="007B3D0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58E0"/>
    <w:rsid w:val="007C5E78"/>
    <w:rsid w:val="007C79A1"/>
    <w:rsid w:val="007D02D5"/>
    <w:rsid w:val="007D0595"/>
    <w:rsid w:val="007D0DDB"/>
    <w:rsid w:val="007D0E92"/>
    <w:rsid w:val="007D11E0"/>
    <w:rsid w:val="007D2869"/>
    <w:rsid w:val="007D2A3A"/>
    <w:rsid w:val="007D304A"/>
    <w:rsid w:val="007D3A38"/>
    <w:rsid w:val="007D3E1E"/>
    <w:rsid w:val="007D424A"/>
    <w:rsid w:val="007D4C8B"/>
    <w:rsid w:val="007D6624"/>
    <w:rsid w:val="007D7503"/>
    <w:rsid w:val="007D7CD2"/>
    <w:rsid w:val="007E12F7"/>
    <w:rsid w:val="007E2C8E"/>
    <w:rsid w:val="007E2D9A"/>
    <w:rsid w:val="007E334D"/>
    <w:rsid w:val="007E44DC"/>
    <w:rsid w:val="007E494E"/>
    <w:rsid w:val="007E4B27"/>
    <w:rsid w:val="007E50D8"/>
    <w:rsid w:val="007E58E1"/>
    <w:rsid w:val="007E6698"/>
    <w:rsid w:val="007E6A77"/>
    <w:rsid w:val="007E7997"/>
    <w:rsid w:val="007E7AA6"/>
    <w:rsid w:val="007F0150"/>
    <w:rsid w:val="007F03E8"/>
    <w:rsid w:val="007F2AA5"/>
    <w:rsid w:val="007F2AFF"/>
    <w:rsid w:val="007F3A0E"/>
    <w:rsid w:val="007F3CBE"/>
    <w:rsid w:val="007F4F81"/>
    <w:rsid w:val="007F5118"/>
    <w:rsid w:val="007F5DDD"/>
    <w:rsid w:val="007F5EFD"/>
    <w:rsid w:val="007F6AB0"/>
    <w:rsid w:val="007F6CCC"/>
    <w:rsid w:val="007F6FEF"/>
    <w:rsid w:val="007F7315"/>
    <w:rsid w:val="007F7B2F"/>
    <w:rsid w:val="0080083D"/>
    <w:rsid w:val="00800C4D"/>
    <w:rsid w:val="008010F4"/>
    <w:rsid w:val="0080136F"/>
    <w:rsid w:val="008022D6"/>
    <w:rsid w:val="00802791"/>
    <w:rsid w:val="00802F32"/>
    <w:rsid w:val="00804F10"/>
    <w:rsid w:val="008056E0"/>
    <w:rsid w:val="00806E9F"/>
    <w:rsid w:val="008078CF"/>
    <w:rsid w:val="008101E2"/>
    <w:rsid w:val="008111CD"/>
    <w:rsid w:val="008124D3"/>
    <w:rsid w:val="00812945"/>
    <w:rsid w:val="0081351E"/>
    <w:rsid w:val="00813B71"/>
    <w:rsid w:val="00813C34"/>
    <w:rsid w:val="0081568C"/>
    <w:rsid w:val="00815EB1"/>
    <w:rsid w:val="0081664A"/>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147A"/>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7140"/>
    <w:rsid w:val="00882007"/>
    <w:rsid w:val="00882826"/>
    <w:rsid w:val="00882B47"/>
    <w:rsid w:val="00883114"/>
    <w:rsid w:val="008837F0"/>
    <w:rsid w:val="0088405F"/>
    <w:rsid w:val="00885CD7"/>
    <w:rsid w:val="00886795"/>
    <w:rsid w:val="0089055D"/>
    <w:rsid w:val="008905AA"/>
    <w:rsid w:val="0089122E"/>
    <w:rsid w:val="0089243A"/>
    <w:rsid w:val="008928D4"/>
    <w:rsid w:val="008958D5"/>
    <w:rsid w:val="008974C3"/>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72F2"/>
    <w:rsid w:val="008D1B16"/>
    <w:rsid w:val="008D2365"/>
    <w:rsid w:val="008D2D08"/>
    <w:rsid w:val="008D38F3"/>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EBA"/>
    <w:rsid w:val="008F65D5"/>
    <w:rsid w:val="008F6E06"/>
    <w:rsid w:val="008F774F"/>
    <w:rsid w:val="008F7A43"/>
    <w:rsid w:val="008F7D17"/>
    <w:rsid w:val="00901A48"/>
    <w:rsid w:val="0090209F"/>
    <w:rsid w:val="0090277B"/>
    <w:rsid w:val="00903A51"/>
    <w:rsid w:val="00903CEF"/>
    <w:rsid w:val="00903FDC"/>
    <w:rsid w:val="0090609E"/>
    <w:rsid w:val="009063D5"/>
    <w:rsid w:val="009067A2"/>
    <w:rsid w:val="00906897"/>
    <w:rsid w:val="00907B37"/>
    <w:rsid w:val="0091225F"/>
    <w:rsid w:val="009122BF"/>
    <w:rsid w:val="009130AC"/>
    <w:rsid w:val="0091424D"/>
    <w:rsid w:val="00914A95"/>
    <w:rsid w:val="009154B8"/>
    <w:rsid w:val="0091564A"/>
    <w:rsid w:val="00915A0E"/>
    <w:rsid w:val="009161C8"/>
    <w:rsid w:val="0091789A"/>
    <w:rsid w:val="00917EA2"/>
    <w:rsid w:val="00920281"/>
    <w:rsid w:val="0092196C"/>
    <w:rsid w:val="00921E76"/>
    <w:rsid w:val="0092295B"/>
    <w:rsid w:val="00922C82"/>
    <w:rsid w:val="0092368A"/>
    <w:rsid w:val="00923A3D"/>
    <w:rsid w:val="00924C8A"/>
    <w:rsid w:val="009250E1"/>
    <w:rsid w:val="00925137"/>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E1"/>
    <w:rsid w:val="00935991"/>
    <w:rsid w:val="0093650E"/>
    <w:rsid w:val="00936526"/>
    <w:rsid w:val="0093736F"/>
    <w:rsid w:val="00937717"/>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3E7B"/>
    <w:rsid w:val="0096463E"/>
    <w:rsid w:val="009648DD"/>
    <w:rsid w:val="00964AD0"/>
    <w:rsid w:val="009664FB"/>
    <w:rsid w:val="009677FB"/>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372"/>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2A4"/>
    <w:rsid w:val="009966BB"/>
    <w:rsid w:val="0099684D"/>
    <w:rsid w:val="00997381"/>
    <w:rsid w:val="009976E8"/>
    <w:rsid w:val="00997AA4"/>
    <w:rsid w:val="009A071D"/>
    <w:rsid w:val="009A1237"/>
    <w:rsid w:val="009A2096"/>
    <w:rsid w:val="009A2945"/>
    <w:rsid w:val="009A3072"/>
    <w:rsid w:val="009A4345"/>
    <w:rsid w:val="009A48F8"/>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146E"/>
    <w:rsid w:val="009C2850"/>
    <w:rsid w:val="009C2AA3"/>
    <w:rsid w:val="009C2C4E"/>
    <w:rsid w:val="009C2D71"/>
    <w:rsid w:val="009C418A"/>
    <w:rsid w:val="009C461F"/>
    <w:rsid w:val="009C48D1"/>
    <w:rsid w:val="009C56D7"/>
    <w:rsid w:val="009C6456"/>
    <w:rsid w:val="009C67B5"/>
    <w:rsid w:val="009C6E03"/>
    <w:rsid w:val="009C786D"/>
    <w:rsid w:val="009D003E"/>
    <w:rsid w:val="009D09AD"/>
    <w:rsid w:val="009D13FE"/>
    <w:rsid w:val="009D1662"/>
    <w:rsid w:val="009D1FFD"/>
    <w:rsid w:val="009D5143"/>
    <w:rsid w:val="009D54C6"/>
    <w:rsid w:val="009D6721"/>
    <w:rsid w:val="009D68C9"/>
    <w:rsid w:val="009D7298"/>
    <w:rsid w:val="009D75BF"/>
    <w:rsid w:val="009D792A"/>
    <w:rsid w:val="009D7CA6"/>
    <w:rsid w:val="009D7D2F"/>
    <w:rsid w:val="009E1586"/>
    <w:rsid w:val="009E19D8"/>
    <w:rsid w:val="009E1AAD"/>
    <w:rsid w:val="009E2295"/>
    <w:rsid w:val="009E2992"/>
    <w:rsid w:val="009E2FD9"/>
    <w:rsid w:val="009E30FE"/>
    <w:rsid w:val="009E3F5A"/>
    <w:rsid w:val="009E52C6"/>
    <w:rsid w:val="009E6485"/>
    <w:rsid w:val="009E64A7"/>
    <w:rsid w:val="009E68F3"/>
    <w:rsid w:val="009E78EA"/>
    <w:rsid w:val="009E7A21"/>
    <w:rsid w:val="009F0762"/>
    <w:rsid w:val="009F11DD"/>
    <w:rsid w:val="009F1CE5"/>
    <w:rsid w:val="009F2351"/>
    <w:rsid w:val="009F2415"/>
    <w:rsid w:val="009F25B4"/>
    <w:rsid w:val="009F2E57"/>
    <w:rsid w:val="009F30B9"/>
    <w:rsid w:val="009F4288"/>
    <w:rsid w:val="009F4B59"/>
    <w:rsid w:val="009F5888"/>
    <w:rsid w:val="009F5A83"/>
    <w:rsid w:val="009F65BA"/>
    <w:rsid w:val="009F6880"/>
    <w:rsid w:val="009F7701"/>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8F5"/>
    <w:rsid w:val="00A15D2F"/>
    <w:rsid w:val="00A16206"/>
    <w:rsid w:val="00A17297"/>
    <w:rsid w:val="00A1771F"/>
    <w:rsid w:val="00A22540"/>
    <w:rsid w:val="00A23458"/>
    <w:rsid w:val="00A2427F"/>
    <w:rsid w:val="00A2488E"/>
    <w:rsid w:val="00A26B0E"/>
    <w:rsid w:val="00A30563"/>
    <w:rsid w:val="00A319CA"/>
    <w:rsid w:val="00A333A0"/>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F17"/>
    <w:rsid w:val="00A4512E"/>
    <w:rsid w:val="00A451BD"/>
    <w:rsid w:val="00A4530D"/>
    <w:rsid w:val="00A45DBA"/>
    <w:rsid w:val="00A46405"/>
    <w:rsid w:val="00A47715"/>
    <w:rsid w:val="00A47E87"/>
    <w:rsid w:val="00A50D28"/>
    <w:rsid w:val="00A512C9"/>
    <w:rsid w:val="00A51E29"/>
    <w:rsid w:val="00A540FF"/>
    <w:rsid w:val="00A5412A"/>
    <w:rsid w:val="00A542C4"/>
    <w:rsid w:val="00A547AD"/>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405"/>
    <w:rsid w:val="00A667FA"/>
    <w:rsid w:val="00A66DA4"/>
    <w:rsid w:val="00A71A39"/>
    <w:rsid w:val="00A71FE2"/>
    <w:rsid w:val="00A727CB"/>
    <w:rsid w:val="00A7282D"/>
    <w:rsid w:val="00A74F7D"/>
    <w:rsid w:val="00A75E45"/>
    <w:rsid w:val="00A7607E"/>
    <w:rsid w:val="00A76177"/>
    <w:rsid w:val="00A765CE"/>
    <w:rsid w:val="00A804B6"/>
    <w:rsid w:val="00A807AE"/>
    <w:rsid w:val="00A80864"/>
    <w:rsid w:val="00A81849"/>
    <w:rsid w:val="00A81971"/>
    <w:rsid w:val="00A81CEA"/>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2B68"/>
    <w:rsid w:val="00AB2E0E"/>
    <w:rsid w:val="00AB2FD1"/>
    <w:rsid w:val="00AB3B02"/>
    <w:rsid w:val="00AB492E"/>
    <w:rsid w:val="00AB5132"/>
    <w:rsid w:val="00AB51AE"/>
    <w:rsid w:val="00AB595B"/>
    <w:rsid w:val="00AB6088"/>
    <w:rsid w:val="00AB61A1"/>
    <w:rsid w:val="00AB6EBC"/>
    <w:rsid w:val="00AB7024"/>
    <w:rsid w:val="00AB762C"/>
    <w:rsid w:val="00AC22CA"/>
    <w:rsid w:val="00AC3D1E"/>
    <w:rsid w:val="00AC521D"/>
    <w:rsid w:val="00AC6135"/>
    <w:rsid w:val="00AC6576"/>
    <w:rsid w:val="00AC6EF1"/>
    <w:rsid w:val="00AC75D5"/>
    <w:rsid w:val="00AC7722"/>
    <w:rsid w:val="00AD0B42"/>
    <w:rsid w:val="00AD0BDE"/>
    <w:rsid w:val="00AD0C75"/>
    <w:rsid w:val="00AD121B"/>
    <w:rsid w:val="00AD144A"/>
    <w:rsid w:val="00AD1B3B"/>
    <w:rsid w:val="00AD24B4"/>
    <w:rsid w:val="00AD29CD"/>
    <w:rsid w:val="00AD2BE6"/>
    <w:rsid w:val="00AD4BC4"/>
    <w:rsid w:val="00AD73AA"/>
    <w:rsid w:val="00AD774C"/>
    <w:rsid w:val="00AE0C80"/>
    <w:rsid w:val="00AE1B8E"/>
    <w:rsid w:val="00AE2CE9"/>
    <w:rsid w:val="00AE3362"/>
    <w:rsid w:val="00AE3C30"/>
    <w:rsid w:val="00AE498C"/>
    <w:rsid w:val="00AF055C"/>
    <w:rsid w:val="00AF0B1E"/>
    <w:rsid w:val="00AF1456"/>
    <w:rsid w:val="00AF18FC"/>
    <w:rsid w:val="00AF1A47"/>
    <w:rsid w:val="00AF1C02"/>
    <w:rsid w:val="00AF1F55"/>
    <w:rsid w:val="00AF2FB1"/>
    <w:rsid w:val="00AF3D6C"/>
    <w:rsid w:val="00AF3E1C"/>
    <w:rsid w:val="00AF4548"/>
    <w:rsid w:val="00AF5A92"/>
    <w:rsid w:val="00AF6337"/>
    <w:rsid w:val="00AF63C1"/>
    <w:rsid w:val="00AF7405"/>
    <w:rsid w:val="00B00307"/>
    <w:rsid w:val="00B004FE"/>
    <w:rsid w:val="00B01318"/>
    <w:rsid w:val="00B03318"/>
    <w:rsid w:val="00B03651"/>
    <w:rsid w:val="00B0428F"/>
    <w:rsid w:val="00B04553"/>
    <w:rsid w:val="00B047D0"/>
    <w:rsid w:val="00B04CD4"/>
    <w:rsid w:val="00B059A1"/>
    <w:rsid w:val="00B061FB"/>
    <w:rsid w:val="00B06454"/>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56C"/>
    <w:rsid w:val="00B17CE7"/>
    <w:rsid w:val="00B203D5"/>
    <w:rsid w:val="00B20C2F"/>
    <w:rsid w:val="00B21615"/>
    <w:rsid w:val="00B23CA3"/>
    <w:rsid w:val="00B23ED7"/>
    <w:rsid w:val="00B24058"/>
    <w:rsid w:val="00B24F30"/>
    <w:rsid w:val="00B26C80"/>
    <w:rsid w:val="00B279EC"/>
    <w:rsid w:val="00B302F6"/>
    <w:rsid w:val="00B308BA"/>
    <w:rsid w:val="00B3120B"/>
    <w:rsid w:val="00B317A8"/>
    <w:rsid w:val="00B31F53"/>
    <w:rsid w:val="00B327B5"/>
    <w:rsid w:val="00B32B1D"/>
    <w:rsid w:val="00B32DDA"/>
    <w:rsid w:val="00B33B15"/>
    <w:rsid w:val="00B33C81"/>
    <w:rsid w:val="00B33D98"/>
    <w:rsid w:val="00B341A0"/>
    <w:rsid w:val="00B346BE"/>
    <w:rsid w:val="00B34AAC"/>
    <w:rsid w:val="00B34AF6"/>
    <w:rsid w:val="00B34FA3"/>
    <w:rsid w:val="00B350EB"/>
    <w:rsid w:val="00B36B8C"/>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61B5"/>
    <w:rsid w:val="00B46C5E"/>
    <w:rsid w:val="00B46F04"/>
    <w:rsid w:val="00B47B46"/>
    <w:rsid w:val="00B502F3"/>
    <w:rsid w:val="00B508B0"/>
    <w:rsid w:val="00B519F0"/>
    <w:rsid w:val="00B51A61"/>
    <w:rsid w:val="00B5436F"/>
    <w:rsid w:val="00B55185"/>
    <w:rsid w:val="00B55491"/>
    <w:rsid w:val="00B559D1"/>
    <w:rsid w:val="00B567EC"/>
    <w:rsid w:val="00B56D64"/>
    <w:rsid w:val="00B57550"/>
    <w:rsid w:val="00B60DD4"/>
    <w:rsid w:val="00B6288F"/>
    <w:rsid w:val="00B634F2"/>
    <w:rsid w:val="00B639F6"/>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63FF"/>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A0B52"/>
    <w:rsid w:val="00BA1874"/>
    <w:rsid w:val="00BA1A0F"/>
    <w:rsid w:val="00BA2386"/>
    <w:rsid w:val="00BA2BB6"/>
    <w:rsid w:val="00BA32F8"/>
    <w:rsid w:val="00BA35B7"/>
    <w:rsid w:val="00BA43F1"/>
    <w:rsid w:val="00BA4D48"/>
    <w:rsid w:val="00BA5631"/>
    <w:rsid w:val="00BA5AA1"/>
    <w:rsid w:val="00BA5FB5"/>
    <w:rsid w:val="00BA6153"/>
    <w:rsid w:val="00BA61E7"/>
    <w:rsid w:val="00BA7118"/>
    <w:rsid w:val="00BA7398"/>
    <w:rsid w:val="00BA77B6"/>
    <w:rsid w:val="00BA7B40"/>
    <w:rsid w:val="00BB1284"/>
    <w:rsid w:val="00BB1C0E"/>
    <w:rsid w:val="00BB2016"/>
    <w:rsid w:val="00BB4551"/>
    <w:rsid w:val="00BB457D"/>
    <w:rsid w:val="00BB4E15"/>
    <w:rsid w:val="00BB735C"/>
    <w:rsid w:val="00BC19EE"/>
    <w:rsid w:val="00BC1B7D"/>
    <w:rsid w:val="00BC2C18"/>
    <w:rsid w:val="00BC2FD0"/>
    <w:rsid w:val="00BC53B1"/>
    <w:rsid w:val="00BC602B"/>
    <w:rsid w:val="00BC713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9D0"/>
    <w:rsid w:val="00BE6EBD"/>
    <w:rsid w:val="00BE7DF3"/>
    <w:rsid w:val="00BE7FFE"/>
    <w:rsid w:val="00BF0C57"/>
    <w:rsid w:val="00BF1126"/>
    <w:rsid w:val="00BF1211"/>
    <w:rsid w:val="00BF1902"/>
    <w:rsid w:val="00BF19B0"/>
    <w:rsid w:val="00BF1AF7"/>
    <w:rsid w:val="00BF2E3C"/>
    <w:rsid w:val="00BF3316"/>
    <w:rsid w:val="00BF3602"/>
    <w:rsid w:val="00BF3D2C"/>
    <w:rsid w:val="00BF4528"/>
    <w:rsid w:val="00BF538A"/>
    <w:rsid w:val="00BF596C"/>
    <w:rsid w:val="00BF5C73"/>
    <w:rsid w:val="00BF5F5D"/>
    <w:rsid w:val="00BF61D4"/>
    <w:rsid w:val="00BF7D35"/>
    <w:rsid w:val="00C0031D"/>
    <w:rsid w:val="00C00D8C"/>
    <w:rsid w:val="00C02651"/>
    <w:rsid w:val="00C036FF"/>
    <w:rsid w:val="00C044A8"/>
    <w:rsid w:val="00C0534E"/>
    <w:rsid w:val="00C05A1D"/>
    <w:rsid w:val="00C05FBA"/>
    <w:rsid w:val="00C065FA"/>
    <w:rsid w:val="00C06BD7"/>
    <w:rsid w:val="00C06C45"/>
    <w:rsid w:val="00C07622"/>
    <w:rsid w:val="00C076E3"/>
    <w:rsid w:val="00C10285"/>
    <w:rsid w:val="00C11217"/>
    <w:rsid w:val="00C1199F"/>
    <w:rsid w:val="00C12AF5"/>
    <w:rsid w:val="00C1430E"/>
    <w:rsid w:val="00C14593"/>
    <w:rsid w:val="00C14C4F"/>
    <w:rsid w:val="00C152B2"/>
    <w:rsid w:val="00C17164"/>
    <w:rsid w:val="00C203E7"/>
    <w:rsid w:val="00C22960"/>
    <w:rsid w:val="00C22E74"/>
    <w:rsid w:val="00C2370D"/>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932"/>
    <w:rsid w:val="00C36A72"/>
    <w:rsid w:val="00C37505"/>
    <w:rsid w:val="00C418B1"/>
    <w:rsid w:val="00C42205"/>
    <w:rsid w:val="00C42659"/>
    <w:rsid w:val="00C433BD"/>
    <w:rsid w:val="00C43898"/>
    <w:rsid w:val="00C442B4"/>
    <w:rsid w:val="00C45095"/>
    <w:rsid w:val="00C453D8"/>
    <w:rsid w:val="00C454A9"/>
    <w:rsid w:val="00C466BA"/>
    <w:rsid w:val="00C4674B"/>
    <w:rsid w:val="00C4692E"/>
    <w:rsid w:val="00C46BFA"/>
    <w:rsid w:val="00C47763"/>
    <w:rsid w:val="00C47B24"/>
    <w:rsid w:val="00C47EFC"/>
    <w:rsid w:val="00C504C1"/>
    <w:rsid w:val="00C50629"/>
    <w:rsid w:val="00C50646"/>
    <w:rsid w:val="00C50DFB"/>
    <w:rsid w:val="00C52AC4"/>
    <w:rsid w:val="00C53861"/>
    <w:rsid w:val="00C538C3"/>
    <w:rsid w:val="00C55576"/>
    <w:rsid w:val="00C55AB6"/>
    <w:rsid w:val="00C55FF7"/>
    <w:rsid w:val="00C56008"/>
    <w:rsid w:val="00C56968"/>
    <w:rsid w:val="00C57986"/>
    <w:rsid w:val="00C605E8"/>
    <w:rsid w:val="00C62C35"/>
    <w:rsid w:val="00C63286"/>
    <w:rsid w:val="00C639E0"/>
    <w:rsid w:val="00C63AC0"/>
    <w:rsid w:val="00C63EC3"/>
    <w:rsid w:val="00C643A1"/>
    <w:rsid w:val="00C66309"/>
    <w:rsid w:val="00C6772D"/>
    <w:rsid w:val="00C677EA"/>
    <w:rsid w:val="00C723D7"/>
    <w:rsid w:val="00C72EB7"/>
    <w:rsid w:val="00C75A69"/>
    <w:rsid w:val="00C7618D"/>
    <w:rsid w:val="00C810C0"/>
    <w:rsid w:val="00C81A9B"/>
    <w:rsid w:val="00C822AA"/>
    <w:rsid w:val="00C82FC6"/>
    <w:rsid w:val="00C83A1D"/>
    <w:rsid w:val="00C83BBA"/>
    <w:rsid w:val="00C84862"/>
    <w:rsid w:val="00C85D6A"/>
    <w:rsid w:val="00C86362"/>
    <w:rsid w:val="00C866DD"/>
    <w:rsid w:val="00C86A0B"/>
    <w:rsid w:val="00C86F58"/>
    <w:rsid w:val="00C90E8D"/>
    <w:rsid w:val="00C91B89"/>
    <w:rsid w:val="00C9240F"/>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D40"/>
    <w:rsid w:val="00CA6E7E"/>
    <w:rsid w:val="00CA7D54"/>
    <w:rsid w:val="00CB1931"/>
    <w:rsid w:val="00CB195A"/>
    <w:rsid w:val="00CB230A"/>
    <w:rsid w:val="00CB242F"/>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EDE"/>
    <w:rsid w:val="00CC6670"/>
    <w:rsid w:val="00CC770E"/>
    <w:rsid w:val="00CC78A3"/>
    <w:rsid w:val="00CC7E55"/>
    <w:rsid w:val="00CD020C"/>
    <w:rsid w:val="00CD1AD8"/>
    <w:rsid w:val="00CD1E2A"/>
    <w:rsid w:val="00CD2435"/>
    <w:rsid w:val="00CD2A44"/>
    <w:rsid w:val="00CD392F"/>
    <w:rsid w:val="00CD3B9F"/>
    <w:rsid w:val="00CD473E"/>
    <w:rsid w:val="00CD6344"/>
    <w:rsid w:val="00CD65F5"/>
    <w:rsid w:val="00CD65F6"/>
    <w:rsid w:val="00CD6A83"/>
    <w:rsid w:val="00CD7289"/>
    <w:rsid w:val="00CD77FC"/>
    <w:rsid w:val="00CD7AEF"/>
    <w:rsid w:val="00CE0578"/>
    <w:rsid w:val="00CE0CDA"/>
    <w:rsid w:val="00CE0D46"/>
    <w:rsid w:val="00CE0FED"/>
    <w:rsid w:val="00CE1F96"/>
    <w:rsid w:val="00CE2EC9"/>
    <w:rsid w:val="00CE2FAC"/>
    <w:rsid w:val="00CE3305"/>
    <w:rsid w:val="00CE3F53"/>
    <w:rsid w:val="00CE421D"/>
    <w:rsid w:val="00CE4DF4"/>
    <w:rsid w:val="00CE5700"/>
    <w:rsid w:val="00CE6812"/>
    <w:rsid w:val="00CE6933"/>
    <w:rsid w:val="00CE6B8E"/>
    <w:rsid w:val="00CE72B2"/>
    <w:rsid w:val="00CE7F2B"/>
    <w:rsid w:val="00CF0233"/>
    <w:rsid w:val="00CF1107"/>
    <w:rsid w:val="00CF222B"/>
    <w:rsid w:val="00CF2FAE"/>
    <w:rsid w:val="00CF347C"/>
    <w:rsid w:val="00CF3944"/>
    <w:rsid w:val="00CF471F"/>
    <w:rsid w:val="00CF55FA"/>
    <w:rsid w:val="00CF5CC6"/>
    <w:rsid w:val="00CF5D6C"/>
    <w:rsid w:val="00CF5E17"/>
    <w:rsid w:val="00CF6217"/>
    <w:rsid w:val="00CF6838"/>
    <w:rsid w:val="00CF689A"/>
    <w:rsid w:val="00CF7CB2"/>
    <w:rsid w:val="00D000A2"/>
    <w:rsid w:val="00D0071E"/>
    <w:rsid w:val="00D00B16"/>
    <w:rsid w:val="00D030FB"/>
    <w:rsid w:val="00D04CB7"/>
    <w:rsid w:val="00D0504A"/>
    <w:rsid w:val="00D06921"/>
    <w:rsid w:val="00D07461"/>
    <w:rsid w:val="00D075C4"/>
    <w:rsid w:val="00D10BD6"/>
    <w:rsid w:val="00D11684"/>
    <w:rsid w:val="00D11708"/>
    <w:rsid w:val="00D11E52"/>
    <w:rsid w:val="00D123C5"/>
    <w:rsid w:val="00D12DD1"/>
    <w:rsid w:val="00D1300F"/>
    <w:rsid w:val="00D14999"/>
    <w:rsid w:val="00D153F3"/>
    <w:rsid w:val="00D1569D"/>
    <w:rsid w:val="00D15F3E"/>
    <w:rsid w:val="00D17210"/>
    <w:rsid w:val="00D1726C"/>
    <w:rsid w:val="00D205D7"/>
    <w:rsid w:val="00D224FF"/>
    <w:rsid w:val="00D22EA8"/>
    <w:rsid w:val="00D23174"/>
    <w:rsid w:val="00D239C3"/>
    <w:rsid w:val="00D25F97"/>
    <w:rsid w:val="00D27B07"/>
    <w:rsid w:val="00D31272"/>
    <w:rsid w:val="00D31C73"/>
    <w:rsid w:val="00D34379"/>
    <w:rsid w:val="00D34E43"/>
    <w:rsid w:val="00D35406"/>
    <w:rsid w:val="00D36B41"/>
    <w:rsid w:val="00D36BF3"/>
    <w:rsid w:val="00D3789F"/>
    <w:rsid w:val="00D37CBE"/>
    <w:rsid w:val="00D4060B"/>
    <w:rsid w:val="00D407CF"/>
    <w:rsid w:val="00D40EAB"/>
    <w:rsid w:val="00D41689"/>
    <w:rsid w:val="00D437DF"/>
    <w:rsid w:val="00D449F2"/>
    <w:rsid w:val="00D457EF"/>
    <w:rsid w:val="00D465E8"/>
    <w:rsid w:val="00D52904"/>
    <w:rsid w:val="00D5368B"/>
    <w:rsid w:val="00D53EFD"/>
    <w:rsid w:val="00D541B5"/>
    <w:rsid w:val="00D54719"/>
    <w:rsid w:val="00D550B6"/>
    <w:rsid w:val="00D554E7"/>
    <w:rsid w:val="00D55F6E"/>
    <w:rsid w:val="00D56922"/>
    <w:rsid w:val="00D56E20"/>
    <w:rsid w:val="00D57058"/>
    <w:rsid w:val="00D575FA"/>
    <w:rsid w:val="00D57EF1"/>
    <w:rsid w:val="00D607A4"/>
    <w:rsid w:val="00D60BE1"/>
    <w:rsid w:val="00D612D4"/>
    <w:rsid w:val="00D620FE"/>
    <w:rsid w:val="00D66EE3"/>
    <w:rsid w:val="00D671C8"/>
    <w:rsid w:val="00D73682"/>
    <w:rsid w:val="00D73803"/>
    <w:rsid w:val="00D73DA4"/>
    <w:rsid w:val="00D74328"/>
    <w:rsid w:val="00D752C0"/>
    <w:rsid w:val="00D76068"/>
    <w:rsid w:val="00D7620B"/>
    <w:rsid w:val="00D76269"/>
    <w:rsid w:val="00D76AC7"/>
    <w:rsid w:val="00D76D59"/>
    <w:rsid w:val="00D7723E"/>
    <w:rsid w:val="00D77AF7"/>
    <w:rsid w:val="00D77E53"/>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64CD"/>
    <w:rsid w:val="00DA669C"/>
    <w:rsid w:val="00DA721B"/>
    <w:rsid w:val="00DA779B"/>
    <w:rsid w:val="00DA78D8"/>
    <w:rsid w:val="00DA7CCD"/>
    <w:rsid w:val="00DB0253"/>
    <w:rsid w:val="00DB058E"/>
    <w:rsid w:val="00DB1A46"/>
    <w:rsid w:val="00DB3070"/>
    <w:rsid w:val="00DB30C9"/>
    <w:rsid w:val="00DB3570"/>
    <w:rsid w:val="00DB4053"/>
    <w:rsid w:val="00DB440F"/>
    <w:rsid w:val="00DB5701"/>
    <w:rsid w:val="00DB6D0A"/>
    <w:rsid w:val="00DB74B6"/>
    <w:rsid w:val="00DB75DA"/>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3D51"/>
    <w:rsid w:val="00DD4B3F"/>
    <w:rsid w:val="00DD5020"/>
    <w:rsid w:val="00DD5C85"/>
    <w:rsid w:val="00DD67CB"/>
    <w:rsid w:val="00DD6A4C"/>
    <w:rsid w:val="00DD7455"/>
    <w:rsid w:val="00DD7728"/>
    <w:rsid w:val="00DD7EF1"/>
    <w:rsid w:val="00DE0CEF"/>
    <w:rsid w:val="00DE25E1"/>
    <w:rsid w:val="00DE45A8"/>
    <w:rsid w:val="00DE4B21"/>
    <w:rsid w:val="00DE6304"/>
    <w:rsid w:val="00DE68D3"/>
    <w:rsid w:val="00DE7190"/>
    <w:rsid w:val="00DF1837"/>
    <w:rsid w:val="00DF28A9"/>
    <w:rsid w:val="00DF2AB9"/>
    <w:rsid w:val="00DF331C"/>
    <w:rsid w:val="00DF3644"/>
    <w:rsid w:val="00DF5C20"/>
    <w:rsid w:val="00DF6699"/>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33352"/>
    <w:rsid w:val="00E337FC"/>
    <w:rsid w:val="00E33B53"/>
    <w:rsid w:val="00E33C03"/>
    <w:rsid w:val="00E35A3F"/>
    <w:rsid w:val="00E362C8"/>
    <w:rsid w:val="00E368F5"/>
    <w:rsid w:val="00E36F07"/>
    <w:rsid w:val="00E37CFD"/>
    <w:rsid w:val="00E37FC4"/>
    <w:rsid w:val="00E4010D"/>
    <w:rsid w:val="00E41103"/>
    <w:rsid w:val="00E411C1"/>
    <w:rsid w:val="00E41730"/>
    <w:rsid w:val="00E43159"/>
    <w:rsid w:val="00E438D0"/>
    <w:rsid w:val="00E44750"/>
    <w:rsid w:val="00E460B9"/>
    <w:rsid w:val="00E46693"/>
    <w:rsid w:val="00E47752"/>
    <w:rsid w:val="00E506C0"/>
    <w:rsid w:val="00E50DCB"/>
    <w:rsid w:val="00E5237F"/>
    <w:rsid w:val="00E52A78"/>
    <w:rsid w:val="00E5418E"/>
    <w:rsid w:val="00E546A3"/>
    <w:rsid w:val="00E56616"/>
    <w:rsid w:val="00E578EA"/>
    <w:rsid w:val="00E579AD"/>
    <w:rsid w:val="00E579D9"/>
    <w:rsid w:val="00E57ABF"/>
    <w:rsid w:val="00E60A40"/>
    <w:rsid w:val="00E60BD8"/>
    <w:rsid w:val="00E610D6"/>
    <w:rsid w:val="00E61E04"/>
    <w:rsid w:val="00E62545"/>
    <w:rsid w:val="00E634C2"/>
    <w:rsid w:val="00E63739"/>
    <w:rsid w:val="00E66945"/>
    <w:rsid w:val="00E66B54"/>
    <w:rsid w:val="00E676DB"/>
    <w:rsid w:val="00E721AA"/>
    <w:rsid w:val="00E73E2C"/>
    <w:rsid w:val="00E7419E"/>
    <w:rsid w:val="00E75779"/>
    <w:rsid w:val="00E7627D"/>
    <w:rsid w:val="00E766C9"/>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68DD"/>
    <w:rsid w:val="00E97F1F"/>
    <w:rsid w:val="00EA10E9"/>
    <w:rsid w:val="00EA18E4"/>
    <w:rsid w:val="00EA1D4E"/>
    <w:rsid w:val="00EA2B54"/>
    <w:rsid w:val="00EA3918"/>
    <w:rsid w:val="00EA456A"/>
    <w:rsid w:val="00EA5A5B"/>
    <w:rsid w:val="00EA6727"/>
    <w:rsid w:val="00EA7647"/>
    <w:rsid w:val="00EA7E01"/>
    <w:rsid w:val="00EB2239"/>
    <w:rsid w:val="00EB2F8D"/>
    <w:rsid w:val="00EB37B7"/>
    <w:rsid w:val="00EB5D44"/>
    <w:rsid w:val="00EB613E"/>
    <w:rsid w:val="00EB66B7"/>
    <w:rsid w:val="00EB6B5B"/>
    <w:rsid w:val="00EB6E71"/>
    <w:rsid w:val="00EB7922"/>
    <w:rsid w:val="00EB7EB7"/>
    <w:rsid w:val="00EC0AEF"/>
    <w:rsid w:val="00EC12F2"/>
    <w:rsid w:val="00EC1FA5"/>
    <w:rsid w:val="00EC4C4C"/>
    <w:rsid w:val="00EC749B"/>
    <w:rsid w:val="00EC77BE"/>
    <w:rsid w:val="00ED03B0"/>
    <w:rsid w:val="00ED0A7D"/>
    <w:rsid w:val="00ED172A"/>
    <w:rsid w:val="00ED198F"/>
    <w:rsid w:val="00ED1F58"/>
    <w:rsid w:val="00ED2760"/>
    <w:rsid w:val="00ED2AED"/>
    <w:rsid w:val="00ED3323"/>
    <w:rsid w:val="00ED58D9"/>
    <w:rsid w:val="00ED6332"/>
    <w:rsid w:val="00ED6AC5"/>
    <w:rsid w:val="00EE0006"/>
    <w:rsid w:val="00EE0D80"/>
    <w:rsid w:val="00EE0DCF"/>
    <w:rsid w:val="00EE1437"/>
    <w:rsid w:val="00EE143C"/>
    <w:rsid w:val="00EE1F93"/>
    <w:rsid w:val="00EE32CC"/>
    <w:rsid w:val="00EE38BF"/>
    <w:rsid w:val="00EE3E8E"/>
    <w:rsid w:val="00EE5252"/>
    <w:rsid w:val="00EE5785"/>
    <w:rsid w:val="00EE5D30"/>
    <w:rsid w:val="00EE60BB"/>
    <w:rsid w:val="00EF0A2D"/>
    <w:rsid w:val="00EF1BE7"/>
    <w:rsid w:val="00EF2487"/>
    <w:rsid w:val="00EF2F13"/>
    <w:rsid w:val="00EF3104"/>
    <w:rsid w:val="00EF3C04"/>
    <w:rsid w:val="00EF4D5A"/>
    <w:rsid w:val="00EF5F6B"/>
    <w:rsid w:val="00EF6596"/>
    <w:rsid w:val="00EF69F4"/>
    <w:rsid w:val="00EF6CAD"/>
    <w:rsid w:val="00EF7179"/>
    <w:rsid w:val="00EF770C"/>
    <w:rsid w:val="00F00521"/>
    <w:rsid w:val="00F007BC"/>
    <w:rsid w:val="00F0181A"/>
    <w:rsid w:val="00F0217F"/>
    <w:rsid w:val="00F03D4A"/>
    <w:rsid w:val="00F058F5"/>
    <w:rsid w:val="00F05C5D"/>
    <w:rsid w:val="00F05C96"/>
    <w:rsid w:val="00F06067"/>
    <w:rsid w:val="00F0607D"/>
    <w:rsid w:val="00F062DA"/>
    <w:rsid w:val="00F06618"/>
    <w:rsid w:val="00F10637"/>
    <w:rsid w:val="00F122A0"/>
    <w:rsid w:val="00F145BC"/>
    <w:rsid w:val="00F15EAB"/>
    <w:rsid w:val="00F15EFB"/>
    <w:rsid w:val="00F165C6"/>
    <w:rsid w:val="00F1758F"/>
    <w:rsid w:val="00F2005C"/>
    <w:rsid w:val="00F202F9"/>
    <w:rsid w:val="00F2061A"/>
    <w:rsid w:val="00F233B5"/>
    <w:rsid w:val="00F24B1C"/>
    <w:rsid w:val="00F25338"/>
    <w:rsid w:val="00F25A94"/>
    <w:rsid w:val="00F262DA"/>
    <w:rsid w:val="00F26417"/>
    <w:rsid w:val="00F27645"/>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2138"/>
    <w:rsid w:val="00F42465"/>
    <w:rsid w:val="00F4262F"/>
    <w:rsid w:val="00F42CD1"/>
    <w:rsid w:val="00F4386F"/>
    <w:rsid w:val="00F43F96"/>
    <w:rsid w:val="00F44A7F"/>
    <w:rsid w:val="00F45A7B"/>
    <w:rsid w:val="00F45C80"/>
    <w:rsid w:val="00F461E0"/>
    <w:rsid w:val="00F477A5"/>
    <w:rsid w:val="00F47991"/>
    <w:rsid w:val="00F51CEE"/>
    <w:rsid w:val="00F537FC"/>
    <w:rsid w:val="00F538C6"/>
    <w:rsid w:val="00F54623"/>
    <w:rsid w:val="00F55BBB"/>
    <w:rsid w:val="00F5635E"/>
    <w:rsid w:val="00F600B2"/>
    <w:rsid w:val="00F611F2"/>
    <w:rsid w:val="00F620A3"/>
    <w:rsid w:val="00F62764"/>
    <w:rsid w:val="00F62BE9"/>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80220"/>
    <w:rsid w:val="00F80284"/>
    <w:rsid w:val="00F80526"/>
    <w:rsid w:val="00F80C15"/>
    <w:rsid w:val="00F81505"/>
    <w:rsid w:val="00F8310C"/>
    <w:rsid w:val="00F8469B"/>
    <w:rsid w:val="00F84D3E"/>
    <w:rsid w:val="00F86CE9"/>
    <w:rsid w:val="00F87062"/>
    <w:rsid w:val="00F87154"/>
    <w:rsid w:val="00F8779D"/>
    <w:rsid w:val="00F878E3"/>
    <w:rsid w:val="00F87A1F"/>
    <w:rsid w:val="00F9163C"/>
    <w:rsid w:val="00F91E33"/>
    <w:rsid w:val="00F92426"/>
    <w:rsid w:val="00F9426F"/>
    <w:rsid w:val="00F9467D"/>
    <w:rsid w:val="00F94B51"/>
    <w:rsid w:val="00F94F57"/>
    <w:rsid w:val="00F95677"/>
    <w:rsid w:val="00F956C8"/>
    <w:rsid w:val="00F95D43"/>
    <w:rsid w:val="00F974EC"/>
    <w:rsid w:val="00F97E58"/>
    <w:rsid w:val="00FA09FA"/>
    <w:rsid w:val="00FA1166"/>
    <w:rsid w:val="00FA15E3"/>
    <w:rsid w:val="00FA368B"/>
    <w:rsid w:val="00FA3E1D"/>
    <w:rsid w:val="00FA5872"/>
    <w:rsid w:val="00FA58AA"/>
    <w:rsid w:val="00FA6A76"/>
    <w:rsid w:val="00FA6F63"/>
    <w:rsid w:val="00FA78E0"/>
    <w:rsid w:val="00FA7BAD"/>
    <w:rsid w:val="00FB064D"/>
    <w:rsid w:val="00FB0C8D"/>
    <w:rsid w:val="00FB3570"/>
    <w:rsid w:val="00FB3A31"/>
    <w:rsid w:val="00FB3E10"/>
    <w:rsid w:val="00FB436A"/>
    <w:rsid w:val="00FB477C"/>
    <w:rsid w:val="00FB486A"/>
    <w:rsid w:val="00FB4D50"/>
    <w:rsid w:val="00FB5996"/>
    <w:rsid w:val="00FB5F7F"/>
    <w:rsid w:val="00FB6370"/>
    <w:rsid w:val="00FB7944"/>
    <w:rsid w:val="00FB7D62"/>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251A"/>
    <w:rsid w:val="00FD2A32"/>
    <w:rsid w:val="00FD2BE7"/>
    <w:rsid w:val="00FD33B4"/>
    <w:rsid w:val="00FD33F0"/>
    <w:rsid w:val="00FD3C2A"/>
    <w:rsid w:val="00FD47C6"/>
    <w:rsid w:val="00FD4C91"/>
    <w:rsid w:val="00FD4FB7"/>
    <w:rsid w:val="00FD5FDF"/>
    <w:rsid w:val="00FD6A36"/>
    <w:rsid w:val="00FD780C"/>
    <w:rsid w:val="00FD7AF7"/>
    <w:rsid w:val="00FD7CEC"/>
    <w:rsid w:val="00FE0463"/>
    <w:rsid w:val="00FE08AC"/>
    <w:rsid w:val="00FE0BB0"/>
    <w:rsid w:val="00FE12FF"/>
    <w:rsid w:val="00FE19F2"/>
    <w:rsid w:val="00FE4664"/>
    <w:rsid w:val="00FE76B5"/>
    <w:rsid w:val="00FE7F2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DA57-0AFE-4078-91CD-AAE2307F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11</cp:revision>
  <cp:lastPrinted>2012-06-21T16:06:00Z</cp:lastPrinted>
  <dcterms:created xsi:type="dcterms:W3CDTF">2012-06-08T13:49:00Z</dcterms:created>
  <dcterms:modified xsi:type="dcterms:W3CDTF">2012-06-21T16:06:00Z</dcterms:modified>
</cp:coreProperties>
</file>