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22760" w:rsidRPr="00E22760">
        <w:trPr>
          <w:trHeight w:val="990"/>
        </w:trPr>
        <w:tc>
          <w:tcPr>
            <w:tcW w:w="1363" w:type="dxa"/>
          </w:tcPr>
          <w:p w:rsidR="00E9717D" w:rsidRPr="00E22760" w:rsidRDefault="00D92653" w:rsidP="00E9717D">
            <w:pPr>
              <w:jc w:val="right"/>
            </w:pPr>
            <w:r w:rsidRPr="00E22760">
              <w:rPr>
                <w:noProof/>
              </w:rPr>
              <w:drawing>
                <wp:inline distT="0" distB="0" distL="0" distR="0" wp14:anchorId="2E46FA01" wp14:editId="73F1B88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E22760" w:rsidRDefault="00E9717D" w:rsidP="00E9717D">
            <w:pPr>
              <w:suppressAutoHyphens/>
              <w:spacing w:line="204" w:lineRule="auto"/>
              <w:jc w:val="center"/>
              <w:rPr>
                <w:rFonts w:ascii="Arial" w:hAnsi="Arial"/>
                <w:spacing w:val="-3"/>
                <w:sz w:val="26"/>
              </w:rPr>
            </w:pPr>
          </w:p>
          <w:p w:rsidR="00E9717D" w:rsidRPr="00E22760"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E22760">
                  <w:rPr>
                    <w:rFonts w:ascii="Arial" w:hAnsi="Arial"/>
                    <w:spacing w:val="-3"/>
                    <w:sz w:val="26"/>
                  </w:rPr>
                  <w:t>COMMONWEALTH</w:t>
                </w:r>
              </w:smartTag>
              <w:r w:rsidRPr="00E22760">
                <w:rPr>
                  <w:rFonts w:ascii="Arial" w:hAnsi="Arial"/>
                  <w:spacing w:val="-3"/>
                  <w:sz w:val="26"/>
                </w:rPr>
                <w:t xml:space="preserve"> OF </w:t>
              </w:r>
              <w:smartTag w:uri="urn:schemas-microsoft-com:office:smarttags" w:element="PlaceName">
                <w:r w:rsidRPr="00E22760">
                  <w:rPr>
                    <w:rFonts w:ascii="Arial" w:hAnsi="Arial"/>
                    <w:spacing w:val="-3"/>
                    <w:sz w:val="26"/>
                  </w:rPr>
                  <w:t>PENNSYLVANIA</w:t>
                </w:r>
              </w:smartTag>
            </w:smartTag>
          </w:p>
          <w:p w:rsidR="00E9717D" w:rsidRPr="00E22760"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E22760">
                  <w:rPr>
                    <w:rFonts w:ascii="Arial" w:hAnsi="Arial"/>
                    <w:spacing w:val="-3"/>
                    <w:sz w:val="26"/>
                  </w:rPr>
                  <w:t>PENNSYLVANIA</w:t>
                </w:r>
              </w:smartTag>
            </w:smartTag>
            <w:r w:rsidRPr="00E22760">
              <w:rPr>
                <w:rFonts w:ascii="Arial" w:hAnsi="Arial"/>
                <w:spacing w:val="-3"/>
                <w:sz w:val="26"/>
              </w:rPr>
              <w:t xml:space="preserve"> PUBLIC UTILITY COMMISSION</w:t>
            </w:r>
          </w:p>
          <w:p w:rsidR="00E9717D" w:rsidRPr="00E22760" w:rsidRDefault="00E9717D" w:rsidP="00E9717D">
            <w:pPr>
              <w:jc w:val="center"/>
              <w:rPr>
                <w:rFonts w:ascii="Arial" w:hAnsi="Arial"/>
                <w:sz w:val="12"/>
              </w:rPr>
            </w:pPr>
            <w:r w:rsidRPr="00E22760">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E22760">
                    <w:rPr>
                      <w:rFonts w:ascii="Arial" w:hAnsi="Arial"/>
                      <w:spacing w:val="-3"/>
                      <w:sz w:val="26"/>
                    </w:rPr>
                    <w:t>BOX</w:t>
                  </w:r>
                </w:smartTag>
                <w:r w:rsidRPr="00E22760">
                  <w:rPr>
                    <w:rFonts w:ascii="Arial" w:hAnsi="Arial"/>
                    <w:spacing w:val="-3"/>
                    <w:sz w:val="26"/>
                  </w:rPr>
                  <w:t xml:space="preserve"> 3265</w:t>
                </w:r>
              </w:smartTag>
              <w:r w:rsidRPr="00E22760">
                <w:rPr>
                  <w:rFonts w:ascii="Arial" w:hAnsi="Arial"/>
                  <w:spacing w:val="-3"/>
                  <w:sz w:val="26"/>
                </w:rPr>
                <w:t xml:space="preserve">, </w:t>
              </w:r>
              <w:smartTag w:uri="urn:schemas-microsoft-com:office:smarttags" w:element="City">
                <w:r w:rsidRPr="00E22760">
                  <w:rPr>
                    <w:rFonts w:ascii="Arial" w:hAnsi="Arial"/>
                    <w:spacing w:val="-3"/>
                    <w:sz w:val="26"/>
                  </w:rPr>
                  <w:t>HARRISBURG</w:t>
                </w:r>
              </w:smartTag>
              <w:r w:rsidRPr="00E22760">
                <w:rPr>
                  <w:rFonts w:ascii="Arial" w:hAnsi="Arial"/>
                  <w:spacing w:val="-3"/>
                  <w:sz w:val="26"/>
                </w:rPr>
                <w:t xml:space="preserve">, </w:t>
              </w:r>
              <w:smartTag w:uri="urn:schemas-microsoft-com:office:smarttags" w:element="State">
                <w:r w:rsidRPr="00E22760">
                  <w:rPr>
                    <w:rFonts w:ascii="Arial" w:hAnsi="Arial"/>
                    <w:spacing w:val="-3"/>
                    <w:sz w:val="26"/>
                  </w:rPr>
                  <w:t>PA</w:t>
                </w:r>
              </w:smartTag>
              <w:r w:rsidRPr="00E22760">
                <w:rPr>
                  <w:rFonts w:ascii="Arial" w:hAnsi="Arial"/>
                  <w:spacing w:val="-3"/>
                  <w:sz w:val="26"/>
                </w:rPr>
                <w:t xml:space="preserve"> </w:t>
              </w:r>
              <w:smartTag w:uri="urn:schemas-microsoft-com:office:smarttags" w:element="PostalCode">
                <w:r w:rsidRPr="00E22760">
                  <w:rPr>
                    <w:rFonts w:ascii="Arial" w:hAnsi="Arial"/>
                    <w:spacing w:val="-3"/>
                    <w:sz w:val="26"/>
                  </w:rPr>
                  <w:t>17105-3265</w:t>
                </w:r>
              </w:smartTag>
            </w:smartTag>
          </w:p>
        </w:tc>
        <w:tc>
          <w:tcPr>
            <w:tcW w:w="1452" w:type="dxa"/>
          </w:tcPr>
          <w:p w:rsidR="00E9717D" w:rsidRPr="00E22760" w:rsidRDefault="00E9717D" w:rsidP="00E9717D">
            <w:pPr>
              <w:jc w:val="center"/>
              <w:rPr>
                <w:rFonts w:ascii="Arial" w:hAnsi="Arial"/>
                <w:sz w:val="12"/>
              </w:rPr>
            </w:pPr>
          </w:p>
          <w:p w:rsidR="00E9717D" w:rsidRPr="00E22760" w:rsidRDefault="00E9717D" w:rsidP="00E9717D">
            <w:pPr>
              <w:jc w:val="center"/>
              <w:rPr>
                <w:rFonts w:ascii="Arial" w:hAnsi="Arial"/>
                <w:sz w:val="12"/>
              </w:rPr>
            </w:pPr>
          </w:p>
          <w:p w:rsidR="00E9717D" w:rsidRPr="00E22760" w:rsidRDefault="00E9717D" w:rsidP="00E9717D">
            <w:pPr>
              <w:jc w:val="center"/>
              <w:rPr>
                <w:rFonts w:ascii="Arial" w:hAnsi="Arial"/>
                <w:sz w:val="12"/>
              </w:rPr>
            </w:pPr>
          </w:p>
          <w:p w:rsidR="00E9717D" w:rsidRPr="00E22760" w:rsidRDefault="00E9717D" w:rsidP="00E9717D">
            <w:pPr>
              <w:jc w:val="center"/>
              <w:rPr>
                <w:rFonts w:ascii="Arial" w:hAnsi="Arial"/>
                <w:sz w:val="12"/>
              </w:rPr>
            </w:pPr>
          </w:p>
          <w:p w:rsidR="00E9717D" w:rsidRPr="00E22760" w:rsidRDefault="00E9717D" w:rsidP="00E9717D">
            <w:pPr>
              <w:jc w:val="center"/>
              <w:rPr>
                <w:rFonts w:ascii="Arial" w:hAnsi="Arial"/>
                <w:sz w:val="12"/>
              </w:rPr>
            </w:pPr>
          </w:p>
          <w:p w:rsidR="00E9717D" w:rsidRPr="00E22760" w:rsidRDefault="00E9717D" w:rsidP="00E9717D">
            <w:pPr>
              <w:jc w:val="center"/>
              <w:rPr>
                <w:rFonts w:ascii="Arial" w:hAnsi="Arial"/>
                <w:sz w:val="12"/>
              </w:rPr>
            </w:pPr>
          </w:p>
          <w:p w:rsidR="00E9717D" w:rsidRPr="00E22760" w:rsidRDefault="00E9717D" w:rsidP="00E9717D">
            <w:pPr>
              <w:jc w:val="center"/>
              <w:rPr>
                <w:rFonts w:ascii="Arial" w:hAnsi="Arial"/>
                <w:sz w:val="12"/>
              </w:rPr>
            </w:pPr>
            <w:r w:rsidRPr="00E22760">
              <w:rPr>
                <w:rFonts w:ascii="Arial" w:hAnsi="Arial"/>
                <w:b/>
                <w:spacing w:val="-1"/>
                <w:sz w:val="12"/>
              </w:rPr>
              <w:t xml:space="preserve">IN REPLY PLEASE REFER TO OUR </w:t>
            </w:r>
            <w:smartTag w:uri="urn:schemas-microsoft-com:office:smarttags" w:element="stockticker">
              <w:r w:rsidRPr="00E22760">
                <w:rPr>
                  <w:rFonts w:ascii="Arial" w:hAnsi="Arial"/>
                  <w:b/>
                  <w:spacing w:val="-1"/>
                  <w:sz w:val="12"/>
                </w:rPr>
                <w:t>FILE</w:t>
              </w:r>
            </w:smartTag>
          </w:p>
        </w:tc>
      </w:tr>
    </w:tbl>
    <w:p w:rsidR="00E9717D" w:rsidRPr="00E22760" w:rsidRDefault="00E9717D" w:rsidP="00E9717D">
      <w:pPr>
        <w:pStyle w:val="Heading1"/>
        <w:ind w:left="5310" w:firstLine="270"/>
        <w:jc w:val="center"/>
        <w:rPr>
          <w:sz w:val="24"/>
          <w:szCs w:val="24"/>
        </w:rPr>
        <w:sectPr w:rsidR="00E9717D" w:rsidRPr="00E22760" w:rsidSect="00982D60">
          <w:footerReference w:type="default" r:id="rId10"/>
          <w:type w:val="continuous"/>
          <w:pgSz w:w="12240" w:h="15840"/>
          <w:pgMar w:top="720" w:right="1440" w:bottom="1440" w:left="1440" w:header="720" w:footer="720" w:gutter="0"/>
          <w:cols w:space="720"/>
          <w:titlePg/>
          <w:docGrid w:linePitch="326"/>
        </w:sectPr>
      </w:pPr>
    </w:p>
    <w:p w:rsidR="00614FDE" w:rsidRPr="00E22760" w:rsidRDefault="00F708AC" w:rsidP="00614FDE">
      <w:pPr>
        <w:jc w:val="center"/>
        <w:rPr>
          <w:szCs w:val="24"/>
        </w:rPr>
      </w:pPr>
      <w:r>
        <w:rPr>
          <w:szCs w:val="24"/>
        </w:rPr>
        <w:lastRenderedPageBreak/>
        <w:t>June 22, 2012</w:t>
      </w:r>
    </w:p>
    <w:p w:rsidR="00157C40" w:rsidRPr="00E22760" w:rsidRDefault="002E5260" w:rsidP="00614FDE">
      <w:pPr>
        <w:jc w:val="center"/>
        <w:rPr>
          <w:szCs w:val="24"/>
        </w:rPr>
      </w:pPr>
      <w:r w:rsidRPr="00E22760">
        <w:rPr>
          <w:szCs w:val="24"/>
        </w:rPr>
        <w:fldChar w:fldCharType="begin">
          <w:ffData>
            <w:name w:val="Text15"/>
            <w:enabled/>
            <w:calcOnExit w:val="0"/>
            <w:textInput/>
          </w:ffData>
        </w:fldChar>
      </w:r>
      <w:bookmarkStart w:id="0" w:name="Text15"/>
      <w:r w:rsidR="006721A8" w:rsidRPr="00E22760">
        <w:rPr>
          <w:szCs w:val="24"/>
        </w:rPr>
        <w:instrText xml:space="preserve"> FORMTEXT </w:instrText>
      </w:r>
      <w:r w:rsidRPr="00E22760">
        <w:rPr>
          <w:szCs w:val="24"/>
        </w:rPr>
      </w:r>
      <w:r w:rsidRPr="00E22760">
        <w:rPr>
          <w:szCs w:val="24"/>
        </w:rPr>
        <w:fldChar w:fldCharType="end"/>
      </w:r>
      <w:bookmarkEnd w:id="0"/>
    </w:p>
    <w:p w:rsidR="004376E3" w:rsidRPr="00E22760" w:rsidRDefault="004376E3" w:rsidP="004376E3">
      <w:pPr>
        <w:jc w:val="right"/>
        <w:rPr>
          <w:szCs w:val="24"/>
        </w:rPr>
      </w:pPr>
      <w:r w:rsidRPr="00E22760">
        <w:rPr>
          <w:szCs w:val="24"/>
        </w:rPr>
        <w:t xml:space="preserve">Docket No. </w:t>
      </w:r>
      <w:r w:rsidR="00354C52" w:rsidRPr="00E22760">
        <w:rPr>
          <w:szCs w:val="24"/>
        </w:rPr>
        <w:t>R-2012-2307836</w:t>
      </w:r>
    </w:p>
    <w:p w:rsidR="00354C52" w:rsidRPr="00E22760" w:rsidRDefault="004376E3" w:rsidP="00354C52">
      <w:pPr>
        <w:pStyle w:val="BodyText"/>
        <w:jc w:val="right"/>
      </w:pPr>
      <w:r w:rsidRPr="00E22760">
        <w:rPr>
          <w:szCs w:val="24"/>
        </w:rPr>
        <w:t xml:space="preserve">                                                                           </w:t>
      </w:r>
      <w:r w:rsidRPr="00E22760">
        <w:t xml:space="preserve">Utility Code: </w:t>
      </w:r>
      <w:r w:rsidR="00354C52" w:rsidRPr="00E22760">
        <w:t>310814</w:t>
      </w:r>
    </w:p>
    <w:p w:rsidR="00354C52" w:rsidRPr="00E22760" w:rsidRDefault="00354C52" w:rsidP="00354C52">
      <w:pPr>
        <w:rPr>
          <w:caps/>
          <w:szCs w:val="24"/>
        </w:rPr>
      </w:pPr>
      <w:r w:rsidRPr="00E22760">
        <w:rPr>
          <w:caps/>
          <w:szCs w:val="24"/>
        </w:rPr>
        <w:t>jEANNE SHEARER</w:t>
      </w:r>
      <w:r w:rsidRPr="00E22760">
        <w:rPr>
          <w:caps/>
          <w:szCs w:val="24"/>
        </w:rPr>
        <w:tab/>
      </w:r>
    </w:p>
    <w:p w:rsidR="00354C52" w:rsidRPr="00E22760" w:rsidRDefault="00354C52" w:rsidP="00354C52">
      <w:pPr>
        <w:rPr>
          <w:caps/>
          <w:szCs w:val="24"/>
        </w:rPr>
      </w:pPr>
      <w:r w:rsidRPr="00E22760">
        <w:rPr>
          <w:caps/>
          <w:szCs w:val="24"/>
        </w:rPr>
        <w:t>WINDSTREAM COMMUNICATIONS</w:t>
      </w:r>
    </w:p>
    <w:p w:rsidR="00354C52" w:rsidRPr="00E22760" w:rsidRDefault="00354C52" w:rsidP="00354C52">
      <w:pPr>
        <w:rPr>
          <w:caps/>
          <w:szCs w:val="24"/>
        </w:rPr>
      </w:pPr>
      <w:r w:rsidRPr="00E22760">
        <w:rPr>
          <w:caps/>
          <w:szCs w:val="24"/>
        </w:rPr>
        <w:t>124 EAST MAIN STREET</w:t>
      </w:r>
    </w:p>
    <w:p w:rsidR="00354C52" w:rsidRPr="00E22760" w:rsidRDefault="00354C52" w:rsidP="00354C52">
      <w:pPr>
        <w:rPr>
          <w:szCs w:val="24"/>
        </w:rPr>
      </w:pPr>
      <w:r w:rsidRPr="00E22760">
        <w:rPr>
          <w:caps/>
          <w:szCs w:val="24"/>
        </w:rPr>
        <w:t>EPHRATA PA 17522</w:t>
      </w:r>
    </w:p>
    <w:p w:rsidR="004376E3" w:rsidRPr="00E22760" w:rsidRDefault="004376E3" w:rsidP="004376E3">
      <w:pPr>
        <w:ind w:left="-90" w:firstLine="90"/>
        <w:jc w:val="both"/>
        <w:rPr>
          <w:szCs w:val="24"/>
        </w:rPr>
      </w:pPr>
    </w:p>
    <w:p w:rsidR="00F01600" w:rsidRDefault="004376E3" w:rsidP="00F01600">
      <w:pPr>
        <w:ind w:left="1440" w:hanging="720"/>
        <w:jc w:val="both"/>
        <w:rPr>
          <w:szCs w:val="24"/>
        </w:rPr>
      </w:pPr>
      <w:r w:rsidRPr="00E22760">
        <w:rPr>
          <w:szCs w:val="24"/>
        </w:rPr>
        <w:t>Re:</w:t>
      </w:r>
      <w:r w:rsidRPr="00E22760">
        <w:rPr>
          <w:szCs w:val="24"/>
        </w:rPr>
        <w:tab/>
      </w:r>
      <w:r w:rsidR="00525959" w:rsidRPr="00E22760">
        <w:rPr>
          <w:szCs w:val="24"/>
        </w:rPr>
        <w:t>US LEC of Pennsylvania, Inc.</w:t>
      </w:r>
      <w:r w:rsidR="00F01600">
        <w:rPr>
          <w:szCs w:val="24"/>
        </w:rPr>
        <w:t xml:space="preserve"> d/b/a PAETEC Business Services</w:t>
      </w:r>
    </w:p>
    <w:p w:rsidR="00F01600" w:rsidRPr="00F01600" w:rsidRDefault="004376E3" w:rsidP="00F01600">
      <w:pPr>
        <w:ind w:left="1440"/>
        <w:jc w:val="both"/>
        <w:rPr>
          <w:szCs w:val="24"/>
        </w:rPr>
      </w:pPr>
      <w:r w:rsidRPr="00E22760">
        <w:rPr>
          <w:szCs w:val="24"/>
        </w:rPr>
        <w:t xml:space="preserve">Revisions to </w:t>
      </w:r>
      <w:hyperlink r:id="rId11" w:tgtFrame="_blank" w:history="1">
        <w:r w:rsidR="00F01600" w:rsidRPr="00F01600">
          <w:rPr>
            <w:szCs w:val="24"/>
          </w:rPr>
          <w:t>Intrastate Access Tariff No. 2</w:t>
        </w:r>
      </w:hyperlink>
      <w:r w:rsidR="00F01600" w:rsidRPr="00F01600">
        <w:rPr>
          <w:szCs w:val="24"/>
        </w:rPr>
        <w:t xml:space="preserve"> </w:t>
      </w:r>
    </w:p>
    <w:p w:rsidR="004376E3" w:rsidRPr="00E22760" w:rsidRDefault="004376E3" w:rsidP="00F01600">
      <w:pPr>
        <w:ind w:left="1440"/>
        <w:jc w:val="both"/>
        <w:rPr>
          <w:szCs w:val="24"/>
        </w:rPr>
      </w:pPr>
    </w:p>
    <w:p w:rsidR="004376E3" w:rsidRPr="00E22760" w:rsidRDefault="004376E3" w:rsidP="004376E3">
      <w:pPr>
        <w:rPr>
          <w:szCs w:val="24"/>
        </w:rPr>
      </w:pPr>
      <w:r w:rsidRPr="00E22760">
        <w:rPr>
          <w:szCs w:val="24"/>
        </w:rPr>
        <w:t>Dear M</w:t>
      </w:r>
      <w:r w:rsidR="00525959" w:rsidRPr="00E22760">
        <w:rPr>
          <w:szCs w:val="24"/>
        </w:rPr>
        <w:t>s. Shearer</w:t>
      </w:r>
      <w:r w:rsidRPr="00E22760">
        <w:rPr>
          <w:szCs w:val="24"/>
        </w:rPr>
        <w:t>:</w:t>
      </w:r>
    </w:p>
    <w:p w:rsidR="00525959" w:rsidRPr="00F01600" w:rsidRDefault="002354DC" w:rsidP="001172B7">
      <w:pPr>
        <w:spacing w:before="100" w:beforeAutospacing="1" w:after="100" w:afterAutospacing="1" w:line="300" w:lineRule="atLeast"/>
        <w:ind w:firstLine="720"/>
        <w:rPr>
          <w:szCs w:val="24"/>
        </w:rPr>
      </w:pPr>
      <w:r w:rsidRPr="00E22760">
        <w:rPr>
          <w:szCs w:val="24"/>
        </w:rPr>
        <w:t xml:space="preserve">On </w:t>
      </w:r>
      <w:r w:rsidR="00525959" w:rsidRPr="00E22760">
        <w:rPr>
          <w:szCs w:val="24"/>
        </w:rPr>
        <w:t>June 4, 2012</w:t>
      </w:r>
      <w:r w:rsidRPr="00E22760">
        <w:rPr>
          <w:szCs w:val="24"/>
        </w:rPr>
        <w:t xml:space="preserve">, </w:t>
      </w:r>
      <w:r w:rsidR="00525959" w:rsidRPr="00E22760">
        <w:rPr>
          <w:szCs w:val="24"/>
        </w:rPr>
        <w:t>US LEC of Pennsylvania, Inc.</w:t>
      </w:r>
      <w:r w:rsidR="00F01600">
        <w:rPr>
          <w:szCs w:val="24"/>
        </w:rPr>
        <w:t xml:space="preserve"> d/b/a PAETEC Business Services</w:t>
      </w:r>
      <w:r w:rsidRPr="00E22760">
        <w:rPr>
          <w:szCs w:val="24"/>
        </w:rPr>
        <w:t xml:space="preserve"> (the Company) submitted Supplement No. </w:t>
      </w:r>
      <w:r w:rsidR="00525959" w:rsidRPr="00E22760">
        <w:rPr>
          <w:szCs w:val="24"/>
        </w:rPr>
        <w:t>10</w:t>
      </w:r>
      <w:r w:rsidRPr="00E22760">
        <w:rPr>
          <w:szCs w:val="24"/>
        </w:rPr>
        <w:t xml:space="preserve"> to </w:t>
      </w:r>
      <w:hyperlink r:id="rId12" w:tgtFrame="_blank" w:history="1">
        <w:r w:rsidR="00F01600" w:rsidRPr="00F01600">
          <w:rPr>
            <w:szCs w:val="24"/>
          </w:rPr>
          <w:t>Intrastate Access Tariff No. 2</w:t>
        </w:r>
      </w:hyperlink>
      <w:r w:rsidR="00F01600">
        <w:rPr>
          <w:szCs w:val="24"/>
        </w:rPr>
        <w:t xml:space="preserve">, </w:t>
      </w:r>
      <w:r w:rsidRPr="00F01600">
        <w:rPr>
          <w:szCs w:val="24"/>
        </w:rPr>
        <w:t>effective</w:t>
      </w:r>
      <w:r w:rsidR="00525959" w:rsidRPr="00F01600">
        <w:rPr>
          <w:szCs w:val="24"/>
        </w:rPr>
        <w:t xml:space="preserve"> July</w:t>
      </w:r>
      <w:r w:rsidRPr="00F01600">
        <w:rPr>
          <w:szCs w:val="24"/>
        </w:rPr>
        <w:t xml:space="preserve"> 1, 2012</w:t>
      </w:r>
      <w:r w:rsidR="002B4044" w:rsidRPr="00F01600">
        <w:rPr>
          <w:szCs w:val="24"/>
        </w:rPr>
        <w:t>.  The instant filing was made in compliance with the Pennsylvania Public Utility Commission’s (Commission) Order that was entered on May 10, 2012,</w:t>
      </w:r>
      <w:r w:rsidR="002B4044" w:rsidRPr="00E22760">
        <w:rPr>
          <w:rStyle w:val="FootnoteReference"/>
          <w:szCs w:val="24"/>
        </w:rPr>
        <w:footnoteReference w:id="1"/>
      </w:r>
      <w:r w:rsidR="002B4044" w:rsidRPr="00F01600">
        <w:rPr>
          <w:szCs w:val="24"/>
        </w:rPr>
        <w:t xml:space="preserve"> to implement certain provisions of the </w:t>
      </w:r>
      <w:r w:rsidR="00A35DD0" w:rsidRPr="00F01600">
        <w:rPr>
          <w:szCs w:val="24"/>
        </w:rPr>
        <w:t xml:space="preserve">November 18, 2011 </w:t>
      </w:r>
      <w:r w:rsidR="002B4044" w:rsidRPr="00F01600">
        <w:rPr>
          <w:szCs w:val="24"/>
        </w:rPr>
        <w:t>FCC Order.</w:t>
      </w:r>
      <w:r w:rsidRPr="00E22760">
        <w:rPr>
          <w:rStyle w:val="FootnoteReference"/>
          <w:szCs w:val="24"/>
        </w:rPr>
        <w:footnoteReference w:id="2"/>
      </w:r>
      <w:r w:rsidRPr="00F01600">
        <w:rPr>
          <w:szCs w:val="24"/>
        </w:rPr>
        <w:t xml:space="preserve"> </w:t>
      </w:r>
      <w:r w:rsidR="00F01600" w:rsidRPr="00F01600">
        <w:rPr>
          <w:szCs w:val="24"/>
        </w:rPr>
        <w:t xml:space="preserve"> </w:t>
      </w:r>
      <w:r w:rsidR="00B77728" w:rsidRPr="00F01600">
        <w:rPr>
          <w:szCs w:val="24"/>
        </w:rPr>
        <w:t>The Company’s proposed intrastate switched carrier access service revenue</w:t>
      </w:r>
      <w:r w:rsidR="00525959" w:rsidRPr="00F01600">
        <w:rPr>
          <w:szCs w:val="24"/>
        </w:rPr>
        <w:t xml:space="preserve"> and rate reductions amount to $91,345.86</w:t>
      </w:r>
      <w:r w:rsidR="009824F4" w:rsidRPr="00F01600">
        <w:rPr>
          <w:szCs w:val="24"/>
        </w:rPr>
        <w:t>.</w:t>
      </w:r>
      <w:r w:rsidR="00525959" w:rsidRPr="00F01600">
        <w:rPr>
          <w:rFonts w:ascii="Calibri" w:hAnsi="Calibri" w:cs="Calibri"/>
          <w:sz w:val="22"/>
          <w:szCs w:val="22"/>
        </w:rPr>
        <w:t xml:space="preserve"> </w:t>
      </w:r>
    </w:p>
    <w:p w:rsidR="00734009" w:rsidRPr="00E22760" w:rsidRDefault="00614FDE" w:rsidP="00734009">
      <w:pPr>
        <w:pStyle w:val="BodyText"/>
        <w:spacing w:before="240"/>
        <w:ind w:firstLine="720"/>
        <w:rPr>
          <w:szCs w:val="24"/>
        </w:rPr>
      </w:pPr>
      <w:r w:rsidRPr="00E22760">
        <w:rPr>
          <w:szCs w:val="24"/>
        </w:rPr>
        <w:t xml:space="preserve">Commission Staff has reviewed </w:t>
      </w:r>
      <w:r w:rsidR="008970CE" w:rsidRPr="00E22760">
        <w:rPr>
          <w:szCs w:val="24"/>
        </w:rPr>
        <w:t>this s</w:t>
      </w:r>
      <w:r w:rsidRPr="00E22760">
        <w:rPr>
          <w:szCs w:val="24"/>
        </w:rPr>
        <w:t>upplement.</w:t>
      </w:r>
      <w:r w:rsidR="00734009" w:rsidRPr="00E22760">
        <w:rPr>
          <w:szCs w:val="24"/>
        </w:rPr>
        <w:t xml:space="preserve">  Suspension or further investigation does not appear warranted at this time.  Therefore, in accordance with 52 Pa. Code, the tariff revisions</w:t>
      </w:r>
      <w:r w:rsidR="00180CFB" w:rsidRPr="00E22760">
        <w:rPr>
          <w:szCs w:val="24"/>
        </w:rPr>
        <w:t xml:space="preserve"> contained in </w:t>
      </w:r>
      <w:r w:rsidR="008970CE" w:rsidRPr="00E22760">
        <w:rPr>
          <w:szCs w:val="24"/>
        </w:rPr>
        <w:t>this s</w:t>
      </w:r>
      <w:r w:rsidR="00180CFB" w:rsidRPr="00E22760">
        <w:rPr>
          <w:szCs w:val="24"/>
        </w:rPr>
        <w:t>upplement</w:t>
      </w:r>
      <w:r w:rsidR="00734009" w:rsidRPr="00E22760">
        <w:rPr>
          <w:szCs w:val="24"/>
        </w:rPr>
        <w:t xml:space="preserve">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w:t>
      </w:r>
      <w:r w:rsidR="00A35DD0" w:rsidRPr="00E22760">
        <w:rPr>
          <w:szCs w:val="24"/>
        </w:rPr>
        <w:t>.  This</w:t>
      </w:r>
      <w:r w:rsidR="00734009" w:rsidRPr="00E22760">
        <w:rPr>
          <w:szCs w:val="24"/>
        </w:rPr>
        <w:t xml:space="preserve"> is without prejudice to any formal complaints timely filed against said tariff revisions</w:t>
      </w:r>
      <w:r w:rsidR="000233A9" w:rsidRPr="00E22760">
        <w:rPr>
          <w:szCs w:val="24"/>
        </w:rPr>
        <w:t>, and the</w:t>
      </w:r>
      <w:r w:rsidR="00A35DD0" w:rsidRPr="00E22760">
        <w:rPr>
          <w:szCs w:val="24"/>
        </w:rPr>
        <w:t xml:space="preserve"> revisions may be subjec</w:t>
      </w:r>
      <w:r w:rsidR="0078188E" w:rsidRPr="00E22760">
        <w:rPr>
          <w:szCs w:val="24"/>
        </w:rPr>
        <w:t xml:space="preserve">t to true-up to the extent </w:t>
      </w:r>
      <w:r w:rsidR="00A35DD0" w:rsidRPr="00E22760">
        <w:rPr>
          <w:szCs w:val="24"/>
        </w:rPr>
        <w:t>they are subsequently found to be unlawful, unjust, or unreasonable</w:t>
      </w:r>
      <w:r w:rsidR="00734009" w:rsidRPr="00E22760">
        <w:rPr>
          <w:szCs w:val="24"/>
        </w:rPr>
        <w:t>.</w:t>
      </w:r>
      <w:r w:rsidR="00CA70F9" w:rsidRPr="00E22760">
        <w:rPr>
          <w:szCs w:val="24"/>
        </w:rPr>
        <w:t xml:space="preserve">  Furthermore, in accordance with our May 10, 2012 Consolidated Order, </w:t>
      </w:r>
      <w:r w:rsidR="00B87AA5" w:rsidRPr="00E22760">
        <w:rPr>
          <w:szCs w:val="24"/>
        </w:rPr>
        <w:t xml:space="preserve">the tariff </w:t>
      </w:r>
      <w:r w:rsidR="00B87AA5" w:rsidRPr="00E22760">
        <w:rPr>
          <w:szCs w:val="24"/>
        </w:rPr>
        <w:lastRenderedPageBreak/>
        <w:t>submissions and supporting data are potentially subject to “any joint state-federal investigation or enforcement action.”</w:t>
      </w:r>
      <w:r w:rsidR="00B87AA5" w:rsidRPr="00E22760">
        <w:rPr>
          <w:rStyle w:val="FootnoteReference"/>
          <w:szCs w:val="24"/>
        </w:rPr>
        <w:footnoteReference w:id="3"/>
      </w:r>
    </w:p>
    <w:p w:rsidR="00272D3C" w:rsidRPr="00E22760" w:rsidRDefault="00272D3C" w:rsidP="00272D3C">
      <w:pPr>
        <w:pStyle w:val="BodyText"/>
        <w:rPr>
          <w:szCs w:val="24"/>
        </w:rPr>
      </w:pPr>
    </w:p>
    <w:p w:rsidR="00614FDE" w:rsidRPr="00E22760" w:rsidRDefault="00614FDE" w:rsidP="00614FDE">
      <w:pPr>
        <w:ind w:firstLine="720"/>
        <w:rPr>
          <w:szCs w:val="24"/>
        </w:rPr>
      </w:pPr>
      <w:r w:rsidRPr="00E22760">
        <w:rPr>
          <w:szCs w:val="24"/>
        </w:rPr>
        <w:t xml:space="preserve">We note that the Commission has filed an appeal of the FCC Order </w:t>
      </w:r>
      <w:r w:rsidR="00A35DD0" w:rsidRPr="00E22760">
        <w:rPr>
          <w:szCs w:val="24"/>
        </w:rPr>
        <w:t>that directed</w:t>
      </w:r>
      <w:r w:rsidRPr="00E22760">
        <w:rPr>
          <w:szCs w:val="24"/>
        </w:rPr>
        <w:t xml:space="preserve"> </w:t>
      </w:r>
      <w:r w:rsidR="00CA70F9" w:rsidRPr="00E22760">
        <w:rPr>
          <w:szCs w:val="24"/>
        </w:rPr>
        <w:t xml:space="preserve">the submission </w:t>
      </w:r>
      <w:r w:rsidRPr="00E22760">
        <w:rPr>
          <w:szCs w:val="24"/>
        </w:rPr>
        <w:t>of these tariff filings.</w:t>
      </w:r>
      <w:r w:rsidRPr="00E22760">
        <w:rPr>
          <w:rStyle w:val="FootnoteReference"/>
          <w:szCs w:val="24"/>
        </w:rPr>
        <w:footnoteReference w:id="4"/>
      </w:r>
      <w:r w:rsidRPr="00E22760">
        <w:rPr>
          <w:szCs w:val="24"/>
        </w:rPr>
        <w:t xml:space="preserve">  </w:t>
      </w:r>
      <w:r w:rsidR="006D75B2" w:rsidRPr="00E22760">
        <w:rPr>
          <w:szCs w:val="24"/>
        </w:rPr>
        <w:t>Commission Staff’s</w:t>
      </w:r>
      <w:r w:rsidRPr="00E22760">
        <w:rPr>
          <w:szCs w:val="24"/>
        </w:rPr>
        <w:t xml:space="preserve"> re</w:t>
      </w:r>
      <w:r w:rsidR="00180CFB" w:rsidRPr="00E22760">
        <w:rPr>
          <w:szCs w:val="24"/>
        </w:rPr>
        <w:t>view of this</w:t>
      </w:r>
      <w:r w:rsidRPr="00E22760">
        <w:rPr>
          <w:szCs w:val="24"/>
        </w:rPr>
        <w:t xml:space="preserve"> tariff filing</w:t>
      </w:r>
      <w:r w:rsidR="00180CFB" w:rsidRPr="00E22760">
        <w:rPr>
          <w:szCs w:val="24"/>
        </w:rPr>
        <w:t xml:space="preserve"> is</w:t>
      </w:r>
      <w:r w:rsidRPr="00E22760">
        <w:rPr>
          <w:szCs w:val="24"/>
        </w:rPr>
        <w:t xml:space="preserve"> without prejudice to the impact that the federal appeal or rela</w:t>
      </w:r>
      <w:r w:rsidR="00180CFB" w:rsidRPr="00E22760">
        <w:rPr>
          <w:szCs w:val="24"/>
        </w:rPr>
        <w:t>ted developments may have on this</w:t>
      </w:r>
      <w:r w:rsidRPr="00E22760">
        <w:rPr>
          <w:szCs w:val="24"/>
        </w:rPr>
        <w:t xml:space="preserve"> filing, </w:t>
      </w:r>
      <w:r w:rsidR="00180CFB" w:rsidRPr="00E22760">
        <w:rPr>
          <w:szCs w:val="24"/>
        </w:rPr>
        <w:t>and the effective rates in this</w:t>
      </w:r>
      <w:r w:rsidRPr="00E22760">
        <w:rPr>
          <w:szCs w:val="24"/>
        </w:rPr>
        <w:t xml:space="preserve"> tariff filing </w:t>
      </w:r>
      <w:r w:rsidR="001662BA" w:rsidRPr="00E22760">
        <w:rPr>
          <w:szCs w:val="24"/>
        </w:rPr>
        <w:t xml:space="preserve">may </w:t>
      </w:r>
      <w:r w:rsidRPr="00E22760">
        <w:rPr>
          <w:szCs w:val="24"/>
        </w:rPr>
        <w:t>be subject to true-up, including refunds in accordance with Section 1312 of the Public Utility Code (66 Pa. C.S. § 1312).  All local exchange carriers (LECs) should maintain records sufficient to comply with the Commission’s record keeping requirements and, in addition, those set forth by the FCC.  Any LECs failure to do so may impact its ability to address the interplay of the tariff filing addressed in this Secretarial Letter and any subsequent developments.</w:t>
      </w:r>
    </w:p>
    <w:p w:rsidR="00614FDE" w:rsidRPr="00E22760" w:rsidRDefault="00614FDE" w:rsidP="009575BA">
      <w:pPr>
        <w:pStyle w:val="BodyText"/>
        <w:rPr>
          <w:szCs w:val="24"/>
        </w:rPr>
      </w:pPr>
    </w:p>
    <w:p w:rsidR="009575BA" w:rsidRPr="00E22760" w:rsidRDefault="009575BA" w:rsidP="009575BA">
      <w:pPr>
        <w:pStyle w:val="BodyText"/>
        <w:rPr>
          <w:b/>
          <w:szCs w:val="24"/>
        </w:rPr>
      </w:pPr>
      <w:r w:rsidRPr="00E22760">
        <w:rPr>
          <w:szCs w:val="24"/>
        </w:rPr>
        <w:tab/>
      </w:r>
      <w:r w:rsidRPr="00E22760">
        <w:rPr>
          <w:b/>
          <w:szCs w:val="24"/>
        </w:rPr>
        <w:t xml:space="preserve">Further, please be advised that Commission Staff makes no determination whether the Company’s switched access rates are in compliance with Act 183, P.L. 1398 (66 Pa. C.S. § 3017(c)). </w:t>
      </w:r>
    </w:p>
    <w:p w:rsidR="009575BA" w:rsidRPr="00E22760" w:rsidRDefault="009575BA" w:rsidP="009575BA">
      <w:pPr>
        <w:pStyle w:val="BodyText"/>
        <w:rPr>
          <w:b/>
          <w:szCs w:val="24"/>
        </w:rPr>
      </w:pPr>
    </w:p>
    <w:p w:rsidR="009575BA" w:rsidRPr="00E22760" w:rsidRDefault="009575BA" w:rsidP="009575BA">
      <w:pPr>
        <w:autoSpaceDE w:val="0"/>
        <w:autoSpaceDN w:val="0"/>
        <w:adjustRightInd w:val="0"/>
        <w:ind w:firstLine="720"/>
        <w:rPr>
          <w:rFonts w:cs="Courier New"/>
          <w:b/>
          <w:szCs w:val="24"/>
        </w:rPr>
      </w:pPr>
      <w:proofErr w:type="gramStart"/>
      <w:r w:rsidRPr="00E22760">
        <w:rPr>
          <w:rStyle w:val="Strong"/>
          <w:rFonts w:eastAsia="Batang"/>
          <w:b w:val="0"/>
        </w:rPr>
        <w:t>In accord wit</w:t>
      </w:r>
      <w:r w:rsidR="006D75B2" w:rsidRPr="00E22760">
        <w:rPr>
          <w:rStyle w:val="Strong"/>
          <w:rFonts w:eastAsia="Batang"/>
          <w:b w:val="0"/>
        </w:rPr>
        <w:t>h Docket No.</w:t>
      </w:r>
      <w:proofErr w:type="gramEnd"/>
      <w:r w:rsidR="006D75B2" w:rsidRPr="00E22760">
        <w:rPr>
          <w:rStyle w:val="Strong"/>
          <w:rFonts w:eastAsia="Batang"/>
          <w:b w:val="0"/>
        </w:rPr>
        <w:t xml:space="preserve"> M-00981052 and </w:t>
      </w:r>
      <w:r w:rsidRPr="00E22760">
        <w:rPr>
          <w:rStyle w:val="Strong"/>
          <w:rFonts w:eastAsia="Batang"/>
          <w:b w:val="0"/>
        </w:rPr>
        <w:t xml:space="preserve">Secretarial Letters issued September 28, 2000, and November 30, 2001, a Pennsylvania telecommunications carrier is required to maintain its most </w:t>
      </w:r>
      <w:r w:rsidRPr="00E22760">
        <w:rPr>
          <w:rStyle w:val="Strong"/>
          <w:b w:val="0"/>
        </w:rPr>
        <w:t xml:space="preserve">current </w:t>
      </w:r>
      <w:r w:rsidR="006D75B2" w:rsidRPr="00E22760">
        <w:rPr>
          <w:rStyle w:val="Strong"/>
          <w:b w:val="0"/>
        </w:rPr>
        <w:t>Commission-</w:t>
      </w:r>
      <w:r w:rsidRPr="00E22760">
        <w:rPr>
          <w:rStyle w:val="Strong"/>
          <w:b w:val="0"/>
        </w:rPr>
        <w:t xml:space="preserve">approved tariff and any pending tariff supplements </w:t>
      </w:r>
      <w:r w:rsidRPr="00E22760">
        <w:rPr>
          <w:rStyle w:val="Strong"/>
          <w:rFonts w:eastAsia="Batang"/>
          <w:b w:val="0"/>
        </w:rPr>
        <w:t xml:space="preserve">on its website with a link to the Commission’s website.  However, staff was unable to access the Company’s pending supplement online. </w:t>
      </w:r>
      <w:r w:rsidRPr="00E22760">
        <w:rPr>
          <w:b/>
          <w:bCs/>
        </w:rPr>
        <w:t xml:space="preserve"> </w:t>
      </w:r>
      <w:r w:rsidRPr="00E22760">
        <w:rPr>
          <w:rFonts w:cs="Courier New"/>
          <w:b/>
          <w:szCs w:val="24"/>
        </w:rPr>
        <w:t xml:space="preserve">Therefore, within 10 days of the date of this letter, the Company is directed to update its online tariffs </w:t>
      </w:r>
      <w:r w:rsidRPr="00E22760">
        <w:rPr>
          <w:b/>
        </w:rPr>
        <w:t xml:space="preserve">and provide confirmation to </w:t>
      </w:r>
      <w:r w:rsidR="002B1776" w:rsidRPr="00E22760">
        <w:rPr>
          <w:b/>
        </w:rPr>
        <w:t>Melissa Derr</w:t>
      </w:r>
      <w:r w:rsidRPr="00E22760">
        <w:rPr>
          <w:b/>
        </w:rPr>
        <w:t xml:space="preserve"> at </w:t>
      </w:r>
      <w:hyperlink r:id="rId13" w:history="1">
        <w:r w:rsidR="00332B99" w:rsidRPr="00E22760">
          <w:rPr>
            <w:rStyle w:val="Hyperlink"/>
            <w:b/>
            <w:color w:val="auto"/>
          </w:rPr>
          <w:t>mderr@pa.gov</w:t>
        </w:r>
      </w:hyperlink>
      <w:r w:rsidRPr="00E22760">
        <w:rPr>
          <w:rFonts w:cs="Courier New"/>
          <w:b/>
          <w:szCs w:val="24"/>
        </w:rPr>
        <w:t>.</w:t>
      </w:r>
    </w:p>
    <w:p w:rsidR="00332B99" w:rsidRPr="00E22760" w:rsidRDefault="00332B99" w:rsidP="009575BA">
      <w:pPr>
        <w:autoSpaceDE w:val="0"/>
        <w:autoSpaceDN w:val="0"/>
        <w:adjustRightInd w:val="0"/>
        <w:ind w:firstLine="720"/>
        <w:rPr>
          <w:rFonts w:cs="Courier New"/>
          <w:b/>
          <w:szCs w:val="24"/>
        </w:rPr>
      </w:pPr>
    </w:p>
    <w:p w:rsidR="009575BA" w:rsidRPr="00E22760" w:rsidRDefault="009575BA" w:rsidP="009575BA">
      <w:pPr>
        <w:pStyle w:val="BodyText"/>
        <w:ind w:firstLine="720"/>
        <w:rPr>
          <w:szCs w:val="24"/>
        </w:rPr>
      </w:pPr>
      <w:r w:rsidRPr="00E22760">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525959" w:rsidRPr="00E22760">
        <w:rPr>
          <w:szCs w:val="24"/>
        </w:rPr>
        <w:t>Deb Sagerer</w:t>
      </w:r>
      <w:r w:rsidRPr="00E22760">
        <w:rPr>
          <w:szCs w:val="24"/>
        </w:rPr>
        <w:t xml:space="preserve">, Telco Group, Bureau of </w:t>
      </w:r>
      <w:r w:rsidR="00AE4FCE" w:rsidRPr="00E22760">
        <w:rPr>
          <w:szCs w:val="24"/>
        </w:rPr>
        <w:t>Technical</w:t>
      </w:r>
      <w:r w:rsidRPr="00E22760">
        <w:rPr>
          <w:szCs w:val="24"/>
        </w:rPr>
        <w:t xml:space="preserve"> Utility Services at (717)</w:t>
      </w:r>
      <w:r w:rsidR="00614FDE" w:rsidRPr="00E22760">
        <w:rPr>
          <w:szCs w:val="24"/>
        </w:rPr>
        <w:t xml:space="preserve"> </w:t>
      </w:r>
      <w:r w:rsidR="00525959" w:rsidRPr="00E22760">
        <w:rPr>
          <w:szCs w:val="24"/>
        </w:rPr>
        <w:t>783-4454</w:t>
      </w:r>
      <w:r w:rsidRPr="00E22760">
        <w:rPr>
          <w:szCs w:val="24"/>
        </w:rPr>
        <w:t xml:space="preserve"> or </w:t>
      </w:r>
      <w:r w:rsidR="00525959" w:rsidRPr="00E22760">
        <w:rPr>
          <w:szCs w:val="24"/>
          <w:u w:val="single"/>
        </w:rPr>
        <w:t>dsagerer</w:t>
      </w:r>
      <w:r w:rsidRPr="00E22760">
        <w:rPr>
          <w:szCs w:val="24"/>
          <w:u w:val="single"/>
        </w:rPr>
        <w:t>@</w:t>
      </w:r>
      <w:r w:rsidR="004A6903" w:rsidRPr="00E22760">
        <w:rPr>
          <w:szCs w:val="24"/>
          <w:u w:val="single"/>
        </w:rPr>
        <w:t>pa.gov</w:t>
      </w:r>
      <w:r w:rsidRPr="00E22760">
        <w:rPr>
          <w:szCs w:val="24"/>
        </w:rPr>
        <w:t xml:space="preserve">. </w:t>
      </w:r>
    </w:p>
    <w:p w:rsidR="009575BA" w:rsidRPr="00E22760" w:rsidRDefault="00F708AC" w:rsidP="009575BA">
      <w:pPr>
        <w:rPr>
          <w:szCs w:val="24"/>
        </w:rPr>
      </w:pPr>
      <w:r>
        <w:rPr>
          <w:noProof/>
        </w:rPr>
        <w:drawing>
          <wp:anchor distT="0" distB="0" distL="114300" distR="114300" simplePos="0" relativeHeight="251659264" behindDoc="1" locked="0" layoutInCell="1" allowOverlap="1" wp14:anchorId="152A4EFA" wp14:editId="13249907">
            <wp:simplePos x="0" y="0"/>
            <wp:positionH relativeFrom="column">
              <wp:posOffset>2388235</wp:posOffset>
            </wp:positionH>
            <wp:positionV relativeFrom="paragraph">
              <wp:posOffset>120650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9575BA" w:rsidRPr="00E22760" w:rsidRDefault="009575BA" w:rsidP="009575BA">
      <w:pPr>
        <w:rPr>
          <w:szCs w:val="24"/>
        </w:rPr>
      </w:pPr>
      <w:r w:rsidRPr="00E22760">
        <w:rPr>
          <w:szCs w:val="24"/>
        </w:rPr>
        <w:tab/>
      </w:r>
      <w:r w:rsidRPr="00E22760">
        <w:rPr>
          <w:szCs w:val="24"/>
        </w:rPr>
        <w:tab/>
      </w:r>
      <w:r w:rsidRPr="00E22760">
        <w:rPr>
          <w:szCs w:val="24"/>
        </w:rPr>
        <w:tab/>
      </w:r>
      <w:r w:rsidRPr="00E22760">
        <w:rPr>
          <w:szCs w:val="24"/>
        </w:rPr>
        <w:tab/>
      </w:r>
      <w:r w:rsidRPr="00E22760">
        <w:rPr>
          <w:szCs w:val="24"/>
        </w:rPr>
        <w:tab/>
      </w:r>
      <w:r w:rsidRPr="00E22760">
        <w:rPr>
          <w:szCs w:val="24"/>
        </w:rPr>
        <w:tab/>
        <w:t>Sincerely,</w:t>
      </w:r>
    </w:p>
    <w:p w:rsidR="009575BA" w:rsidRPr="00E22760" w:rsidRDefault="009575BA" w:rsidP="009575BA">
      <w:pPr>
        <w:rPr>
          <w:szCs w:val="24"/>
        </w:rPr>
      </w:pPr>
    </w:p>
    <w:p w:rsidR="009575BA" w:rsidRPr="00E22760" w:rsidRDefault="009575BA" w:rsidP="009575BA">
      <w:pPr>
        <w:rPr>
          <w:szCs w:val="24"/>
        </w:rPr>
      </w:pPr>
    </w:p>
    <w:p w:rsidR="009575BA" w:rsidRPr="00E22760" w:rsidRDefault="009575BA" w:rsidP="009575BA">
      <w:pPr>
        <w:rPr>
          <w:szCs w:val="24"/>
        </w:rPr>
      </w:pPr>
      <w:bookmarkStart w:id="1" w:name="_GoBack"/>
      <w:bookmarkEnd w:id="1"/>
    </w:p>
    <w:p w:rsidR="009575BA" w:rsidRPr="00E22760" w:rsidRDefault="009575BA" w:rsidP="009575BA">
      <w:pPr>
        <w:pStyle w:val="Heading2"/>
        <w:tabs>
          <w:tab w:val="left" w:pos="4320"/>
        </w:tabs>
        <w:ind w:left="0" w:firstLine="0"/>
        <w:rPr>
          <w:szCs w:val="24"/>
        </w:rPr>
      </w:pPr>
      <w:r w:rsidRPr="00E22760">
        <w:rPr>
          <w:szCs w:val="24"/>
        </w:rPr>
        <w:tab/>
        <w:t>Rosemary Chiavetta</w:t>
      </w:r>
    </w:p>
    <w:p w:rsidR="009575BA" w:rsidRPr="00E22760" w:rsidRDefault="009575BA" w:rsidP="009575BA">
      <w:pPr>
        <w:pStyle w:val="Heading2"/>
        <w:tabs>
          <w:tab w:val="left" w:pos="4320"/>
        </w:tabs>
        <w:ind w:left="0" w:firstLine="0"/>
        <w:rPr>
          <w:szCs w:val="24"/>
        </w:rPr>
      </w:pPr>
      <w:r w:rsidRPr="00E22760">
        <w:rPr>
          <w:szCs w:val="24"/>
        </w:rPr>
        <w:tab/>
        <w:t>Secretary</w:t>
      </w:r>
    </w:p>
    <w:p w:rsidR="009575BA" w:rsidRPr="00E22760" w:rsidRDefault="009575BA" w:rsidP="009575BA">
      <w:pPr>
        <w:rPr>
          <w:szCs w:val="24"/>
        </w:rPr>
      </w:pPr>
    </w:p>
    <w:p w:rsidR="00A24641" w:rsidRPr="00E22760" w:rsidRDefault="009575BA" w:rsidP="00614FDE">
      <w:pPr>
        <w:rPr>
          <w:szCs w:val="24"/>
        </w:rPr>
      </w:pPr>
      <w:r w:rsidRPr="00E22760">
        <w:rPr>
          <w:szCs w:val="24"/>
        </w:rPr>
        <w:t>cc:</w:t>
      </w:r>
      <w:r w:rsidRPr="00E22760">
        <w:rPr>
          <w:szCs w:val="24"/>
        </w:rPr>
        <w:tab/>
      </w:r>
      <w:r w:rsidR="008970CE" w:rsidRPr="00E22760">
        <w:rPr>
          <w:szCs w:val="24"/>
        </w:rPr>
        <w:t>Melissa Derr, TUS</w:t>
      </w:r>
    </w:p>
    <w:sectPr w:rsidR="00A24641" w:rsidRPr="00E22760" w:rsidSect="00982D60">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0C4" w:rsidRDefault="00CC30C4">
      <w:r>
        <w:separator/>
      </w:r>
    </w:p>
  </w:endnote>
  <w:endnote w:type="continuationSeparator" w:id="0">
    <w:p w:rsidR="00CC30C4" w:rsidRDefault="00CC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F708AC">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0C4" w:rsidRDefault="00CC30C4">
      <w:r>
        <w:separator/>
      </w:r>
    </w:p>
  </w:footnote>
  <w:footnote w:type="continuationSeparator" w:id="0">
    <w:p w:rsidR="00CC30C4" w:rsidRDefault="00CC30C4">
      <w:r>
        <w:continuationSeparator/>
      </w:r>
    </w:p>
  </w:footnote>
  <w:footnote w:id="1">
    <w:p w:rsidR="002B4044" w:rsidRPr="00614FDE" w:rsidRDefault="002B4044" w:rsidP="006E22D3">
      <w:pPr>
        <w:spacing w:after="120"/>
        <w:rPr>
          <w:sz w:val="26"/>
          <w:szCs w:val="26"/>
        </w:rPr>
      </w:pPr>
      <w:r>
        <w:rPr>
          <w:rStyle w:val="FootnoteReference"/>
        </w:rPr>
        <w:footnoteRef/>
      </w:r>
      <w:r>
        <w:t xml:space="preserve"> </w:t>
      </w:r>
      <w:r w:rsidRPr="00614FDE">
        <w:rPr>
          <w:i/>
          <w:sz w:val="20"/>
        </w:rPr>
        <w:t>Investigation Regarding Intrastate Access Charges and IntraLATA Toll Rates of Rural Carriers and The Pennsylvania Universal Service Fund</w:t>
      </w:r>
      <w:r w:rsidRPr="00614FDE">
        <w:rPr>
          <w:sz w:val="20"/>
        </w:rPr>
        <w:t xml:space="preserve">, Docket No. I-00040105; </w:t>
      </w:r>
      <w:r w:rsidR="00614FDE" w:rsidRPr="00614FDE">
        <w:rPr>
          <w:i/>
          <w:sz w:val="20"/>
        </w:rPr>
        <w:t>AT&amp;T Communications of Pennsylvania, et al. v. Armstrong Telephone Company-Pennsylvania, et al.</w:t>
      </w:r>
      <w:r w:rsidR="00614FDE" w:rsidRPr="00614FDE">
        <w:rPr>
          <w:sz w:val="20"/>
        </w:rPr>
        <w:t xml:space="preserve">, Docket No. C-2009-2098380, </w:t>
      </w:r>
      <w:r w:rsidR="00614FDE" w:rsidRPr="00614FDE">
        <w:rPr>
          <w:i/>
          <w:sz w:val="20"/>
        </w:rPr>
        <w:t>et al.</w:t>
      </w:r>
      <w:r w:rsidR="00614FDE" w:rsidRPr="00614FDE">
        <w:rPr>
          <w:sz w:val="20"/>
        </w:rPr>
        <w:t xml:space="preserve">; </w:t>
      </w:r>
      <w:r w:rsidR="00614FDE" w:rsidRPr="00614FDE">
        <w:rPr>
          <w:i/>
          <w:sz w:val="20"/>
        </w:rPr>
        <w:t xml:space="preserve">Implementation of the Federal Communications Commission’s Order of November 18, 2011 As Amended </w:t>
      </w:r>
      <w:proofErr w:type="gramStart"/>
      <w:r w:rsidR="00614FDE" w:rsidRPr="00614FDE">
        <w:rPr>
          <w:i/>
          <w:sz w:val="20"/>
        </w:rPr>
        <w:t>Or</w:t>
      </w:r>
      <w:proofErr w:type="gramEnd"/>
      <w:r w:rsidR="00614FDE" w:rsidRPr="00614FDE">
        <w:rPr>
          <w:i/>
          <w:sz w:val="20"/>
        </w:rPr>
        <w:t xml:space="preserve"> Revised And Coordination With Certain Intrastate Matters</w:t>
      </w:r>
      <w:r w:rsidR="00614FDE" w:rsidRPr="00614FDE">
        <w:rPr>
          <w:sz w:val="20"/>
        </w:rPr>
        <w:t>, Docket No. M-2012-2291</w:t>
      </w:r>
      <w:r w:rsidR="00614FDE">
        <w:rPr>
          <w:sz w:val="20"/>
        </w:rPr>
        <w:t>824, Order Entered May 10, 2012</w:t>
      </w:r>
      <w:r w:rsidR="006E22D3">
        <w:rPr>
          <w:sz w:val="20"/>
        </w:rPr>
        <w:t>, and further revised and clarified</w:t>
      </w:r>
      <w:r w:rsidR="00614FDE">
        <w:rPr>
          <w:sz w:val="20"/>
        </w:rPr>
        <w:t xml:space="preserve"> by </w:t>
      </w:r>
      <w:r w:rsidR="008970CE">
        <w:rPr>
          <w:sz w:val="20"/>
        </w:rPr>
        <w:t>our Errata Secretarial Letter dated May 30, 2012</w:t>
      </w:r>
      <w:r w:rsidR="00CA70F9">
        <w:rPr>
          <w:sz w:val="20"/>
        </w:rPr>
        <w:t xml:space="preserve"> (collectively May 10, 2012 Consolidated Order)</w:t>
      </w:r>
      <w:r w:rsidR="00614FDE">
        <w:rPr>
          <w:sz w:val="20"/>
        </w:rPr>
        <w:t>.</w:t>
      </w:r>
    </w:p>
  </w:footnote>
  <w:footnote w:id="2">
    <w:p w:rsidR="002354DC" w:rsidRPr="0034581A" w:rsidRDefault="002354DC" w:rsidP="002354DC">
      <w:pPr>
        <w:rPr>
          <w:sz w:val="20"/>
        </w:rPr>
      </w:pPr>
      <w:r w:rsidRPr="0034581A">
        <w:rPr>
          <w:rStyle w:val="FootnoteReference"/>
          <w:sz w:val="20"/>
        </w:rPr>
        <w:footnoteRef/>
      </w:r>
      <w:r w:rsidRPr="0034581A">
        <w:rPr>
          <w:sz w:val="20"/>
        </w:rPr>
        <w:t xml:space="preserve"> </w:t>
      </w:r>
      <w:r w:rsidRPr="0034581A">
        <w:rPr>
          <w:i/>
          <w:sz w:val="20"/>
        </w:rPr>
        <w:t xml:space="preserve">See </w:t>
      </w:r>
      <w:r w:rsidRPr="0034581A">
        <w:rPr>
          <w:sz w:val="20"/>
        </w:rPr>
        <w:t xml:space="preserve">FCC Order adopted October 27, 2011, and Released November 18, 2011, and further revised and clarified by Order February 3, 2012: </w:t>
      </w:r>
      <w:r w:rsidRPr="0034581A">
        <w:rPr>
          <w:i/>
          <w:sz w:val="20"/>
        </w:rPr>
        <w:t>In the Matter of Connect America Fund</w:t>
      </w:r>
      <w:r w:rsidRPr="0034581A">
        <w:rPr>
          <w:sz w:val="20"/>
        </w:rPr>
        <w:t xml:space="preserve">, WC Docket No. 10-90; </w:t>
      </w:r>
      <w:r w:rsidRPr="0034581A">
        <w:rPr>
          <w:i/>
          <w:sz w:val="20"/>
        </w:rPr>
        <w:t>A National Broadband Plan for Our Future</w:t>
      </w:r>
      <w:r w:rsidRPr="0034581A">
        <w:rPr>
          <w:sz w:val="20"/>
        </w:rPr>
        <w:t xml:space="preserve">, GN Docket No. 09-51; </w:t>
      </w:r>
      <w:r w:rsidRPr="0034581A">
        <w:rPr>
          <w:i/>
          <w:sz w:val="20"/>
        </w:rPr>
        <w:t>Establishing Just and Reasonable Rates for Local Exchange Carriers</w:t>
      </w:r>
      <w:r w:rsidRPr="0034581A">
        <w:rPr>
          <w:sz w:val="20"/>
        </w:rPr>
        <w:t xml:space="preserve">, WC Docket No. 07-135;  </w:t>
      </w:r>
      <w:r w:rsidRPr="0034581A">
        <w:rPr>
          <w:i/>
          <w:sz w:val="20"/>
        </w:rPr>
        <w:t>High-Cost Universal Service Support</w:t>
      </w:r>
      <w:r w:rsidRPr="0034581A">
        <w:rPr>
          <w:sz w:val="20"/>
        </w:rPr>
        <w:t xml:space="preserve">, WC Docket No. 05-337; </w:t>
      </w:r>
      <w:r w:rsidRPr="0034581A">
        <w:rPr>
          <w:i/>
          <w:sz w:val="20"/>
        </w:rPr>
        <w:t>Developing an Unified Intercarrier Compensation Regime</w:t>
      </w:r>
      <w:r w:rsidRPr="0034581A">
        <w:rPr>
          <w:sz w:val="20"/>
        </w:rPr>
        <w:t xml:space="preserve">, CC Docket No. 01-92; </w:t>
      </w:r>
      <w:r w:rsidRPr="0034581A">
        <w:rPr>
          <w:i/>
          <w:sz w:val="20"/>
        </w:rPr>
        <w:t xml:space="preserve">Federal-State Joint Board on Universal Service, </w:t>
      </w:r>
      <w:r w:rsidRPr="0034581A">
        <w:rPr>
          <w:sz w:val="20"/>
        </w:rPr>
        <w:t xml:space="preserve">CC Docket No. 96-45; </w:t>
      </w:r>
      <w:r w:rsidRPr="0034581A">
        <w:rPr>
          <w:i/>
          <w:sz w:val="20"/>
        </w:rPr>
        <w:t>Lifeline and Link-Up</w:t>
      </w:r>
      <w:r w:rsidRPr="0034581A">
        <w:rPr>
          <w:sz w:val="20"/>
        </w:rPr>
        <w:t>, WC Docket No. 03</w:t>
      </w:r>
      <w:r w:rsidRPr="0034581A">
        <w:rPr>
          <w:sz w:val="20"/>
        </w:rPr>
        <w:noBreakHyphen/>
        <w:t xml:space="preserve">109; </w:t>
      </w:r>
      <w:r w:rsidRPr="0034581A">
        <w:rPr>
          <w:i/>
          <w:sz w:val="20"/>
        </w:rPr>
        <w:t>Universal Service Reform - Mobility Fund</w:t>
      </w:r>
      <w:r w:rsidRPr="0034581A">
        <w:rPr>
          <w:sz w:val="20"/>
        </w:rPr>
        <w:t>, WT Docket No. 10-208 (FCC Order).</w:t>
      </w:r>
    </w:p>
    <w:p w:rsidR="002354DC" w:rsidRDefault="002354DC" w:rsidP="002354DC">
      <w:pPr>
        <w:pStyle w:val="FootnoteText"/>
      </w:pPr>
    </w:p>
  </w:footnote>
  <w:footnote w:id="3">
    <w:p w:rsidR="00B87AA5" w:rsidRPr="00F03730" w:rsidRDefault="00B87AA5" w:rsidP="0012110E">
      <w:pPr>
        <w:pStyle w:val="FootnoteText"/>
        <w:spacing w:after="120"/>
        <w:rPr>
          <w:sz w:val="20"/>
        </w:rPr>
      </w:pPr>
      <w:r w:rsidRPr="00F03730">
        <w:rPr>
          <w:rStyle w:val="FootnoteReference"/>
          <w:sz w:val="20"/>
        </w:rPr>
        <w:footnoteRef/>
      </w:r>
      <w:r w:rsidRPr="00F03730">
        <w:rPr>
          <w:sz w:val="20"/>
        </w:rPr>
        <w:t xml:space="preserve"> </w:t>
      </w:r>
      <w:r>
        <w:rPr>
          <w:sz w:val="20"/>
        </w:rPr>
        <w:t>May 10, 2012 Consolidated Order at 10.</w:t>
      </w:r>
    </w:p>
  </w:footnote>
  <w:footnote w:id="4">
    <w:p w:rsidR="00614FDE" w:rsidRPr="00332B99" w:rsidRDefault="00614FDE" w:rsidP="00614FDE">
      <w:pPr>
        <w:rPr>
          <w:sz w:val="20"/>
        </w:rPr>
      </w:pPr>
      <w:r w:rsidRPr="00332B99">
        <w:rPr>
          <w:rStyle w:val="FootnoteReference"/>
          <w:sz w:val="20"/>
        </w:rPr>
        <w:footnoteRef/>
      </w:r>
      <w:r w:rsidRPr="00332B99">
        <w:rPr>
          <w:sz w:val="20"/>
        </w:rPr>
        <w:t xml:space="preserve"> This appeal is currently pending before the U.S. Court of Appeals for the 10</w:t>
      </w:r>
      <w:r w:rsidRPr="00332B99">
        <w:rPr>
          <w:sz w:val="20"/>
          <w:vertAlign w:val="superscript"/>
        </w:rPr>
        <w:t>th</w:t>
      </w:r>
      <w:r w:rsidRPr="00332B99">
        <w:rPr>
          <w:sz w:val="20"/>
        </w:rPr>
        <w:t xml:space="preserve"> Circuit.</w:t>
      </w:r>
      <w:r w:rsidR="00332B99" w:rsidRPr="00332B99">
        <w:rPr>
          <w:sz w:val="20"/>
        </w:rPr>
        <w:t xml:space="preserve">  </w:t>
      </w:r>
      <w:r w:rsidR="00332B99" w:rsidRPr="00332B99">
        <w:rPr>
          <w:i/>
          <w:sz w:val="20"/>
        </w:rPr>
        <w:t>Commonwealth of Pennsylvania, Pennsylvania Public Utility Commission</w:t>
      </w:r>
      <w:r w:rsidR="00332B99" w:rsidRPr="00332B99">
        <w:rPr>
          <w:sz w:val="20"/>
        </w:rPr>
        <w:t xml:space="preserve"> v. </w:t>
      </w:r>
      <w:r w:rsidR="00332B99" w:rsidRPr="00332B99">
        <w:rPr>
          <w:i/>
          <w:sz w:val="20"/>
        </w:rPr>
        <w:t>Federal Communications Commission and the United States of America</w:t>
      </w:r>
      <w:r w:rsidR="00332B99" w:rsidRPr="00332B99">
        <w:rPr>
          <w:sz w:val="20"/>
        </w:rPr>
        <w:t xml:space="preserve">, Docket Nos. 11-9900 and 11-9585 </w:t>
      </w:r>
      <w:r w:rsidRPr="00332B99">
        <w:rPr>
          <w:color w:val="000000" w:themeColor="text1"/>
          <w:sz w:val="20"/>
        </w:rPr>
        <w:t>(10</w:t>
      </w:r>
      <w:r w:rsidRPr="00332B99">
        <w:rPr>
          <w:color w:val="000000" w:themeColor="text1"/>
          <w:sz w:val="20"/>
          <w:vertAlign w:val="superscript"/>
        </w:rPr>
        <w:t>th</w:t>
      </w:r>
      <w:r w:rsidRPr="00332B99">
        <w:rPr>
          <w:color w:val="000000" w:themeColor="text1"/>
          <w:sz w:val="20"/>
        </w:rPr>
        <w:t xml:space="preserve"> Cir. filed December 5, 2011).  </w:t>
      </w:r>
    </w:p>
    <w:p w:rsidR="00614FDE" w:rsidRDefault="00614FDE" w:rsidP="00614FD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4283A"/>
    <w:multiLevelType w:val="multilevel"/>
    <w:tmpl w:val="D1986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6B47D0"/>
    <w:multiLevelType w:val="multilevel"/>
    <w:tmpl w:val="64AED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1">
      <w:lvl w:ilvl="1">
        <w:numFmt w:val="lowerLetter"/>
        <w:lvlText w:val="%2."/>
        <w:lvlJc w:val="left"/>
      </w:lvl>
    </w:lvlOverride>
  </w:num>
  <w:num w:numId="2">
    <w:abstractNumId w:val="1"/>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172B7"/>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B4A58"/>
    <w:rsid w:val="001D1712"/>
    <w:rsid w:val="001D5749"/>
    <w:rsid w:val="001F4A76"/>
    <w:rsid w:val="00212299"/>
    <w:rsid w:val="00227576"/>
    <w:rsid w:val="002311CC"/>
    <w:rsid w:val="00231244"/>
    <w:rsid w:val="002354DC"/>
    <w:rsid w:val="00244511"/>
    <w:rsid w:val="00256182"/>
    <w:rsid w:val="00266BF8"/>
    <w:rsid w:val="00272D3C"/>
    <w:rsid w:val="00294B4B"/>
    <w:rsid w:val="002B1776"/>
    <w:rsid w:val="002B4044"/>
    <w:rsid w:val="002D043D"/>
    <w:rsid w:val="002E5260"/>
    <w:rsid w:val="002E699B"/>
    <w:rsid w:val="002F1221"/>
    <w:rsid w:val="002F2CF3"/>
    <w:rsid w:val="00302A0E"/>
    <w:rsid w:val="00302CBB"/>
    <w:rsid w:val="00303F21"/>
    <w:rsid w:val="003107D6"/>
    <w:rsid w:val="003212C6"/>
    <w:rsid w:val="00323D97"/>
    <w:rsid w:val="003278D9"/>
    <w:rsid w:val="00331BA5"/>
    <w:rsid w:val="00332B99"/>
    <w:rsid w:val="0033489B"/>
    <w:rsid w:val="003437D2"/>
    <w:rsid w:val="0034777A"/>
    <w:rsid w:val="00352AFA"/>
    <w:rsid w:val="00353843"/>
    <w:rsid w:val="00354C52"/>
    <w:rsid w:val="003B1A94"/>
    <w:rsid w:val="003B68F2"/>
    <w:rsid w:val="003C083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D6735"/>
    <w:rsid w:val="004E0233"/>
    <w:rsid w:val="00515CB8"/>
    <w:rsid w:val="00522057"/>
    <w:rsid w:val="00525959"/>
    <w:rsid w:val="00527E1A"/>
    <w:rsid w:val="00531804"/>
    <w:rsid w:val="00533855"/>
    <w:rsid w:val="00541572"/>
    <w:rsid w:val="0054596A"/>
    <w:rsid w:val="0054688F"/>
    <w:rsid w:val="005519DE"/>
    <w:rsid w:val="005548F3"/>
    <w:rsid w:val="005553DC"/>
    <w:rsid w:val="005656A9"/>
    <w:rsid w:val="00571CC5"/>
    <w:rsid w:val="00574F8B"/>
    <w:rsid w:val="005758E5"/>
    <w:rsid w:val="00583A30"/>
    <w:rsid w:val="0058733C"/>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93ED0"/>
    <w:rsid w:val="006A0190"/>
    <w:rsid w:val="006A19DE"/>
    <w:rsid w:val="006B1842"/>
    <w:rsid w:val="006D75B2"/>
    <w:rsid w:val="006E1263"/>
    <w:rsid w:val="006E22D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8188E"/>
    <w:rsid w:val="007900B8"/>
    <w:rsid w:val="00794AEA"/>
    <w:rsid w:val="007979C9"/>
    <w:rsid w:val="007A2F47"/>
    <w:rsid w:val="007B682E"/>
    <w:rsid w:val="007C3C93"/>
    <w:rsid w:val="007C5683"/>
    <w:rsid w:val="007D0340"/>
    <w:rsid w:val="007F16BF"/>
    <w:rsid w:val="007F36B4"/>
    <w:rsid w:val="007F7700"/>
    <w:rsid w:val="007F78A1"/>
    <w:rsid w:val="008159FD"/>
    <w:rsid w:val="00833958"/>
    <w:rsid w:val="00834BEC"/>
    <w:rsid w:val="00841BD1"/>
    <w:rsid w:val="00855190"/>
    <w:rsid w:val="00856AB4"/>
    <w:rsid w:val="00862F80"/>
    <w:rsid w:val="008704FE"/>
    <w:rsid w:val="00882E3F"/>
    <w:rsid w:val="008834E0"/>
    <w:rsid w:val="00885F07"/>
    <w:rsid w:val="008970CE"/>
    <w:rsid w:val="00897392"/>
    <w:rsid w:val="008A6E17"/>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24F4"/>
    <w:rsid w:val="00982D60"/>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35DD0"/>
    <w:rsid w:val="00A46305"/>
    <w:rsid w:val="00A47D19"/>
    <w:rsid w:val="00A97571"/>
    <w:rsid w:val="00AA4F00"/>
    <w:rsid w:val="00AB0C2C"/>
    <w:rsid w:val="00AB556F"/>
    <w:rsid w:val="00AB5F58"/>
    <w:rsid w:val="00AB67BC"/>
    <w:rsid w:val="00AC597D"/>
    <w:rsid w:val="00AC62AC"/>
    <w:rsid w:val="00AE4FCE"/>
    <w:rsid w:val="00AF0D8C"/>
    <w:rsid w:val="00AF57D9"/>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A70F9"/>
    <w:rsid w:val="00CB3A5E"/>
    <w:rsid w:val="00CC30C4"/>
    <w:rsid w:val="00CF103F"/>
    <w:rsid w:val="00CF57C9"/>
    <w:rsid w:val="00CF7CEF"/>
    <w:rsid w:val="00D02C14"/>
    <w:rsid w:val="00D15212"/>
    <w:rsid w:val="00D15C97"/>
    <w:rsid w:val="00D22D7A"/>
    <w:rsid w:val="00D23E68"/>
    <w:rsid w:val="00D4608E"/>
    <w:rsid w:val="00D50808"/>
    <w:rsid w:val="00D53E6B"/>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760"/>
    <w:rsid w:val="00E22A88"/>
    <w:rsid w:val="00E22E01"/>
    <w:rsid w:val="00E2671D"/>
    <w:rsid w:val="00E31FD0"/>
    <w:rsid w:val="00E36AE3"/>
    <w:rsid w:val="00E36D68"/>
    <w:rsid w:val="00E37DE5"/>
    <w:rsid w:val="00E4351A"/>
    <w:rsid w:val="00E50F8B"/>
    <w:rsid w:val="00E5456F"/>
    <w:rsid w:val="00E579D8"/>
    <w:rsid w:val="00E73F89"/>
    <w:rsid w:val="00E86FC9"/>
    <w:rsid w:val="00E965F7"/>
    <w:rsid w:val="00E9717D"/>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7AF"/>
    <w:rsid w:val="00F01600"/>
    <w:rsid w:val="00F03730"/>
    <w:rsid w:val="00F10C7F"/>
    <w:rsid w:val="00F11F75"/>
    <w:rsid w:val="00F12B60"/>
    <w:rsid w:val="00F20234"/>
    <w:rsid w:val="00F25353"/>
    <w:rsid w:val="00F3436F"/>
    <w:rsid w:val="00F408CF"/>
    <w:rsid w:val="00F50CBC"/>
    <w:rsid w:val="00F5665E"/>
    <w:rsid w:val="00F61260"/>
    <w:rsid w:val="00F708AC"/>
    <w:rsid w:val="00F721B6"/>
    <w:rsid w:val="00F7367E"/>
    <w:rsid w:val="00F743A5"/>
    <w:rsid w:val="00F851EF"/>
    <w:rsid w:val="00F867DC"/>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basedOn w:val="DefaultParagraphFont"/>
    <w:link w:val="FootnoteText"/>
    <w:uiPriority w:val="99"/>
    <w:rsid w:val="002354DC"/>
    <w:rPr>
      <w:sz w:val="24"/>
    </w:rPr>
  </w:style>
  <w:style w:type="character" w:customStyle="1" w:styleId="FooterChar">
    <w:name w:val="Footer Char"/>
    <w:basedOn w:val="DefaultParagraphFont"/>
    <w:link w:val="Footer"/>
    <w:uiPriority w:val="99"/>
    <w:rsid w:val="00982D6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421802266">
      <w:bodyDiv w:val="1"/>
      <w:marLeft w:val="0"/>
      <w:marRight w:val="0"/>
      <w:marTop w:val="0"/>
      <w:marBottom w:val="0"/>
      <w:divBdr>
        <w:top w:val="none" w:sz="0" w:space="0" w:color="auto"/>
        <w:left w:val="none" w:sz="0" w:space="0" w:color="auto"/>
        <w:bottom w:val="none" w:sz="0" w:space="0" w:color="auto"/>
        <w:right w:val="none" w:sz="0" w:space="0" w:color="auto"/>
      </w:divBdr>
    </w:div>
    <w:div w:id="658925211">
      <w:bodyDiv w:val="1"/>
      <w:marLeft w:val="0"/>
      <w:marRight w:val="0"/>
      <w:marTop w:val="0"/>
      <w:marBottom w:val="0"/>
      <w:divBdr>
        <w:top w:val="none" w:sz="0" w:space="0" w:color="auto"/>
        <w:left w:val="none" w:sz="0" w:space="0" w:color="auto"/>
        <w:bottom w:val="none" w:sz="0" w:space="0" w:color="auto"/>
        <w:right w:val="none" w:sz="0" w:space="0" w:color="auto"/>
      </w:divBdr>
      <w:divsChild>
        <w:div w:id="680277564">
          <w:marLeft w:val="0"/>
          <w:marRight w:val="0"/>
          <w:marTop w:val="0"/>
          <w:marBottom w:val="0"/>
          <w:divBdr>
            <w:top w:val="single" w:sz="2" w:space="0" w:color="008000"/>
            <w:left w:val="single" w:sz="2" w:space="0" w:color="008000"/>
            <w:bottom w:val="single" w:sz="2" w:space="0" w:color="008000"/>
            <w:right w:val="single" w:sz="2" w:space="0" w:color="008000"/>
          </w:divBdr>
          <w:divsChild>
            <w:div w:id="1169369686">
              <w:marLeft w:val="0"/>
              <w:marRight w:val="0"/>
              <w:marTop w:val="0"/>
              <w:marBottom w:val="0"/>
              <w:divBdr>
                <w:top w:val="none" w:sz="0" w:space="0" w:color="auto"/>
                <w:left w:val="none" w:sz="0" w:space="0" w:color="auto"/>
                <w:bottom w:val="none" w:sz="0" w:space="0" w:color="auto"/>
                <w:right w:val="none" w:sz="0" w:space="0" w:color="auto"/>
              </w:divBdr>
              <w:divsChild>
                <w:div w:id="466167098">
                  <w:marLeft w:val="0"/>
                  <w:marRight w:val="0"/>
                  <w:marTop w:val="0"/>
                  <w:marBottom w:val="0"/>
                  <w:divBdr>
                    <w:top w:val="single" w:sz="2" w:space="0" w:color="FF0000"/>
                    <w:left w:val="single" w:sz="2" w:space="0" w:color="FF0000"/>
                    <w:bottom w:val="single" w:sz="2" w:space="0" w:color="FF0000"/>
                    <w:right w:val="single" w:sz="2" w:space="0" w:color="FF0000"/>
                  </w:divBdr>
                  <w:divsChild>
                    <w:div w:id="1076706405">
                      <w:marLeft w:val="0"/>
                      <w:marRight w:val="0"/>
                      <w:marTop w:val="0"/>
                      <w:marBottom w:val="0"/>
                      <w:divBdr>
                        <w:top w:val="single" w:sz="2" w:space="15" w:color="FF0000"/>
                        <w:left w:val="single" w:sz="2" w:space="15" w:color="FF0000"/>
                        <w:bottom w:val="single" w:sz="2" w:space="0" w:color="FF0000"/>
                        <w:right w:val="single" w:sz="2" w:space="0" w:color="FF0000"/>
                      </w:divBdr>
                    </w:div>
                  </w:divsChild>
                </w:div>
              </w:divsChild>
            </w:div>
          </w:divsChild>
        </w:div>
      </w:divsChild>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2062711072">
      <w:bodyDiv w:val="1"/>
      <w:marLeft w:val="0"/>
      <w:marRight w:val="0"/>
      <w:marTop w:val="0"/>
      <w:marBottom w:val="0"/>
      <w:divBdr>
        <w:top w:val="none" w:sz="0" w:space="0" w:color="auto"/>
        <w:left w:val="none" w:sz="0" w:space="0" w:color="auto"/>
        <w:bottom w:val="none" w:sz="0" w:space="0" w:color="auto"/>
        <w:right w:val="none" w:sz="0" w:space="0" w:color="auto"/>
      </w:divBdr>
      <w:divsChild>
        <w:div w:id="1878010819">
          <w:marLeft w:val="0"/>
          <w:marRight w:val="0"/>
          <w:marTop w:val="0"/>
          <w:marBottom w:val="0"/>
          <w:divBdr>
            <w:top w:val="single" w:sz="2" w:space="0" w:color="008000"/>
            <w:left w:val="single" w:sz="2" w:space="0" w:color="008000"/>
            <w:bottom w:val="single" w:sz="2" w:space="0" w:color="008000"/>
            <w:right w:val="single" w:sz="2" w:space="0" w:color="008000"/>
          </w:divBdr>
          <w:divsChild>
            <w:div w:id="726223456">
              <w:marLeft w:val="0"/>
              <w:marRight w:val="0"/>
              <w:marTop w:val="0"/>
              <w:marBottom w:val="0"/>
              <w:divBdr>
                <w:top w:val="none" w:sz="0" w:space="0" w:color="auto"/>
                <w:left w:val="none" w:sz="0" w:space="0" w:color="auto"/>
                <w:bottom w:val="none" w:sz="0" w:space="0" w:color="auto"/>
                <w:right w:val="none" w:sz="0" w:space="0" w:color="auto"/>
              </w:divBdr>
              <w:divsChild>
                <w:div w:id="828250725">
                  <w:marLeft w:val="0"/>
                  <w:marRight w:val="0"/>
                  <w:marTop w:val="0"/>
                  <w:marBottom w:val="0"/>
                  <w:divBdr>
                    <w:top w:val="single" w:sz="2" w:space="0" w:color="FF0000"/>
                    <w:left w:val="single" w:sz="2" w:space="0" w:color="FF0000"/>
                    <w:bottom w:val="single" w:sz="2" w:space="0" w:color="FF0000"/>
                    <w:right w:val="single" w:sz="2" w:space="0" w:color="FF0000"/>
                  </w:divBdr>
                  <w:divsChild>
                    <w:div w:id="712969034">
                      <w:marLeft w:val="0"/>
                      <w:marRight w:val="0"/>
                      <w:marTop w:val="0"/>
                      <w:marBottom w:val="0"/>
                      <w:divBdr>
                        <w:top w:val="single" w:sz="2" w:space="15" w:color="FF0000"/>
                        <w:left w:val="single" w:sz="2" w:space="15" w:color="FF0000"/>
                        <w:bottom w:val="single" w:sz="2" w:space="0" w:color="FF0000"/>
                        <w:right w:val="single" w:sz="2" w:space="0" w:color="FF000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derr@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etec.com/surf/static-assets/tariffs/94.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etec.com/surf/static-assets/tariffs/94.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620B-BFF1-41F5-B91A-60CC6C11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Secretarial Letter Template - Step 1 Intrastate Access Reductions</vt:lpstr>
    </vt:vector>
  </TitlesOfParts>
  <Company>Pennsylvania Public Utility Commission</Company>
  <LinksUpToDate>false</LinksUpToDate>
  <CharactersWithSpaces>4137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Secretarial Letter Template - Step 1 Intrastate Access Reductions</dc:title>
  <dc:subject>FCC-Mandated Step 1 Intrastate Access Reductions</dc:subject>
  <dc:creator>Derek Vogelsong</dc:creator>
  <cp:lastModifiedBy>Miller, Sara</cp:lastModifiedBy>
  <cp:revision>3</cp:revision>
  <cp:lastPrinted>2012-06-22T11:26:00Z</cp:lastPrinted>
  <dcterms:created xsi:type="dcterms:W3CDTF">2012-06-21T19:48:00Z</dcterms:created>
  <dcterms:modified xsi:type="dcterms:W3CDTF">2012-06-22T11:26:00Z</dcterms:modified>
</cp:coreProperties>
</file>