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FE" w:rsidRDefault="006A46FE"/>
    <w:p w:rsidR="00792EAD" w:rsidRDefault="00792EAD"/>
    <w:p w:rsidR="003B336D" w:rsidRDefault="003B336D"/>
    <w:p w:rsidR="003B336D" w:rsidRDefault="003B336D"/>
    <w:p w:rsidR="003B336D" w:rsidRDefault="003B336D"/>
    <w:p w:rsidR="003B336D" w:rsidRDefault="003B336D"/>
    <w:p w:rsidR="00003E31" w:rsidRDefault="00141502" w:rsidP="003149D6">
      <w:pPr>
        <w:jc w:val="center"/>
        <w:rPr>
          <w:b/>
          <w:sz w:val="36"/>
          <w:szCs w:val="36"/>
        </w:rPr>
      </w:pPr>
      <w:r w:rsidRPr="000040FF">
        <w:rPr>
          <w:b/>
          <w:sz w:val="36"/>
          <w:szCs w:val="36"/>
        </w:rPr>
        <w:t>REVIEW OF</w:t>
      </w:r>
    </w:p>
    <w:p w:rsidR="00BD581B" w:rsidRPr="000040FF" w:rsidRDefault="00BD581B" w:rsidP="003149D6">
      <w:pPr>
        <w:jc w:val="center"/>
        <w:rPr>
          <w:b/>
          <w:sz w:val="36"/>
          <w:szCs w:val="36"/>
        </w:rPr>
      </w:pPr>
      <w:r>
        <w:rPr>
          <w:b/>
          <w:sz w:val="36"/>
          <w:szCs w:val="36"/>
        </w:rPr>
        <w:t>DUQUESNE LIGHT COMPANY</w:t>
      </w:r>
      <w:r w:rsidR="00816B90">
        <w:rPr>
          <w:b/>
          <w:sz w:val="36"/>
          <w:szCs w:val="36"/>
        </w:rPr>
        <w:t>’S</w:t>
      </w:r>
    </w:p>
    <w:p w:rsidR="00003E31" w:rsidRPr="000040FF" w:rsidRDefault="00C61E46" w:rsidP="00BD581B">
      <w:pPr>
        <w:jc w:val="center"/>
        <w:rPr>
          <w:sz w:val="36"/>
          <w:szCs w:val="36"/>
        </w:rPr>
      </w:pPr>
      <w:r>
        <w:rPr>
          <w:b/>
          <w:sz w:val="36"/>
          <w:szCs w:val="36"/>
        </w:rPr>
        <w:t>POLR V</w:t>
      </w:r>
      <w:r w:rsidR="00DB6B74">
        <w:rPr>
          <w:b/>
          <w:sz w:val="36"/>
          <w:szCs w:val="36"/>
        </w:rPr>
        <w:t xml:space="preserve"> </w:t>
      </w:r>
      <w:r w:rsidR="00BD581B">
        <w:rPr>
          <w:b/>
          <w:sz w:val="36"/>
          <w:szCs w:val="36"/>
        </w:rPr>
        <w:t>DEFAULT SERVICE</w:t>
      </w:r>
    </w:p>
    <w:p w:rsidR="00992DC1" w:rsidRPr="0068183C" w:rsidRDefault="005C0019" w:rsidP="005C0019">
      <w:pPr>
        <w:tabs>
          <w:tab w:val="left" w:pos="1635"/>
        </w:tabs>
        <w:rPr>
          <w:b/>
          <w:sz w:val="36"/>
          <w:szCs w:val="36"/>
        </w:rPr>
      </w:pPr>
      <w:r>
        <w:rPr>
          <w:b/>
          <w:sz w:val="36"/>
          <w:szCs w:val="36"/>
        </w:rPr>
        <w:tab/>
      </w:r>
    </w:p>
    <w:p w:rsidR="00992DC1" w:rsidRDefault="0000565C" w:rsidP="003149D6">
      <w:pPr>
        <w:jc w:val="center"/>
        <w:rPr>
          <w:sz w:val="36"/>
          <w:szCs w:val="36"/>
        </w:rPr>
      </w:pPr>
      <w:r>
        <w:rPr>
          <w:b/>
          <w:bCs/>
          <w:sz w:val="36"/>
          <w:szCs w:val="36"/>
        </w:rPr>
        <w:t>NON-</w:t>
      </w:r>
      <w:r w:rsidRPr="00585DB8">
        <w:rPr>
          <w:b/>
          <w:bCs/>
          <w:sz w:val="36"/>
          <w:szCs w:val="36"/>
        </w:rPr>
        <w:t>PROPRIETARY</w:t>
      </w:r>
      <w:r w:rsidRPr="00585DB8">
        <w:rPr>
          <w:b/>
          <w:sz w:val="36"/>
          <w:szCs w:val="36"/>
        </w:rPr>
        <w:t xml:space="preserve"> </w:t>
      </w:r>
      <w:r w:rsidR="00C333B1" w:rsidRPr="00C333B1">
        <w:rPr>
          <w:b/>
          <w:sz w:val="36"/>
          <w:szCs w:val="36"/>
        </w:rPr>
        <w:t>VERSION</w:t>
      </w:r>
    </w:p>
    <w:p w:rsidR="00992DC1" w:rsidRDefault="00992DC1" w:rsidP="003149D6">
      <w:pPr>
        <w:jc w:val="center"/>
        <w:rPr>
          <w:sz w:val="36"/>
          <w:szCs w:val="36"/>
        </w:rPr>
      </w:pPr>
    </w:p>
    <w:p w:rsidR="00992DC1" w:rsidRDefault="00992DC1" w:rsidP="003149D6">
      <w:pPr>
        <w:jc w:val="center"/>
        <w:rPr>
          <w:sz w:val="36"/>
          <w:szCs w:val="36"/>
        </w:rPr>
      </w:pPr>
    </w:p>
    <w:p w:rsidR="00992DC1" w:rsidRDefault="00992DC1" w:rsidP="003149D6">
      <w:pPr>
        <w:jc w:val="center"/>
        <w:rPr>
          <w:sz w:val="36"/>
          <w:szCs w:val="36"/>
        </w:rPr>
      </w:pPr>
    </w:p>
    <w:p w:rsidR="00992DC1" w:rsidRDefault="00992DC1" w:rsidP="003149D6">
      <w:pPr>
        <w:jc w:val="center"/>
        <w:rPr>
          <w:sz w:val="36"/>
          <w:szCs w:val="36"/>
        </w:rPr>
      </w:pPr>
    </w:p>
    <w:p w:rsidR="00992DC1" w:rsidRDefault="00992DC1" w:rsidP="003149D6">
      <w:pPr>
        <w:jc w:val="center"/>
        <w:rPr>
          <w:sz w:val="36"/>
          <w:szCs w:val="36"/>
        </w:rPr>
      </w:pPr>
    </w:p>
    <w:p w:rsidR="00992DC1" w:rsidRDefault="00992DC1" w:rsidP="003149D6">
      <w:pPr>
        <w:jc w:val="center"/>
        <w:rPr>
          <w:sz w:val="36"/>
          <w:szCs w:val="36"/>
        </w:rPr>
      </w:pPr>
    </w:p>
    <w:p w:rsidR="00992DC1" w:rsidRDefault="00992DC1" w:rsidP="00992DC1">
      <w:pPr>
        <w:rPr>
          <w:sz w:val="36"/>
          <w:szCs w:val="36"/>
        </w:rPr>
      </w:pPr>
    </w:p>
    <w:p w:rsidR="00992DC1" w:rsidRPr="00300610" w:rsidRDefault="00141502" w:rsidP="003149D6">
      <w:pPr>
        <w:contextualSpacing/>
        <w:jc w:val="center"/>
        <w:rPr>
          <w:b/>
          <w:sz w:val="28"/>
          <w:szCs w:val="28"/>
        </w:rPr>
      </w:pPr>
      <w:r w:rsidRPr="00141502">
        <w:rPr>
          <w:b/>
          <w:sz w:val="28"/>
          <w:szCs w:val="28"/>
        </w:rPr>
        <w:t>Prepared By The</w:t>
      </w:r>
    </w:p>
    <w:p w:rsidR="00992DC1" w:rsidRPr="00300610" w:rsidRDefault="00141502" w:rsidP="003149D6">
      <w:pPr>
        <w:contextualSpacing/>
        <w:jc w:val="center"/>
        <w:rPr>
          <w:b/>
          <w:sz w:val="28"/>
          <w:szCs w:val="28"/>
        </w:rPr>
      </w:pPr>
      <w:r w:rsidRPr="00141502">
        <w:rPr>
          <w:b/>
          <w:sz w:val="28"/>
          <w:szCs w:val="28"/>
        </w:rPr>
        <w:t>Pennsylvania Public Utility Commission</w:t>
      </w:r>
    </w:p>
    <w:p w:rsidR="00992DC1" w:rsidRPr="00300610" w:rsidRDefault="00141502" w:rsidP="003149D6">
      <w:pPr>
        <w:contextualSpacing/>
        <w:jc w:val="center"/>
        <w:rPr>
          <w:b/>
          <w:sz w:val="28"/>
          <w:szCs w:val="28"/>
        </w:rPr>
      </w:pPr>
      <w:r w:rsidRPr="00141502">
        <w:rPr>
          <w:b/>
          <w:sz w:val="28"/>
          <w:szCs w:val="28"/>
        </w:rPr>
        <w:t>Bureau Of Audits</w:t>
      </w:r>
    </w:p>
    <w:p w:rsidR="00992DC1" w:rsidRPr="00300610" w:rsidRDefault="00305CC7" w:rsidP="003149D6">
      <w:pPr>
        <w:contextualSpacing/>
        <w:jc w:val="center"/>
        <w:rPr>
          <w:b/>
          <w:sz w:val="28"/>
          <w:szCs w:val="28"/>
        </w:rPr>
      </w:pPr>
      <w:r>
        <w:rPr>
          <w:b/>
          <w:sz w:val="28"/>
          <w:szCs w:val="28"/>
        </w:rPr>
        <w:t>Report date:</w:t>
      </w:r>
      <w:r w:rsidRPr="00141502">
        <w:rPr>
          <w:b/>
          <w:sz w:val="28"/>
          <w:szCs w:val="28"/>
        </w:rPr>
        <w:t xml:space="preserve"> </w:t>
      </w:r>
      <w:r w:rsidR="00C333B1">
        <w:rPr>
          <w:b/>
          <w:sz w:val="28"/>
          <w:szCs w:val="28"/>
        </w:rPr>
        <w:t>February 28, 2012</w:t>
      </w:r>
    </w:p>
    <w:p w:rsidR="00992DC1" w:rsidRPr="00300610" w:rsidRDefault="00992DC1" w:rsidP="003149D6">
      <w:pPr>
        <w:contextualSpacing/>
        <w:jc w:val="center"/>
        <w:rPr>
          <w:b/>
          <w:sz w:val="28"/>
          <w:szCs w:val="28"/>
        </w:rPr>
      </w:pPr>
    </w:p>
    <w:p w:rsidR="00005CCF" w:rsidRDefault="00141502" w:rsidP="003149D6">
      <w:pPr>
        <w:contextualSpacing/>
        <w:jc w:val="center"/>
        <w:rPr>
          <w:b/>
          <w:sz w:val="28"/>
          <w:szCs w:val="28"/>
        </w:rPr>
      </w:pPr>
      <w:r w:rsidRPr="00141502">
        <w:rPr>
          <w:b/>
          <w:sz w:val="28"/>
          <w:szCs w:val="28"/>
        </w:rPr>
        <w:t>Docket No. D-</w:t>
      </w:r>
      <w:r w:rsidR="000040FF">
        <w:rPr>
          <w:b/>
          <w:sz w:val="28"/>
          <w:szCs w:val="28"/>
        </w:rPr>
        <w:t>2011-</w:t>
      </w:r>
      <w:r w:rsidR="00BD581B">
        <w:rPr>
          <w:b/>
          <w:sz w:val="28"/>
          <w:szCs w:val="28"/>
        </w:rPr>
        <w:t>2259221</w:t>
      </w:r>
    </w:p>
    <w:p w:rsidR="000040FF" w:rsidRDefault="000040FF" w:rsidP="003149D6">
      <w:pPr>
        <w:contextualSpacing/>
        <w:jc w:val="center"/>
        <w:rPr>
          <w:b/>
          <w:sz w:val="28"/>
          <w:szCs w:val="28"/>
        </w:rPr>
      </w:pPr>
    </w:p>
    <w:p w:rsidR="00F13DB5" w:rsidRDefault="00F13DB5" w:rsidP="003149D6">
      <w:pPr>
        <w:contextualSpacing/>
        <w:jc w:val="center"/>
        <w:rPr>
          <w:b/>
          <w:sz w:val="28"/>
          <w:szCs w:val="28"/>
        </w:rPr>
        <w:sectPr w:rsidR="00F13DB5" w:rsidSect="00221284">
          <w:headerReference w:type="default" r:id="rId9"/>
          <w:footerReference w:type="default" r:id="rId10"/>
          <w:type w:val="continuous"/>
          <w:pgSz w:w="12240" w:h="15840" w:code="1"/>
          <w:pgMar w:top="1440" w:right="1440" w:bottom="1152" w:left="1440" w:header="720" w:footer="720" w:gutter="0"/>
          <w:pgNumType w:start="0"/>
          <w:cols w:space="720"/>
          <w:docGrid w:linePitch="360"/>
        </w:sectPr>
      </w:pPr>
    </w:p>
    <w:p w:rsidR="00A97960" w:rsidRPr="00475E53" w:rsidRDefault="00D84A55" w:rsidP="00544A08">
      <w:pPr>
        <w:spacing w:after="0"/>
        <w:contextualSpacing/>
        <w:jc w:val="center"/>
        <w:rPr>
          <w:b/>
          <w:sz w:val="26"/>
          <w:szCs w:val="26"/>
          <w:u w:val="single"/>
        </w:rPr>
      </w:pPr>
      <w:r w:rsidRPr="00475E53">
        <w:rPr>
          <w:b/>
          <w:sz w:val="26"/>
          <w:szCs w:val="26"/>
          <w:u w:val="single"/>
        </w:rPr>
        <w:lastRenderedPageBreak/>
        <w:t>Contents</w:t>
      </w:r>
    </w:p>
    <w:p w:rsidR="00A97960" w:rsidRPr="00E9351B" w:rsidRDefault="00A97960" w:rsidP="003149D6">
      <w:pPr>
        <w:contextualSpacing/>
        <w:jc w:val="center"/>
        <w:rPr>
          <w:b/>
          <w:szCs w:val="36"/>
        </w:rPr>
      </w:pPr>
    </w:p>
    <w:p w:rsidR="00A97960" w:rsidRPr="00E9351B" w:rsidRDefault="00A97960" w:rsidP="003149D6">
      <w:pPr>
        <w:contextualSpacing/>
        <w:jc w:val="center"/>
        <w:rPr>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C00BB8" w:rsidRPr="00F05F2A" w:rsidTr="00EF48D1">
        <w:trPr>
          <w:trHeight w:hRule="exact" w:val="288"/>
        </w:trPr>
        <w:tc>
          <w:tcPr>
            <w:tcW w:w="8118" w:type="dxa"/>
            <w:vAlign w:val="center"/>
          </w:tcPr>
          <w:p w:rsidR="00C00BB8" w:rsidRDefault="00C00BB8" w:rsidP="00F05F2A">
            <w:pPr>
              <w:contextualSpacing/>
            </w:pPr>
          </w:p>
        </w:tc>
        <w:tc>
          <w:tcPr>
            <w:tcW w:w="1458" w:type="dxa"/>
            <w:vAlign w:val="center"/>
          </w:tcPr>
          <w:p w:rsidR="00C00BB8" w:rsidRPr="00C00BB8" w:rsidRDefault="00C00BB8" w:rsidP="00C00BB8">
            <w:pPr>
              <w:contextualSpacing/>
              <w:jc w:val="center"/>
              <w:rPr>
                <w:b/>
                <w:u w:val="single"/>
              </w:rPr>
            </w:pPr>
            <w:r w:rsidRPr="00C00BB8">
              <w:rPr>
                <w:b/>
                <w:u w:val="single"/>
              </w:rPr>
              <w:t>Page</w:t>
            </w:r>
          </w:p>
        </w:tc>
      </w:tr>
      <w:tr w:rsidR="00A97960" w:rsidRPr="00F05F2A" w:rsidTr="00EF48D1">
        <w:trPr>
          <w:trHeight w:hRule="exact" w:val="288"/>
        </w:trPr>
        <w:tc>
          <w:tcPr>
            <w:tcW w:w="8118" w:type="dxa"/>
            <w:vAlign w:val="bottom"/>
          </w:tcPr>
          <w:p w:rsidR="00F05F2A" w:rsidRPr="00F05F2A" w:rsidRDefault="00F05F2A" w:rsidP="00F13DB5">
            <w:pPr>
              <w:contextualSpacing/>
            </w:pPr>
            <w:r>
              <w:t>B</w:t>
            </w:r>
            <w:r w:rsidRPr="00F05F2A">
              <w:t>ackground</w:t>
            </w:r>
          </w:p>
        </w:tc>
        <w:tc>
          <w:tcPr>
            <w:tcW w:w="1458" w:type="dxa"/>
            <w:vAlign w:val="bottom"/>
          </w:tcPr>
          <w:p w:rsidR="00A97960" w:rsidRPr="00F05F2A" w:rsidRDefault="00C00BB8" w:rsidP="00F13DB5">
            <w:pPr>
              <w:tabs>
                <w:tab w:val="decimal" w:pos="720"/>
              </w:tabs>
              <w:contextualSpacing/>
            </w:pPr>
            <w:r>
              <w:t>1</w:t>
            </w:r>
          </w:p>
        </w:tc>
      </w:tr>
      <w:tr w:rsidR="00EF48D1" w:rsidRPr="00F05F2A" w:rsidTr="00EF48D1">
        <w:trPr>
          <w:trHeight w:hRule="exact" w:val="288"/>
        </w:trPr>
        <w:tc>
          <w:tcPr>
            <w:tcW w:w="8118" w:type="dxa"/>
            <w:vAlign w:val="bottom"/>
          </w:tcPr>
          <w:p w:rsidR="00EF48D1" w:rsidRPr="00F05F2A" w:rsidRDefault="00EF48D1" w:rsidP="00F13DB5">
            <w:pPr>
              <w:contextualSpacing/>
            </w:pPr>
          </w:p>
        </w:tc>
        <w:tc>
          <w:tcPr>
            <w:tcW w:w="1458" w:type="dxa"/>
            <w:vAlign w:val="bottom"/>
          </w:tcPr>
          <w:p w:rsidR="00EF48D1" w:rsidRDefault="00EF48D1" w:rsidP="00F13DB5">
            <w:pPr>
              <w:tabs>
                <w:tab w:val="decimal" w:pos="720"/>
              </w:tabs>
              <w:contextualSpacing/>
            </w:pPr>
          </w:p>
        </w:tc>
      </w:tr>
      <w:tr w:rsidR="00A97960" w:rsidRPr="00F05F2A" w:rsidTr="00EF48D1">
        <w:trPr>
          <w:trHeight w:hRule="exact" w:val="288"/>
        </w:trPr>
        <w:tc>
          <w:tcPr>
            <w:tcW w:w="8118" w:type="dxa"/>
            <w:vAlign w:val="bottom"/>
          </w:tcPr>
          <w:p w:rsidR="00F05F2A" w:rsidRPr="00F05F2A" w:rsidRDefault="00F05F2A" w:rsidP="00F13DB5">
            <w:pPr>
              <w:contextualSpacing/>
            </w:pPr>
            <w:r w:rsidRPr="00F05F2A">
              <w:t xml:space="preserve">Objectives </w:t>
            </w:r>
            <w:r>
              <w:t>A</w:t>
            </w:r>
            <w:r w:rsidRPr="00F05F2A">
              <w:t>nd Scope</w:t>
            </w:r>
          </w:p>
        </w:tc>
        <w:tc>
          <w:tcPr>
            <w:tcW w:w="1458" w:type="dxa"/>
            <w:vAlign w:val="bottom"/>
          </w:tcPr>
          <w:p w:rsidR="00A97960" w:rsidRPr="00F05F2A" w:rsidRDefault="00C00BB8" w:rsidP="00F13DB5">
            <w:pPr>
              <w:tabs>
                <w:tab w:val="decimal" w:pos="720"/>
              </w:tabs>
              <w:contextualSpacing/>
            </w:pPr>
            <w:r>
              <w:t>2</w:t>
            </w:r>
          </w:p>
        </w:tc>
      </w:tr>
      <w:tr w:rsidR="00EF48D1" w:rsidRPr="00F05F2A" w:rsidTr="00EF48D1">
        <w:trPr>
          <w:trHeight w:hRule="exact" w:val="288"/>
        </w:trPr>
        <w:tc>
          <w:tcPr>
            <w:tcW w:w="8118" w:type="dxa"/>
            <w:vAlign w:val="bottom"/>
          </w:tcPr>
          <w:p w:rsidR="00EF48D1" w:rsidRPr="00F05F2A" w:rsidRDefault="00EF48D1" w:rsidP="00F13DB5">
            <w:pPr>
              <w:contextualSpacing/>
            </w:pPr>
          </w:p>
        </w:tc>
        <w:tc>
          <w:tcPr>
            <w:tcW w:w="1458" w:type="dxa"/>
            <w:vAlign w:val="bottom"/>
          </w:tcPr>
          <w:p w:rsidR="00EF48D1" w:rsidRDefault="00EF48D1" w:rsidP="00F13DB5">
            <w:pPr>
              <w:tabs>
                <w:tab w:val="decimal" w:pos="720"/>
              </w:tabs>
              <w:contextualSpacing/>
            </w:pPr>
          </w:p>
        </w:tc>
      </w:tr>
      <w:tr w:rsidR="00A97960" w:rsidRPr="00F05F2A" w:rsidTr="00EF48D1">
        <w:trPr>
          <w:trHeight w:hRule="exact" w:val="288"/>
        </w:trPr>
        <w:tc>
          <w:tcPr>
            <w:tcW w:w="8118" w:type="dxa"/>
            <w:vAlign w:val="bottom"/>
          </w:tcPr>
          <w:p w:rsidR="00F05F2A" w:rsidRPr="00F05F2A" w:rsidRDefault="00F05F2A" w:rsidP="00F13DB5">
            <w:pPr>
              <w:contextualSpacing/>
            </w:pPr>
            <w:r w:rsidRPr="00F05F2A">
              <w:t>Review Results</w:t>
            </w:r>
          </w:p>
        </w:tc>
        <w:tc>
          <w:tcPr>
            <w:tcW w:w="1458" w:type="dxa"/>
            <w:vAlign w:val="bottom"/>
          </w:tcPr>
          <w:p w:rsidR="00A97960" w:rsidRPr="00F05F2A" w:rsidRDefault="00C00BB8" w:rsidP="00F13DB5">
            <w:pPr>
              <w:tabs>
                <w:tab w:val="decimal" w:pos="720"/>
              </w:tabs>
              <w:contextualSpacing/>
            </w:pPr>
            <w:r>
              <w:t>3</w:t>
            </w:r>
          </w:p>
        </w:tc>
      </w:tr>
      <w:tr w:rsidR="00EF48D1" w:rsidRPr="00F05F2A" w:rsidTr="00EF48D1">
        <w:trPr>
          <w:trHeight w:hRule="exact" w:val="288"/>
        </w:trPr>
        <w:tc>
          <w:tcPr>
            <w:tcW w:w="8118" w:type="dxa"/>
            <w:vAlign w:val="bottom"/>
          </w:tcPr>
          <w:p w:rsidR="00EF48D1" w:rsidRPr="00F05F2A" w:rsidRDefault="00EF48D1" w:rsidP="00F13DB5">
            <w:pPr>
              <w:contextualSpacing/>
            </w:pPr>
          </w:p>
        </w:tc>
        <w:tc>
          <w:tcPr>
            <w:tcW w:w="1458" w:type="dxa"/>
            <w:vAlign w:val="bottom"/>
          </w:tcPr>
          <w:p w:rsidR="00EF48D1" w:rsidRDefault="00EF48D1" w:rsidP="00F13DB5">
            <w:pPr>
              <w:tabs>
                <w:tab w:val="decimal" w:pos="720"/>
              </w:tabs>
              <w:contextualSpacing/>
            </w:pPr>
          </w:p>
        </w:tc>
      </w:tr>
      <w:tr w:rsidR="00A97960" w:rsidRPr="00F05F2A" w:rsidTr="00EF48D1">
        <w:trPr>
          <w:trHeight w:hRule="exact" w:val="288"/>
        </w:trPr>
        <w:tc>
          <w:tcPr>
            <w:tcW w:w="8118" w:type="dxa"/>
            <w:vAlign w:val="bottom"/>
          </w:tcPr>
          <w:p w:rsidR="00F05F2A" w:rsidRPr="00F05F2A" w:rsidRDefault="00F05F2A" w:rsidP="00F13DB5">
            <w:pPr>
              <w:contextualSpacing/>
            </w:pPr>
            <w:r w:rsidRPr="00F05F2A">
              <w:t>Summary/Conclusion</w:t>
            </w:r>
          </w:p>
        </w:tc>
        <w:tc>
          <w:tcPr>
            <w:tcW w:w="1458" w:type="dxa"/>
            <w:vAlign w:val="bottom"/>
          </w:tcPr>
          <w:p w:rsidR="00DE6133" w:rsidRPr="00F05F2A" w:rsidRDefault="00F060D4" w:rsidP="00F13DB5">
            <w:pPr>
              <w:tabs>
                <w:tab w:val="decimal" w:pos="720"/>
              </w:tabs>
              <w:contextualSpacing/>
            </w:pPr>
            <w:r>
              <w:t>4</w:t>
            </w:r>
          </w:p>
        </w:tc>
      </w:tr>
      <w:tr w:rsidR="00EF48D1" w:rsidRPr="00F05F2A" w:rsidTr="00EF48D1">
        <w:trPr>
          <w:trHeight w:hRule="exact" w:val="288"/>
        </w:trPr>
        <w:tc>
          <w:tcPr>
            <w:tcW w:w="8118" w:type="dxa"/>
            <w:vAlign w:val="bottom"/>
          </w:tcPr>
          <w:p w:rsidR="00EF48D1" w:rsidRPr="0088586C" w:rsidRDefault="00EF48D1" w:rsidP="00F13DB5">
            <w:pPr>
              <w:contextualSpacing/>
            </w:pPr>
          </w:p>
        </w:tc>
        <w:tc>
          <w:tcPr>
            <w:tcW w:w="1458" w:type="dxa"/>
            <w:vAlign w:val="bottom"/>
          </w:tcPr>
          <w:p w:rsidR="00EF48D1" w:rsidRDefault="00EF48D1" w:rsidP="00F13DB5">
            <w:pPr>
              <w:tabs>
                <w:tab w:val="decimal" w:pos="720"/>
              </w:tabs>
              <w:contextualSpacing/>
            </w:pPr>
          </w:p>
        </w:tc>
      </w:tr>
      <w:tr w:rsidR="00F13DB5" w:rsidRPr="00F05F2A" w:rsidTr="00EF48D1">
        <w:trPr>
          <w:trHeight w:hRule="exact" w:val="288"/>
        </w:trPr>
        <w:tc>
          <w:tcPr>
            <w:tcW w:w="8118" w:type="dxa"/>
            <w:vAlign w:val="bottom"/>
          </w:tcPr>
          <w:p w:rsidR="00F13DB5" w:rsidRPr="00F05F2A" w:rsidRDefault="0088586C" w:rsidP="00F13DB5">
            <w:pPr>
              <w:contextualSpacing/>
            </w:pPr>
            <w:r w:rsidRPr="0088586C">
              <w:t>Exhibit</w:t>
            </w:r>
          </w:p>
        </w:tc>
        <w:tc>
          <w:tcPr>
            <w:tcW w:w="1458" w:type="dxa"/>
            <w:vAlign w:val="bottom"/>
          </w:tcPr>
          <w:p w:rsidR="00F13DB5" w:rsidRDefault="00F13DB5" w:rsidP="00F13DB5">
            <w:pPr>
              <w:tabs>
                <w:tab w:val="decimal" w:pos="720"/>
              </w:tabs>
              <w:contextualSpacing/>
            </w:pPr>
          </w:p>
        </w:tc>
      </w:tr>
      <w:tr w:rsidR="0088586C" w:rsidRPr="00F05F2A" w:rsidTr="00EF48D1">
        <w:trPr>
          <w:trHeight w:hRule="exact" w:val="288"/>
        </w:trPr>
        <w:tc>
          <w:tcPr>
            <w:tcW w:w="8118" w:type="dxa"/>
            <w:vAlign w:val="bottom"/>
          </w:tcPr>
          <w:p w:rsidR="0088586C" w:rsidRPr="0088586C" w:rsidRDefault="0088586C" w:rsidP="00F13DB5">
            <w:pPr>
              <w:contextualSpacing/>
            </w:pPr>
          </w:p>
        </w:tc>
        <w:tc>
          <w:tcPr>
            <w:tcW w:w="1458" w:type="dxa"/>
            <w:vAlign w:val="bottom"/>
          </w:tcPr>
          <w:p w:rsidR="0088586C" w:rsidRDefault="0088586C" w:rsidP="00F13DB5">
            <w:pPr>
              <w:tabs>
                <w:tab w:val="decimal" w:pos="720"/>
              </w:tabs>
              <w:contextualSpacing/>
            </w:pPr>
          </w:p>
        </w:tc>
      </w:tr>
      <w:tr w:rsidR="00DE6133" w:rsidRPr="00F05F2A" w:rsidTr="00EF48D1">
        <w:tc>
          <w:tcPr>
            <w:tcW w:w="8118" w:type="dxa"/>
            <w:vAlign w:val="bottom"/>
          </w:tcPr>
          <w:p w:rsidR="00DE6133" w:rsidRPr="0088586C" w:rsidRDefault="0088586C" w:rsidP="00C80814">
            <w:pPr>
              <w:tabs>
                <w:tab w:val="left" w:pos="288"/>
              </w:tabs>
              <w:contextualSpacing/>
            </w:pPr>
            <w:r w:rsidRPr="0088586C">
              <w:tab/>
            </w:r>
            <w:r w:rsidRPr="0088586C">
              <w:rPr>
                <w:u w:val="single"/>
              </w:rPr>
              <w:t xml:space="preserve">Statement of Income For Residential and Lighting </w:t>
            </w:r>
            <w:r w:rsidR="00C61E46">
              <w:rPr>
                <w:u w:val="single"/>
              </w:rPr>
              <w:t>POLR V</w:t>
            </w:r>
            <w:r w:rsidRPr="0088586C">
              <w:rPr>
                <w:u w:val="single"/>
              </w:rPr>
              <w:t xml:space="preserve"> </w:t>
            </w:r>
            <w:r w:rsidR="00C80814" w:rsidRPr="00C80814">
              <w:tab/>
            </w:r>
            <w:r w:rsidRPr="0088586C">
              <w:rPr>
                <w:u w:val="single"/>
              </w:rPr>
              <w:t>Program</w:t>
            </w:r>
            <w:r w:rsidR="00C80814">
              <w:rPr>
                <w:u w:val="single"/>
              </w:rPr>
              <w:t xml:space="preserve"> </w:t>
            </w:r>
            <w:r w:rsidRPr="0088586C">
              <w:rPr>
                <w:u w:val="single"/>
              </w:rPr>
              <w:t>For The Seven Months Ended July 31, 2011</w:t>
            </w:r>
          </w:p>
        </w:tc>
        <w:tc>
          <w:tcPr>
            <w:tcW w:w="1458" w:type="dxa"/>
            <w:vAlign w:val="bottom"/>
          </w:tcPr>
          <w:p w:rsidR="00DE6133" w:rsidRDefault="004E3FED" w:rsidP="00F13DB5">
            <w:pPr>
              <w:tabs>
                <w:tab w:val="decimal" w:pos="720"/>
              </w:tabs>
              <w:contextualSpacing/>
            </w:pPr>
            <w:r>
              <w:t>6</w:t>
            </w:r>
          </w:p>
        </w:tc>
      </w:tr>
      <w:tr w:rsidR="00EF48D1" w:rsidRPr="00F05F2A" w:rsidTr="00EF48D1">
        <w:trPr>
          <w:trHeight w:hRule="exact" w:val="288"/>
        </w:trPr>
        <w:tc>
          <w:tcPr>
            <w:tcW w:w="8118" w:type="dxa"/>
            <w:vAlign w:val="bottom"/>
          </w:tcPr>
          <w:p w:rsidR="00EF48D1" w:rsidRPr="00F05F2A" w:rsidRDefault="00EF48D1" w:rsidP="00F13DB5">
            <w:pPr>
              <w:contextualSpacing/>
            </w:pPr>
          </w:p>
        </w:tc>
        <w:tc>
          <w:tcPr>
            <w:tcW w:w="1458" w:type="dxa"/>
            <w:vAlign w:val="bottom"/>
          </w:tcPr>
          <w:p w:rsidR="00EF48D1" w:rsidRDefault="00EF48D1" w:rsidP="00F13DB5">
            <w:pPr>
              <w:tabs>
                <w:tab w:val="decimal" w:pos="720"/>
              </w:tabs>
              <w:contextualSpacing/>
            </w:pPr>
          </w:p>
        </w:tc>
      </w:tr>
      <w:tr w:rsidR="00A97960" w:rsidRPr="00F05F2A" w:rsidTr="00EF48D1">
        <w:trPr>
          <w:trHeight w:hRule="exact" w:val="288"/>
        </w:trPr>
        <w:tc>
          <w:tcPr>
            <w:tcW w:w="8118" w:type="dxa"/>
            <w:vAlign w:val="bottom"/>
          </w:tcPr>
          <w:p w:rsidR="00F05F2A" w:rsidRPr="00F05F2A" w:rsidRDefault="00F05F2A" w:rsidP="00F13DB5">
            <w:pPr>
              <w:contextualSpacing/>
            </w:pPr>
            <w:r w:rsidRPr="00F05F2A">
              <w:t>Acknowledgements</w:t>
            </w:r>
          </w:p>
        </w:tc>
        <w:tc>
          <w:tcPr>
            <w:tcW w:w="1458" w:type="dxa"/>
            <w:vAlign w:val="bottom"/>
          </w:tcPr>
          <w:p w:rsidR="00A97960" w:rsidRPr="00F05F2A" w:rsidRDefault="004E3FED" w:rsidP="00F13DB5">
            <w:pPr>
              <w:tabs>
                <w:tab w:val="decimal" w:pos="720"/>
              </w:tabs>
              <w:contextualSpacing/>
            </w:pPr>
            <w:r>
              <w:t>7</w:t>
            </w:r>
          </w:p>
        </w:tc>
      </w:tr>
    </w:tbl>
    <w:p w:rsidR="00475E53" w:rsidRDefault="00475E53" w:rsidP="00475E53"/>
    <w:p w:rsidR="00005CCF" w:rsidRPr="00475E53" w:rsidRDefault="00005CCF" w:rsidP="00475E53">
      <w:pPr>
        <w:sectPr w:rsidR="00005CCF" w:rsidRPr="00475E53" w:rsidSect="00F13DB5">
          <w:headerReference w:type="default" r:id="rId11"/>
          <w:pgSz w:w="12240" w:h="15840" w:code="1"/>
          <w:pgMar w:top="1440" w:right="1440" w:bottom="1152" w:left="1440" w:header="720" w:footer="720" w:gutter="0"/>
          <w:pgNumType w:start="0"/>
          <w:cols w:space="720"/>
          <w:docGrid w:linePitch="360"/>
        </w:sectPr>
      </w:pPr>
    </w:p>
    <w:p w:rsidR="00FE09E2" w:rsidRPr="00475E53" w:rsidRDefault="002125C5" w:rsidP="0025459E">
      <w:pPr>
        <w:spacing w:after="0"/>
        <w:contextualSpacing/>
        <w:jc w:val="center"/>
        <w:rPr>
          <w:b/>
          <w:sz w:val="26"/>
          <w:szCs w:val="26"/>
          <w:u w:val="single"/>
        </w:rPr>
      </w:pPr>
      <w:r w:rsidRPr="00475E53">
        <w:rPr>
          <w:b/>
          <w:sz w:val="26"/>
          <w:szCs w:val="26"/>
          <w:u w:val="single"/>
        </w:rPr>
        <w:lastRenderedPageBreak/>
        <w:t>B</w:t>
      </w:r>
      <w:r w:rsidR="00D84A55" w:rsidRPr="00475E53">
        <w:rPr>
          <w:b/>
          <w:sz w:val="26"/>
          <w:szCs w:val="26"/>
          <w:u w:val="single"/>
        </w:rPr>
        <w:t>ackground</w:t>
      </w:r>
    </w:p>
    <w:p w:rsidR="00FE09E2" w:rsidRPr="00F13DB5" w:rsidRDefault="00FE09E2" w:rsidP="00D84A55">
      <w:pPr>
        <w:spacing w:after="0"/>
        <w:contextualSpacing/>
      </w:pPr>
    </w:p>
    <w:p w:rsidR="00B569A9" w:rsidRPr="00F13DB5" w:rsidRDefault="00B569A9" w:rsidP="00B569A9">
      <w:pPr>
        <w:contextualSpacing/>
      </w:pPr>
    </w:p>
    <w:p w:rsidR="00A862E3" w:rsidRDefault="00A862E3" w:rsidP="00CB7CE4">
      <w:pPr>
        <w:contextualSpacing/>
      </w:pPr>
    </w:p>
    <w:p w:rsidR="00E40E48" w:rsidRPr="00B50FFE" w:rsidRDefault="00E40E48" w:rsidP="00E40E48">
      <w:pPr>
        <w:tabs>
          <w:tab w:val="left" w:pos="-1440"/>
          <w:tab w:val="left" w:pos="-720"/>
        </w:tabs>
        <w:suppressAutoHyphens/>
        <w:rPr>
          <w:szCs w:val="26"/>
        </w:rPr>
      </w:pPr>
      <w:r w:rsidRPr="00B50FFE">
        <w:rPr>
          <w:szCs w:val="26"/>
        </w:rPr>
        <w:tab/>
        <w:t>Duquesne Light Company (Duquesne</w:t>
      </w:r>
      <w:r w:rsidR="003F5E35">
        <w:rPr>
          <w:szCs w:val="26"/>
        </w:rPr>
        <w:t xml:space="preserve"> or Company</w:t>
      </w:r>
      <w:r w:rsidRPr="00B50FFE">
        <w:rPr>
          <w:szCs w:val="26"/>
        </w:rPr>
        <w:t xml:space="preserve">) was formed in 1912 by the consolidation and merger of three constituent companies.  On July 5, 2006 Duquesne Holdings, Inc. Duquesne’s parent and a consortium led by Macquarie Infrastructure Partners and Diversified Utility and Energy Trusts entered into a definitive agreement and plan of merger.  The merger was consummated on May 31, 2007 and accounted for under the purchase method of accounting.  </w:t>
      </w:r>
    </w:p>
    <w:p w:rsidR="00E40E48" w:rsidRDefault="00E40E48" w:rsidP="00E40E48">
      <w:pPr>
        <w:tabs>
          <w:tab w:val="left" w:pos="-1440"/>
          <w:tab w:val="left" w:pos="-720"/>
        </w:tabs>
        <w:suppressAutoHyphens/>
        <w:rPr>
          <w:szCs w:val="26"/>
        </w:rPr>
      </w:pPr>
      <w:r w:rsidRPr="00B50FFE">
        <w:rPr>
          <w:szCs w:val="26"/>
        </w:rPr>
        <w:tab/>
        <w:t xml:space="preserve">Duquesne is an electric utility engaged in the supply, transmission and distribution of electric energy.  On December 3, 1996 the </w:t>
      </w:r>
      <w:r w:rsidRPr="00B50FFE">
        <w:rPr>
          <w:i/>
          <w:szCs w:val="26"/>
        </w:rPr>
        <w:t>Electricity Generation Customer Choice and Competition Act (</w:t>
      </w:r>
      <w:r w:rsidRPr="00B50FFE">
        <w:rPr>
          <w:szCs w:val="26"/>
        </w:rPr>
        <w:t>Act) was signed into law.  Pursuant to the Act, all electric utilities were required to file restructuring plans with the Pennsylvania Public U</w:t>
      </w:r>
      <w:r w:rsidR="00EB21CA">
        <w:rPr>
          <w:szCs w:val="26"/>
        </w:rPr>
        <w:t>tility Commission (Commission</w:t>
      </w:r>
      <w:r w:rsidRPr="00B50FFE">
        <w:rPr>
          <w:szCs w:val="26"/>
        </w:rPr>
        <w:t xml:space="preserve">) which included unbundled prices for electric generation, transmission and distribution.  </w:t>
      </w:r>
      <w:r>
        <w:rPr>
          <w:szCs w:val="26"/>
        </w:rPr>
        <w:t xml:space="preserve">Duquesne provides supply to its customers who opt for provider </w:t>
      </w:r>
      <w:r w:rsidR="00210CE0">
        <w:rPr>
          <w:szCs w:val="26"/>
        </w:rPr>
        <w:t>of last resort (</w:t>
      </w:r>
      <w:r w:rsidR="00C61E46">
        <w:rPr>
          <w:szCs w:val="26"/>
        </w:rPr>
        <w:t>POLR</w:t>
      </w:r>
      <w:r w:rsidR="00210CE0">
        <w:rPr>
          <w:szCs w:val="26"/>
        </w:rPr>
        <w:t xml:space="preserve">) service. </w:t>
      </w:r>
      <w:r w:rsidR="00615C51">
        <w:rPr>
          <w:szCs w:val="26"/>
        </w:rPr>
        <w:t xml:space="preserve"> </w:t>
      </w:r>
      <w:r w:rsidR="00210CE0">
        <w:rPr>
          <w:szCs w:val="26"/>
        </w:rPr>
        <w:t>The Company is currently providi</w:t>
      </w:r>
      <w:r w:rsidR="003F5E35">
        <w:rPr>
          <w:szCs w:val="26"/>
        </w:rPr>
        <w:t>ng default service according to</w:t>
      </w:r>
      <w:r w:rsidR="00210CE0">
        <w:rPr>
          <w:szCs w:val="26"/>
        </w:rPr>
        <w:t xml:space="preserve"> </w:t>
      </w:r>
      <w:r w:rsidR="003F5E35">
        <w:rPr>
          <w:szCs w:val="26"/>
        </w:rPr>
        <w:t xml:space="preserve">its </w:t>
      </w:r>
      <w:r w:rsidR="00C61E46">
        <w:rPr>
          <w:szCs w:val="26"/>
        </w:rPr>
        <w:t xml:space="preserve">POLR </w:t>
      </w:r>
      <w:r w:rsidR="00210CE0">
        <w:rPr>
          <w:szCs w:val="26"/>
        </w:rPr>
        <w:t>V</w:t>
      </w:r>
      <w:r w:rsidR="003F5E35">
        <w:rPr>
          <w:szCs w:val="26"/>
        </w:rPr>
        <w:t xml:space="preserve"> plan</w:t>
      </w:r>
      <w:r w:rsidR="00210CE0">
        <w:rPr>
          <w:szCs w:val="26"/>
        </w:rPr>
        <w:t>.</w:t>
      </w:r>
    </w:p>
    <w:p w:rsidR="00E40E48" w:rsidRDefault="00E40E48" w:rsidP="00E40E48">
      <w:pPr>
        <w:tabs>
          <w:tab w:val="left" w:pos="-1440"/>
          <w:tab w:val="left" w:pos="-720"/>
        </w:tabs>
        <w:suppressAutoHyphens/>
        <w:rPr>
          <w:szCs w:val="26"/>
        </w:rPr>
      </w:pPr>
      <w:r>
        <w:rPr>
          <w:szCs w:val="26"/>
        </w:rPr>
        <w:tab/>
      </w:r>
      <w:r w:rsidR="00816B90">
        <w:rPr>
          <w:szCs w:val="26"/>
        </w:rPr>
        <w:t>Duquesne filed a Petition</w:t>
      </w:r>
      <w:r w:rsidR="00B7077D">
        <w:rPr>
          <w:szCs w:val="26"/>
        </w:rPr>
        <w:t xml:space="preserve">, at Docket No. </w:t>
      </w:r>
      <w:r w:rsidR="00B7077D" w:rsidRPr="00B7077D">
        <w:rPr>
          <w:szCs w:val="26"/>
        </w:rPr>
        <w:t>P-2009-2135500</w:t>
      </w:r>
      <w:r w:rsidR="00B7077D">
        <w:rPr>
          <w:szCs w:val="26"/>
        </w:rPr>
        <w:t xml:space="preserve">, </w:t>
      </w:r>
      <w:r w:rsidR="00816B90">
        <w:rPr>
          <w:szCs w:val="26"/>
        </w:rPr>
        <w:t xml:space="preserve">with the </w:t>
      </w:r>
      <w:r w:rsidR="00EB21CA">
        <w:rPr>
          <w:szCs w:val="26"/>
        </w:rPr>
        <w:t>Commission</w:t>
      </w:r>
      <w:r w:rsidR="00816B90">
        <w:rPr>
          <w:szCs w:val="26"/>
        </w:rPr>
        <w:t xml:space="preserve"> for approval to provide default service to its customers from January 1, 2011 through May 31, 2013.  Because petitions to intervene were filed by other parties, hearings were scheduled.  The joint petitioners were able to reach a settlement and hearings were cancelled.  The Settlement Petition was filed with the </w:t>
      </w:r>
      <w:r w:rsidR="00EB21CA">
        <w:rPr>
          <w:szCs w:val="26"/>
        </w:rPr>
        <w:t>Commission</w:t>
      </w:r>
      <w:r w:rsidR="00816B90">
        <w:rPr>
          <w:szCs w:val="26"/>
        </w:rPr>
        <w:t xml:space="preserve"> on February 24, 2010</w:t>
      </w:r>
      <w:r w:rsidR="00EB21CA">
        <w:rPr>
          <w:szCs w:val="26"/>
        </w:rPr>
        <w:t>.  A Recommended Decision was issued on March 17, 2010 recommending that the Joint Petition for Settlement of All Issues be adopted.  At Public Meeting on May 20, 2010, the Commission adopted the Settlement Petition.</w:t>
      </w:r>
    </w:p>
    <w:p w:rsidR="00EB21CA" w:rsidRDefault="00EB21CA" w:rsidP="00E40E48">
      <w:pPr>
        <w:tabs>
          <w:tab w:val="left" w:pos="-1440"/>
          <w:tab w:val="left" w:pos="-720"/>
        </w:tabs>
        <w:suppressAutoHyphens/>
        <w:rPr>
          <w:szCs w:val="26"/>
        </w:rPr>
      </w:pPr>
      <w:r>
        <w:rPr>
          <w:szCs w:val="26"/>
        </w:rPr>
        <w:tab/>
        <w:t xml:space="preserve">In accordance with the Settlement Petition, Duquesne will </w:t>
      </w:r>
      <w:r w:rsidR="00F805FE">
        <w:rPr>
          <w:szCs w:val="26"/>
        </w:rPr>
        <w:t>provide</w:t>
      </w:r>
      <w:r>
        <w:rPr>
          <w:szCs w:val="26"/>
        </w:rPr>
        <w:t xml:space="preserve"> default service to </w:t>
      </w:r>
      <w:r w:rsidR="002E2AE3">
        <w:rPr>
          <w:szCs w:val="26"/>
        </w:rPr>
        <w:t>r</w:t>
      </w:r>
      <w:r>
        <w:rPr>
          <w:szCs w:val="26"/>
        </w:rPr>
        <w:t xml:space="preserve">esidential customers during the period January 1, 2011 through May 31, 2013 at a fixed rate of $78.60 per MWH.  Duquesne will also provide default service to </w:t>
      </w:r>
      <w:r w:rsidR="002E2AE3">
        <w:rPr>
          <w:szCs w:val="26"/>
        </w:rPr>
        <w:t>l</w:t>
      </w:r>
      <w:r>
        <w:rPr>
          <w:szCs w:val="26"/>
        </w:rPr>
        <w:t xml:space="preserve">ighting customers at fixed rates identified in the Company’s tariff.  </w:t>
      </w:r>
      <w:r w:rsidR="002E2AE3">
        <w:rPr>
          <w:szCs w:val="26"/>
        </w:rPr>
        <w:t>The Company</w:t>
      </w:r>
      <w:r>
        <w:rPr>
          <w:szCs w:val="26"/>
        </w:rPr>
        <w:t xml:space="preserve"> will purchase the </w:t>
      </w:r>
      <w:r w:rsidR="002E2AE3">
        <w:rPr>
          <w:szCs w:val="26"/>
        </w:rPr>
        <w:t>r</w:t>
      </w:r>
      <w:r>
        <w:rPr>
          <w:szCs w:val="26"/>
        </w:rPr>
        <w:t xml:space="preserve">esidential and </w:t>
      </w:r>
      <w:r w:rsidR="002E2AE3">
        <w:rPr>
          <w:szCs w:val="26"/>
        </w:rPr>
        <w:t>l</w:t>
      </w:r>
      <w:r>
        <w:rPr>
          <w:szCs w:val="26"/>
        </w:rPr>
        <w:t xml:space="preserve">ighting default service supply from unaffiliated sources using bilateral contracts. </w:t>
      </w:r>
      <w:r w:rsidR="008A126C">
        <w:rPr>
          <w:szCs w:val="26"/>
        </w:rPr>
        <w:t xml:space="preserve"> </w:t>
      </w:r>
      <w:r w:rsidR="002E2AE3">
        <w:rPr>
          <w:szCs w:val="26"/>
        </w:rPr>
        <w:t>Duquesne will not reconcile default supply costs and recoveries for resi</w:t>
      </w:r>
      <w:r w:rsidR="008A126C">
        <w:rPr>
          <w:szCs w:val="26"/>
        </w:rPr>
        <w:t>dential and lighting customers.</w:t>
      </w:r>
    </w:p>
    <w:p w:rsidR="002E2AE3" w:rsidRDefault="002E2AE3" w:rsidP="00E40E48">
      <w:pPr>
        <w:tabs>
          <w:tab w:val="left" w:pos="-1440"/>
          <w:tab w:val="left" w:pos="-720"/>
        </w:tabs>
        <w:suppressAutoHyphens/>
        <w:rPr>
          <w:szCs w:val="26"/>
        </w:rPr>
      </w:pPr>
      <w:r>
        <w:rPr>
          <w:szCs w:val="26"/>
        </w:rPr>
        <w:tab/>
        <w:t xml:space="preserve">Default service rates for small commercial and industrial customers and medium commercial and industrial customers will </w:t>
      </w:r>
      <w:r w:rsidR="00B47781">
        <w:rPr>
          <w:szCs w:val="26"/>
        </w:rPr>
        <w:t xml:space="preserve">be </w:t>
      </w:r>
      <w:r>
        <w:rPr>
          <w:szCs w:val="26"/>
        </w:rPr>
        <w:t xml:space="preserve">based on a bidding process and will be revised annually subject to reconciliation. </w:t>
      </w:r>
      <w:r w:rsidR="00185D69">
        <w:rPr>
          <w:szCs w:val="26"/>
        </w:rPr>
        <w:t xml:space="preserve"> </w:t>
      </w:r>
      <w:r>
        <w:rPr>
          <w:szCs w:val="26"/>
        </w:rPr>
        <w:t>Duquesne will continue to provide default service to large commercial and industrial customers at day ahead hourly spot pricing purchased directly from PJM.</w:t>
      </w:r>
    </w:p>
    <w:p w:rsidR="00F13DB5" w:rsidRDefault="00F13DB5">
      <w:pPr>
        <w:rPr>
          <w:szCs w:val="26"/>
        </w:rPr>
        <w:sectPr w:rsidR="00F13DB5" w:rsidSect="000926DD">
          <w:headerReference w:type="even" r:id="rId12"/>
          <w:footerReference w:type="default" r:id="rId13"/>
          <w:headerReference w:type="first" r:id="rId14"/>
          <w:pgSz w:w="12240" w:h="15840" w:code="1"/>
          <w:pgMar w:top="1440" w:right="1440" w:bottom="1152" w:left="1440" w:header="720" w:footer="630" w:gutter="0"/>
          <w:cols w:space="720"/>
          <w:docGrid w:linePitch="360"/>
        </w:sectPr>
      </w:pPr>
    </w:p>
    <w:p w:rsidR="003A4075" w:rsidRPr="00475E53" w:rsidRDefault="00DC54CE" w:rsidP="003A4075">
      <w:pPr>
        <w:spacing w:after="0"/>
        <w:contextualSpacing/>
        <w:jc w:val="center"/>
        <w:rPr>
          <w:b/>
          <w:sz w:val="26"/>
          <w:szCs w:val="26"/>
          <w:u w:val="single"/>
        </w:rPr>
      </w:pPr>
      <w:r w:rsidRPr="00475E53">
        <w:rPr>
          <w:b/>
          <w:sz w:val="26"/>
          <w:szCs w:val="26"/>
          <w:u w:val="single"/>
        </w:rPr>
        <w:lastRenderedPageBreak/>
        <w:t>Objective and Scope</w:t>
      </w:r>
    </w:p>
    <w:p w:rsidR="003A4075" w:rsidRDefault="003A4075" w:rsidP="00DC54CE">
      <w:pPr>
        <w:spacing w:after="0"/>
        <w:contextualSpacing/>
        <w:rPr>
          <w:b/>
          <w:u w:val="single"/>
        </w:rPr>
      </w:pPr>
    </w:p>
    <w:p w:rsidR="003A4075" w:rsidRDefault="003A4075" w:rsidP="00DC54CE">
      <w:pPr>
        <w:spacing w:after="0"/>
        <w:contextualSpacing/>
        <w:rPr>
          <w:b/>
          <w:u w:val="single"/>
        </w:rPr>
      </w:pPr>
    </w:p>
    <w:p w:rsidR="004838BF" w:rsidRDefault="00C36A3E" w:rsidP="003A4075">
      <w:pPr>
        <w:spacing w:after="0"/>
        <w:contextualSpacing/>
      </w:pPr>
      <w:r>
        <w:tab/>
        <w:t xml:space="preserve">Our review was conducted pursuant to a request from the Office of the Chairman of the Pennsylvania Public Utility Commission. </w:t>
      </w:r>
      <w:r w:rsidR="00757954">
        <w:t xml:space="preserve"> Our objective </w:t>
      </w:r>
      <w:r w:rsidR="004838BF">
        <w:t xml:space="preserve">was to address two specific </w:t>
      </w:r>
      <w:r w:rsidR="00650207">
        <w:t>issue</w:t>
      </w:r>
      <w:r w:rsidR="004838BF">
        <w:t>s:</w:t>
      </w:r>
    </w:p>
    <w:p w:rsidR="004838BF" w:rsidRDefault="004838BF" w:rsidP="003A4075">
      <w:pPr>
        <w:spacing w:after="0"/>
        <w:contextualSpacing/>
      </w:pPr>
    </w:p>
    <w:p w:rsidR="003A4075" w:rsidRDefault="00BA4249" w:rsidP="00BA4249">
      <w:pPr>
        <w:pStyle w:val="ListParagraph"/>
        <w:numPr>
          <w:ilvl w:val="0"/>
          <w:numId w:val="9"/>
        </w:numPr>
        <w:spacing w:after="0"/>
      </w:pPr>
      <w:r>
        <w:t xml:space="preserve">Whether </w:t>
      </w:r>
      <w:r w:rsidR="001D0015">
        <w:t>Duquesne</w:t>
      </w:r>
      <w:r>
        <w:t xml:space="preserve"> is charging default service customers the appropriate rate under their approved plan; and</w:t>
      </w:r>
    </w:p>
    <w:p w:rsidR="00C36A3E" w:rsidRDefault="00C36A3E" w:rsidP="003A4075">
      <w:pPr>
        <w:spacing w:after="0"/>
        <w:contextualSpacing/>
      </w:pPr>
    </w:p>
    <w:p w:rsidR="00BA4249" w:rsidRDefault="00BA4249" w:rsidP="00BA4249">
      <w:pPr>
        <w:pStyle w:val="ListParagraph"/>
        <w:numPr>
          <w:ilvl w:val="0"/>
          <w:numId w:val="9"/>
        </w:numPr>
        <w:spacing w:after="0"/>
      </w:pPr>
      <w:r>
        <w:t xml:space="preserve">Since </w:t>
      </w:r>
      <w:r w:rsidR="001D0015">
        <w:t>Duquesne</w:t>
      </w:r>
      <w:r>
        <w:t xml:space="preserve">’s residential default service plan does not provide for reconciliation, do the costs </w:t>
      </w:r>
      <w:r w:rsidR="001D0015">
        <w:t>Duquesne</w:t>
      </w:r>
      <w:r>
        <w:t xml:space="preserve"> incurs to provide default service result in a profit or loss on the provision of residential default service.</w:t>
      </w:r>
    </w:p>
    <w:p w:rsidR="00C36A3E" w:rsidRDefault="00C36A3E" w:rsidP="003A4075">
      <w:pPr>
        <w:spacing w:after="0"/>
        <w:contextualSpacing/>
      </w:pPr>
    </w:p>
    <w:p w:rsidR="00C36A3E" w:rsidRDefault="00C36A3E" w:rsidP="003A4075">
      <w:pPr>
        <w:spacing w:after="0"/>
        <w:contextualSpacing/>
      </w:pPr>
    </w:p>
    <w:p w:rsidR="00110403" w:rsidRPr="00110403" w:rsidRDefault="00110403" w:rsidP="00110403">
      <w:pPr>
        <w:spacing w:after="0"/>
        <w:contextualSpacing/>
      </w:pPr>
      <w:r w:rsidRPr="00110403">
        <w:tab/>
        <w:t>The review was not conducted in accordance with the AICPA Statement on Standards for Accounting and Review Services.  Accordingly, the subject matter, or presentation may be misunderstood by those who are not adequately informed of the basis, assumptions, or purpose of our report.</w:t>
      </w:r>
    </w:p>
    <w:p w:rsidR="00110403" w:rsidRDefault="00110403" w:rsidP="003A4075">
      <w:pPr>
        <w:spacing w:after="0"/>
        <w:contextualSpacing/>
      </w:pPr>
    </w:p>
    <w:p w:rsidR="003B1157" w:rsidRDefault="003A4075" w:rsidP="003A4075">
      <w:pPr>
        <w:spacing w:after="0"/>
        <w:contextualSpacing/>
      </w:pPr>
      <w:r>
        <w:tab/>
        <w:t xml:space="preserve">We limited the scope of the review </w:t>
      </w:r>
      <w:r w:rsidR="006227C1">
        <w:t>to the default service activity for the period Janua</w:t>
      </w:r>
      <w:r w:rsidR="00541DB0">
        <w:t>ry 1, 2011 through July 31, 2011. O</w:t>
      </w:r>
      <w:r w:rsidR="00281085">
        <w:t>ur revi</w:t>
      </w:r>
      <w:r w:rsidR="00541DB0">
        <w:t>ew was done</w:t>
      </w:r>
      <w:r w:rsidR="00281085">
        <w:t xml:space="preserve"> in conjunction with other audits </w:t>
      </w:r>
      <w:r w:rsidR="00A27E33">
        <w:t xml:space="preserve">the Bureau of Audits was </w:t>
      </w:r>
      <w:r w:rsidR="00281085">
        <w:t xml:space="preserve">conducting at Duquesne.  </w:t>
      </w:r>
      <w:r w:rsidR="00A07068">
        <w:t xml:space="preserve">Therefore, to avoid duplication of efforts and for the benefit of time, where possible </w:t>
      </w:r>
      <w:r w:rsidR="00A27E33" w:rsidRPr="00A27E33">
        <w:t xml:space="preserve">the Bureau of Audits </w:t>
      </w:r>
      <w:r w:rsidR="00A07068">
        <w:t xml:space="preserve">relied </w:t>
      </w:r>
      <w:r w:rsidR="00A27E33">
        <w:t>upon</w:t>
      </w:r>
      <w:r w:rsidR="00A07068">
        <w:t xml:space="preserve"> work already performed. </w:t>
      </w:r>
      <w:r w:rsidR="00185D69">
        <w:t xml:space="preserve"> </w:t>
      </w:r>
      <w:r w:rsidR="003B1157">
        <w:t xml:space="preserve">The methods used in this review were designed to provide </w:t>
      </w:r>
      <w:r w:rsidR="00A27E33" w:rsidRPr="00A27E33">
        <w:t xml:space="preserve">the Bureau of Audits </w:t>
      </w:r>
      <w:r w:rsidR="003B1157">
        <w:t xml:space="preserve">with the maximum assurance </w:t>
      </w:r>
      <w:r w:rsidR="00650207">
        <w:t>in addressing the above-mentioned issues.</w:t>
      </w:r>
      <w:r w:rsidR="00C9119F">
        <w:t xml:space="preserve"> </w:t>
      </w:r>
      <w:r w:rsidR="003B1157">
        <w:t xml:space="preserve"> In conducting our review, the following steps were completed:</w:t>
      </w:r>
    </w:p>
    <w:p w:rsidR="003B1157" w:rsidRDefault="003B1157" w:rsidP="003A4075">
      <w:pPr>
        <w:spacing w:after="0"/>
        <w:contextualSpacing/>
      </w:pPr>
    </w:p>
    <w:p w:rsidR="0078246C" w:rsidRPr="00A27E33" w:rsidRDefault="0078246C" w:rsidP="00650207">
      <w:pPr>
        <w:pStyle w:val="ListParagraph"/>
        <w:numPr>
          <w:ilvl w:val="0"/>
          <w:numId w:val="11"/>
        </w:numPr>
        <w:rPr>
          <w:b/>
          <w:u w:val="single"/>
        </w:rPr>
      </w:pPr>
      <w:r w:rsidRPr="00A27E33">
        <w:t>Analyzed a</w:t>
      </w:r>
      <w:r w:rsidR="004C1256" w:rsidRPr="00A27E33">
        <w:t xml:space="preserve"> Company</w:t>
      </w:r>
      <w:r w:rsidR="00A27E33">
        <w:t xml:space="preserve"> </w:t>
      </w:r>
      <w:r w:rsidR="004C1256" w:rsidRPr="00A27E33">
        <w:t xml:space="preserve">prepared financial </w:t>
      </w:r>
      <w:r w:rsidRPr="00A27E33">
        <w:t xml:space="preserve">statement for residential and lighting </w:t>
      </w:r>
      <w:r w:rsidR="00C61E46" w:rsidRPr="00A27E33">
        <w:t>POLR V</w:t>
      </w:r>
      <w:r w:rsidRPr="00A27E33">
        <w:t xml:space="preserve"> program</w:t>
      </w:r>
      <w:r w:rsidR="00A27E33">
        <w:t xml:space="preserve"> (see exhibit, page 6)</w:t>
      </w:r>
      <w:r w:rsidRPr="00A27E33">
        <w:t>.</w:t>
      </w:r>
    </w:p>
    <w:p w:rsidR="0078246C" w:rsidRPr="00A27E33" w:rsidRDefault="00281085" w:rsidP="00650207">
      <w:pPr>
        <w:pStyle w:val="ListParagraph"/>
        <w:numPr>
          <w:ilvl w:val="0"/>
          <w:numId w:val="11"/>
        </w:numPr>
        <w:rPr>
          <w:b/>
          <w:u w:val="single"/>
        </w:rPr>
      </w:pPr>
      <w:r w:rsidRPr="00A27E33">
        <w:t xml:space="preserve">Selected a test month </w:t>
      </w:r>
      <w:r w:rsidR="006513BF" w:rsidRPr="00A27E33">
        <w:t>(May 2011) for in</w:t>
      </w:r>
      <w:r w:rsidR="004C1256" w:rsidRPr="00A27E33">
        <w:t>-</w:t>
      </w:r>
      <w:r w:rsidR="006513BF" w:rsidRPr="00A27E33">
        <w:t>depth review and testing.</w:t>
      </w:r>
    </w:p>
    <w:p w:rsidR="006513BF" w:rsidRPr="00A27E33" w:rsidRDefault="006513BF" w:rsidP="00650207">
      <w:pPr>
        <w:pStyle w:val="ListParagraph"/>
        <w:numPr>
          <w:ilvl w:val="0"/>
          <w:numId w:val="11"/>
        </w:numPr>
        <w:rPr>
          <w:b/>
          <w:u w:val="single"/>
        </w:rPr>
      </w:pPr>
      <w:r w:rsidRPr="00A27E33">
        <w:t xml:space="preserve">Tested billing units used to determine </w:t>
      </w:r>
      <w:r w:rsidR="008A491A" w:rsidRPr="00A27E33">
        <w:t xml:space="preserve">accuracy of </w:t>
      </w:r>
      <w:r w:rsidR="00C61E46" w:rsidRPr="00A27E33">
        <w:t>POLR V</w:t>
      </w:r>
      <w:r w:rsidRPr="00A27E33">
        <w:t xml:space="preserve"> revenue</w:t>
      </w:r>
      <w:r w:rsidR="008A491A" w:rsidRPr="00A27E33">
        <w:t>.</w:t>
      </w:r>
    </w:p>
    <w:p w:rsidR="00541DB0" w:rsidRPr="00A27E33" w:rsidRDefault="00541DB0" w:rsidP="00650207">
      <w:pPr>
        <w:pStyle w:val="ListParagraph"/>
        <w:numPr>
          <w:ilvl w:val="0"/>
          <w:numId w:val="11"/>
        </w:numPr>
        <w:rPr>
          <w:b/>
          <w:u w:val="single"/>
        </w:rPr>
      </w:pPr>
      <w:r w:rsidRPr="00A27E33">
        <w:t xml:space="preserve">Analyzed reconciliation of </w:t>
      </w:r>
      <w:r w:rsidR="00C61E46" w:rsidRPr="00A27E33">
        <w:t>POLR V</w:t>
      </w:r>
      <w:r w:rsidRPr="00A27E33">
        <w:t xml:space="preserve"> purchase volumes to </w:t>
      </w:r>
      <w:r w:rsidR="00C61E46" w:rsidRPr="00A27E33">
        <w:t>POLR V</w:t>
      </w:r>
      <w:r w:rsidRPr="00A27E33">
        <w:t xml:space="preserve"> sales volumes for test month</w:t>
      </w:r>
    </w:p>
    <w:p w:rsidR="006513BF" w:rsidRPr="00A27E33" w:rsidRDefault="006513BF" w:rsidP="00650207">
      <w:pPr>
        <w:pStyle w:val="ListParagraph"/>
        <w:numPr>
          <w:ilvl w:val="0"/>
          <w:numId w:val="11"/>
        </w:numPr>
        <w:rPr>
          <w:b/>
          <w:u w:val="single"/>
        </w:rPr>
      </w:pPr>
      <w:r w:rsidRPr="00A27E33">
        <w:t xml:space="preserve">Tested reported </w:t>
      </w:r>
      <w:r w:rsidR="00C61E46" w:rsidRPr="00A27E33">
        <w:t>POLR V</w:t>
      </w:r>
      <w:r w:rsidRPr="00A27E33">
        <w:t xml:space="preserve"> expense</w:t>
      </w:r>
      <w:r w:rsidR="00472C5F" w:rsidRPr="00A27E33">
        <w:t>s</w:t>
      </w:r>
      <w:r w:rsidRPr="00A27E33">
        <w:t xml:space="preserve"> by analyzing invoices, contracts, confirmations,</w:t>
      </w:r>
      <w:r w:rsidR="00056107" w:rsidRPr="00A27E33">
        <w:t xml:space="preserve"> proof of payment</w:t>
      </w:r>
      <w:r w:rsidRPr="00A27E33">
        <w:t xml:space="preserve"> and journal vouchers.</w:t>
      </w:r>
    </w:p>
    <w:p w:rsidR="006513BF" w:rsidRPr="00A27E33" w:rsidRDefault="006513BF" w:rsidP="00650207">
      <w:pPr>
        <w:pStyle w:val="ListParagraph"/>
        <w:numPr>
          <w:ilvl w:val="0"/>
          <w:numId w:val="11"/>
        </w:numPr>
        <w:rPr>
          <w:b/>
          <w:u w:val="single"/>
        </w:rPr>
      </w:pPr>
      <w:r w:rsidRPr="00A27E33">
        <w:t xml:space="preserve">Recalculated customer bills to test billed </w:t>
      </w:r>
      <w:r w:rsidR="00C61E46" w:rsidRPr="00A27E33">
        <w:t>POLR V</w:t>
      </w:r>
      <w:r w:rsidRPr="00A27E33">
        <w:t xml:space="preserve"> service.</w:t>
      </w:r>
    </w:p>
    <w:p w:rsidR="00541DB0" w:rsidRPr="00A27E33" w:rsidRDefault="00541DB0" w:rsidP="00650207">
      <w:pPr>
        <w:pStyle w:val="ListParagraph"/>
        <w:numPr>
          <w:ilvl w:val="0"/>
          <w:numId w:val="11"/>
        </w:numPr>
        <w:rPr>
          <w:b/>
          <w:u w:val="single"/>
        </w:rPr>
      </w:pPr>
      <w:r w:rsidRPr="00A27E33">
        <w:t>Analyzed results of non-physical financial transactions</w:t>
      </w:r>
      <w:r w:rsidR="00E706F2" w:rsidRPr="00A27E33">
        <w:t xml:space="preserve"> </w:t>
      </w:r>
      <w:r w:rsidRPr="00A27E33">
        <w:t>(hedging).</w:t>
      </w:r>
    </w:p>
    <w:p w:rsidR="008A491A" w:rsidRPr="00A27E33" w:rsidRDefault="008A491A" w:rsidP="00650207">
      <w:pPr>
        <w:pStyle w:val="ListParagraph"/>
        <w:numPr>
          <w:ilvl w:val="0"/>
          <w:numId w:val="11"/>
        </w:numPr>
        <w:rPr>
          <w:b/>
          <w:u w:val="single"/>
        </w:rPr>
      </w:pPr>
      <w:r w:rsidRPr="00A27E33">
        <w:t>Reviewed applicable testimony, recommended decision, and Commission order.</w:t>
      </w:r>
    </w:p>
    <w:p w:rsidR="008A491A" w:rsidRPr="00A27E33" w:rsidRDefault="008A491A" w:rsidP="00650207">
      <w:pPr>
        <w:pStyle w:val="ListParagraph"/>
        <w:numPr>
          <w:ilvl w:val="0"/>
          <w:numId w:val="11"/>
        </w:numPr>
        <w:rPr>
          <w:b/>
          <w:u w:val="single"/>
        </w:rPr>
      </w:pPr>
      <w:r w:rsidRPr="00A27E33">
        <w:t xml:space="preserve">Discussed </w:t>
      </w:r>
      <w:r w:rsidR="00C61E46" w:rsidRPr="00A27E33">
        <w:t>POLR V</w:t>
      </w:r>
      <w:r w:rsidRPr="00A27E33">
        <w:t xml:space="preserve"> activity with Company personnel.</w:t>
      </w:r>
    </w:p>
    <w:p w:rsidR="00F13DB5" w:rsidRPr="00A27E33" w:rsidRDefault="00F13DB5" w:rsidP="00650207">
      <w:pPr>
        <w:pStyle w:val="ListParagraph"/>
        <w:numPr>
          <w:ilvl w:val="0"/>
          <w:numId w:val="11"/>
        </w:numPr>
        <w:rPr>
          <w:b/>
          <w:u w:val="single"/>
        </w:rPr>
        <w:sectPr w:rsidR="00F13DB5" w:rsidRPr="00A27E33" w:rsidSect="000926DD">
          <w:pgSz w:w="12240" w:h="15840" w:code="1"/>
          <w:pgMar w:top="1440" w:right="1440" w:bottom="1152" w:left="1440" w:header="720" w:footer="630" w:gutter="0"/>
          <w:cols w:space="720"/>
          <w:docGrid w:linePitch="360"/>
        </w:sectPr>
      </w:pPr>
    </w:p>
    <w:p w:rsidR="00B11C79" w:rsidRPr="00475E53" w:rsidRDefault="00B11C79" w:rsidP="00544A08">
      <w:pPr>
        <w:spacing w:after="0"/>
        <w:contextualSpacing/>
        <w:jc w:val="center"/>
        <w:rPr>
          <w:b/>
          <w:sz w:val="26"/>
          <w:szCs w:val="26"/>
          <w:u w:val="single"/>
        </w:rPr>
      </w:pPr>
      <w:r w:rsidRPr="00475E53">
        <w:rPr>
          <w:b/>
          <w:sz w:val="26"/>
          <w:szCs w:val="26"/>
          <w:u w:val="single"/>
        </w:rPr>
        <w:lastRenderedPageBreak/>
        <w:t>R</w:t>
      </w:r>
      <w:r w:rsidR="00DC54CE" w:rsidRPr="00475E53">
        <w:rPr>
          <w:b/>
          <w:sz w:val="26"/>
          <w:szCs w:val="26"/>
          <w:u w:val="single"/>
        </w:rPr>
        <w:t>eview Results</w:t>
      </w:r>
    </w:p>
    <w:p w:rsidR="00B11C79" w:rsidRDefault="00B11C79" w:rsidP="00DC54CE">
      <w:pPr>
        <w:spacing w:after="0"/>
        <w:contextualSpacing/>
        <w:rPr>
          <w:b/>
          <w:u w:val="single"/>
        </w:rPr>
      </w:pPr>
    </w:p>
    <w:p w:rsidR="00FD59D4" w:rsidRDefault="00FD59D4" w:rsidP="00DC54CE">
      <w:pPr>
        <w:spacing w:after="0"/>
        <w:contextualSpacing/>
      </w:pPr>
    </w:p>
    <w:p w:rsidR="00B11C79" w:rsidRDefault="00FD59D4" w:rsidP="00DC54CE">
      <w:pPr>
        <w:spacing w:after="0"/>
        <w:contextualSpacing/>
      </w:pPr>
      <w:r>
        <w:tab/>
        <w:t>As a result of our revi</w:t>
      </w:r>
      <w:r w:rsidR="00970C64">
        <w:t xml:space="preserve">ew of </w:t>
      </w:r>
      <w:r w:rsidR="001D0015">
        <w:t>Duquesne</w:t>
      </w:r>
      <w:r w:rsidR="00970C64">
        <w:t xml:space="preserve">’s </w:t>
      </w:r>
      <w:r w:rsidR="00C61E46">
        <w:t>POLR V</w:t>
      </w:r>
      <w:r w:rsidR="00970C64">
        <w:t xml:space="preserve"> for the period January 1, 2011 through July 31, 201</w:t>
      </w:r>
      <w:r w:rsidR="004E5E72">
        <w:t>1</w:t>
      </w:r>
      <w:bookmarkStart w:id="0" w:name="_GoBack"/>
      <w:bookmarkEnd w:id="0"/>
      <w:r w:rsidR="00970C64">
        <w:t>, we determined the following:</w:t>
      </w:r>
    </w:p>
    <w:p w:rsidR="00FD59D4" w:rsidRDefault="00FD59D4" w:rsidP="00DC54CE">
      <w:pPr>
        <w:spacing w:after="0"/>
        <w:contextualSpacing/>
      </w:pPr>
    </w:p>
    <w:p w:rsidR="00FD59D4" w:rsidRDefault="001D0015" w:rsidP="00FD59D4">
      <w:pPr>
        <w:pStyle w:val="ListParagraph"/>
        <w:numPr>
          <w:ilvl w:val="0"/>
          <w:numId w:val="12"/>
        </w:numPr>
        <w:spacing w:after="0"/>
      </w:pPr>
      <w:r>
        <w:t>Duquesne</w:t>
      </w:r>
      <w:r w:rsidR="00970C64">
        <w:t xml:space="preserve"> properly billed</w:t>
      </w:r>
      <w:r w:rsidR="00FD59D4">
        <w:t xml:space="preserve"> customers receiving default service </w:t>
      </w:r>
      <w:r w:rsidR="00970C64">
        <w:t xml:space="preserve">according to its </w:t>
      </w:r>
      <w:r w:rsidR="00C61E46">
        <w:t>POLR V</w:t>
      </w:r>
      <w:r w:rsidR="00970C64">
        <w:t xml:space="preserve"> plan.</w:t>
      </w:r>
    </w:p>
    <w:p w:rsidR="00970C64" w:rsidRDefault="00970C64" w:rsidP="00970C64">
      <w:pPr>
        <w:spacing w:after="0"/>
      </w:pPr>
    </w:p>
    <w:p w:rsidR="00FD59D4" w:rsidRDefault="001D0015" w:rsidP="00A56C04">
      <w:pPr>
        <w:pStyle w:val="ListParagraph"/>
        <w:numPr>
          <w:ilvl w:val="0"/>
          <w:numId w:val="12"/>
        </w:numPr>
        <w:spacing w:after="0"/>
      </w:pPr>
      <w:r>
        <w:t>Duquesne</w:t>
      </w:r>
      <w:r w:rsidR="00A56C04">
        <w:t xml:space="preserve"> earned a profit on </w:t>
      </w:r>
      <w:r w:rsidR="00AC7607">
        <w:t>its</w:t>
      </w:r>
      <w:r w:rsidR="00A56C04">
        <w:t xml:space="preserve"> Residential and Lighting </w:t>
      </w:r>
      <w:r w:rsidR="00C61E46">
        <w:t>POLR V</w:t>
      </w:r>
      <w:r w:rsidR="00A56C04">
        <w:t xml:space="preserve"> activity for the s</w:t>
      </w:r>
      <w:r w:rsidR="00AC7607">
        <w:t xml:space="preserve">even months </w:t>
      </w:r>
      <w:r w:rsidR="00215ECA">
        <w:t>ended July 31, 2011</w:t>
      </w:r>
      <w:r w:rsidR="00C02DC7">
        <w:t xml:space="preserve"> </w:t>
      </w:r>
      <w:r w:rsidR="00C02DC7" w:rsidRPr="00C02DC7">
        <w:t>(see exhibit, page 6)</w:t>
      </w:r>
      <w:r w:rsidR="00215ECA">
        <w:t xml:space="preserve">. </w:t>
      </w:r>
    </w:p>
    <w:p w:rsidR="00F13DB5" w:rsidRDefault="00F13DB5">
      <w:pPr>
        <w:sectPr w:rsidR="00F13DB5" w:rsidSect="000926DD">
          <w:pgSz w:w="12240" w:h="15840" w:code="1"/>
          <w:pgMar w:top="1440" w:right="1440" w:bottom="1152" w:left="1440" w:header="720" w:footer="630" w:gutter="0"/>
          <w:cols w:space="720"/>
          <w:docGrid w:linePitch="360"/>
        </w:sectPr>
      </w:pPr>
    </w:p>
    <w:p w:rsidR="006A6F76" w:rsidRPr="006A6F76" w:rsidRDefault="00F13DB5" w:rsidP="00F13DB5">
      <w:pPr>
        <w:pStyle w:val="ListParagraph"/>
        <w:spacing w:after="0"/>
        <w:ind w:left="0"/>
        <w:jc w:val="center"/>
        <w:rPr>
          <w:b/>
          <w:u w:val="single"/>
        </w:rPr>
      </w:pPr>
      <w:r>
        <w:rPr>
          <w:b/>
          <w:u w:val="single"/>
        </w:rPr>
        <w:lastRenderedPageBreak/>
        <w:t>Summary</w:t>
      </w:r>
      <w:r w:rsidR="004E3FED">
        <w:rPr>
          <w:b/>
          <w:u w:val="single"/>
        </w:rPr>
        <w:t>/Conclusion</w:t>
      </w:r>
    </w:p>
    <w:p w:rsidR="008A491A" w:rsidRDefault="008A491A" w:rsidP="00DC54CE">
      <w:pPr>
        <w:spacing w:after="0"/>
        <w:contextualSpacing/>
        <w:rPr>
          <w:b/>
          <w:u w:val="single"/>
        </w:rPr>
      </w:pPr>
    </w:p>
    <w:p w:rsidR="006A6F76" w:rsidRDefault="006A6F76" w:rsidP="00DC54CE">
      <w:pPr>
        <w:spacing w:after="0"/>
        <w:contextualSpacing/>
        <w:rPr>
          <w:b/>
          <w:u w:val="single"/>
        </w:rPr>
      </w:pPr>
    </w:p>
    <w:p w:rsidR="006A6F76" w:rsidRDefault="006A6F76" w:rsidP="006A6F76">
      <w:pPr>
        <w:spacing w:after="0"/>
        <w:ind w:firstLine="720"/>
      </w:pPr>
      <w:r>
        <w:t xml:space="preserve">The first issue of the review was to determine whether </w:t>
      </w:r>
      <w:r w:rsidR="001D0015">
        <w:t>Duquesne</w:t>
      </w:r>
      <w:r>
        <w:t xml:space="preserve"> is charging default service customers the appropriate rate under </w:t>
      </w:r>
      <w:r w:rsidR="0035099E">
        <w:t xml:space="preserve">the </w:t>
      </w:r>
      <w:r>
        <w:t xml:space="preserve">approved </w:t>
      </w:r>
      <w:r w:rsidR="00C61E46">
        <w:t>POLR V</w:t>
      </w:r>
      <w:r w:rsidR="0035099E">
        <w:t xml:space="preserve"> </w:t>
      </w:r>
      <w:r>
        <w:t>plan.</w:t>
      </w:r>
      <w:r w:rsidR="00210397">
        <w:t xml:space="preserve"> </w:t>
      </w:r>
      <w:r w:rsidR="009555D2">
        <w:t xml:space="preserve"> </w:t>
      </w:r>
      <w:r w:rsidR="00210397">
        <w:t>At the time of the review, the Bureau</w:t>
      </w:r>
      <w:r w:rsidR="00E5718B">
        <w:t xml:space="preserve"> of Audit</w:t>
      </w:r>
      <w:r w:rsidR="00E16AC2">
        <w:t>s</w:t>
      </w:r>
      <w:r w:rsidR="00210397">
        <w:t xml:space="preserve"> was also conducting three </w:t>
      </w:r>
      <w:r w:rsidR="00E5718B">
        <w:t xml:space="preserve">adjustment clause </w:t>
      </w:r>
      <w:r w:rsidR="00210397">
        <w:t xml:space="preserve">surcharge audits at Duquesne. </w:t>
      </w:r>
      <w:r w:rsidR="0035099E">
        <w:t xml:space="preserve"> </w:t>
      </w:r>
      <w:r w:rsidR="00210397">
        <w:t>Bill testing is done regularly on audits</w:t>
      </w:r>
      <w:r w:rsidR="0035099E">
        <w:t xml:space="preserve">; </w:t>
      </w:r>
      <w:r w:rsidR="00210397">
        <w:t>there</w:t>
      </w:r>
      <w:r w:rsidR="00210A53">
        <w:t>fore bill testing</w:t>
      </w:r>
      <w:r w:rsidR="00210397">
        <w:t xml:space="preserve"> was </w:t>
      </w:r>
      <w:r w:rsidR="009555D2">
        <w:t>extended for</w:t>
      </w:r>
      <w:r w:rsidR="00210A53">
        <w:t xml:space="preserve"> </w:t>
      </w:r>
      <w:r w:rsidR="00210397">
        <w:t xml:space="preserve">default service through July 2011.  Judgmental sampling was done </w:t>
      </w:r>
      <w:r w:rsidR="00DE5222">
        <w:t xml:space="preserve">to select </w:t>
      </w:r>
      <w:r w:rsidR="00B43435">
        <w:t xml:space="preserve">customer </w:t>
      </w:r>
      <w:r w:rsidR="00DE5222">
        <w:t xml:space="preserve">accounts for testing. </w:t>
      </w:r>
    </w:p>
    <w:p w:rsidR="00210397" w:rsidRDefault="00210397" w:rsidP="006A6F76">
      <w:pPr>
        <w:spacing w:after="0"/>
        <w:ind w:firstLine="720"/>
      </w:pPr>
    </w:p>
    <w:p w:rsidR="00210397" w:rsidRDefault="00210397" w:rsidP="006A6F76">
      <w:pPr>
        <w:spacing w:after="0"/>
        <w:ind w:firstLine="720"/>
      </w:pPr>
      <w:r>
        <w:t xml:space="preserve">Only one </w:t>
      </w:r>
      <w:r w:rsidR="00DE5222">
        <w:t xml:space="preserve">default service billing </w:t>
      </w:r>
      <w:r>
        <w:t xml:space="preserve">discrepancy was noted.  </w:t>
      </w:r>
      <w:r w:rsidR="00B241BC">
        <w:t xml:space="preserve">There was an error in billing rates for all GS/GM, GMH default service supply customers between </w:t>
      </w:r>
      <w:r w:rsidR="00B241BC" w:rsidRPr="00A30411">
        <w:t>January</w:t>
      </w:r>
      <w:r w:rsidR="00A30411">
        <w:t xml:space="preserve"> </w:t>
      </w:r>
      <w:r w:rsidR="00B241BC" w:rsidRPr="00A30411">
        <w:t>3</w:t>
      </w:r>
      <w:r w:rsidR="00B241BC">
        <w:t>, 2011 and March 2, 2011</w:t>
      </w:r>
      <w:r w:rsidR="00B43435">
        <w:t xml:space="preserve"> </w:t>
      </w:r>
      <w:r w:rsidR="00E97CBA">
        <w:t>a</w:t>
      </w:r>
      <w:r w:rsidR="00B43435">
        <w:t>ffecting approximately</w:t>
      </w:r>
      <w:r w:rsidR="00534D16">
        <w:t xml:space="preserve"> </w:t>
      </w:r>
      <w:r w:rsidR="00E97CBA">
        <w:t>81,182</w:t>
      </w:r>
      <w:r w:rsidR="00B43435">
        <w:t xml:space="preserve"> customer bills</w:t>
      </w:r>
      <w:r w:rsidR="00B241BC">
        <w:t xml:space="preserve">.  </w:t>
      </w:r>
      <w:r w:rsidR="00B43435">
        <w:t xml:space="preserve">Duquesne corrected the billing errors by making appropriate </w:t>
      </w:r>
      <w:r w:rsidR="00B241BC">
        <w:t>adjustments to affected customer bills.</w:t>
      </w:r>
    </w:p>
    <w:p w:rsidR="006A6F76" w:rsidRDefault="006A6F76" w:rsidP="00DC54CE">
      <w:pPr>
        <w:spacing w:after="0"/>
        <w:contextualSpacing/>
        <w:rPr>
          <w:b/>
          <w:u w:val="single"/>
        </w:rPr>
      </w:pPr>
    </w:p>
    <w:p w:rsidR="00085B20" w:rsidRDefault="00B11C79" w:rsidP="001A07E3">
      <w:pPr>
        <w:spacing w:after="0"/>
        <w:contextualSpacing/>
      </w:pPr>
      <w:r>
        <w:tab/>
      </w:r>
      <w:r w:rsidR="00DE5222">
        <w:t xml:space="preserve">The second issue of the review was to determine that since </w:t>
      </w:r>
      <w:r w:rsidR="001D0015">
        <w:t>Duquesne</w:t>
      </w:r>
      <w:r w:rsidR="00DE5222">
        <w:t xml:space="preserve">’s residential default service plan does not provide for reconciliation, do the costs </w:t>
      </w:r>
      <w:r w:rsidR="001D0015">
        <w:t>Duquesne</w:t>
      </w:r>
      <w:r w:rsidR="00DE5222">
        <w:t xml:space="preserve"> incurs to provide default service result in a profit or loss on the provision of residential default service.</w:t>
      </w:r>
      <w:r w:rsidR="00056107">
        <w:t xml:space="preserve">  </w:t>
      </w:r>
      <w:r w:rsidR="00246154">
        <w:t xml:space="preserve">The Company provided a </w:t>
      </w:r>
      <w:r w:rsidR="00215ECA">
        <w:t xml:space="preserve">Statement of Income for the Residential and Lighting </w:t>
      </w:r>
      <w:r w:rsidR="00C61E46">
        <w:t>POLR V</w:t>
      </w:r>
      <w:r w:rsidR="00215ECA">
        <w:t xml:space="preserve"> program</w:t>
      </w:r>
      <w:r w:rsidR="00056107">
        <w:t xml:space="preserve"> </w:t>
      </w:r>
      <w:r w:rsidR="00246154">
        <w:t>by month</w:t>
      </w:r>
      <w:r w:rsidR="00B43435">
        <w:t xml:space="preserve">, summarized on page </w:t>
      </w:r>
      <w:r w:rsidR="009B512C">
        <w:t>6</w:t>
      </w:r>
      <w:r w:rsidR="00B43435">
        <w:t xml:space="preserve"> of this report,</w:t>
      </w:r>
      <w:r w:rsidR="00246154">
        <w:t xml:space="preserve"> for the period </w:t>
      </w:r>
      <w:r w:rsidR="00022082">
        <w:t xml:space="preserve">January </w:t>
      </w:r>
      <w:r w:rsidR="00FE6226">
        <w:t xml:space="preserve">2011 </w:t>
      </w:r>
      <w:r w:rsidR="00022082">
        <w:t xml:space="preserve">through July 2011.  </w:t>
      </w:r>
      <w:r w:rsidR="00085B20">
        <w:t>In order to obtain assurance that the statement was reasonable, Staff selected one month for testing.  Our testing was limited to review of general ledger account detail, journal vouchers, invoices, contracts, confirmations, proof of payment and Commission</w:t>
      </w:r>
      <w:r w:rsidR="00612EE6">
        <w:t xml:space="preserve"> Orders.</w:t>
      </w:r>
    </w:p>
    <w:p w:rsidR="00085B20" w:rsidRDefault="00085B20" w:rsidP="001A07E3">
      <w:pPr>
        <w:spacing w:after="0"/>
        <w:contextualSpacing/>
      </w:pPr>
    </w:p>
    <w:p w:rsidR="00507E30" w:rsidRDefault="00085B20" w:rsidP="001A07E3">
      <w:pPr>
        <w:spacing w:after="0"/>
        <w:contextualSpacing/>
      </w:pPr>
      <w:r>
        <w:tab/>
        <w:t xml:space="preserve">Duquesne is making a profit on its residential and lighting default service plan.  The most significant expense of default service is </w:t>
      </w:r>
      <w:r w:rsidR="00D312C6">
        <w:t xml:space="preserve">energy. </w:t>
      </w:r>
      <w:r w:rsidR="004E0B4B">
        <w:t xml:space="preserve"> </w:t>
      </w:r>
      <w:r w:rsidR="00D312C6">
        <w:t xml:space="preserve">Duquesne procures energy for the residential and lighting default service customers by entering into contracts with third parties and through purchases from PJM.  Third party transactions can either be physical delivery or financial settlement.  A physical delivery is when the supplier schedules delivery with PJM and the energy delivered is recognized as a reduction to the total open load obligation.  With a financial settlement, there is no scheduled delivery, PJM provides the required MWH.  The financial settlement occurs when the Company </w:t>
      </w:r>
      <w:r w:rsidR="00ED2B41">
        <w:t xml:space="preserve">and third party settle on a price difference.  Duquesne will either recognize a gain or loss in the transaction.  </w:t>
      </w:r>
    </w:p>
    <w:p w:rsidR="00565C9F" w:rsidRDefault="00565C9F" w:rsidP="001A07E3">
      <w:pPr>
        <w:spacing w:after="0"/>
        <w:contextualSpacing/>
      </w:pPr>
    </w:p>
    <w:p w:rsidR="00B162E2" w:rsidRDefault="00565C9F" w:rsidP="001A07E3">
      <w:pPr>
        <w:spacing w:after="0"/>
        <w:contextualSpacing/>
        <w:sectPr w:rsidR="00B162E2" w:rsidSect="000926DD">
          <w:pgSz w:w="12240" w:h="15840" w:code="1"/>
          <w:pgMar w:top="1440" w:right="1440" w:bottom="1152" w:left="1440" w:header="720" w:footer="630" w:gutter="0"/>
          <w:cols w:space="720"/>
          <w:docGrid w:linePitch="360"/>
        </w:sectPr>
      </w:pPr>
      <w:r>
        <w:tab/>
        <w:t>Our review found no indication that Duquesne was purc</w:t>
      </w:r>
      <w:r w:rsidR="006F69EC">
        <w:t>hasing power from any affiliated sources</w:t>
      </w:r>
      <w:r>
        <w:t xml:space="preserve">. </w:t>
      </w:r>
      <w:r w:rsidR="00185D69">
        <w:t xml:space="preserve"> </w:t>
      </w:r>
      <w:r>
        <w:t xml:space="preserve">Prior to </w:t>
      </w:r>
      <w:r w:rsidR="00C61E46">
        <w:t>POLR V</w:t>
      </w:r>
      <w:r>
        <w:t xml:space="preserve">, an affiliate, Duquesne Power procured power for the residential default service. </w:t>
      </w:r>
      <w:r w:rsidR="00185D69">
        <w:t xml:space="preserve"> </w:t>
      </w:r>
      <w:r>
        <w:t xml:space="preserve">As part of </w:t>
      </w:r>
      <w:r w:rsidR="00C61E46">
        <w:t>POLR V</w:t>
      </w:r>
      <w:r>
        <w:t xml:space="preserve">, Duquesne assumed the residential </w:t>
      </w:r>
      <w:r w:rsidR="00C61E46">
        <w:t>POLR V</w:t>
      </w:r>
      <w:r>
        <w:t xml:space="preserve"> obligation on January 1, 2011</w:t>
      </w:r>
      <w:r w:rsidR="009B512C">
        <w:t xml:space="preserve"> </w:t>
      </w:r>
      <w:r>
        <w:t xml:space="preserve">and the Company also assumed any existing contracts </w:t>
      </w:r>
      <w:r w:rsidR="006F69EC">
        <w:t>between Duquesne Power and third parties that were part of the obligation to service customer load and to protect against the basis risks.</w:t>
      </w:r>
      <w:r>
        <w:t xml:space="preserve"> </w:t>
      </w:r>
      <w:r w:rsidR="005C2AF4">
        <w:t xml:space="preserve"> </w:t>
      </w:r>
      <w:r w:rsidR="006F69EC">
        <w:t>These contracts expired May 31, 2011.</w:t>
      </w:r>
    </w:p>
    <w:p w:rsidR="00B162E2" w:rsidRPr="00B162E2" w:rsidRDefault="00B162E2" w:rsidP="00B162E2">
      <w:pPr>
        <w:spacing w:after="0"/>
        <w:contextualSpacing/>
        <w:jc w:val="center"/>
        <w:rPr>
          <w:b/>
          <w:u w:val="single"/>
        </w:rPr>
      </w:pPr>
      <w:r w:rsidRPr="00B162E2">
        <w:rPr>
          <w:b/>
          <w:u w:val="single"/>
        </w:rPr>
        <w:lastRenderedPageBreak/>
        <w:t>Summary</w:t>
      </w:r>
      <w:r w:rsidR="004E3FED">
        <w:rPr>
          <w:b/>
          <w:u w:val="single"/>
        </w:rPr>
        <w:t>/Conclusion</w:t>
      </w:r>
      <w:r w:rsidR="00BD4A7A">
        <w:rPr>
          <w:b/>
          <w:u w:val="single"/>
        </w:rPr>
        <w:t xml:space="preserve"> (continued)</w:t>
      </w:r>
    </w:p>
    <w:p w:rsidR="00B162E2" w:rsidRDefault="00B162E2" w:rsidP="001A07E3">
      <w:pPr>
        <w:spacing w:after="0"/>
        <w:contextualSpacing/>
      </w:pPr>
    </w:p>
    <w:p w:rsidR="00B162E2" w:rsidRDefault="00B162E2" w:rsidP="001A07E3">
      <w:pPr>
        <w:spacing w:after="0"/>
        <w:contextualSpacing/>
      </w:pPr>
    </w:p>
    <w:p w:rsidR="00B162E2" w:rsidRDefault="00B162E2" w:rsidP="00B162E2">
      <w:pPr>
        <w:tabs>
          <w:tab w:val="left" w:pos="720"/>
        </w:tabs>
        <w:spacing w:after="0"/>
        <w:contextualSpacing/>
      </w:pPr>
      <w:r>
        <w:tab/>
      </w:r>
      <w:r w:rsidRPr="00B162E2">
        <w:t xml:space="preserve">POLR V </w:t>
      </w:r>
      <w:r>
        <w:t xml:space="preserve">provides </w:t>
      </w:r>
      <w:r w:rsidRPr="00B162E2">
        <w:t xml:space="preserve">default service to </w:t>
      </w:r>
      <w:r>
        <w:t>Duquesne’s</w:t>
      </w:r>
      <w:r w:rsidRPr="00B162E2">
        <w:t xml:space="preserve"> customers from January 1, 2011 through May 31, 2013. </w:t>
      </w:r>
      <w:r>
        <w:t xml:space="preserve"> </w:t>
      </w:r>
      <w:r w:rsidRPr="00B162E2">
        <w:t xml:space="preserve">Duquesne </w:t>
      </w:r>
      <w:r>
        <w:t xml:space="preserve">has </w:t>
      </w:r>
      <w:r w:rsidR="007869F9">
        <w:t>earned</w:t>
      </w:r>
      <w:r w:rsidRPr="00B162E2">
        <w:t xml:space="preserve"> a profit on its residential and lighting default service plan</w:t>
      </w:r>
      <w:r>
        <w:t xml:space="preserve"> for the period, January 1, 2011 through July 31, 2011</w:t>
      </w:r>
      <w:r w:rsidRPr="00B162E2">
        <w:t>.</w:t>
      </w:r>
      <w:r>
        <w:t xml:space="preserve">  </w:t>
      </w:r>
      <w:r w:rsidR="00DB2B4F">
        <w:t xml:space="preserve">Although it currently appears the program will remain profitable, </w:t>
      </w:r>
      <w:r w:rsidR="007869F9">
        <w:t>the Bureau of Audits</w:t>
      </w:r>
      <w:r w:rsidRPr="00B162E2">
        <w:t xml:space="preserve"> cannot </w:t>
      </w:r>
      <w:r w:rsidR="00DB2B4F">
        <w:t>state with certainty</w:t>
      </w:r>
      <w:r w:rsidRPr="00B162E2">
        <w:t xml:space="preserve"> that the program will continue to be profitable because of the </w:t>
      </w:r>
      <w:r w:rsidR="00DB2B4F">
        <w:t xml:space="preserve">many </w:t>
      </w:r>
      <w:r w:rsidRPr="00B162E2">
        <w:t>variables</w:t>
      </w:r>
      <w:r w:rsidR="00FB2358">
        <w:t xml:space="preserve"> and risks</w:t>
      </w:r>
      <w:r>
        <w:t xml:space="preserve"> involved with the POLR V program, such as, the commodity </w:t>
      </w:r>
      <w:r w:rsidRPr="00B162E2">
        <w:t xml:space="preserve">market, </w:t>
      </w:r>
      <w:r w:rsidR="00FB2358">
        <w:t xml:space="preserve">capacity pricing, </w:t>
      </w:r>
      <w:r w:rsidRPr="00B162E2">
        <w:t xml:space="preserve">demand, customers </w:t>
      </w:r>
      <w:r w:rsidR="007869F9">
        <w:t>shopping</w:t>
      </w:r>
      <w:r w:rsidRPr="00B162E2">
        <w:t>, PJM etc.</w:t>
      </w:r>
    </w:p>
    <w:p w:rsidR="00D312C6" w:rsidRDefault="00D312C6" w:rsidP="001A07E3">
      <w:pPr>
        <w:spacing w:after="0"/>
        <w:contextualSpacing/>
        <w:sectPr w:rsidR="00D312C6" w:rsidSect="000926DD">
          <w:pgSz w:w="12240" w:h="15840" w:code="1"/>
          <w:pgMar w:top="1440" w:right="1440" w:bottom="1152" w:left="1440" w:header="720" w:footer="630" w:gutter="0"/>
          <w:cols w:space="720"/>
          <w:docGrid w:linePitch="360"/>
        </w:sectPr>
      </w:pPr>
    </w:p>
    <w:p w:rsidR="00215ECA" w:rsidRPr="00F13DB5" w:rsidRDefault="00215ECA" w:rsidP="007B3626">
      <w:pPr>
        <w:jc w:val="center"/>
        <w:rPr>
          <w:b/>
          <w:sz w:val="26"/>
          <w:szCs w:val="26"/>
          <w:u w:val="single"/>
        </w:rPr>
      </w:pPr>
      <w:r w:rsidRPr="00F13DB5">
        <w:rPr>
          <w:b/>
          <w:sz w:val="26"/>
          <w:szCs w:val="26"/>
          <w:u w:val="single"/>
        </w:rPr>
        <w:lastRenderedPageBreak/>
        <w:t xml:space="preserve">Statement of Income For Residential and Lighting </w:t>
      </w:r>
      <w:r w:rsidR="00C61E46">
        <w:rPr>
          <w:b/>
          <w:sz w:val="26"/>
          <w:szCs w:val="26"/>
          <w:u w:val="single"/>
        </w:rPr>
        <w:t>POLR V</w:t>
      </w:r>
      <w:r w:rsidRPr="00F13DB5">
        <w:rPr>
          <w:b/>
          <w:sz w:val="26"/>
          <w:szCs w:val="26"/>
          <w:u w:val="single"/>
        </w:rPr>
        <w:t xml:space="preserve"> Program</w:t>
      </w:r>
    </w:p>
    <w:p w:rsidR="00503A9A" w:rsidRDefault="007B3626" w:rsidP="007B3626">
      <w:pPr>
        <w:jc w:val="center"/>
        <w:rPr>
          <w:b/>
          <w:sz w:val="26"/>
          <w:szCs w:val="26"/>
          <w:u w:val="single"/>
        </w:rPr>
      </w:pPr>
      <w:r w:rsidRPr="00F13DB5">
        <w:rPr>
          <w:b/>
          <w:sz w:val="26"/>
          <w:szCs w:val="26"/>
          <w:u w:val="single"/>
        </w:rPr>
        <w:t>For The Seven Months Ended July 31, 2011</w:t>
      </w:r>
      <w:r w:rsidR="001B74DD">
        <w:rPr>
          <w:b/>
          <w:sz w:val="26"/>
          <w:szCs w:val="26"/>
          <w:u w:val="single"/>
        </w:rPr>
        <w:t xml:space="preserve"> </w:t>
      </w:r>
    </w:p>
    <w:p w:rsidR="00A17D2F" w:rsidRPr="00F13DB5" w:rsidRDefault="00A17D2F" w:rsidP="007B3626">
      <w:pPr>
        <w:jc w:val="center"/>
        <w:rPr>
          <w:b/>
          <w:sz w:val="26"/>
          <w:szCs w:val="26"/>
          <w:u w:val="single"/>
        </w:rPr>
      </w:pPr>
      <w:r>
        <w:rPr>
          <w:b/>
          <w:sz w:val="26"/>
          <w:szCs w:val="26"/>
          <w:u w:val="single"/>
        </w:rPr>
        <w:t>(Staff-Prepared)</w:t>
      </w:r>
      <w:r>
        <w:rPr>
          <w:rStyle w:val="FootnoteReference"/>
          <w:b/>
          <w:sz w:val="26"/>
          <w:szCs w:val="26"/>
          <w:u w:val="single"/>
        </w:rPr>
        <w:footnoteReference w:id="1"/>
      </w:r>
    </w:p>
    <w:p w:rsidR="007B3626" w:rsidRPr="00F13DB5" w:rsidRDefault="007B3626" w:rsidP="007B3626">
      <w:pPr>
        <w:jc w:val="center"/>
        <w:rPr>
          <w:b/>
          <w:sz w:val="26"/>
          <w:szCs w:val="26"/>
          <w:u w:val="single"/>
        </w:rPr>
      </w:pPr>
    </w:p>
    <w:p w:rsidR="007B3626" w:rsidRDefault="00A17D2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B74DD">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330"/>
      </w:tblGrid>
      <w:tr w:rsidR="001B74DD" w:rsidTr="001B74DD">
        <w:tc>
          <w:tcPr>
            <w:tcW w:w="5148" w:type="dxa"/>
          </w:tcPr>
          <w:p w:rsidR="001B74DD" w:rsidRDefault="001B74DD">
            <w:pPr>
              <w:rPr>
                <w:sz w:val="26"/>
                <w:szCs w:val="26"/>
              </w:rPr>
            </w:pPr>
          </w:p>
        </w:tc>
        <w:tc>
          <w:tcPr>
            <w:tcW w:w="3330" w:type="dxa"/>
          </w:tcPr>
          <w:p w:rsidR="001B74DD" w:rsidRPr="001B74DD" w:rsidRDefault="001B74DD" w:rsidP="001C3EE6">
            <w:pPr>
              <w:tabs>
                <w:tab w:val="decimal" w:pos="1584"/>
              </w:tabs>
              <w:rPr>
                <w:i/>
                <w:sz w:val="26"/>
                <w:szCs w:val="26"/>
              </w:rPr>
            </w:pPr>
            <w:r w:rsidRPr="001B74DD">
              <w:rPr>
                <w:i/>
                <w:sz w:val="26"/>
                <w:szCs w:val="26"/>
              </w:rPr>
              <w:t>(in thousands of dollars)</w:t>
            </w:r>
          </w:p>
        </w:tc>
      </w:tr>
      <w:tr w:rsidR="00503A9A" w:rsidTr="001B74DD">
        <w:tc>
          <w:tcPr>
            <w:tcW w:w="5148" w:type="dxa"/>
          </w:tcPr>
          <w:p w:rsidR="00503A9A" w:rsidRDefault="00503A9A">
            <w:pPr>
              <w:rPr>
                <w:sz w:val="26"/>
                <w:szCs w:val="26"/>
              </w:rPr>
            </w:pPr>
            <w:r>
              <w:rPr>
                <w:sz w:val="26"/>
                <w:szCs w:val="26"/>
              </w:rPr>
              <w:t>Total Operating Revenues</w:t>
            </w:r>
          </w:p>
        </w:tc>
        <w:tc>
          <w:tcPr>
            <w:tcW w:w="3330" w:type="dxa"/>
          </w:tcPr>
          <w:p w:rsidR="00503A9A" w:rsidRDefault="0068183C" w:rsidP="00907F78">
            <w:pPr>
              <w:tabs>
                <w:tab w:val="decimal" w:pos="2520"/>
              </w:tabs>
              <w:rPr>
                <w:sz w:val="26"/>
                <w:szCs w:val="26"/>
              </w:rPr>
            </w:pPr>
            <w:r>
              <w:rPr>
                <w:sz w:val="26"/>
                <w:szCs w:val="26"/>
              </w:rPr>
              <w:t>Begin Proprietary</w:t>
            </w:r>
          </w:p>
        </w:tc>
      </w:tr>
      <w:tr w:rsidR="00503A9A" w:rsidTr="001B74DD">
        <w:tc>
          <w:tcPr>
            <w:tcW w:w="5148" w:type="dxa"/>
          </w:tcPr>
          <w:p w:rsidR="00503A9A" w:rsidRDefault="00503A9A">
            <w:pPr>
              <w:rPr>
                <w:sz w:val="26"/>
                <w:szCs w:val="26"/>
              </w:rPr>
            </w:pP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503A9A">
            <w:pPr>
              <w:rPr>
                <w:sz w:val="26"/>
                <w:szCs w:val="26"/>
              </w:rPr>
            </w:pPr>
            <w:r>
              <w:rPr>
                <w:sz w:val="26"/>
                <w:szCs w:val="26"/>
              </w:rPr>
              <w:t>Operating Expenses</w:t>
            </w: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785E95" w:rsidP="00E7706E">
            <w:pPr>
              <w:tabs>
                <w:tab w:val="left" w:pos="216"/>
              </w:tabs>
              <w:rPr>
                <w:sz w:val="26"/>
                <w:szCs w:val="26"/>
              </w:rPr>
            </w:pPr>
            <w:r>
              <w:rPr>
                <w:sz w:val="26"/>
                <w:szCs w:val="26"/>
              </w:rPr>
              <w:tab/>
            </w:r>
            <w:r w:rsidR="00503A9A">
              <w:rPr>
                <w:sz w:val="26"/>
                <w:szCs w:val="26"/>
              </w:rPr>
              <w:t>Energy</w:t>
            </w: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785E95" w:rsidP="00E7706E">
            <w:pPr>
              <w:tabs>
                <w:tab w:val="left" w:pos="216"/>
              </w:tabs>
              <w:rPr>
                <w:sz w:val="26"/>
                <w:szCs w:val="26"/>
              </w:rPr>
            </w:pPr>
            <w:r>
              <w:rPr>
                <w:sz w:val="26"/>
                <w:szCs w:val="26"/>
              </w:rPr>
              <w:tab/>
            </w:r>
            <w:r w:rsidR="00503A9A">
              <w:rPr>
                <w:sz w:val="26"/>
                <w:szCs w:val="26"/>
              </w:rPr>
              <w:t>Capacity</w:t>
            </w: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785E95" w:rsidP="00E7706E">
            <w:pPr>
              <w:tabs>
                <w:tab w:val="left" w:pos="216"/>
              </w:tabs>
              <w:rPr>
                <w:sz w:val="26"/>
                <w:szCs w:val="26"/>
              </w:rPr>
            </w:pPr>
            <w:r>
              <w:rPr>
                <w:sz w:val="26"/>
                <w:szCs w:val="26"/>
              </w:rPr>
              <w:tab/>
            </w:r>
            <w:r w:rsidR="00503A9A">
              <w:rPr>
                <w:sz w:val="26"/>
                <w:szCs w:val="26"/>
              </w:rPr>
              <w:t>PJM Auction Revenue Rights</w:t>
            </w: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785E95" w:rsidP="00E7706E">
            <w:pPr>
              <w:tabs>
                <w:tab w:val="left" w:pos="216"/>
              </w:tabs>
              <w:rPr>
                <w:sz w:val="26"/>
                <w:szCs w:val="26"/>
              </w:rPr>
            </w:pPr>
            <w:r>
              <w:rPr>
                <w:sz w:val="26"/>
                <w:szCs w:val="26"/>
              </w:rPr>
              <w:tab/>
            </w:r>
            <w:r w:rsidR="00503A9A">
              <w:rPr>
                <w:sz w:val="26"/>
                <w:szCs w:val="26"/>
              </w:rPr>
              <w:t xml:space="preserve">O&amp;M </w:t>
            </w: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785E95" w:rsidP="00E7706E">
            <w:pPr>
              <w:tabs>
                <w:tab w:val="left" w:pos="216"/>
              </w:tabs>
              <w:rPr>
                <w:sz w:val="26"/>
                <w:szCs w:val="26"/>
              </w:rPr>
            </w:pPr>
            <w:r>
              <w:rPr>
                <w:sz w:val="26"/>
                <w:szCs w:val="26"/>
              </w:rPr>
              <w:tab/>
            </w:r>
            <w:r w:rsidR="00503A9A">
              <w:rPr>
                <w:sz w:val="26"/>
                <w:szCs w:val="26"/>
              </w:rPr>
              <w:t>Gross Receipts Tax</w:t>
            </w:r>
          </w:p>
        </w:tc>
        <w:tc>
          <w:tcPr>
            <w:tcW w:w="3330" w:type="dxa"/>
          </w:tcPr>
          <w:p w:rsidR="00503A9A" w:rsidRPr="00503A9A" w:rsidRDefault="00503A9A" w:rsidP="001C3EE6">
            <w:pPr>
              <w:tabs>
                <w:tab w:val="decimal" w:pos="1584"/>
              </w:tabs>
              <w:rPr>
                <w:sz w:val="26"/>
                <w:szCs w:val="26"/>
                <w:u w:val="single"/>
              </w:rPr>
            </w:pPr>
          </w:p>
        </w:tc>
      </w:tr>
      <w:tr w:rsidR="00503A9A" w:rsidTr="001B74DD">
        <w:tc>
          <w:tcPr>
            <w:tcW w:w="5148" w:type="dxa"/>
          </w:tcPr>
          <w:p w:rsidR="00503A9A" w:rsidRDefault="00503A9A">
            <w:pPr>
              <w:rPr>
                <w:sz w:val="26"/>
                <w:szCs w:val="26"/>
              </w:rPr>
            </w:pPr>
            <w:r>
              <w:rPr>
                <w:sz w:val="26"/>
                <w:szCs w:val="26"/>
              </w:rPr>
              <w:t>Total Operating Expenses</w:t>
            </w:r>
          </w:p>
        </w:tc>
        <w:tc>
          <w:tcPr>
            <w:tcW w:w="3330" w:type="dxa"/>
          </w:tcPr>
          <w:p w:rsidR="00503A9A" w:rsidRPr="00503A9A" w:rsidRDefault="00503A9A" w:rsidP="001C3EE6">
            <w:pPr>
              <w:tabs>
                <w:tab w:val="decimal" w:pos="1584"/>
              </w:tabs>
              <w:rPr>
                <w:sz w:val="26"/>
                <w:szCs w:val="26"/>
                <w:u w:val="single"/>
              </w:rPr>
            </w:pPr>
          </w:p>
        </w:tc>
      </w:tr>
      <w:tr w:rsidR="00503A9A" w:rsidTr="001B74DD">
        <w:tc>
          <w:tcPr>
            <w:tcW w:w="5148" w:type="dxa"/>
          </w:tcPr>
          <w:p w:rsidR="00503A9A" w:rsidRDefault="00503A9A">
            <w:pPr>
              <w:rPr>
                <w:sz w:val="26"/>
                <w:szCs w:val="26"/>
              </w:rPr>
            </w:pP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503A9A">
            <w:pPr>
              <w:rPr>
                <w:sz w:val="26"/>
                <w:szCs w:val="26"/>
              </w:rPr>
            </w:pPr>
            <w:r>
              <w:rPr>
                <w:sz w:val="26"/>
                <w:szCs w:val="26"/>
              </w:rPr>
              <w:t>Operating Income</w:t>
            </w: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503A9A">
            <w:pPr>
              <w:rPr>
                <w:sz w:val="26"/>
                <w:szCs w:val="26"/>
              </w:rPr>
            </w:pP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785E95" w:rsidP="00E7706E">
            <w:pPr>
              <w:tabs>
                <w:tab w:val="left" w:pos="216"/>
              </w:tabs>
              <w:rPr>
                <w:sz w:val="26"/>
                <w:szCs w:val="26"/>
              </w:rPr>
            </w:pPr>
            <w:r>
              <w:rPr>
                <w:sz w:val="26"/>
                <w:szCs w:val="26"/>
              </w:rPr>
              <w:tab/>
            </w:r>
            <w:r w:rsidR="00503A9A">
              <w:rPr>
                <w:sz w:val="26"/>
                <w:szCs w:val="26"/>
              </w:rPr>
              <w:t>Income Tax Expense</w:t>
            </w:r>
            <w:r w:rsidR="001C3EE6">
              <w:rPr>
                <w:rStyle w:val="FootnoteReference"/>
                <w:sz w:val="26"/>
                <w:szCs w:val="26"/>
              </w:rPr>
              <w:footnoteReference w:id="2"/>
            </w:r>
          </w:p>
        </w:tc>
        <w:tc>
          <w:tcPr>
            <w:tcW w:w="3330" w:type="dxa"/>
          </w:tcPr>
          <w:p w:rsidR="00503A9A" w:rsidRPr="00503A9A" w:rsidRDefault="00503A9A" w:rsidP="001C3EE6">
            <w:pPr>
              <w:tabs>
                <w:tab w:val="decimal" w:pos="1584"/>
              </w:tabs>
              <w:rPr>
                <w:sz w:val="26"/>
                <w:szCs w:val="26"/>
                <w:u w:val="single"/>
              </w:rPr>
            </w:pPr>
          </w:p>
        </w:tc>
      </w:tr>
      <w:tr w:rsidR="00503A9A" w:rsidTr="001B74DD">
        <w:tc>
          <w:tcPr>
            <w:tcW w:w="5148" w:type="dxa"/>
          </w:tcPr>
          <w:p w:rsidR="00503A9A" w:rsidRDefault="00503A9A">
            <w:pPr>
              <w:rPr>
                <w:sz w:val="26"/>
                <w:szCs w:val="26"/>
              </w:rPr>
            </w:pPr>
          </w:p>
        </w:tc>
        <w:tc>
          <w:tcPr>
            <w:tcW w:w="3330" w:type="dxa"/>
          </w:tcPr>
          <w:p w:rsidR="00503A9A" w:rsidRDefault="00503A9A" w:rsidP="001C3EE6">
            <w:pPr>
              <w:tabs>
                <w:tab w:val="decimal" w:pos="1584"/>
              </w:tabs>
              <w:rPr>
                <w:sz w:val="26"/>
                <w:szCs w:val="26"/>
              </w:rPr>
            </w:pPr>
          </w:p>
        </w:tc>
      </w:tr>
      <w:tr w:rsidR="00503A9A" w:rsidTr="001B74DD">
        <w:tc>
          <w:tcPr>
            <w:tcW w:w="5148" w:type="dxa"/>
          </w:tcPr>
          <w:p w:rsidR="00503A9A" w:rsidRDefault="00503A9A">
            <w:pPr>
              <w:rPr>
                <w:sz w:val="26"/>
                <w:szCs w:val="26"/>
              </w:rPr>
            </w:pPr>
            <w:r>
              <w:rPr>
                <w:sz w:val="26"/>
                <w:szCs w:val="26"/>
              </w:rPr>
              <w:t>Net Income</w:t>
            </w:r>
          </w:p>
        </w:tc>
        <w:tc>
          <w:tcPr>
            <w:tcW w:w="3330" w:type="dxa"/>
          </w:tcPr>
          <w:p w:rsidR="00503A9A" w:rsidRPr="00907F78" w:rsidRDefault="0068183C" w:rsidP="00907F78">
            <w:pPr>
              <w:tabs>
                <w:tab w:val="decimal" w:pos="2520"/>
              </w:tabs>
              <w:rPr>
                <w:sz w:val="26"/>
                <w:szCs w:val="26"/>
              </w:rPr>
            </w:pPr>
            <w:r w:rsidRPr="00907F78">
              <w:rPr>
                <w:sz w:val="26"/>
                <w:szCs w:val="26"/>
              </w:rPr>
              <w:t>End Proprietary</w:t>
            </w:r>
          </w:p>
        </w:tc>
      </w:tr>
      <w:tr w:rsidR="00503A9A" w:rsidTr="001B74DD">
        <w:tc>
          <w:tcPr>
            <w:tcW w:w="5148" w:type="dxa"/>
          </w:tcPr>
          <w:p w:rsidR="00503A9A" w:rsidRDefault="00246154">
            <w:pPr>
              <w:rPr>
                <w:sz w:val="26"/>
                <w:szCs w:val="26"/>
              </w:rPr>
            </w:pPr>
            <w:r>
              <w:br w:type="page"/>
            </w:r>
          </w:p>
        </w:tc>
        <w:tc>
          <w:tcPr>
            <w:tcW w:w="3330" w:type="dxa"/>
          </w:tcPr>
          <w:p w:rsidR="00503A9A" w:rsidRDefault="00503A9A" w:rsidP="00503A9A">
            <w:pPr>
              <w:jc w:val="right"/>
              <w:rPr>
                <w:sz w:val="26"/>
                <w:szCs w:val="26"/>
              </w:rPr>
            </w:pPr>
          </w:p>
        </w:tc>
      </w:tr>
    </w:tbl>
    <w:p w:rsidR="00DE6133" w:rsidRDefault="00DE6133" w:rsidP="00F13DB5">
      <w:pPr>
        <w:spacing w:after="0"/>
        <w:contextualSpacing/>
        <w:rPr>
          <w:b/>
          <w:sz w:val="26"/>
          <w:szCs w:val="26"/>
          <w:u w:val="single"/>
        </w:rPr>
      </w:pPr>
    </w:p>
    <w:p w:rsidR="000926DD" w:rsidRDefault="000926DD">
      <w:pPr>
        <w:rPr>
          <w:b/>
          <w:sz w:val="26"/>
          <w:szCs w:val="26"/>
          <w:u w:val="single"/>
        </w:rPr>
        <w:sectPr w:rsidR="000926DD" w:rsidSect="000926DD">
          <w:headerReference w:type="even" r:id="rId15"/>
          <w:headerReference w:type="first" r:id="rId16"/>
          <w:pgSz w:w="12240" w:h="15840" w:code="1"/>
          <w:pgMar w:top="1440" w:right="1440" w:bottom="1152" w:left="1440" w:header="720" w:footer="630" w:gutter="0"/>
          <w:cols w:space="720"/>
          <w:docGrid w:linePitch="360"/>
        </w:sectPr>
      </w:pPr>
    </w:p>
    <w:p w:rsidR="00F164CB" w:rsidRPr="00475E53" w:rsidRDefault="00F164CB" w:rsidP="00F164CB">
      <w:pPr>
        <w:spacing w:after="0"/>
        <w:contextualSpacing/>
        <w:jc w:val="center"/>
        <w:rPr>
          <w:b/>
          <w:sz w:val="26"/>
          <w:szCs w:val="26"/>
          <w:u w:val="single"/>
        </w:rPr>
      </w:pPr>
      <w:r w:rsidRPr="00475E53">
        <w:rPr>
          <w:b/>
          <w:sz w:val="26"/>
          <w:szCs w:val="26"/>
          <w:u w:val="single"/>
        </w:rPr>
        <w:lastRenderedPageBreak/>
        <w:t>ACKNOWLEDGEMENTS</w:t>
      </w:r>
    </w:p>
    <w:p w:rsidR="00F164CB" w:rsidRDefault="00F164CB" w:rsidP="00564775">
      <w:pPr>
        <w:spacing w:after="0"/>
        <w:contextualSpacing/>
        <w:rPr>
          <w:b/>
          <w:u w:val="single"/>
        </w:rPr>
      </w:pPr>
    </w:p>
    <w:p w:rsidR="00F164CB" w:rsidRDefault="00F164CB" w:rsidP="00564775">
      <w:pPr>
        <w:spacing w:after="0"/>
        <w:contextualSpacing/>
        <w:rPr>
          <w:b/>
          <w:u w:val="single"/>
        </w:rPr>
      </w:pPr>
    </w:p>
    <w:p w:rsidR="00F164CB" w:rsidRPr="00F164CB" w:rsidRDefault="00F164CB" w:rsidP="00F164CB">
      <w:pPr>
        <w:spacing w:after="0"/>
        <w:contextualSpacing/>
      </w:pPr>
      <w:r>
        <w:tab/>
        <w:t xml:space="preserve">We wish to express our appreciation to the management of </w:t>
      </w:r>
      <w:r w:rsidR="00DC5E17">
        <w:t>Duquesne Light Company</w:t>
      </w:r>
      <w:r>
        <w:t xml:space="preserve"> for the assistance given us during the course of our review.  The review was conducted by </w:t>
      </w:r>
      <w:r w:rsidR="00DC5E17">
        <w:t>Barbara A. Sidor</w:t>
      </w:r>
      <w:r w:rsidR="00544A08">
        <w:t>, CPA</w:t>
      </w:r>
      <w:r>
        <w:t xml:space="preserve"> of the Bureau of Audits – Western Region.</w:t>
      </w:r>
    </w:p>
    <w:p w:rsidR="0083799A" w:rsidRDefault="0083799A" w:rsidP="0083799A">
      <w:pPr>
        <w:spacing w:after="0"/>
      </w:pPr>
    </w:p>
    <w:p w:rsidR="0083799A" w:rsidRPr="004C7857" w:rsidRDefault="0083799A" w:rsidP="0083799A">
      <w:pPr>
        <w:spacing w:after="0"/>
      </w:pPr>
    </w:p>
    <w:p w:rsidR="00041101" w:rsidRDefault="00041101" w:rsidP="0086422F"/>
    <w:sectPr w:rsidR="00041101" w:rsidSect="000926DD">
      <w:headerReference w:type="default" r:id="rId17"/>
      <w:pgSz w:w="12240" w:h="15840" w:code="1"/>
      <w:pgMar w:top="1440" w:right="1440" w:bottom="1152" w:left="1440"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DE" w:rsidRDefault="009E1DDE" w:rsidP="00340AE5">
      <w:pPr>
        <w:spacing w:after="0"/>
      </w:pPr>
      <w:r>
        <w:separator/>
      </w:r>
    </w:p>
  </w:endnote>
  <w:endnote w:type="continuationSeparator" w:id="0">
    <w:p w:rsidR="009E1DDE" w:rsidRDefault="009E1DDE" w:rsidP="00340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6DD" w:rsidRDefault="000926DD">
    <w:pPr>
      <w:pStyle w:val="Footer"/>
      <w:jc w:val="center"/>
    </w:pPr>
  </w:p>
  <w:p w:rsidR="00037710" w:rsidRDefault="00037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805732"/>
      <w:docPartObj>
        <w:docPartGallery w:val="Page Numbers (Bottom of Page)"/>
        <w:docPartUnique/>
      </w:docPartObj>
    </w:sdtPr>
    <w:sdtEndPr>
      <w:rPr>
        <w:noProof/>
      </w:rPr>
    </w:sdtEndPr>
    <w:sdtContent>
      <w:p w:rsidR="000926DD" w:rsidRDefault="0028117D">
        <w:pPr>
          <w:pStyle w:val="Footer"/>
          <w:jc w:val="center"/>
        </w:pPr>
        <w:r>
          <w:fldChar w:fldCharType="begin"/>
        </w:r>
        <w:r w:rsidR="000926DD">
          <w:instrText xml:space="preserve"> PAGE   \* MERGEFORMAT </w:instrText>
        </w:r>
        <w:r>
          <w:fldChar w:fldCharType="separate"/>
        </w:r>
        <w:r w:rsidR="004E5E72">
          <w:rPr>
            <w:noProof/>
          </w:rPr>
          <w:t>3</w:t>
        </w:r>
        <w:r>
          <w:rPr>
            <w:noProof/>
          </w:rPr>
          <w:fldChar w:fldCharType="end"/>
        </w:r>
      </w:p>
    </w:sdtContent>
  </w:sdt>
  <w:p w:rsidR="000926DD" w:rsidRDefault="00092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DE" w:rsidRDefault="009E1DDE" w:rsidP="00340AE5">
      <w:pPr>
        <w:spacing w:after="0"/>
      </w:pPr>
      <w:r>
        <w:separator/>
      </w:r>
    </w:p>
  </w:footnote>
  <w:footnote w:type="continuationSeparator" w:id="0">
    <w:p w:rsidR="009E1DDE" w:rsidRDefault="009E1DDE" w:rsidP="00340AE5">
      <w:pPr>
        <w:spacing w:after="0"/>
      </w:pPr>
      <w:r>
        <w:continuationSeparator/>
      </w:r>
    </w:p>
  </w:footnote>
  <w:footnote w:id="1">
    <w:p w:rsidR="00A17D2F" w:rsidRDefault="00A17D2F">
      <w:pPr>
        <w:pStyle w:val="FootnoteText"/>
      </w:pPr>
      <w:r>
        <w:rPr>
          <w:rStyle w:val="FootnoteReference"/>
        </w:rPr>
        <w:footnoteRef/>
      </w:r>
      <w:r>
        <w:t xml:space="preserve">  The preparation of the financial statement was limited to staff summarizing the seven month financial statement provided by the Company. </w:t>
      </w:r>
    </w:p>
  </w:footnote>
  <w:footnote w:id="2">
    <w:p w:rsidR="001C3EE6" w:rsidRDefault="001C3EE6">
      <w:pPr>
        <w:pStyle w:val="FootnoteText"/>
      </w:pPr>
      <w:r>
        <w:rPr>
          <w:rStyle w:val="FootnoteReference"/>
        </w:rPr>
        <w:footnoteRef/>
      </w:r>
      <w:r>
        <w:t xml:space="preserve"> Income Tax Expense is </w:t>
      </w:r>
      <w:r w:rsidRPr="001C3EE6">
        <w:t>based on a combined Fed</w:t>
      </w:r>
      <w:r>
        <w:t xml:space="preserve">eral and State </w:t>
      </w:r>
      <w:r w:rsidR="00F90B8F">
        <w:t xml:space="preserve">tax </w:t>
      </w:r>
      <w:r>
        <w:t xml:space="preserve">rate of </w:t>
      </w:r>
      <w:r w:rsidR="00907F78">
        <w:t>[Begin Proprietary  End Proprietary].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E6" w:rsidRPr="0079375C" w:rsidRDefault="005D67E6" w:rsidP="00544A08">
    <w:pPr>
      <w:pStyle w:val="Header"/>
      <w:jc w:val="center"/>
      <w:rPr>
        <w:b/>
        <w:sz w:val="26"/>
        <w:szCs w:val="2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98" w:rsidRPr="0079375C" w:rsidRDefault="005C0019" w:rsidP="00544A08">
    <w:pPr>
      <w:pStyle w:val="Header"/>
      <w:jc w:val="center"/>
      <w:rPr>
        <w:b/>
        <w:sz w:val="26"/>
        <w:szCs w:val="26"/>
        <w:u w:val="single"/>
      </w:rPr>
    </w:pPr>
    <w:r>
      <w:rPr>
        <w:b/>
        <w:sz w:val="26"/>
        <w:szCs w:val="26"/>
        <w:u w:val="single"/>
      </w:rPr>
      <w:t>D</w:t>
    </w:r>
    <w:r w:rsidR="00000098" w:rsidRPr="00000098">
      <w:rPr>
        <w:b/>
        <w:sz w:val="26"/>
        <w:szCs w:val="26"/>
        <w:u w:val="single"/>
      </w:rPr>
      <w:t>uquesne Light Company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E6" w:rsidRDefault="005D67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E6" w:rsidRDefault="005D67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E6" w:rsidRDefault="005D67E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7E6" w:rsidRDefault="005D67E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98" w:rsidRPr="0079375C" w:rsidRDefault="00000098" w:rsidP="00544A08">
    <w:pPr>
      <w:pStyle w:val="Header"/>
      <w:jc w:val="center"/>
      <w:rPr>
        <w:b/>
        <w:sz w:val="26"/>
        <w:szCs w:val="2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6B2"/>
    <w:multiLevelType w:val="hybridMultilevel"/>
    <w:tmpl w:val="872C0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846D9"/>
    <w:multiLevelType w:val="hybridMultilevel"/>
    <w:tmpl w:val="5FA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14BAF"/>
    <w:multiLevelType w:val="hybridMultilevel"/>
    <w:tmpl w:val="1638D1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AF778F"/>
    <w:multiLevelType w:val="hybridMultilevel"/>
    <w:tmpl w:val="DCA42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812328"/>
    <w:multiLevelType w:val="hybridMultilevel"/>
    <w:tmpl w:val="1638D1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CA3C03"/>
    <w:multiLevelType w:val="hybridMultilevel"/>
    <w:tmpl w:val="DE70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B0437"/>
    <w:multiLevelType w:val="hybridMultilevel"/>
    <w:tmpl w:val="D778CB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F939E3"/>
    <w:multiLevelType w:val="hybridMultilevel"/>
    <w:tmpl w:val="DE66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F2645"/>
    <w:multiLevelType w:val="hybridMultilevel"/>
    <w:tmpl w:val="129AE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0742AA"/>
    <w:multiLevelType w:val="hybridMultilevel"/>
    <w:tmpl w:val="8FD4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76DC2"/>
    <w:multiLevelType w:val="hybridMultilevel"/>
    <w:tmpl w:val="F914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60792"/>
    <w:multiLevelType w:val="hybridMultilevel"/>
    <w:tmpl w:val="3A8EAD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762D6BCC"/>
    <w:multiLevelType w:val="hybridMultilevel"/>
    <w:tmpl w:val="7416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7"/>
  </w:num>
  <w:num w:numId="4">
    <w:abstractNumId w:val="10"/>
  </w:num>
  <w:num w:numId="5">
    <w:abstractNumId w:val="1"/>
  </w:num>
  <w:num w:numId="6">
    <w:abstractNumId w:val="3"/>
  </w:num>
  <w:num w:numId="7">
    <w:abstractNumId w:val="5"/>
  </w:num>
  <w:num w:numId="8">
    <w:abstractNumId w:val="6"/>
  </w:num>
  <w:num w:numId="9">
    <w:abstractNumId w:val="4"/>
  </w:num>
  <w:num w:numId="10">
    <w:abstractNumId w:val="11"/>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E5"/>
    <w:rsid w:val="00000098"/>
    <w:rsid w:val="00003E31"/>
    <w:rsid w:val="000040FF"/>
    <w:rsid w:val="0000565C"/>
    <w:rsid w:val="00005CCF"/>
    <w:rsid w:val="000064DA"/>
    <w:rsid w:val="0001650C"/>
    <w:rsid w:val="000204A5"/>
    <w:rsid w:val="00022082"/>
    <w:rsid w:val="000230B1"/>
    <w:rsid w:val="00037710"/>
    <w:rsid w:val="00041101"/>
    <w:rsid w:val="00046C6D"/>
    <w:rsid w:val="00056107"/>
    <w:rsid w:val="000622EE"/>
    <w:rsid w:val="0006508D"/>
    <w:rsid w:val="000747DF"/>
    <w:rsid w:val="00080914"/>
    <w:rsid w:val="00085B20"/>
    <w:rsid w:val="000926DD"/>
    <w:rsid w:val="00093BD5"/>
    <w:rsid w:val="00095586"/>
    <w:rsid w:val="00097332"/>
    <w:rsid w:val="000A6A0A"/>
    <w:rsid w:val="000B17E4"/>
    <w:rsid w:val="000B23F8"/>
    <w:rsid w:val="000B5E4F"/>
    <w:rsid w:val="000C45F5"/>
    <w:rsid w:val="000D520A"/>
    <w:rsid w:val="000F6DAF"/>
    <w:rsid w:val="00105A38"/>
    <w:rsid w:val="00110403"/>
    <w:rsid w:val="0012631F"/>
    <w:rsid w:val="0013100E"/>
    <w:rsid w:val="001317CE"/>
    <w:rsid w:val="001377A2"/>
    <w:rsid w:val="00141502"/>
    <w:rsid w:val="0014452E"/>
    <w:rsid w:val="00145784"/>
    <w:rsid w:val="00155215"/>
    <w:rsid w:val="001628F9"/>
    <w:rsid w:val="0016632D"/>
    <w:rsid w:val="00185D69"/>
    <w:rsid w:val="00197DF0"/>
    <w:rsid w:val="001A07E3"/>
    <w:rsid w:val="001A329E"/>
    <w:rsid w:val="001B74DD"/>
    <w:rsid w:val="001C3EE6"/>
    <w:rsid w:val="001D0015"/>
    <w:rsid w:val="001D4A24"/>
    <w:rsid w:val="001E2F17"/>
    <w:rsid w:val="001E6570"/>
    <w:rsid w:val="00202067"/>
    <w:rsid w:val="002033CE"/>
    <w:rsid w:val="00210397"/>
    <w:rsid w:val="00210A53"/>
    <w:rsid w:val="00210CE0"/>
    <w:rsid w:val="002125C5"/>
    <w:rsid w:val="00215ECA"/>
    <w:rsid w:val="00221284"/>
    <w:rsid w:val="00227289"/>
    <w:rsid w:val="00245006"/>
    <w:rsid w:val="00246154"/>
    <w:rsid w:val="0025459E"/>
    <w:rsid w:val="00257A95"/>
    <w:rsid w:val="00257B3D"/>
    <w:rsid w:val="00260387"/>
    <w:rsid w:val="00267377"/>
    <w:rsid w:val="00281085"/>
    <w:rsid w:val="0028117D"/>
    <w:rsid w:val="0028676B"/>
    <w:rsid w:val="00287B20"/>
    <w:rsid w:val="00295CCD"/>
    <w:rsid w:val="002966F7"/>
    <w:rsid w:val="002A7B59"/>
    <w:rsid w:val="002B4A66"/>
    <w:rsid w:val="002C09EC"/>
    <w:rsid w:val="002C4B73"/>
    <w:rsid w:val="002D2013"/>
    <w:rsid w:val="002E2AE3"/>
    <w:rsid w:val="00300610"/>
    <w:rsid w:val="00305CC7"/>
    <w:rsid w:val="003149D6"/>
    <w:rsid w:val="00323C92"/>
    <w:rsid w:val="00327CF4"/>
    <w:rsid w:val="003323CF"/>
    <w:rsid w:val="00333133"/>
    <w:rsid w:val="00335BFF"/>
    <w:rsid w:val="003370A3"/>
    <w:rsid w:val="00340AE5"/>
    <w:rsid w:val="003456E3"/>
    <w:rsid w:val="00346CBC"/>
    <w:rsid w:val="0035099E"/>
    <w:rsid w:val="003518B0"/>
    <w:rsid w:val="003535D1"/>
    <w:rsid w:val="00357A29"/>
    <w:rsid w:val="00357B93"/>
    <w:rsid w:val="003610A0"/>
    <w:rsid w:val="003712D5"/>
    <w:rsid w:val="003942CE"/>
    <w:rsid w:val="003A4075"/>
    <w:rsid w:val="003B1157"/>
    <w:rsid w:val="003B336D"/>
    <w:rsid w:val="003B4005"/>
    <w:rsid w:val="003C1494"/>
    <w:rsid w:val="003C7A3E"/>
    <w:rsid w:val="003D3FBF"/>
    <w:rsid w:val="003E0E6E"/>
    <w:rsid w:val="003F5E35"/>
    <w:rsid w:val="0043247D"/>
    <w:rsid w:val="004340D9"/>
    <w:rsid w:val="004343E4"/>
    <w:rsid w:val="00450996"/>
    <w:rsid w:val="004509FE"/>
    <w:rsid w:val="00472C5F"/>
    <w:rsid w:val="0047442B"/>
    <w:rsid w:val="00475E53"/>
    <w:rsid w:val="00477B39"/>
    <w:rsid w:val="004838BF"/>
    <w:rsid w:val="0049477E"/>
    <w:rsid w:val="004A54F7"/>
    <w:rsid w:val="004A7442"/>
    <w:rsid w:val="004C1256"/>
    <w:rsid w:val="004C7857"/>
    <w:rsid w:val="004E0B4B"/>
    <w:rsid w:val="004E3FED"/>
    <w:rsid w:val="004E5E72"/>
    <w:rsid w:val="004F05A8"/>
    <w:rsid w:val="004F41DC"/>
    <w:rsid w:val="004F594C"/>
    <w:rsid w:val="004F6612"/>
    <w:rsid w:val="00503A9A"/>
    <w:rsid w:val="00507E30"/>
    <w:rsid w:val="0051799A"/>
    <w:rsid w:val="0052017B"/>
    <w:rsid w:val="00524A2C"/>
    <w:rsid w:val="00532F4B"/>
    <w:rsid w:val="00534D16"/>
    <w:rsid w:val="00541DB0"/>
    <w:rsid w:val="00544A08"/>
    <w:rsid w:val="00564775"/>
    <w:rsid w:val="00565C9F"/>
    <w:rsid w:val="00576094"/>
    <w:rsid w:val="00580542"/>
    <w:rsid w:val="00584E2E"/>
    <w:rsid w:val="005859D7"/>
    <w:rsid w:val="00587233"/>
    <w:rsid w:val="005B07E3"/>
    <w:rsid w:val="005B6FFF"/>
    <w:rsid w:val="005C0019"/>
    <w:rsid w:val="005C2AF4"/>
    <w:rsid w:val="005D5D30"/>
    <w:rsid w:val="005D67E6"/>
    <w:rsid w:val="005F1B72"/>
    <w:rsid w:val="005F50E5"/>
    <w:rsid w:val="005F553A"/>
    <w:rsid w:val="005F5D46"/>
    <w:rsid w:val="006079B5"/>
    <w:rsid w:val="00612ED5"/>
    <w:rsid w:val="00612EE6"/>
    <w:rsid w:val="00615C51"/>
    <w:rsid w:val="00617568"/>
    <w:rsid w:val="006227C1"/>
    <w:rsid w:val="00640695"/>
    <w:rsid w:val="00650207"/>
    <w:rsid w:val="006513BF"/>
    <w:rsid w:val="0065275B"/>
    <w:rsid w:val="00653BD2"/>
    <w:rsid w:val="00657541"/>
    <w:rsid w:val="00660DB3"/>
    <w:rsid w:val="006651B6"/>
    <w:rsid w:val="00671262"/>
    <w:rsid w:val="006800BC"/>
    <w:rsid w:val="0068183C"/>
    <w:rsid w:val="00683AB4"/>
    <w:rsid w:val="00690DA8"/>
    <w:rsid w:val="006924E9"/>
    <w:rsid w:val="006A1B4D"/>
    <w:rsid w:val="006A3C26"/>
    <w:rsid w:val="006A46FE"/>
    <w:rsid w:val="006A6F76"/>
    <w:rsid w:val="006B4B5A"/>
    <w:rsid w:val="006B563C"/>
    <w:rsid w:val="006D3BEC"/>
    <w:rsid w:val="006E1FF5"/>
    <w:rsid w:val="006F69EC"/>
    <w:rsid w:val="00702E1C"/>
    <w:rsid w:val="007110FF"/>
    <w:rsid w:val="00711B87"/>
    <w:rsid w:val="007153E7"/>
    <w:rsid w:val="0072415E"/>
    <w:rsid w:val="00725B81"/>
    <w:rsid w:val="00727621"/>
    <w:rsid w:val="00732837"/>
    <w:rsid w:val="00757954"/>
    <w:rsid w:val="007776DF"/>
    <w:rsid w:val="0078124A"/>
    <w:rsid w:val="0078246C"/>
    <w:rsid w:val="00785E95"/>
    <w:rsid w:val="007869F9"/>
    <w:rsid w:val="00787EAA"/>
    <w:rsid w:val="00792EAD"/>
    <w:rsid w:val="0079375C"/>
    <w:rsid w:val="007954DA"/>
    <w:rsid w:val="007A4C25"/>
    <w:rsid w:val="007A7391"/>
    <w:rsid w:val="007B3626"/>
    <w:rsid w:val="007C4A5B"/>
    <w:rsid w:val="007D2E5F"/>
    <w:rsid w:val="007D76A9"/>
    <w:rsid w:val="007E6D69"/>
    <w:rsid w:val="007E7874"/>
    <w:rsid w:val="007F7160"/>
    <w:rsid w:val="007F74E5"/>
    <w:rsid w:val="00802FF8"/>
    <w:rsid w:val="00816B90"/>
    <w:rsid w:val="00833F68"/>
    <w:rsid w:val="008368FE"/>
    <w:rsid w:val="0083799A"/>
    <w:rsid w:val="0086422F"/>
    <w:rsid w:val="00885031"/>
    <w:rsid w:val="0088586C"/>
    <w:rsid w:val="00896CE9"/>
    <w:rsid w:val="008A126C"/>
    <w:rsid w:val="008A491A"/>
    <w:rsid w:val="008B6626"/>
    <w:rsid w:val="008E55C4"/>
    <w:rsid w:val="008E5853"/>
    <w:rsid w:val="008F3995"/>
    <w:rsid w:val="00907F78"/>
    <w:rsid w:val="0091260E"/>
    <w:rsid w:val="00915EBB"/>
    <w:rsid w:val="00950BA5"/>
    <w:rsid w:val="00950F2B"/>
    <w:rsid w:val="0095525C"/>
    <w:rsid w:val="009555D2"/>
    <w:rsid w:val="009633EE"/>
    <w:rsid w:val="00970C64"/>
    <w:rsid w:val="0097248C"/>
    <w:rsid w:val="00992DC1"/>
    <w:rsid w:val="009A6604"/>
    <w:rsid w:val="009A7424"/>
    <w:rsid w:val="009B1C5A"/>
    <w:rsid w:val="009B381B"/>
    <w:rsid w:val="009B512C"/>
    <w:rsid w:val="009C0CD5"/>
    <w:rsid w:val="009C1E43"/>
    <w:rsid w:val="009C2AAF"/>
    <w:rsid w:val="009D399C"/>
    <w:rsid w:val="009E0462"/>
    <w:rsid w:val="009E1DDE"/>
    <w:rsid w:val="009F16E8"/>
    <w:rsid w:val="009F5A59"/>
    <w:rsid w:val="00A07068"/>
    <w:rsid w:val="00A17D2F"/>
    <w:rsid w:val="00A244C9"/>
    <w:rsid w:val="00A27E33"/>
    <w:rsid w:val="00A30411"/>
    <w:rsid w:val="00A4102E"/>
    <w:rsid w:val="00A44875"/>
    <w:rsid w:val="00A456D6"/>
    <w:rsid w:val="00A50C66"/>
    <w:rsid w:val="00A53C0F"/>
    <w:rsid w:val="00A56C04"/>
    <w:rsid w:val="00A65C16"/>
    <w:rsid w:val="00A75229"/>
    <w:rsid w:val="00A862E3"/>
    <w:rsid w:val="00A97960"/>
    <w:rsid w:val="00AA5A5C"/>
    <w:rsid w:val="00AB637A"/>
    <w:rsid w:val="00AC684A"/>
    <w:rsid w:val="00AC7607"/>
    <w:rsid w:val="00AD3660"/>
    <w:rsid w:val="00B11C79"/>
    <w:rsid w:val="00B162E2"/>
    <w:rsid w:val="00B237A4"/>
    <w:rsid w:val="00B241BC"/>
    <w:rsid w:val="00B40B7B"/>
    <w:rsid w:val="00B43435"/>
    <w:rsid w:val="00B47781"/>
    <w:rsid w:val="00B569A9"/>
    <w:rsid w:val="00B605E1"/>
    <w:rsid w:val="00B63E1E"/>
    <w:rsid w:val="00B661CC"/>
    <w:rsid w:val="00B66AB4"/>
    <w:rsid w:val="00B7077D"/>
    <w:rsid w:val="00B72E95"/>
    <w:rsid w:val="00B911BC"/>
    <w:rsid w:val="00BA19FB"/>
    <w:rsid w:val="00BA4249"/>
    <w:rsid w:val="00BB752C"/>
    <w:rsid w:val="00BC0C78"/>
    <w:rsid w:val="00BC3CC3"/>
    <w:rsid w:val="00BD4A7A"/>
    <w:rsid w:val="00BD581B"/>
    <w:rsid w:val="00BE024A"/>
    <w:rsid w:val="00BE3356"/>
    <w:rsid w:val="00BF21AE"/>
    <w:rsid w:val="00C00BB8"/>
    <w:rsid w:val="00C02DC7"/>
    <w:rsid w:val="00C1052C"/>
    <w:rsid w:val="00C13D15"/>
    <w:rsid w:val="00C15A62"/>
    <w:rsid w:val="00C20C21"/>
    <w:rsid w:val="00C22717"/>
    <w:rsid w:val="00C2339B"/>
    <w:rsid w:val="00C30EC3"/>
    <w:rsid w:val="00C314B9"/>
    <w:rsid w:val="00C333B1"/>
    <w:rsid w:val="00C36A3E"/>
    <w:rsid w:val="00C41D6E"/>
    <w:rsid w:val="00C61AF1"/>
    <w:rsid w:val="00C61E46"/>
    <w:rsid w:val="00C801FD"/>
    <w:rsid w:val="00C80814"/>
    <w:rsid w:val="00C813F1"/>
    <w:rsid w:val="00C90B1E"/>
    <w:rsid w:val="00C9119F"/>
    <w:rsid w:val="00CA7721"/>
    <w:rsid w:val="00CB4083"/>
    <w:rsid w:val="00CB7CE4"/>
    <w:rsid w:val="00CC6A1B"/>
    <w:rsid w:val="00CE184A"/>
    <w:rsid w:val="00CF74F1"/>
    <w:rsid w:val="00D133EC"/>
    <w:rsid w:val="00D312C6"/>
    <w:rsid w:val="00D319F1"/>
    <w:rsid w:val="00D63F44"/>
    <w:rsid w:val="00D65E57"/>
    <w:rsid w:val="00D66479"/>
    <w:rsid w:val="00D725CC"/>
    <w:rsid w:val="00D81646"/>
    <w:rsid w:val="00D82CE1"/>
    <w:rsid w:val="00D84A55"/>
    <w:rsid w:val="00D87CC9"/>
    <w:rsid w:val="00D90C0A"/>
    <w:rsid w:val="00D90E59"/>
    <w:rsid w:val="00DB2B4F"/>
    <w:rsid w:val="00DB6B74"/>
    <w:rsid w:val="00DC54CE"/>
    <w:rsid w:val="00DC5E17"/>
    <w:rsid w:val="00DE1720"/>
    <w:rsid w:val="00DE5222"/>
    <w:rsid w:val="00DE6133"/>
    <w:rsid w:val="00DE643C"/>
    <w:rsid w:val="00E03290"/>
    <w:rsid w:val="00E063B8"/>
    <w:rsid w:val="00E14924"/>
    <w:rsid w:val="00E14C9B"/>
    <w:rsid w:val="00E16AC2"/>
    <w:rsid w:val="00E301AD"/>
    <w:rsid w:val="00E336EC"/>
    <w:rsid w:val="00E40E48"/>
    <w:rsid w:val="00E464B9"/>
    <w:rsid w:val="00E5718B"/>
    <w:rsid w:val="00E60E0E"/>
    <w:rsid w:val="00E706F2"/>
    <w:rsid w:val="00E7706E"/>
    <w:rsid w:val="00E80AFB"/>
    <w:rsid w:val="00E860B2"/>
    <w:rsid w:val="00E9351B"/>
    <w:rsid w:val="00E97CBA"/>
    <w:rsid w:val="00EA1BFD"/>
    <w:rsid w:val="00EA5751"/>
    <w:rsid w:val="00EB21CA"/>
    <w:rsid w:val="00EB5986"/>
    <w:rsid w:val="00ED2B41"/>
    <w:rsid w:val="00ED2E6A"/>
    <w:rsid w:val="00EF48D1"/>
    <w:rsid w:val="00F05F2A"/>
    <w:rsid w:val="00F060D4"/>
    <w:rsid w:val="00F111FB"/>
    <w:rsid w:val="00F13DB5"/>
    <w:rsid w:val="00F164CB"/>
    <w:rsid w:val="00F2126B"/>
    <w:rsid w:val="00F26A61"/>
    <w:rsid w:val="00F40243"/>
    <w:rsid w:val="00F42945"/>
    <w:rsid w:val="00F438D3"/>
    <w:rsid w:val="00F805FE"/>
    <w:rsid w:val="00F90B8F"/>
    <w:rsid w:val="00F97B14"/>
    <w:rsid w:val="00FB2358"/>
    <w:rsid w:val="00FB25B6"/>
    <w:rsid w:val="00FD4798"/>
    <w:rsid w:val="00FD59D4"/>
    <w:rsid w:val="00FD5D09"/>
    <w:rsid w:val="00FE09E2"/>
    <w:rsid w:val="00FE0C08"/>
    <w:rsid w:val="00FE2041"/>
    <w:rsid w:val="00FE6226"/>
    <w:rsid w:val="00FE7BE9"/>
    <w:rsid w:val="00FF01E0"/>
    <w:rsid w:val="00FF5C9B"/>
    <w:rsid w:val="00FF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Title">
    <w:name w:val="Index Title"/>
    <w:basedOn w:val="Normal"/>
    <w:link w:val="IndexTitleChar"/>
    <w:qFormat/>
    <w:rsid w:val="004A7442"/>
    <w:pPr>
      <w:contextualSpacing/>
      <w:jc w:val="center"/>
    </w:pPr>
    <w:rPr>
      <w:rFonts w:ascii="Times New Roman" w:hAnsi="Times New Roman" w:cs="Times New Roman"/>
      <w:caps/>
      <w:sz w:val="28"/>
      <w:szCs w:val="28"/>
      <w:u w:val="single"/>
    </w:rPr>
  </w:style>
  <w:style w:type="character" w:customStyle="1" w:styleId="IndexTitleChar">
    <w:name w:val="Index Title Char"/>
    <w:basedOn w:val="DefaultParagraphFont"/>
    <w:link w:val="IndexTitle"/>
    <w:rsid w:val="004A7442"/>
    <w:rPr>
      <w:rFonts w:ascii="Times New Roman" w:hAnsi="Times New Roman" w:cs="Times New Roman"/>
      <w:caps/>
      <w:sz w:val="28"/>
      <w:szCs w:val="28"/>
      <w:u w:val="single"/>
    </w:rPr>
  </w:style>
  <w:style w:type="paragraph" w:styleId="Header">
    <w:name w:val="header"/>
    <w:basedOn w:val="Normal"/>
    <w:link w:val="HeaderChar"/>
    <w:uiPriority w:val="99"/>
    <w:unhideWhenUsed/>
    <w:rsid w:val="00340AE5"/>
    <w:pPr>
      <w:tabs>
        <w:tab w:val="center" w:pos="4680"/>
        <w:tab w:val="right" w:pos="9360"/>
      </w:tabs>
      <w:spacing w:after="0"/>
    </w:pPr>
  </w:style>
  <w:style w:type="character" w:customStyle="1" w:styleId="HeaderChar">
    <w:name w:val="Header Char"/>
    <w:basedOn w:val="DefaultParagraphFont"/>
    <w:link w:val="Header"/>
    <w:uiPriority w:val="99"/>
    <w:rsid w:val="00340AE5"/>
  </w:style>
  <w:style w:type="paragraph" w:styleId="Footer">
    <w:name w:val="footer"/>
    <w:basedOn w:val="Normal"/>
    <w:link w:val="FooterChar"/>
    <w:uiPriority w:val="99"/>
    <w:unhideWhenUsed/>
    <w:rsid w:val="00340AE5"/>
    <w:pPr>
      <w:tabs>
        <w:tab w:val="center" w:pos="4680"/>
        <w:tab w:val="right" w:pos="9360"/>
      </w:tabs>
      <w:spacing w:after="0"/>
    </w:pPr>
  </w:style>
  <w:style w:type="character" w:customStyle="1" w:styleId="FooterChar">
    <w:name w:val="Footer Char"/>
    <w:basedOn w:val="DefaultParagraphFont"/>
    <w:link w:val="Footer"/>
    <w:uiPriority w:val="99"/>
    <w:rsid w:val="00340AE5"/>
  </w:style>
  <w:style w:type="table" w:styleId="TableGrid">
    <w:name w:val="Table Grid"/>
    <w:basedOn w:val="TableNormal"/>
    <w:uiPriority w:val="59"/>
    <w:rsid w:val="00A9796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4E2E"/>
    <w:pPr>
      <w:ind w:left="720"/>
      <w:contextualSpacing/>
    </w:pPr>
  </w:style>
  <w:style w:type="paragraph" w:styleId="BalloonText">
    <w:name w:val="Balloon Text"/>
    <w:basedOn w:val="Normal"/>
    <w:link w:val="BalloonTextChar"/>
    <w:uiPriority w:val="99"/>
    <w:semiHidden/>
    <w:unhideWhenUsed/>
    <w:rsid w:val="00335B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FF"/>
    <w:rPr>
      <w:rFonts w:ascii="Tahoma" w:hAnsi="Tahoma" w:cs="Tahoma"/>
      <w:sz w:val="16"/>
      <w:szCs w:val="16"/>
    </w:rPr>
  </w:style>
  <w:style w:type="character" w:styleId="CommentReference">
    <w:name w:val="annotation reference"/>
    <w:basedOn w:val="DefaultParagraphFont"/>
    <w:uiPriority w:val="99"/>
    <w:semiHidden/>
    <w:unhideWhenUsed/>
    <w:rsid w:val="00F805FE"/>
    <w:rPr>
      <w:sz w:val="16"/>
      <w:szCs w:val="16"/>
    </w:rPr>
  </w:style>
  <w:style w:type="paragraph" w:styleId="CommentText">
    <w:name w:val="annotation text"/>
    <w:basedOn w:val="Normal"/>
    <w:link w:val="CommentTextChar"/>
    <w:uiPriority w:val="99"/>
    <w:semiHidden/>
    <w:unhideWhenUsed/>
    <w:rsid w:val="00F805FE"/>
    <w:rPr>
      <w:sz w:val="20"/>
      <w:szCs w:val="20"/>
    </w:rPr>
  </w:style>
  <w:style w:type="character" w:customStyle="1" w:styleId="CommentTextChar">
    <w:name w:val="Comment Text Char"/>
    <w:basedOn w:val="DefaultParagraphFont"/>
    <w:link w:val="CommentText"/>
    <w:uiPriority w:val="99"/>
    <w:semiHidden/>
    <w:rsid w:val="00F805FE"/>
    <w:rPr>
      <w:sz w:val="20"/>
      <w:szCs w:val="20"/>
    </w:rPr>
  </w:style>
  <w:style w:type="paragraph" w:styleId="CommentSubject">
    <w:name w:val="annotation subject"/>
    <w:basedOn w:val="CommentText"/>
    <w:next w:val="CommentText"/>
    <w:link w:val="CommentSubjectChar"/>
    <w:uiPriority w:val="99"/>
    <w:semiHidden/>
    <w:unhideWhenUsed/>
    <w:rsid w:val="00F805FE"/>
    <w:rPr>
      <w:b/>
      <w:bCs/>
    </w:rPr>
  </w:style>
  <w:style w:type="character" w:customStyle="1" w:styleId="CommentSubjectChar">
    <w:name w:val="Comment Subject Char"/>
    <w:basedOn w:val="CommentTextChar"/>
    <w:link w:val="CommentSubject"/>
    <w:uiPriority w:val="99"/>
    <w:semiHidden/>
    <w:rsid w:val="00F805FE"/>
    <w:rPr>
      <w:b/>
      <w:bCs/>
      <w:sz w:val="20"/>
      <w:szCs w:val="20"/>
    </w:rPr>
  </w:style>
  <w:style w:type="paragraph" w:styleId="FootnoteText">
    <w:name w:val="footnote text"/>
    <w:basedOn w:val="Normal"/>
    <w:link w:val="FootnoteTextChar"/>
    <w:uiPriority w:val="99"/>
    <w:semiHidden/>
    <w:unhideWhenUsed/>
    <w:rsid w:val="001C3EE6"/>
    <w:pPr>
      <w:spacing w:after="0"/>
    </w:pPr>
    <w:rPr>
      <w:sz w:val="20"/>
      <w:szCs w:val="20"/>
    </w:rPr>
  </w:style>
  <w:style w:type="character" w:customStyle="1" w:styleId="FootnoteTextChar">
    <w:name w:val="Footnote Text Char"/>
    <w:basedOn w:val="DefaultParagraphFont"/>
    <w:link w:val="FootnoteText"/>
    <w:uiPriority w:val="99"/>
    <w:semiHidden/>
    <w:rsid w:val="001C3EE6"/>
    <w:rPr>
      <w:sz w:val="20"/>
      <w:szCs w:val="20"/>
    </w:rPr>
  </w:style>
  <w:style w:type="character" w:styleId="FootnoteReference">
    <w:name w:val="footnote reference"/>
    <w:basedOn w:val="DefaultParagraphFont"/>
    <w:uiPriority w:val="99"/>
    <w:semiHidden/>
    <w:unhideWhenUsed/>
    <w:rsid w:val="001C3E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Title">
    <w:name w:val="Index Title"/>
    <w:basedOn w:val="Normal"/>
    <w:link w:val="IndexTitleChar"/>
    <w:qFormat/>
    <w:rsid w:val="004A7442"/>
    <w:pPr>
      <w:contextualSpacing/>
      <w:jc w:val="center"/>
    </w:pPr>
    <w:rPr>
      <w:rFonts w:ascii="Times New Roman" w:hAnsi="Times New Roman" w:cs="Times New Roman"/>
      <w:caps/>
      <w:sz w:val="28"/>
      <w:szCs w:val="28"/>
      <w:u w:val="single"/>
    </w:rPr>
  </w:style>
  <w:style w:type="character" w:customStyle="1" w:styleId="IndexTitleChar">
    <w:name w:val="Index Title Char"/>
    <w:basedOn w:val="DefaultParagraphFont"/>
    <w:link w:val="IndexTitle"/>
    <w:rsid w:val="004A7442"/>
    <w:rPr>
      <w:rFonts w:ascii="Times New Roman" w:hAnsi="Times New Roman" w:cs="Times New Roman"/>
      <w:caps/>
      <w:sz w:val="28"/>
      <w:szCs w:val="28"/>
      <w:u w:val="single"/>
    </w:rPr>
  </w:style>
  <w:style w:type="paragraph" w:styleId="Header">
    <w:name w:val="header"/>
    <w:basedOn w:val="Normal"/>
    <w:link w:val="HeaderChar"/>
    <w:uiPriority w:val="99"/>
    <w:unhideWhenUsed/>
    <w:rsid w:val="00340AE5"/>
    <w:pPr>
      <w:tabs>
        <w:tab w:val="center" w:pos="4680"/>
        <w:tab w:val="right" w:pos="9360"/>
      </w:tabs>
      <w:spacing w:after="0"/>
    </w:pPr>
  </w:style>
  <w:style w:type="character" w:customStyle="1" w:styleId="HeaderChar">
    <w:name w:val="Header Char"/>
    <w:basedOn w:val="DefaultParagraphFont"/>
    <w:link w:val="Header"/>
    <w:uiPriority w:val="99"/>
    <w:rsid w:val="00340AE5"/>
  </w:style>
  <w:style w:type="paragraph" w:styleId="Footer">
    <w:name w:val="footer"/>
    <w:basedOn w:val="Normal"/>
    <w:link w:val="FooterChar"/>
    <w:uiPriority w:val="99"/>
    <w:unhideWhenUsed/>
    <w:rsid w:val="00340AE5"/>
    <w:pPr>
      <w:tabs>
        <w:tab w:val="center" w:pos="4680"/>
        <w:tab w:val="right" w:pos="9360"/>
      </w:tabs>
      <w:spacing w:after="0"/>
    </w:pPr>
  </w:style>
  <w:style w:type="character" w:customStyle="1" w:styleId="FooterChar">
    <w:name w:val="Footer Char"/>
    <w:basedOn w:val="DefaultParagraphFont"/>
    <w:link w:val="Footer"/>
    <w:uiPriority w:val="99"/>
    <w:rsid w:val="00340AE5"/>
  </w:style>
  <w:style w:type="table" w:styleId="TableGrid">
    <w:name w:val="Table Grid"/>
    <w:basedOn w:val="TableNormal"/>
    <w:uiPriority w:val="59"/>
    <w:rsid w:val="00A9796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4E2E"/>
    <w:pPr>
      <w:ind w:left="720"/>
      <w:contextualSpacing/>
    </w:pPr>
  </w:style>
  <w:style w:type="paragraph" w:styleId="BalloonText">
    <w:name w:val="Balloon Text"/>
    <w:basedOn w:val="Normal"/>
    <w:link w:val="BalloonTextChar"/>
    <w:uiPriority w:val="99"/>
    <w:semiHidden/>
    <w:unhideWhenUsed/>
    <w:rsid w:val="00335B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FF"/>
    <w:rPr>
      <w:rFonts w:ascii="Tahoma" w:hAnsi="Tahoma" w:cs="Tahoma"/>
      <w:sz w:val="16"/>
      <w:szCs w:val="16"/>
    </w:rPr>
  </w:style>
  <w:style w:type="character" w:styleId="CommentReference">
    <w:name w:val="annotation reference"/>
    <w:basedOn w:val="DefaultParagraphFont"/>
    <w:uiPriority w:val="99"/>
    <w:semiHidden/>
    <w:unhideWhenUsed/>
    <w:rsid w:val="00F805FE"/>
    <w:rPr>
      <w:sz w:val="16"/>
      <w:szCs w:val="16"/>
    </w:rPr>
  </w:style>
  <w:style w:type="paragraph" w:styleId="CommentText">
    <w:name w:val="annotation text"/>
    <w:basedOn w:val="Normal"/>
    <w:link w:val="CommentTextChar"/>
    <w:uiPriority w:val="99"/>
    <w:semiHidden/>
    <w:unhideWhenUsed/>
    <w:rsid w:val="00F805FE"/>
    <w:rPr>
      <w:sz w:val="20"/>
      <w:szCs w:val="20"/>
    </w:rPr>
  </w:style>
  <w:style w:type="character" w:customStyle="1" w:styleId="CommentTextChar">
    <w:name w:val="Comment Text Char"/>
    <w:basedOn w:val="DefaultParagraphFont"/>
    <w:link w:val="CommentText"/>
    <w:uiPriority w:val="99"/>
    <w:semiHidden/>
    <w:rsid w:val="00F805FE"/>
    <w:rPr>
      <w:sz w:val="20"/>
      <w:szCs w:val="20"/>
    </w:rPr>
  </w:style>
  <w:style w:type="paragraph" w:styleId="CommentSubject">
    <w:name w:val="annotation subject"/>
    <w:basedOn w:val="CommentText"/>
    <w:next w:val="CommentText"/>
    <w:link w:val="CommentSubjectChar"/>
    <w:uiPriority w:val="99"/>
    <w:semiHidden/>
    <w:unhideWhenUsed/>
    <w:rsid w:val="00F805FE"/>
    <w:rPr>
      <w:b/>
      <w:bCs/>
    </w:rPr>
  </w:style>
  <w:style w:type="character" w:customStyle="1" w:styleId="CommentSubjectChar">
    <w:name w:val="Comment Subject Char"/>
    <w:basedOn w:val="CommentTextChar"/>
    <w:link w:val="CommentSubject"/>
    <w:uiPriority w:val="99"/>
    <w:semiHidden/>
    <w:rsid w:val="00F805FE"/>
    <w:rPr>
      <w:b/>
      <w:bCs/>
      <w:sz w:val="20"/>
      <w:szCs w:val="20"/>
    </w:rPr>
  </w:style>
  <w:style w:type="paragraph" w:styleId="FootnoteText">
    <w:name w:val="footnote text"/>
    <w:basedOn w:val="Normal"/>
    <w:link w:val="FootnoteTextChar"/>
    <w:uiPriority w:val="99"/>
    <w:semiHidden/>
    <w:unhideWhenUsed/>
    <w:rsid w:val="001C3EE6"/>
    <w:pPr>
      <w:spacing w:after="0"/>
    </w:pPr>
    <w:rPr>
      <w:sz w:val="20"/>
      <w:szCs w:val="20"/>
    </w:rPr>
  </w:style>
  <w:style w:type="character" w:customStyle="1" w:styleId="FootnoteTextChar">
    <w:name w:val="Footnote Text Char"/>
    <w:basedOn w:val="DefaultParagraphFont"/>
    <w:link w:val="FootnoteText"/>
    <w:uiPriority w:val="99"/>
    <w:semiHidden/>
    <w:rsid w:val="001C3EE6"/>
    <w:rPr>
      <w:sz w:val="20"/>
      <w:szCs w:val="20"/>
    </w:rPr>
  </w:style>
  <w:style w:type="character" w:styleId="FootnoteReference">
    <w:name w:val="footnote reference"/>
    <w:basedOn w:val="DefaultParagraphFont"/>
    <w:uiPriority w:val="99"/>
    <w:semiHidden/>
    <w:unhideWhenUsed/>
    <w:rsid w:val="001C3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D89A7-13FA-42E0-AAF5-60711555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mellawrenc</dc:creator>
  <cp:lastModifiedBy>Administrator</cp:lastModifiedBy>
  <cp:revision>7</cp:revision>
  <cp:lastPrinted>2011-09-28T14:46:00Z</cp:lastPrinted>
  <dcterms:created xsi:type="dcterms:W3CDTF">2012-03-02T18:46:00Z</dcterms:created>
  <dcterms:modified xsi:type="dcterms:W3CDTF">2012-03-07T12:51:00Z</dcterms:modified>
</cp:coreProperties>
</file>