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0B" w:rsidRDefault="00AF7D0B" w:rsidP="00AF7D0B">
      <w:pPr>
        <w:jc w:val="center"/>
        <w:rPr>
          <w:b/>
        </w:rPr>
      </w:pPr>
      <w:r>
        <w:rPr>
          <w:b/>
        </w:rPr>
        <w:t>BEFORE THE</w:t>
      </w:r>
    </w:p>
    <w:p w:rsidR="00AF7D0B" w:rsidRDefault="00AF7D0B" w:rsidP="00AF7D0B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AF7D0B" w:rsidRDefault="00AF7D0B" w:rsidP="00AF7D0B">
      <w:pPr>
        <w:jc w:val="center"/>
        <w:rPr>
          <w:b/>
        </w:rPr>
      </w:pPr>
    </w:p>
    <w:p w:rsidR="00AF7D0B" w:rsidRDefault="00AF7D0B" w:rsidP="00AF7D0B">
      <w:pPr>
        <w:jc w:val="center"/>
        <w:rPr>
          <w:b/>
        </w:rPr>
      </w:pPr>
    </w:p>
    <w:p w:rsidR="00AF7D0B" w:rsidRDefault="00AF7D0B" w:rsidP="00AF7D0B">
      <w:r>
        <w:t>William Merendini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AF7D0B" w:rsidRDefault="00AF7D0B" w:rsidP="00AF7D0B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AF7D0B" w:rsidRDefault="00AF7D0B" w:rsidP="00AF7D0B">
      <w:r>
        <w:tab/>
      </w:r>
      <w:r>
        <w:tab/>
        <w:t>v.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  <w:t>Docket No. F-2012-2298279</w:t>
      </w:r>
    </w:p>
    <w:p w:rsidR="00AF7D0B" w:rsidRDefault="00AF7D0B" w:rsidP="00AF7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AF7D0B" w:rsidRDefault="00AF7D0B" w:rsidP="00AF7D0B">
      <w:r>
        <w:t>PPL Electric Utilities Company</w:t>
      </w:r>
      <w:r>
        <w:tab/>
      </w:r>
      <w:r>
        <w:tab/>
      </w:r>
      <w:r>
        <w:tab/>
        <w:t>:</w:t>
      </w:r>
    </w:p>
    <w:p w:rsidR="00AF7D0B" w:rsidRDefault="00AF7D0B" w:rsidP="00AF7D0B"/>
    <w:p w:rsidR="006754BF" w:rsidRPr="00A5006D" w:rsidRDefault="006754BF" w:rsidP="007F29BD">
      <w:pPr>
        <w:rPr>
          <w:rFonts w:ascii="Times New Roman" w:hAnsi="Times New Roman" w:cs="Times New Roman"/>
        </w:rPr>
      </w:pPr>
    </w:p>
    <w:p w:rsidR="007F29BD" w:rsidRPr="00AC0CAA" w:rsidRDefault="007F29BD" w:rsidP="007F29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7F29BD" w:rsidRPr="00AC0CAA" w:rsidRDefault="007F29BD" w:rsidP="007F29BD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AF7D0B" w:rsidRDefault="00B05A6B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due consideration of </w:t>
      </w:r>
      <w:r w:rsidR="00AF7D0B">
        <w:rPr>
          <w:rFonts w:ascii="Times New Roman" w:hAnsi="Times New Roman" w:cs="Times New Roman"/>
        </w:rPr>
        <w:t xml:space="preserve">Complainant, William </w:t>
      </w:r>
      <w:r w:rsidR="00BD3210">
        <w:rPr>
          <w:rFonts w:ascii="Times New Roman" w:hAnsi="Times New Roman" w:cs="Times New Roman"/>
        </w:rPr>
        <w:t>Merendini’ s</w:t>
      </w:r>
      <w:r w:rsidR="00AF7D0B">
        <w:rPr>
          <w:rFonts w:ascii="Times New Roman" w:hAnsi="Times New Roman" w:cs="Times New Roman"/>
        </w:rPr>
        <w:t xml:space="preserve"> Motion for a continuance of the initial telephonic hearing scheduled for Wednesday, July 11, 2012, said motion is </w:t>
      </w:r>
      <w:r w:rsidR="00942793">
        <w:rPr>
          <w:rFonts w:ascii="Times New Roman" w:hAnsi="Times New Roman" w:cs="Times New Roman"/>
        </w:rPr>
        <w:t>granted</w:t>
      </w:r>
      <w:r w:rsidR="00AF7D0B">
        <w:rPr>
          <w:rFonts w:ascii="Times New Roman" w:hAnsi="Times New Roman" w:cs="Times New Roman"/>
        </w:rPr>
        <w:t xml:space="preserve">.  Mr. Merendini mailed a letter to the presiding officer on June 21, which was received on June 25, 2012.  In his letter he requested a change in date of his hearing because Respondent PPL Electric Utilities Company had not provided him with the necessary papers he asked for.   Further, he requested a formal hearing instead of a telephonic hearing.  A telephonic hearing is a formal hearing in that a court reporter is present and a transcript of the proceedings is transcribed.  There is a formal record, and evidence is </w:t>
      </w:r>
      <w:r w:rsidR="00942793">
        <w:rPr>
          <w:rFonts w:ascii="Times New Roman" w:hAnsi="Times New Roman" w:cs="Times New Roman"/>
        </w:rPr>
        <w:t xml:space="preserve">mailed to the presiding officer in advance of the hearing and entered into the record during the hearing </w:t>
      </w:r>
      <w:r w:rsidR="00AF7D0B">
        <w:rPr>
          <w:rFonts w:ascii="Times New Roman" w:hAnsi="Times New Roman" w:cs="Times New Roman"/>
        </w:rPr>
        <w:t xml:space="preserve">for the presiding officer’s consideration.  </w:t>
      </w:r>
    </w:p>
    <w:p w:rsidR="00AF7D0B" w:rsidRDefault="00AF7D0B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2C0F1D" w:rsidRDefault="00AF7D0B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Merendini did not serve a copy of his letter upon Respondent.  I electronically mailed a scanned copy of the letter to Attorney Kimberly Krupka, Esquire, counsel for Respondent</w:t>
      </w:r>
      <w:r w:rsidR="001A02B3">
        <w:rPr>
          <w:rFonts w:ascii="Times New Roman" w:hAnsi="Times New Roman" w:cs="Times New Roman"/>
        </w:rPr>
        <w:t xml:space="preserve"> on July 3, 2012.  She responded via electronic mail </w:t>
      </w:r>
      <w:r w:rsidR="00942793">
        <w:rPr>
          <w:rFonts w:ascii="Times New Roman" w:hAnsi="Times New Roman" w:cs="Times New Roman"/>
        </w:rPr>
        <w:t xml:space="preserve">on July 3, 2012, </w:t>
      </w:r>
      <w:r w:rsidR="001A02B3">
        <w:rPr>
          <w:rFonts w:ascii="Times New Roman" w:hAnsi="Times New Roman" w:cs="Times New Roman"/>
        </w:rPr>
        <w:t>that PPL</w:t>
      </w:r>
      <w:r w:rsidR="00006AC6">
        <w:rPr>
          <w:rFonts w:ascii="Times New Roman" w:hAnsi="Times New Roman" w:cs="Times New Roman"/>
        </w:rPr>
        <w:t xml:space="preserve"> objects </w:t>
      </w:r>
      <w:r w:rsidR="00BD3210">
        <w:rPr>
          <w:rFonts w:ascii="Times New Roman" w:hAnsi="Times New Roman" w:cs="Times New Roman"/>
        </w:rPr>
        <w:t>as it</w:t>
      </w:r>
      <w:r w:rsidR="001A02B3">
        <w:rPr>
          <w:rFonts w:ascii="Times New Roman" w:hAnsi="Times New Roman" w:cs="Times New Roman"/>
        </w:rPr>
        <w:t xml:space="preserve"> has timely responded to Complainant’s request for documents which were first made orally on June 4 and later </w:t>
      </w:r>
      <w:r w:rsidR="00006AC6">
        <w:rPr>
          <w:rFonts w:ascii="Times New Roman" w:hAnsi="Times New Roman" w:cs="Times New Roman"/>
        </w:rPr>
        <w:t>reduced to</w:t>
      </w:r>
      <w:r w:rsidR="001A02B3">
        <w:rPr>
          <w:rFonts w:ascii="Times New Roman" w:hAnsi="Times New Roman" w:cs="Times New Roman"/>
        </w:rPr>
        <w:t xml:space="preserve"> writing on June 21.  PPL </w:t>
      </w:r>
      <w:r w:rsidR="00006AC6">
        <w:rPr>
          <w:rFonts w:ascii="Times New Roman" w:hAnsi="Times New Roman" w:cs="Times New Roman"/>
        </w:rPr>
        <w:t xml:space="preserve">claims it </w:t>
      </w:r>
      <w:r w:rsidR="001A02B3">
        <w:rPr>
          <w:rFonts w:ascii="Times New Roman" w:hAnsi="Times New Roman" w:cs="Times New Roman"/>
        </w:rPr>
        <w:t>mailed Complainant a package with all relevant PPL approved tariffs outlining the Time of Use times and rates for the relevant time periods, copies of all correspondences</w:t>
      </w:r>
      <w:r w:rsidR="002C0F1D">
        <w:rPr>
          <w:rFonts w:ascii="Times New Roman" w:hAnsi="Times New Roman" w:cs="Times New Roman"/>
        </w:rPr>
        <w:t xml:space="preserve"> sent to Complainant regarding the RTS and TOU rates, information on the timers PPL provided, and a rate rebilling summary setting forth his charges calculated on the various rates.  However, Ms. Krupka also stated she was sending to Complainant on July 3</w:t>
      </w:r>
      <w:r w:rsidR="002C0F1D" w:rsidRPr="002C0F1D">
        <w:rPr>
          <w:rFonts w:ascii="Times New Roman" w:hAnsi="Times New Roman" w:cs="Times New Roman"/>
          <w:vertAlign w:val="superscript"/>
        </w:rPr>
        <w:t>rd</w:t>
      </w:r>
      <w:r w:rsidR="002C0F1D">
        <w:rPr>
          <w:rFonts w:ascii="Times New Roman" w:hAnsi="Times New Roman" w:cs="Times New Roman"/>
        </w:rPr>
        <w:t xml:space="preserve"> a compilation of the </w:t>
      </w:r>
      <w:r w:rsidR="00BD3210">
        <w:rPr>
          <w:rFonts w:ascii="Times New Roman" w:hAnsi="Times New Roman" w:cs="Times New Roman"/>
        </w:rPr>
        <w:t>kWh</w:t>
      </w:r>
      <w:r w:rsidR="002C0F1D">
        <w:rPr>
          <w:rFonts w:ascii="Times New Roman" w:hAnsi="Times New Roman" w:cs="Times New Roman"/>
        </w:rPr>
        <w:t xml:space="preserve"> he has used from December 2010 through May 2012, during relevant hours of the day.  </w:t>
      </w:r>
    </w:p>
    <w:p w:rsidR="002905AC" w:rsidRDefault="002905AC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2C0F1D" w:rsidRDefault="002C0F1D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this may be all of the documents Complainant requested, he will likely not receive all documents until a few days before the hearing, and </w:t>
      </w:r>
      <w:r w:rsidR="00BD3210">
        <w:rPr>
          <w:rFonts w:ascii="Times New Roman" w:hAnsi="Times New Roman" w:cs="Times New Roman"/>
        </w:rPr>
        <w:t xml:space="preserve">as he needs time to review the information and prepare and send any proposed exhibits to this presiding officer ahead of the hearing </w:t>
      </w:r>
      <w:r w:rsidR="00BD3210">
        <w:rPr>
          <w:rFonts w:ascii="Times New Roman" w:hAnsi="Times New Roman" w:cs="Times New Roman"/>
        </w:rPr>
        <w:lastRenderedPageBreak/>
        <w:t xml:space="preserve">date, </w:t>
      </w:r>
      <w:r>
        <w:rPr>
          <w:rFonts w:ascii="Times New Roman" w:hAnsi="Times New Roman" w:cs="Times New Roman"/>
        </w:rPr>
        <w:t xml:space="preserve">I believe this shows a good cause reason </w:t>
      </w:r>
      <w:r w:rsidR="00BD3210">
        <w:rPr>
          <w:rFonts w:ascii="Times New Roman" w:hAnsi="Times New Roman" w:cs="Times New Roman"/>
        </w:rPr>
        <w:t xml:space="preserve">within the meaning of 52 Pa. Code § 1.15(b) </w:t>
      </w:r>
      <w:r>
        <w:rPr>
          <w:rFonts w:ascii="Times New Roman" w:hAnsi="Times New Roman" w:cs="Times New Roman"/>
        </w:rPr>
        <w:t>for continuing the hearing.</w:t>
      </w:r>
    </w:p>
    <w:p w:rsidR="00BD3210" w:rsidRDefault="00BD3210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BD3210" w:rsidRDefault="005958CE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05A6B">
        <w:rPr>
          <w:rFonts w:ascii="Times New Roman" w:hAnsi="Times New Roman" w:cs="Times New Roman"/>
        </w:rPr>
        <w:t xml:space="preserve">he </w:t>
      </w:r>
      <w:r w:rsidR="007F29BD" w:rsidRPr="006539E4">
        <w:rPr>
          <w:rFonts w:ascii="Times New Roman" w:hAnsi="Times New Roman" w:cs="Times New Roman"/>
        </w:rPr>
        <w:t>Initial Hearing</w:t>
      </w:r>
      <w:r w:rsidR="00B05A6B">
        <w:rPr>
          <w:rFonts w:ascii="Times New Roman" w:hAnsi="Times New Roman" w:cs="Times New Roman"/>
        </w:rPr>
        <w:t xml:space="preserve"> scheduled for </w:t>
      </w:r>
      <w:r w:rsidR="00BD3210">
        <w:rPr>
          <w:rFonts w:ascii="Times New Roman" w:hAnsi="Times New Roman" w:cs="Times New Roman"/>
        </w:rPr>
        <w:t xml:space="preserve">July 11, 2012 at 10:30 </w:t>
      </w:r>
      <w:r w:rsidR="00493530">
        <w:rPr>
          <w:rFonts w:ascii="Times New Roman" w:hAnsi="Times New Roman" w:cs="Times New Roman"/>
        </w:rPr>
        <w:t>a.m.</w:t>
      </w:r>
      <w:r w:rsidR="007F29BD" w:rsidRPr="006539E4">
        <w:rPr>
          <w:rFonts w:ascii="Times New Roman" w:hAnsi="Times New Roman" w:cs="Times New Roman"/>
        </w:rPr>
        <w:t xml:space="preserve"> </w:t>
      </w:r>
      <w:r w:rsidR="00D46B9D">
        <w:rPr>
          <w:rFonts w:ascii="Times New Roman" w:hAnsi="Times New Roman" w:cs="Times New Roman"/>
        </w:rPr>
        <w:t xml:space="preserve">is hereby </w:t>
      </w:r>
      <w:r w:rsidR="00493530">
        <w:rPr>
          <w:rFonts w:ascii="Times New Roman" w:hAnsi="Times New Roman" w:cs="Times New Roman"/>
        </w:rPr>
        <w:t xml:space="preserve">continued </w:t>
      </w:r>
      <w:r w:rsidR="00BD3210">
        <w:rPr>
          <w:rFonts w:ascii="Times New Roman" w:hAnsi="Times New Roman" w:cs="Times New Roman"/>
        </w:rPr>
        <w:t xml:space="preserve">for approximately 30 days.  The parties will receive a hearing notice in the mail.  </w:t>
      </w:r>
    </w:p>
    <w:p w:rsidR="00BD3210" w:rsidRDefault="00BD3210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7F29BD" w:rsidRPr="00AC0CAA" w:rsidRDefault="007F29BD" w:rsidP="007F29BD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7F29BD" w:rsidRPr="00833FB8" w:rsidRDefault="007F29BD" w:rsidP="007F29BD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A739CD">
        <w:rPr>
          <w:rFonts w:ascii="Times New Roman" w:hAnsi="Times New Roman" w:cs="Times New Roman"/>
          <w:spacing w:val="-3"/>
          <w:u w:val="single"/>
        </w:rPr>
        <w:t xml:space="preserve">July </w:t>
      </w:r>
      <w:r w:rsidR="00BD3210">
        <w:rPr>
          <w:rFonts w:ascii="Times New Roman" w:hAnsi="Times New Roman" w:cs="Times New Roman"/>
          <w:spacing w:val="-3"/>
          <w:u w:val="single"/>
        </w:rPr>
        <w:t>3</w:t>
      </w:r>
      <w:r w:rsidR="00A739CD">
        <w:rPr>
          <w:rFonts w:ascii="Times New Roman" w:hAnsi="Times New Roman" w:cs="Times New Roman"/>
          <w:spacing w:val="-3"/>
          <w:u w:val="single"/>
        </w:rPr>
        <w:t>, 201</w:t>
      </w:r>
      <w:r w:rsidR="00BD3210">
        <w:rPr>
          <w:rFonts w:ascii="Times New Roman" w:hAnsi="Times New Roman" w:cs="Times New Roman"/>
          <w:spacing w:val="-3"/>
          <w:u w:val="single"/>
        </w:rPr>
        <w:t>2</w:t>
      </w:r>
      <w:r>
        <w:rPr>
          <w:rFonts w:ascii="Times New Roman" w:hAnsi="Times New Roman" w:cs="Times New Roman"/>
          <w:spacing w:val="-3"/>
          <w:u w:val="single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75DF6">
        <w:rPr>
          <w:rFonts w:ascii="Times New Roman" w:hAnsi="Times New Roman" w:cs="Times New Roman"/>
          <w:spacing w:val="-3"/>
        </w:rPr>
        <w:tab/>
      </w:r>
      <w:r w:rsidR="00A739CD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7F29BD" w:rsidRDefault="007F29BD" w:rsidP="007F29BD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75DF6">
        <w:rPr>
          <w:rFonts w:ascii="Times New Roman" w:hAnsi="Times New Roman" w:cs="Times New Roman"/>
          <w:spacing w:val="-3"/>
        </w:rPr>
        <w:t>Elizabeth Barnes</w:t>
      </w:r>
    </w:p>
    <w:p w:rsidR="00E75DF6" w:rsidRPr="006F3F7F" w:rsidRDefault="00E75DF6" w:rsidP="007F29BD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  <w:r>
        <w:tab/>
      </w:r>
      <w:r>
        <w:tab/>
      </w:r>
      <w:r>
        <w:tab/>
      </w:r>
      <w:r>
        <w:tab/>
      </w:r>
      <w:r>
        <w:tab/>
      </w:r>
    </w:p>
    <w:p w:rsidR="00E47F72" w:rsidRDefault="002905AC" w:rsidP="00E47F72">
      <w:r>
        <w:br w:type="page"/>
      </w:r>
      <w:r w:rsidR="00E47F72">
        <w:rPr>
          <w:rFonts w:ascii="Microsoft Sans Serif"/>
          <w:b/>
          <w:u w:val="single"/>
        </w:rPr>
        <w:lastRenderedPageBreak/>
        <w:t>F-2012-2298279 - WILLIAM MERENDINI v. PPL ELECTRIC UTILITIES CORPORATION</w:t>
      </w:r>
      <w:r w:rsidR="00E47F72">
        <w:rPr>
          <w:rFonts w:ascii="Microsoft Sans Serif"/>
          <w:b/>
          <w:u w:val="single"/>
        </w:rPr>
        <w:cr/>
      </w:r>
      <w:r w:rsidR="00E47F72">
        <w:rPr>
          <w:rFonts w:ascii="Microsoft Sans Serif"/>
        </w:rPr>
        <w:cr/>
        <w:t>KIMBERLY G KRUPKA ESQUIRE</w:t>
      </w:r>
      <w:r w:rsidR="00E47F72">
        <w:rPr>
          <w:rFonts w:ascii="Microsoft Sans Serif"/>
        </w:rPr>
        <w:cr/>
        <w:t>GROSS MCGINLEY LLP</w:t>
      </w:r>
      <w:r w:rsidR="00E47F72">
        <w:rPr>
          <w:rFonts w:ascii="Microsoft Sans Serif"/>
        </w:rPr>
        <w:cr/>
        <w:t>33 SOUTH SEVENTH STREET</w:t>
      </w:r>
      <w:r w:rsidR="00E47F72">
        <w:rPr>
          <w:rFonts w:ascii="Microsoft Sans Serif"/>
        </w:rPr>
        <w:cr/>
        <w:t>PO BOX 4060</w:t>
      </w:r>
      <w:r w:rsidR="00E47F72">
        <w:rPr>
          <w:rFonts w:ascii="Microsoft Sans Serif"/>
        </w:rPr>
        <w:cr/>
        <w:t>ALLENTOWN PA  18105-4060</w:t>
      </w:r>
      <w:r w:rsidR="00E47F72">
        <w:rPr>
          <w:rFonts w:ascii="Microsoft Sans Serif"/>
        </w:rPr>
        <w:cr/>
        <w:t>610.820.5450</w:t>
      </w:r>
      <w:r w:rsidR="00E47F72">
        <w:rPr>
          <w:rFonts w:ascii="Microsoft Sans Serif"/>
        </w:rPr>
        <w:cr/>
      </w:r>
      <w:r w:rsidR="00E47F72">
        <w:rPr>
          <w:rFonts w:ascii="Microsoft Sans Serif"/>
        </w:rPr>
        <w:cr/>
        <w:t>WILLIAM MERENDINI</w:t>
      </w:r>
      <w:r w:rsidR="00E47F72">
        <w:rPr>
          <w:rFonts w:ascii="Microsoft Sans Serif"/>
        </w:rPr>
        <w:cr/>
        <w:t>PO BOX 444</w:t>
      </w:r>
      <w:r w:rsidR="00E47F72">
        <w:rPr>
          <w:rFonts w:ascii="Microsoft Sans Serif"/>
        </w:rPr>
        <w:cr/>
        <w:t>BRODHEADSVILLE PA  18322</w:t>
      </w:r>
      <w:r w:rsidR="00E47F72">
        <w:rPr>
          <w:rFonts w:ascii="Microsoft Sans Serif"/>
        </w:rPr>
        <w:cr/>
        <w:t>570-992-5026</w:t>
      </w:r>
      <w:r w:rsidR="00E47F72">
        <w:rPr>
          <w:rFonts w:ascii="Microsoft Sans Serif"/>
        </w:rPr>
        <w:cr/>
      </w:r>
    </w:p>
    <w:p w:rsidR="002905AC" w:rsidRDefault="002905AC" w:rsidP="002905AC">
      <w:pPr>
        <w:autoSpaceDE/>
        <w:autoSpaceDN/>
        <w:spacing w:line="360" w:lineRule="auto"/>
      </w:pPr>
      <w:bookmarkStart w:id="0" w:name="_GoBack"/>
      <w:bookmarkEnd w:id="0"/>
    </w:p>
    <w:sectPr w:rsidR="002905AC" w:rsidSect="00CD1F4B">
      <w:footerReference w:type="even" r:id="rId7"/>
      <w:footerReference w:type="default" r:id="rId8"/>
      <w:pgSz w:w="12240" w:h="15840" w:code="1"/>
      <w:pgMar w:top="1152" w:right="1152" w:bottom="1152" w:left="115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F2" w:rsidRDefault="00B245F2" w:rsidP="00F7465A">
      <w:r>
        <w:separator/>
      </w:r>
    </w:p>
  </w:endnote>
  <w:endnote w:type="continuationSeparator" w:id="0">
    <w:p w:rsidR="00B245F2" w:rsidRDefault="00B245F2" w:rsidP="00F7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4B" w:rsidRDefault="0090526A" w:rsidP="00CD1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29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F4B" w:rsidRDefault="00B245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4B" w:rsidRDefault="0090526A" w:rsidP="00CD1F4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7F29BD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E47F72">
      <w:rPr>
        <w:rStyle w:val="PageNumber"/>
        <w:noProof/>
        <w:sz w:val="21"/>
        <w:szCs w:val="21"/>
      </w:rPr>
      <w:t>3</w:t>
    </w:r>
    <w:r>
      <w:rPr>
        <w:rStyle w:val="PageNumber"/>
        <w:sz w:val="21"/>
        <w:szCs w:val="21"/>
      </w:rPr>
      <w:fldChar w:fldCharType="end"/>
    </w:r>
  </w:p>
  <w:p w:rsidR="00CD1F4B" w:rsidRDefault="00B245F2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F2" w:rsidRDefault="00B245F2" w:rsidP="00F7465A">
      <w:r>
        <w:separator/>
      </w:r>
    </w:p>
  </w:footnote>
  <w:footnote w:type="continuationSeparator" w:id="0">
    <w:p w:rsidR="00B245F2" w:rsidRDefault="00B245F2" w:rsidP="00F7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BD"/>
    <w:rsid w:val="00000648"/>
    <w:rsid w:val="0000470F"/>
    <w:rsid w:val="000051DD"/>
    <w:rsid w:val="0000587C"/>
    <w:rsid w:val="000058E0"/>
    <w:rsid w:val="000068D5"/>
    <w:rsid w:val="00006AC6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54B2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43BE"/>
    <w:rsid w:val="000964CC"/>
    <w:rsid w:val="000974B4"/>
    <w:rsid w:val="000977CD"/>
    <w:rsid w:val="00097A4C"/>
    <w:rsid w:val="000A18DD"/>
    <w:rsid w:val="000A3309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4D9A"/>
    <w:rsid w:val="000D4F59"/>
    <w:rsid w:val="000D4FF3"/>
    <w:rsid w:val="000D5FFC"/>
    <w:rsid w:val="000E1D21"/>
    <w:rsid w:val="000E45E1"/>
    <w:rsid w:val="000E4E90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7568"/>
    <w:rsid w:val="00143C40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75C7"/>
    <w:rsid w:val="00187979"/>
    <w:rsid w:val="001930A0"/>
    <w:rsid w:val="00194558"/>
    <w:rsid w:val="00194DDD"/>
    <w:rsid w:val="0019705E"/>
    <w:rsid w:val="0019717E"/>
    <w:rsid w:val="001A02B3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CA9"/>
    <w:rsid w:val="001E2102"/>
    <w:rsid w:val="001E5F8C"/>
    <w:rsid w:val="001E60B4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E74"/>
    <w:rsid w:val="002905AC"/>
    <w:rsid w:val="00293441"/>
    <w:rsid w:val="0029693B"/>
    <w:rsid w:val="002A2E7D"/>
    <w:rsid w:val="002A3298"/>
    <w:rsid w:val="002A53D2"/>
    <w:rsid w:val="002B0F8B"/>
    <w:rsid w:val="002B2928"/>
    <w:rsid w:val="002B5699"/>
    <w:rsid w:val="002C0E42"/>
    <w:rsid w:val="002C0F1D"/>
    <w:rsid w:val="002C1188"/>
    <w:rsid w:val="002C18A6"/>
    <w:rsid w:val="002C2238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8CC"/>
    <w:rsid w:val="00304823"/>
    <w:rsid w:val="00306F18"/>
    <w:rsid w:val="00307285"/>
    <w:rsid w:val="0031235C"/>
    <w:rsid w:val="00313180"/>
    <w:rsid w:val="00313769"/>
    <w:rsid w:val="00316451"/>
    <w:rsid w:val="00320B24"/>
    <w:rsid w:val="00321BB7"/>
    <w:rsid w:val="003255F4"/>
    <w:rsid w:val="00325A42"/>
    <w:rsid w:val="003262CF"/>
    <w:rsid w:val="003265E4"/>
    <w:rsid w:val="00330E4F"/>
    <w:rsid w:val="00337261"/>
    <w:rsid w:val="003379C3"/>
    <w:rsid w:val="00337AC8"/>
    <w:rsid w:val="0034227B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6A5D"/>
    <w:rsid w:val="003D7E0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30B2"/>
    <w:rsid w:val="00447FAF"/>
    <w:rsid w:val="00453473"/>
    <w:rsid w:val="00457AB5"/>
    <w:rsid w:val="00460B7B"/>
    <w:rsid w:val="00465C27"/>
    <w:rsid w:val="004714BC"/>
    <w:rsid w:val="00473AF4"/>
    <w:rsid w:val="00476978"/>
    <w:rsid w:val="00480006"/>
    <w:rsid w:val="00480BE5"/>
    <w:rsid w:val="00480CA9"/>
    <w:rsid w:val="00481B00"/>
    <w:rsid w:val="00485D8E"/>
    <w:rsid w:val="00487F3B"/>
    <w:rsid w:val="00493530"/>
    <w:rsid w:val="0049487C"/>
    <w:rsid w:val="00495B6F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09F"/>
    <w:rsid w:val="004C3B86"/>
    <w:rsid w:val="004C41CA"/>
    <w:rsid w:val="004C58BF"/>
    <w:rsid w:val="004C6B90"/>
    <w:rsid w:val="004C739B"/>
    <w:rsid w:val="004C7F9C"/>
    <w:rsid w:val="004D04F3"/>
    <w:rsid w:val="004D1F16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E0A"/>
    <w:rsid w:val="00503610"/>
    <w:rsid w:val="00504B56"/>
    <w:rsid w:val="00507335"/>
    <w:rsid w:val="00511247"/>
    <w:rsid w:val="00511A8D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778E9"/>
    <w:rsid w:val="005806B1"/>
    <w:rsid w:val="00583280"/>
    <w:rsid w:val="00592F9A"/>
    <w:rsid w:val="005955ED"/>
    <w:rsid w:val="005956BA"/>
    <w:rsid w:val="005958CE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4D04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7C00"/>
    <w:rsid w:val="00637CFE"/>
    <w:rsid w:val="00640B4C"/>
    <w:rsid w:val="006429DC"/>
    <w:rsid w:val="00642F45"/>
    <w:rsid w:val="006456EA"/>
    <w:rsid w:val="00647152"/>
    <w:rsid w:val="00651DFD"/>
    <w:rsid w:val="006525B9"/>
    <w:rsid w:val="00653729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54BF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3B1F"/>
    <w:rsid w:val="006F3B6C"/>
    <w:rsid w:val="006F4DC9"/>
    <w:rsid w:val="006F7B81"/>
    <w:rsid w:val="00700748"/>
    <w:rsid w:val="00702183"/>
    <w:rsid w:val="00706A95"/>
    <w:rsid w:val="00707FB4"/>
    <w:rsid w:val="00710400"/>
    <w:rsid w:val="00714581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465A"/>
    <w:rsid w:val="007E554B"/>
    <w:rsid w:val="007F29BD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526A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2793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9CD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2F32"/>
    <w:rsid w:val="00AE5075"/>
    <w:rsid w:val="00AE66AF"/>
    <w:rsid w:val="00AE756B"/>
    <w:rsid w:val="00AF1946"/>
    <w:rsid w:val="00AF7D0B"/>
    <w:rsid w:val="00B0314E"/>
    <w:rsid w:val="00B03470"/>
    <w:rsid w:val="00B0470B"/>
    <w:rsid w:val="00B05A6B"/>
    <w:rsid w:val="00B1198A"/>
    <w:rsid w:val="00B13C8A"/>
    <w:rsid w:val="00B1540B"/>
    <w:rsid w:val="00B16AD2"/>
    <w:rsid w:val="00B16DF7"/>
    <w:rsid w:val="00B16FE6"/>
    <w:rsid w:val="00B22D2F"/>
    <w:rsid w:val="00B245F2"/>
    <w:rsid w:val="00B249B9"/>
    <w:rsid w:val="00B25715"/>
    <w:rsid w:val="00B30DAF"/>
    <w:rsid w:val="00B31F22"/>
    <w:rsid w:val="00B3412A"/>
    <w:rsid w:val="00B359A0"/>
    <w:rsid w:val="00B379C6"/>
    <w:rsid w:val="00B415D3"/>
    <w:rsid w:val="00B44299"/>
    <w:rsid w:val="00B44C4E"/>
    <w:rsid w:val="00B515F1"/>
    <w:rsid w:val="00B52436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3210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BD4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0EDC"/>
    <w:rsid w:val="00CB1287"/>
    <w:rsid w:val="00CB3151"/>
    <w:rsid w:val="00CB330F"/>
    <w:rsid w:val="00CB7DA9"/>
    <w:rsid w:val="00CC124D"/>
    <w:rsid w:val="00CC6B59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6C19"/>
    <w:rsid w:val="00D17F66"/>
    <w:rsid w:val="00D21049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6B9D"/>
    <w:rsid w:val="00D471A1"/>
    <w:rsid w:val="00D5056E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912E2"/>
    <w:rsid w:val="00D972CF"/>
    <w:rsid w:val="00D97C0D"/>
    <w:rsid w:val="00DA2F8F"/>
    <w:rsid w:val="00DB226E"/>
    <w:rsid w:val="00DB2E73"/>
    <w:rsid w:val="00DB2F85"/>
    <w:rsid w:val="00DB3399"/>
    <w:rsid w:val="00DB3CFC"/>
    <w:rsid w:val="00DB73A7"/>
    <w:rsid w:val="00DB7F3C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3625"/>
    <w:rsid w:val="00E23D46"/>
    <w:rsid w:val="00E2511F"/>
    <w:rsid w:val="00E265F6"/>
    <w:rsid w:val="00E26ED2"/>
    <w:rsid w:val="00E33BAD"/>
    <w:rsid w:val="00E344AB"/>
    <w:rsid w:val="00E3603A"/>
    <w:rsid w:val="00E36953"/>
    <w:rsid w:val="00E419D9"/>
    <w:rsid w:val="00E43D81"/>
    <w:rsid w:val="00E43E09"/>
    <w:rsid w:val="00E47478"/>
    <w:rsid w:val="00E47F72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702E6"/>
    <w:rsid w:val="00E703CE"/>
    <w:rsid w:val="00E70E8D"/>
    <w:rsid w:val="00E70EE6"/>
    <w:rsid w:val="00E73FBB"/>
    <w:rsid w:val="00E75DF6"/>
    <w:rsid w:val="00E7604F"/>
    <w:rsid w:val="00E763EF"/>
    <w:rsid w:val="00E80409"/>
    <w:rsid w:val="00E8166C"/>
    <w:rsid w:val="00E85025"/>
    <w:rsid w:val="00E87174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335D"/>
    <w:rsid w:val="00F0417A"/>
    <w:rsid w:val="00F0424E"/>
    <w:rsid w:val="00F07605"/>
    <w:rsid w:val="00F07F12"/>
    <w:rsid w:val="00F1003F"/>
    <w:rsid w:val="00F10E44"/>
    <w:rsid w:val="00F135C5"/>
    <w:rsid w:val="00F147C3"/>
    <w:rsid w:val="00F21946"/>
    <w:rsid w:val="00F22CAC"/>
    <w:rsid w:val="00F26681"/>
    <w:rsid w:val="00F271C6"/>
    <w:rsid w:val="00F278A1"/>
    <w:rsid w:val="00F27BC9"/>
    <w:rsid w:val="00F323F6"/>
    <w:rsid w:val="00F32B77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9F5"/>
    <w:rsid w:val="00F475C8"/>
    <w:rsid w:val="00F505A5"/>
    <w:rsid w:val="00F51D4B"/>
    <w:rsid w:val="00F5223B"/>
    <w:rsid w:val="00F52290"/>
    <w:rsid w:val="00F537FA"/>
    <w:rsid w:val="00F557BD"/>
    <w:rsid w:val="00F56A55"/>
    <w:rsid w:val="00F5787E"/>
    <w:rsid w:val="00F5796E"/>
    <w:rsid w:val="00F6015C"/>
    <w:rsid w:val="00F6102F"/>
    <w:rsid w:val="00F61F8E"/>
    <w:rsid w:val="00F62522"/>
    <w:rsid w:val="00F63740"/>
    <w:rsid w:val="00F63BAE"/>
    <w:rsid w:val="00F660E9"/>
    <w:rsid w:val="00F67937"/>
    <w:rsid w:val="00F70137"/>
    <w:rsid w:val="00F7264D"/>
    <w:rsid w:val="00F7465A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A168A"/>
    <w:rsid w:val="00FA3C6B"/>
    <w:rsid w:val="00FA4F5B"/>
    <w:rsid w:val="00FA7AF2"/>
    <w:rsid w:val="00FB0F5C"/>
    <w:rsid w:val="00FB1861"/>
    <w:rsid w:val="00FB4334"/>
    <w:rsid w:val="00FB4EB4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7F2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7F2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2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7F29BD"/>
  </w:style>
  <w:style w:type="character" w:styleId="Hyperlink">
    <w:name w:val="Hyperlink"/>
    <w:basedOn w:val="DefaultParagraphFont"/>
    <w:uiPriority w:val="99"/>
    <w:unhideWhenUsed/>
    <w:rsid w:val="00E75DF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5AC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5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7F2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7F2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2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7F29BD"/>
  </w:style>
  <w:style w:type="character" w:styleId="Hyperlink">
    <w:name w:val="Hyperlink"/>
    <w:basedOn w:val="DefaultParagraphFont"/>
    <w:uiPriority w:val="99"/>
    <w:unhideWhenUsed/>
    <w:rsid w:val="00E75DF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5AC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evero</dc:creator>
  <cp:lastModifiedBy>Townend, Stephen</cp:lastModifiedBy>
  <cp:revision>2</cp:revision>
  <cp:lastPrinted>2012-07-03T16:24:00Z</cp:lastPrinted>
  <dcterms:created xsi:type="dcterms:W3CDTF">2012-07-03T17:09:00Z</dcterms:created>
  <dcterms:modified xsi:type="dcterms:W3CDTF">2012-07-03T17:09:00Z</dcterms:modified>
</cp:coreProperties>
</file>