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075" w:rsidRPr="00FA6483" w:rsidRDefault="00733075" w:rsidP="00733075">
      <w:pPr>
        <w:jc w:val="center"/>
        <w:rPr>
          <w:b/>
          <w:sz w:val="24"/>
          <w:szCs w:val="24"/>
        </w:rPr>
      </w:pPr>
      <w:r w:rsidRPr="00FA6483">
        <w:rPr>
          <w:b/>
          <w:sz w:val="24"/>
          <w:szCs w:val="24"/>
        </w:rPr>
        <w:t>BEFORE THE</w:t>
      </w:r>
    </w:p>
    <w:p w:rsidR="00733075" w:rsidRPr="00FA6483" w:rsidRDefault="00733075" w:rsidP="00733075">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733075" w:rsidRPr="00FA6483" w:rsidRDefault="00733075" w:rsidP="00733075">
      <w:pPr>
        <w:jc w:val="center"/>
        <w:rPr>
          <w:b/>
          <w:sz w:val="24"/>
          <w:szCs w:val="24"/>
        </w:rPr>
      </w:pPr>
    </w:p>
    <w:p w:rsidR="00733075" w:rsidRPr="00FA6483" w:rsidRDefault="00733075" w:rsidP="00733075">
      <w:pPr>
        <w:jc w:val="center"/>
        <w:rPr>
          <w:b/>
          <w:sz w:val="24"/>
          <w:szCs w:val="24"/>
        </w:rPr>
      </w:pPr>
    </w:p>
    <w:p w:rsidR="00733075" w:rsidRDefault="00733075" w:rsidP="00733075">
      <w:pPr>
        <w:rPr>
          <w:sz w:val="24"/>
          <w:szCs w:val="24"/>
        </w:rPr>
      </w:pPr>
      <w:r>
        <w:rPr>
          <w:sz w:val="24"/>
          <w:szCs w:val="24"/>
        </w:rPr>
        <w:t>Core Communications, Inc.</w:t>
      </w:r>
      <w:r>
        <w:rPr>
          <w:sz w:val="24"/>
          <w:szCs w:val="24"/>
        </w:rPr>
        <w:tab/>
      </w:r>
      <w:r>
        <w:rPr>
          <w:sz w:val="24"/>
          <w:szCs w:val="24"/>
        </w:rPr>
        <w:tab/>
      </w:r>
      <w:r>
        <w:rPr>
          <w:sz w:val="24"/>
          <w:szCs w:val="24"/>
        </w:rPr>
        <w:tab/>
      </w:r>
      <w:r>
        <w:rPr>
          <w:sz w:val="24"/>
          <w:szCs w:val="24"/>
        </w:rPr>
        <w:tab/>
        <w:t>:</w:t>
      </w:r>
    </w:p>
    <w:p w:rsidR="00733075" w:rsidRPr="00FA6483" w:rsidRDefault="00733075" w:rsidP="00733075">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733075" w:rsidRPr="00FA6483" w:rsidRDefault="00733075" w:rsidP="00733075">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C-2011-2253750</w:t>
      </w:r>
    </w:p>
    <w:p w:rsidR="00733075" w:rsidRPr="00FA6483" w:rsidRDefault="00733075" w:rsidP="00733075">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733075" w:rsidRDefault="00733075" w:rsidP="00733075">
      <w:pPr>
        <w:rPr>
          <w:sz w:val="24"/>
          <w:szCs w:val="24"/>
        </w:rPr>
      </w:pPr>
      <w:r>
        <w:rPr>
          <w:sz w:val="24"/>
          <w:szCs w:val="24"/>
        </w:rPr>
        <w:t>Verizon Pennsylvania Inc.</w:t>
      </w:r>
      <w:r>
        <w:rPr>
          <w:sz w:val="24"/>
          <w:szCs w:val="24"/>
        </w:rPr>
        <w:tab/>
      </w:r>
      <w:r>
        <w:rPr>
          <w:sz w:val="24"/>
          <w:szCs w:val="24"/>
        </w:rPr>
        <w:tab/>
      </w:r>
      <w:r>
        <w:rPr>
          <w:sz w:val="24"/>
          <w:szCs w:val="24"/>
        </w:rPr>
        <w:tab/>
      </w:r>
      <w:r>
        <w:rPr>
          <w:sz w:val="24"/>
          <w:szCs w:val="24"/>
        </w:rPr>
        <w:tab/>
      </w:r>
      <w:r w:rsidRPr="00FA6483">
        <w:rPr>
          <w:sz w:val="24"/>
          <w:szCs w:val="24"/>
        </w:rPr>
        <w:t>:</w:t>
      </w:r>
    </w:p>
    <w:p w:rsidR="00733075" w:rsidRDefault="00733075" w:rsidP="00733075">
      <w:pPr>
        <w:rPr>
          <w:sz w:val="24"/>
          <w:szCs w:val="24"/>
        </w:rPr>
      </w:pPr>
    </w:p>
    <w:p w:rsidR="00733075" w:rsidRDefault="00733075" w:rsidP="00733075">
      <w:pPr>
        <w:rPr>
          <w:sz w:val="24"/>
          <w:szCs w:val="24"/>
        </w:rPr>
      </w:pPr>
      <w:r>
        <w:rPr>
          <w:sz w:val="24"/>
          <w:szCs w:val="24"/>
        </w:rPr>
        <w:t>Core Communications, Inc.</w:t>
      </w:r>
      <w:r>
        <w:rPr>
          <w:sz w:val="24"/>
          <w:szCs w:val="24"/>
        </w:rPr>
        <w:tab/>
      </w:r>
      <w:r>
        <w:rPr>
          <w:sz w:val="24"/>
          <w:szCs w:val="24"/>
        </w:rPr>
        <w:tab/>
      </w:r>
      <w:r>
        <w:rPr>
          <w:sz w:val="24"/>
          <w:szCs w:val="24"/>
        </w:rPr>
        <w:tab/>
      </w:r>
      <w:r>
        <w:rPr>
          <w:sz w:val="24"/>
          <w:szCs w:val="24"/>
        </w:rPr>
        <w:tab/>
        <w:t>:</w:t>
      </w:r>
    </w:p>
    <w:p w:rsidR="00733075" w:rsidRDefault="00733075" w:rsidP="0073307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733075" w:rsidRDefault="00733075" w:rsidP="00733075">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t>C-2011-2253777</w:t>
      </w:r>
    </w:p>
    <w:p w:rsidR="00733075" w:rsidRDefault="00733075" w:rsidP="0073307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733075" w:rsidRPr="00FA6483" w:rsidRDefault="00733075" w:rsidP="00733075">
      <w:pPr>
        <w:rPr>
          <w:sz w:val="24"/>
          <w:szCs w:val="24"/>
        </w:rPr>
      </w:pPr>
      <w:r>
        <w:rPr>
          <w:sz w:val="24"/>
          <w:szCs w:val="24"/>
        </w:rPr>
        <w:t>Verizon North, Inc.</w:t>
      </w:r>
      <w:r>
        <w:rPr>
          <w:sz w:val="24"/>
          <w:szCs w:val="24"/>
        </w:rPr>
        <w:tab/>
      </w:r>
      <w:r>
        <w:rPr>
          <w:sz w:val="24"/>
          <w:szCs w:val="24"/>
        </w:rPr>
        <w:tab/>
      </w:r>
      <w:r>
        <w:rPr>
          <w:sz w:val="24"/>
          <w:szCs w:val="24"/>
        </w:rPr>
        <w:tab/>
      </w:r>
      <w:r>
        <w:rPr>
          <w:sz w:val="24"/>
          <w:szCs w:val="24"/>
        </w:rPr>
        <w:tab/>
      </w:r>
      <w:r>
        <w:rPr>
          <w:sz w:val="24"/>
          <w:szCs w:val="24"/>
        </w:rPr>
        <w:tab/>
        <w:t>:</w:t>
      </w:r>
    </w:p>
    <w:p w:rsidR="00733075" w:rsidRDefault="00733075" w:rsidP="00733075"/>
    <w:p w:rsidR="00CB7343" w:rsidRDefault="00CB7343">
      <w:pPr>
        <w:spacing w:line="360" w:lineRule="auto"/>
        <w:jc w:val="center"/>
        <w:rPr>
          <w:b/>
          <w:sz w:val="24"/>
          <w:szCs w:val="24"/>
        </w:rPr>
      </w:pPr>
      <w:r>
        <w:rPr>
          <w:b/>
          <w:sz w:val="24"/>
          <w:szCs w:val="24"/>
        </w:rPr>
        <w:t>ORDER GRANTING MOTION FOR PROTECTIVE ORDER</w:t>
      </w:r>
    </w:p>
    <w:p w:rsidR="00CB7343" w:rsidRDefault="00CB7343">
      <w:pPr>
        <w:spacing w:line="360" w:lineRule="auto"/>
        <w:jc w:val="center"/>
        <w:rPr>
          <w:b/>
          <w:sz w:val="24"/>
          <w:szCs w:val="24"/>
        </w:rPr>
      </w:pPr>
    </w:p>
    <w:p w:rsidR="00CB7343" w:rsidRPr="00CB7343" w:rsidRDefault="00CB7343" w:rsidP="00CB7343">
      <w:pPr>
        <w:spacing w:line="360" w:lineRule="auto"/>
        <w:rPr>
          <w:sz w:val="24"/>
          <w:szCs w:val="24"/>
        </w:rPr>
      </w:pPr>
      <w:r>
        <w:rPr>
          <w:sz w:val="24"/>
          <w:szCs w:val="24"/>
        </w:rPr>
        <w:tab/>
      </w:r>
      <w:r>
        <w:rPr>
          <w:sz w:val="24"/>
          <w:szCs w:val="24"/>
        </w:rPr>
        <w:tab/>
      </w:r>
      <w:r w:rsidRPr="00CB7343">
        <w:rPr>
          <w:sz w:val="24"/>
          <w:szCs w:val="24"/>
        </w:rPr>
        <w:t xml:space="preserve">On Friday, July 22, 2011, Core Communications, Inc. (Core or Complainant or Petitioner) filed a formal Complaint against Verizon Pennsylvania Inc. and Verizon North, Inc. (collectively Verizon or Respondent) as well as a Petition for Interim Emergency Order at Docket No. </w:t>
      </w:r>
      <w:proofErr w:type="gramStart"/>
      <w:r w:rsidRPr="00CB7343">
        <w:rPr>
          <w:sz w:val="24"/>
          <w:szCs w:val="24"/>
        </w:rPr>
        <w:t>P-2011-2253650.</w:t>
      </w:r>
      <w:proofErr w:type="gramEnd"/>
      <w:r w:rsidRPr="00CB7343">
        <w:rPr>
          <w:sz w:val="24"/>
          <w:szCs w:val="24"/>
        </w:rPr>
        <w:t xml:space="preserve">  The Complaint alleged that Verizon had suddenly ceased payment for intercarrier compensation invoices that were issued by Core in accordance with the interconnection agreements (ICAs) and long-standing practice.  Core alleged that the cessation of payment severely jeopardized Core’s ability to maintain its network operations, serve its customers, and pay ordinary expenses associated with its business operations, including the paychecks of its Pennsylvania-based employees.  The Petition sought an order directing Verizon to resume immediate payment pending the resolution of the underlying substantive dispute between the parties.  </w:t>
      </w:r>
    </w:p>
    <w:p w:rsidR="00CB7343" w:rsidRPr="00CB7343" w:rsidRDefault="00CB7343" w:rsidP="00CB7343">
      <w:pPr>
        <w:spacing w:line="360" w:lineRule="auto"/>
        <w:rPr>
          <w:sz w:val="24"/>
          <w:szCs w:val="24"/>
        </w:rPr>
      </w:pPr>
    </w:p>
    <w:p w:rsidR="00CB7343" w:rsidRPr="00CB7343" w:rsidRDefault="00CB7343" w:rsidP="00CB7343">
      <w:pPr>
        <w:spacing w:line="360" w:lineRule="auto"/>
        <w:rPr>
          <w:sz w:val="24"/>
          <w:szCs w:val="24"/>
        </w:rPr>
      </w:pPr>
      <w:r w:rsidRPr="00CB7343">
        <w:rPr>
          <w:sz w:val="24"/>
          <w:szCs w:val="24"/>
        </w:rPr>
        <w:tab/>
      </w:r>
      <w:r w:rsidRPr="00CB7343">
        <w:rPr>
          <w:sz w:val="24"/>
          <w:szCs w:val="24"/>
        </w:rPr>
        <w:tab/>
        <w:t xml:space="preserve">The Commission’s Secretary served the Petition as well as the Complaints on Monday, July 24, 2011, along with a letter indicating that Verizon had five days in which to file a response.  The Commission’s regulations provide for a hearing to be held within ten days of the filing of the Petition, and an order to be issued within fifteen days of the filing of the Petition, and the hearing was originally set for Wednesday, July 27, 2011.  Following a conference call with counsel for both parties on Tuesday, July 26, 2011, the hearing was rescheduled for Friday, </w:t>
      </w:r>
      <w:r w:rsidRPr="00CB7343">
        <w:rPr>
          <w:sz w:val="24"/>
          <w:szCs w:val="24"/>
        </w:rPr>
        <w:lastRenderedPageBreak/>
        <w:t xml:space="preserve">July 29, 2011.  During the conference call, Verizon indicated that it did intend to file an answer and would do so in accordance with the Secretary’s letter, making its due date Monday, </w:t>
      </w:r>
    </w:p>
    <w:p w:rsidR="00CB7343" w:rsidRPr="00CB7343" w:rsidRDefault="00CB7343" w:rsidP="00CB7343">
      <w:pPr>
        <w:spacing w:line="360" w:lineRule="auto"/>
        <w:rPr>
          <w:sz w:val="24"/>
          <w:szCs w:val="24"/>
        </w:rPr>
      </w:pPr>
      <w:r w:rsidRPr="00CB7343">
        <w:rPr>
          <w:sz w:val="24"/>
          <w:szCs w:val="24"/>
        </w:rPr>
        <w:t xml:space="preserve">August 1, 2011, as there are no hours at the Commission for the acceptance of service on Saturday, July 30, 2011, which was the actual due date.   Counsel for Core did not object to this plan, although he did point out that the rules permitted but do not require that Verizon file an answer to the Petition. </w:t>
      </w:r>
    </w:p>
    <w:p w:rsidR="00CB7343" w:rsidRPr="00CB7343" w:rsidRDefault="00CB7343" w:rsidP="00CB7343">
      <w:pPr>
        <w:spacing w:line="360" w:lineRule="auto"/>
        <w:rPr>
          <w:sz w:val="24"/>
          <w:szCs w:val="24"/>
        </w:rPr>
      </w:pPr>
    </w:p>
    <w:p w:rsidR="00CB7343" w:rsidRPr="00CB7343" w:rsidRDefault="00CB7343" w:rsidP="00CB7343">
      <w:pPr>
        <w:spacing w:line="360" w:lineRule="auto"/>
        <w:rPr>
          <w:sz w:val="24"/>
          <w:szCs w:val="24"/>
        </w:rPr>
      </w:pPr>
      <w:r w:rsidRPr="00CB7343">
        <w:rPr>
          <w:sz w:val="24"/>
          <w:szCs w:val="24"/>
        </w:rPr>
        <w:tab/>
      </w:r>
      <w:r w:rsidRPr="00CB7343">
        <w:rPr>
          <w:sz w:val="24"/>
          <w:szCs w:val="24"/>
        </w:rPr>
        <w:tab/>
        <w:t>The motion filed by William Lehman, Esq., for admission pro hac vice for Joseph Ruggiero, Esq., was granted as unopposed at the hearing.</w:t>
      </w:r>
    </w:p>
    <w:p w:rsidR="00CB7343" w:rsidRPr="00CB7343" w:rsidRDefault="00CB7343" w:rsidP="00CB7343">
      <w:pPr>
        <w:spacing w:line="360" w:lineRule="auto"/>
        <w:rPr>
          <w:sz w:val="24"/>
          <w:szCs w:val="24"/>
        </w:rPr>
      </w:pPr>
    </w:p>
    <w:p w:rsidR="00CB7343" w:rsidRPr="00CB7343" w:rsidRDefault="00CB7343" w:rsidP="00CB7343">
      <w:pPr>
        <w:spacing w:line="360" w:lineRule="auto"/>
        <w:rPr>
          <w:sz w:val="24"/>
          <w:szCs w:val="24"/>
        </w:rPr>
      </w:pPr>
      <w:r w:rsidRPr="00CB7343">
        <w:rPr>
          <w:sz w:val="24"/>
          <w:szCs w:val="24"/>
        </w:rPr>
        <w:tab/>
      </w:r>
      <w:r w:rsidRPr="00CB7343">
        <w:rPr>
          <w:sz w:val="24"/>
          <w:szCs w:val="24"/>
        </w:rPr>
        <w:tab/>
        <w:t xml:space="preserve">The hearing was held as scheduled.  Core presented two witnesses who sponsored six exhibits.  Verizon did not present a witness but did present three cross exhibits. </w:t>
      </w:r>
    </w:p>
    <w:p w:rsidR="00CB7343" w:rsidRPr="00CB7343" w:rsidRDefault="00CB7343" w:rsidP="00CB7343">
      <w:pPr>
        <w:spacing w:line="360" w:lineRule="auto"/>
        <w:rPr>
          <w:sz w:val="24"/>
          <w:szCs w:val="24"/>
        </w:rPr>
      </w:pPr>
    </w:p>
    <w:p w:rsidR="00CB7343" w:rsidRPr="00CB7343" w:rsidRDefault="00CB7343" w:rsidP="00CB7343">
      <w:pPr>
        <w:spacing w:line="360" w:lineRule="auto"/>
        <w:rPr>
          <w:sz w:val="24"/>
          <w:szCs w:val="24"/>
        </w:rPr>
      </w:pPr>
      <w:r w:rsidRPr="00CB7343">
        <w:rPr>
          <w:sz w:val="24"/>
          <w:szCs w:val="24"/>
        </w:rPr>
        <w:tab/>
      </w:r>
      <w:r w:rsidRPr="00CB7343">
        <w:rPr>
          <w:sz w:val="24"/>
          <w:szCs w:val="24"/>
        </w:rPr>
        <w:tab/>
        <w:t xml:space="preserve">On Monday, August 1, 2011, Verizon filed its Answer to the Petition.  </w:t>
      </w:r>
    </w:p>
    <w:p w:rsidR="00CB7343" w:rsidRPr="00CB7343" w:rsidRDefault="00CB7343" w:rsidP="00CB7343">
      <w:pPr>
        <w:spacing w:line="360" w:lineRule="auto"/>
        <w:rPr>
          <w:sz w:val="24"/>
          <w:szCs w:val="24"/>
        </w:rPr>
      </w:pPr>
    </w:p>
    <w:p w:rsidR="00CB7343" w:rsidRPr="00CB7343" w:rsidRDefault="00CB7343" w:rsidP="00CB7343">
      <w:pPr>
        <w:spacing w:line="360" w:lineRule="auto"/>
        <w:rPr>
          <w:sz w:val="24"/>
          <w:szCs w:val="24"/>
        </w:rPr>
      </w:pPr>
      <w:r w:rsidRPr="00CB7343">
        <w:rPr>
          <w:sz w:val="24"/>
          <w:szCs w:val="24"/>
        </w:rPr>
        <w:tab/>
      </w:r>
      <w:r w:rsidRPr="00CB7343">
        <w:rPr>
          <w:sz w:val="24"/>
          <w:szCs w:val="24"/>
        </w:rPr>
        <w:tab/>
        <w:t xml:space="preserve">On August 3, 2011, I issued an Order Denying the Petition of Core Communications, Inc. for Emergency Relief and Certifying the Denial to the Commission as a Material Question.  On September 23, 2011, the Commission entered its Opinion and Order which reversed the Order and directed the matter to the Commission's mediation unit.  </w:t>
      </w:r>
    </w:p>
    <w:p w:rsidR="00CB7343" w:rsidRPr="00CB7343" w:rsidRDefault="00CB7343" w:rsidP="00CB7343">
      <w:pPr>
        <w:spacing w:line="360" w:lineRule="auto"/>
        <w:rPr>
          <w:sz w:val="24"/>
          <w:szCs w:val="24"/>
        </w:rPr>
      </w:pPr>
    </w:p>
    <w:p w:rsidR="00CB7343" w:rsidRPr="00CB7343" w:rsidRDefault="00CB7343" w:rsidP="00CB7343">
      <w:pPr>
        <w:spacing w:line="360" w:lineRule="auto"/>
        <w:rPr>
          <w:sz w:val="24"/>
          <w:szCs w:val="24"/>
        </w:rPr>
      </w:pPr>
      <w:r w:rsidRPr="00CB7343">
        <w:rPr>
          <w:sz w:val="24"/>
          <w:szCs w:val="24"/>
        </w:rPr>
        <w:tab/>
      </w:r>
      <w:r w:rsidRPr="00CB7343">
        <w:rPr>
          <w:sz w:val="24"/>
          <w:szCs w:val="24"/>
        </w:rPr>
        <w:tab/>
        <w:t xml:space="preserve">On March 22, 2012, the matter was referred back to the Office of Administrative Law Judge after mediation did not resolve all of the issues between the parties.  </w:t>
      </w:r>
    </w:p>
    <w:p w:rsidR="00CB7343" w:rsidRPr="00CB7343" w:rsidRDefault="00CB7343" w:rsidP="00CB7343">
      <w:pPr>
        <w:spacing w:line="360" w:lineRule="auto"/>
        <w:rPr>
          <w:sz w:val="24"/>
          <w:szCs w:val="24"/>
        </w:rPr>
      </w:pPr>
    </w:p>
    <w:p w:rsidR="00CB7343" w:rsidRPr="00CB7343" w:rsidRDefault="00CB7343" w:rsidP="00CB7343">
      <w:pPr>
        <w:spacing w:line="360" w:lineRule="auto"/>
        <w:rPr>
          <w:sz w:val="24"/>
          <w:szCs w:val="24"/>
        </w:rPr>
      </w:pPr>
      <w:r w:rsidRPr="00CB7343">
        <w:rPr>
          <w:sz w:val="24"/>
          <w:szCs w:val="24"/>
        </w:rPr>
        <w:tab/>
      </w:r>
      <w:r w:rsidRPr="00CB7343">
        <w:rPr>
          <w:sz w:val="24"/>
          <w:szCs w:val="24"/>
        </w:rPr>
        <w:tab/>
        <w:t>Additional pre-mediation filings are as follows:</w:t>
      </w:r>
    </w:p>
    <w:p w:rsidR="00CB7343" w:rsidRPr="00CB7343" w:rsidRDefault="00CB7343" w:rsidP="00CB7343">
      <w:pPr>
        <w:spacing w:line="360" w:lineRule="auto"/>
        <w:contextualSpacing/>
        <w:rPr>
          <w:sz w:val="24"/>
          <w:szCs w:val="24"/>
        </w:rPr>
      </w:pPr>
      <w:r w:rsidRPr="00CB7343">
        <w:rPr>
          <w:sz w:val="24"/>
          <w:szCs w:val="24"/>
        </w:rPr>
        <w:t>August 16, 2011</w:t>
      </w:r>
      <w:r w:rsidRPr="00CB7343">
        <w:rPr>
          <w:sz w:val="24"/>
          <w:szCs w:val="24"/>
        </w:rPr>
        <w:tab/>
        <w:t>Verizon's Answer, New Matter and Counterclaim, and Preliminary</w:t>
      </w:r>
    </w:p>
    <w:p w:rsidR="00CB7343" w:rsidRPr="00CB7343" w:rsidRDefault="00CB7343" w:rsidP="00CB7343">
      <w:pPr>
        <w:spacing w:line="360" w:lineRule="auto"/>
        <w:contextualSpacing/>
        <w:rPr>
          <w:sz w:val="24"/>
          <w:szCs w:val="24"/>
        </w:rPr>
      </w:pPr>
      <w:r w:rsidRPr="00CB7343">
        <w:rPr>
          <w:sz w:val="24"/>
          <w:szCs w:val="24"/>
        </w:rPr>
        <w:tab/>
      </w:r>
      <w:r w:rsidRPr="00CB7343">
        <w:rPr>
          <w:sz w:val="24"/>
          <w:szCs w:val="24"/>
        </w:rPr>
        <w:tab/>
      </w:r>
      <w:r w:rsidRPr="00CB7343">
        <w:rPr>
          <w:sz w:val="24"/>
          <w:szCs w:val="24"/>
        </w:rPr>
        <w:tab/>
        <w:t>Objections</w:t>
      </w:r>
    </w:p>
    <w:p w:rsidR="00CB7343" w:rsidRPr="00CB7343" w:rsidRDefault="00CB7343" w:rsidP="00CB7343">
      <w:pPr>
        <w:spacing w:line="360" w:lineRule="auto"/>
        <w:contextualSpacing/>
        <w:rPr>
          <w:sz w:val="24"/>
          <w:szCs w:val="24"/>
        </w:rPr>
      </w:pPr>
    </w:p>
    <w:p w:rsidR="00CB7343" w:rsidRPr="00CB7343" w:rsidRDefault="00CB7343" w:rsidP="00CB7343">
      <w:pPr>
        <w:spacing w:line="360" w:lineRule="auto"/>
        <w:contextualSpacing/>
        <w:rPr>
          <w:sz w:val="24"/>
          <w:szCs w:val="24"/>
        </w:rPr>
      </w:pPr>
      <w:r w:rsidRPr="00CB7343">
        <w:rPr>
          <w:sz w:val="24"/>
          <w:szCs w:val="24"/>
        </w:rPr>
        <w:t>August 18, 2011</w:t>
      </w:r>
      <w:r w:rsidRPr="00CB7343">
        <w:rPr>
          <w:sz w:val="24"/>
          <w:szCs w:val="24"/>
        </w:rPr>
        <w:tab/>
        <w:t>Both Verizon's and Core's Prehearing memos</w:t>
      </w:r>
    </w:p>
    <w:p w:rsidR="00CB7343" w:rsidRPr="00CB7343" w:rsidRDefault="00CB7343" w:rsidP="00CB7343">
      <w:pPr>
        <w:spacing w:line="360" w:lineRule="auto"/>
        <w:contextualSpacing/>
        <w:rPr>
          <w:sz w:val="24"/>
          <w:szCs w:val="24"/>
        </w:rPr>
      </w:pPr>
      <w:r w:rsidRPr="00CB7343">
        <w:rPr>
          <w:sz w:val="24"/>
          <w:szCs w:val="24"/>
        </w:rPr>
        <w:t>September 6, 2011</w:t>
      </w:r>
      <w:r w:rsidRPr="00CB7343">
        <w:rPr>
          <w:sz w:val="24"/>
          <w:szCs w:val="24"/>
        </w:rPr>
        <w:tab/>
        <w:t xml:space="preserve">Core's Reply to New Matter, and Answer and New Matter to </w:t>
      </w:r>
      <w:r w:rsidRPr="00CB7343">
        <w:rPr>
          <w:sz w:val="24"/>
          <w:szCs w:val="24"/>
        </w:rPr>
        <w:tab/>
      </w:r>
      <w:r w:rsidRPr="00CB7343">
        <w:rPr>
          <w:sz w:val="24"/>
          <w:szCs w:val="24"/>
        </w:rPr>
        <w:tab/>
      </w:r>
      <w:r w:rsidRPr="00CB7343">
        <w:rPr>
          <w:sz w:val="24"/>
          <w:szCs w:val="24"/>
        </w:rPr>
        <w:tab/>
      </w:r>
      <w:r w:rsidRPr="00CB7343">
        <w:rPr>
          <w:sz w:val="24"/>
          <w:szCs w:val="24"/>
        </w:rPr>
        <w:tab/>
      </w:r>
      <w:r w:rsidRPr="00CB7343">
        <w:rPr>
          <w:sz w:val="24"/>
          <w:szCs w:val="24"/>
        </w:rPr>
        <w:tab/>
        <w:t>Counterclaims and Preliminary Objections to Counterclaims</w:t>
      </w:r>
    </w:p>
    <w:p w:rsidR="00CB7343" w:rsidRPr="00CB7343" w:rsidRDefault="00CB7343" w:rsidP="00CB7343">
      <w:pPr>
        <w:spacing w:line="360" w:lineRule="auto"/>
        <w:contextualSpacing/>
        <w:rPr>
          <w:sz w:val="24"/>
          <w:szCs w:val="24"/>
        </w:rPr>
      </w:pPr>
    </w:p>
    <w:p w:rsidR="00CB7343" w:rsidRPr="00CB7343" w:rsidRDefault="00CB7343" w:rsidP="00CB7343">
      <w:pPr>
        <w:spacing w:line="360" w:lineRule="auto"/>
        <w:contextualSpacing/>
        <w:rPr>
          <w:sz w:val="24"/>
          <w:szCs w:val="24"/>
        </w:rPr>
      </w:pPr>
      <w:r w:rsidRPr="00CB7343">
        <w:rPr>
          <w:sz w:val="24"/>
          <w:szCs w:val="24"/>
        </w:rPr>
        <w:lastRenderedPageBreak/>
        <w:t>September 16, 2011</w:t>
      </w:r>
      <w:r w:rsidRPr="00CB7343">
        <w:rPr>
          <w:sz w:val="24"/>
          <w:szCs w:val="24"/>
        </w:rPr>
        <w:tab/>
        <w:t>Answer of Verizon and VZ North to the POs of Core</w:t>
      </w:r>
    </w:p>
    <w:p w:rsidR="00CB7343" w:rsidRPr="00CB7343" w:rsidRDefault="00CB7343" w:rsidP="00CB7343">
      <w:pPr>
        <w:spacing w:line="360" w:lineRule="auto"/>
        <w:contextualSpacing/>
        <w:rPr>
          <w:sz w:val="24"/>
          <w:szCs w:val="24"/>
        </w:rPr>
      </w:pPr>
      <w:r w:rsidRPr="00CB7343">
        <w:rPr>
          <w:sz w:val="24"/>
          <w:szCs w:val="24"/>
        </w:rPr>
        <w:t>August 26, 2011</w:t>
      </w:r>
      <w:r w:rsidRPr="00CB7343">
        <w:rPr>
          <w:sz w:val="24"/>
          <w:szCs w:val="24"/>
        </w:rPr>
        <w:tab/>
        <w:t>Core's Answer to POs of Verizon</w:t>
      </w:r>
    </w:p>
    <w:p w:rsidR="00CB7343" w:rsidRDefault="00CB7343" w:rsidP="00CB7343">
      <w:pPr>
        <w:spacing w:line="360" w:lineRule="auto"/>
        <w:contextualSpacing/>
        <w:rPr>
          <w:sz w:val="24"/>
          <w:szCs w:val="24"/>
        </w:rPr>
      </w:pPr>
      <w:r w:rsidRPr="00CB7343">
        <w:rPr>
          <w:sz w:val="24"/>
          <w:szCs w:val="24"/>
        </w:rPr>
        <w:t>October 11, 2011</w:t>
      </w:r>
      <w:r w:rsidRPr="00CB7343">
        <w:rPr>
          <w:sz w:val="24"/>
          <w:szCs w:val="24"/>
        </w:rPr>
        <w:tab/>
        <w:t>Motion for Admission Pro Hac Vice for Deborah L. Kuhn</w:t>
      </w:r>
    </w:p>
    <w:p w:rsidR="00CB7343" w:rsidRDefault="00CB7343" w:rsidP="00CB7343">
      <w:pPr>
        <w:spacing w:line="360" w:lineRule="auto"/>
        <w:contextualSpacing/>
        <w:rPr>
          <w:sz w:val="24"/>
          <w:szCs w:val="24"/>
        </w:rPr>
      </w:pPr>
    </w:p>
    <w:p w:rsidR="00CB7343" w:rsidRPr="00CB7343" w:rsidRDefault="00CB7343" w:rsidP="00CB7343">
      <w:pPr>
        <w:spacing w:line="360" w:lineRule="auto"/>
        <w:contextualSpacing/>
        <w:rPr>
          <w:sz w:val="24"/>
          <w:szCs w:val="24"/>
        </w:rPr>
      </w:pPr>
      <w:r>
        <w:rPr>
          <w:sz w:val="24"/>
          <w:szCs w:val="24"/>
        </w:rPr>
        <w:tab/>
      </w:r>
      <w:r>
        <w:rPr>
          <w:sz w:val="24"/>
          <w:szCs w:val="24"/>
        </w:rPr>
        <w:tab/>
        <w:t>Post mediation filings include:</w:t>
      </w:r>
    </w:p>
    <w:p w:rsidR="00CB7343" w:rsidRPr="00CB7343" w:rsidRDefault="00CB7343" w:rsidP="00CB7343">
      <w:pPr>
        <w:spacing w:line="360" w:lineRule="auto"/>
        <w:rPr>
          <w:sz w:val="24"/>
          <w:szCs w:val="24"/>
        </w:rPr>
      </w:pPr>
      <w:r w:rsidRPr="00CB7343">
        <w:rPr>
          <w:sz w:val="24"/>
          <w:szCs w:val="24"/>
        </w:rPr>
        <w:t>April 9, 2012</w:t>
      </w:r>
      <w:r w:rsidRPr="00CB7343">
        <w:rPr>
          <w:sz w:val="24"/>
          <w:szCs w:val="24"/>
        </w:rPr>
        <w:tab/>
      </w:r>
      <w:r w:rsidRPr="00CB7343">
        <w:rPr>
          <w:sz w:val="24"/>
          <w:szCs w:val="24"/>
        </w:rPr>
        <w:tab/>
        <w:t>Verizon's Motion for Order Imposing Bilateral Payment Obligations</w:t>
      </w:r>
    </w:p>
    <w:p w:rsidR="00CB7343" w:rsidRPr="00CB7343" w:rsidRDefault="00CB7343" w:rsidP="00CB7343">
      <w:pPr>
        <w:spacing w:line="360" w:lineRule="auto"/>
        <w:rPr>
          <w:sz w:val="24"/>
          <w:szCs w:val="24"/>
        </w:rPr>
      </w:pPr>
      <w:r w:rsidRPr="00CB7343">
        <w:rPr>
          <w:sz w:val="24"/>
          <w:szCs w:val="24"/>
        </w:rPr>
        <w:t>April 16, 2012</w:t>
      </w:r>
      <w:r w:rsidRPr="00CB7343">
        <w:rPr>
          <w:sz w:val="24"/>
          <w:szCs w:val="24"/>
        </w:rPr>
        <w:tab/>
      </w:r>
      <w:r w:rsidRPr="00CB7343">
        <w:rPr>
          <w:sz w:val="24"/>
          <w:szCs w:val="24"/>
        </w:rPr>
        <w:tab/>
        <w:t>Core's Amended Complaint</w:t>
      </w:r>
    </w:p>
    <w:p w:rsidR="00CB7343" w:rsidRPr="00CB7343" w:rsidRDefault="00CB7343" w:rsidP="00CB7343">
      <w:pPr>
        <w:spacing w:line="360" w:lineRule="auto"/>
        <w:rPr>
          <w:sz w:val="24"/>
          <w:szCs w:val="24"/>
        </w:rPr>
      </w:pPr>
      <w:r w:rsidRPr="00CB7343">
        <w:rPr>
          <w:sz w:val="24"/>
          <w:szCs w:val="24"/>
        </w:rPr>
        <w:t>April 20, 2012</w:t>
      </w:r>
      <w:r w:rsidRPr="00CB7343">
        <w:rPr>
          <w:sz w:val="24"/>
          <w:szCs w:val="24"/>
        </w:rPr>
        <w:tab/>
      </w:r>
      <w:r w:rsidRPr="00CB7343">
        <w:rPr>
          <w:sz w:val="24"/>
          <w:szCs w:val="24"/>
        </w:rPr>
        <w:tab/>
        <w:t>Core's Amended Prehearing Memo</w:t>
      </w:r>
    </w:p>
    <w:p w:rsidR="00CB7343" w:rsidRPr="00CB7343" w:rsidRDefault="00CB7343" w:rsidP="00CB7343">
      <w:pPr>
        <w:spacing w:line="360" w:lineRule="auto"/>
        <w:rPr>
          <w:sz w:val="24"/>
          <w:szCs w:val="24"/>
        </w:rPr>
      </w:pPr>
      <w:r w:rsidRPr="00CB7343">
        <w:rPr>
          <w:sz w:val="24"/>
          <w:szCs w:val="24"/>
        </w:rPr>
        <w:t>April 30, 2012</w:t>
      </w:r>
      <w:r w:rsidRPr="00CB7343">
        <w:rPr>
          <w:sz w:val="24"/>
          <w:szCs w:val="24"/>
        </w:rPr>
        <w:tab/>
      </w:r>
      <w:r w:rsidRPr="00CB7343">
        <w:rPr>
          <w:sz w:val="24"/>
          <w:szCs w:val="24"/>
        </w:rPr>
        <w:tab/>
        <w:t xml:space="preserve">Core's Answer to Verizon's Motion for Order Imposing Bilateral </w:t>
      </w:r>
    </w:p>
    <w:p w:rsidR="00CB7343" w:rsidRPr="00CB7343" w:rsidRDefault="00CB7343" w:rsidP="00CB7343">
      <w:pPr>
        <w:spacing w:line="360" w:lineRule="auto"/>
        <w:rPr>
          <w:sz w:val="24"/>
          <w:szCs w:val="24"/>
        </w:rPr>
      </w:pPr>
      <w:r w:rsidRPr="00CB7343">
        <w:rPr>
          <w:sz w:val="24"/>
          <w:szCs w:val="24"/>
        </w:rPr>
        <w:tab/>
      </w:r>
      <w:r w:rsidRPr="00CB7343">
        <w:rPr>
          <w:sz w:val="24"/>
          <w:szCs w:val="24"/>
        </w:rPr>
        <w:tab/>
      </w:r>
      <w:r w:rsidRPr="00CB7343">
        <w:rPr>
          <w:sz w:val="24"/>
          <w:szCs w:val="24"/>
        </w:rPr>
        <w:tab/>
        <w:t>Payment Obligations</w:t>
      </w:r>
    </w:p>
    <w:p w:rsidR="00CB7343" w:rsidRPr="00CB7343" w:rsidRDefault="00CB7343" w:rsidP="00CB7343">
      <w:pPr>
        <w:spacing w:line="360" w:lineRule="auto"/>
        <w:rPr>
          <w:sz w:val="24"/>
          <w:szCs w:val="24"/>
        </w:rPr>
      </w:pPr>
      <w:r w:rsidRPr="00CB7343">
        <w:rPr>
          <w:sz w:val="24"/>
          <w:szCs w:val="24"/>
        </w:rPr>
        <w:t>April 30, 2012</w:t>
      </w:r>
      <w:r w:rsidRPr="00CB7343">
        <w:rPr>
          <w:sz w:val="24"/>
          <w:szCs w:val="24"/>
        </w:rPr>
        <w:tab/>
      </w:r>
      <w:r w:rsidRPr="00CB7343">
        <w:rPr>
          <w:sz w:val="24"/>
          <w:szCs w:val="24"/>
        </w:rPr>
        <w:tab/>
        <w:t>Core's Amended Complaint</w:t>
      </w:r>
    </w:p>
    <w:p w:rsidR="00CB7343" w:rsidRPr="00CB7343" w:rsidRDefault="00CB7343" w:rsidP="00CB7343">
      <w:pPr>
        <w:spacing w:line="360" w:lineRule="auto"/>
        <w:rPr>
          <w:sz w:val="24"/>
          <w:szCs w:val="24"/>
        </w:rPr>
      </w:pPr>
      <w:r w:rsidRPr="00CB7343">
        <w:rPr>
          <w:sz w:val="24"/>
          <w:szCs w:val="24"/>
        </w:rPr>
        <w:t>May 7, 2012</w:t>
      </w:r>
      <w:r w:rsidRPr="00CB7343">
        <w:rPr>
          <w:sz w:val="24"/>
          <w:szCs w:val="24"/>
        </w:rPr>
        <w:tab/>
      </w:r>
      <w:r w:rsidRPr="00CB7343">
        <w:rPr>
          <w:sz w:val="24"/>
          <w:szCs w:val="24"/>
        </w:rPr>
        <w:tab/>
        <w:t>Both Verizon's and Core's Amended Prehearing Memos</w:t>
      </w:r>
    </w:p>
    <w:p w:rsidR="00CB7343" w:rsidRPr="00CB7343" w:rsidRDefault="00CB7343" w:rsidP="00CB7343">
      <w:pPr>
        <w:spacing w:line="360" w:lineRule="auto"/>
        <w:rPr>
          <w:sz w:val="24"/>
          <w:szCs w:val="24"/>
        </w:rPr>
      </w:pPr>
    </w:p>
    <w:p w:rsidR="00CB7343" w:rsidRPr="00CB7343" w:rsidRDefault="00CB7343" w:rsidP="00CB7343">
      <w:pPr>
        <w:spacing w:line="360" w:lineRule="auto"/>
        <w:rPr>
          <w:sz w:val="24"/>
          <w:szCs w:val="24"/>
        </w:rPr>
      </w:pPr>
      <w:r w:rsidRPr="00CB7343">
        <w:rPr>
          <w:sz w:val="24"/>
          <w:szCs w:val="24"/>
        </w:rPr>
        <w:tab/>
      </w:r>
      <w:r w:rsidRPr="00CB7343">
        <w:rPr>
          <w:sz w:val="24"/>
          <w:szCs w:val="24"/>
        </w:rPr>
        <w:tab/>
        <w:t xml:space="preserve">The prehearing conference was held as scheduled.  The parties agreed upon a litigation schedule.  They were given 24 hours to let me know if their witnesses could not make the proposed evidentiary hearing.  Verizon sent an email indicating that the dates were fine.  Core did not respond, and therefore, </w:t>
      </w:r>
      <w:r w:rsidR="00786CE3">
        <w:rPr>
          <w:sz w:val="24"/>
          <w:szCs w:val="24"/>
        </w:rPr>
        <w:t>I</w:t>
      </w:r>
      <w:r w:rsidRPr="00CB7343">
        <w:rPr>
          <w:sz w:val="24"/>
          <w:szCs w:val="24"/>
        </w:rPr>
        <w:t xml:space="preserve"> assumed that the dates </w:t>
      </w:r>
      <w:r w:rsidR="00786CE3">
        <w:rPr>
          <w:sz w:val="24"/>
          <w:szCs w:val="24"/>
        </w:rPr>
        <w:t>we</w:t>
      </w:r>
      <w:r w:rsidRPr="00CB7343">
        <w:rPr>
          <w:sz w:val="24"/>
          <w:szCs w:val="24"/>
        </w:rPr>
        <w:t>re suitable.</w:t>
      </w:r>
      <w:r w:rsidR="00786CE3">
        <w:rPr>
          <w:sz w:val="24"/>
          <w:szCs w:val="24"/>
        </w:rPr>
        <w:t xml:space="preserve">  A scheduling order was issued which consolidated the cases, amended the caption to use the correct name of Verizon North LLC, granted the Motion for admission pro hac vice for Deborah Kuhn</w:t>
      </w:r>
      <w:proofErr w:type="gramStart"/>
      <w:r w:rsidR="00786CE3">
        <w:rPr>
          <w:sz w:val="24"/>
          <w:szCs w:val="24"/>
        </w:rPr>
        <w:t>,  and</w:t>
      </w:r>
      <w:proofErr w:type="gramEnd"/>
      <w:r w:rsidR="00786CE3">
        <w:rPr>
          <w:sz w:val="24"/>
          <w:szCs w:val="24"/>
        </w:rPr>
        <w:t xml:space="preserve"> set the following litigation schedule:</w:t>
      </w:r>
    </w:p>
    <w:p w:rsidR="00CB7343" w:rsidRPr="00CB7343" w:rsidRDefault="00CB7343" w:rsidP="00CB7343">
      <w:pPr>
        <w:spacing w:line="360" w:lineRule="auto"/>
        <w:contextualSpacing/>
        <w:rPr>
          <w:sz w:val="24"/>
          <w:szCs w:val="24"/>
        </w:rPr>
      </w:pPr>
    </w:p>
    <w:p w:rsidR="00CB7343" w:rsidRPr="00CB7343" w:rsidRDefault="00CB7343" w:rsidP="00CB7343">
      <w:pPr>
        <w:spacing w:line="360" w:lineRule="auto"/>
        <w:contextualSpacing/>
        <w:rPr>
          <w:sz w:val="24"/>
          <w:szCs w:val="24"/>
        </w:rPr>
      </w:pPr>
      <w:r w:rsidRPr="00CB7343">
        <w:rPr>
          <w:sz w:val="24"/>
          <w:szCs w:val="24"/>
        </w:rPr>
        <w:tab/>
      </w:r>
      <w:r w:rsidRPr="00CB7343">
        <w:rPr>
          <w:sz w:val="24"/>
          <w:szCs w:val="24"/>
        </w:rPr>
        <w:tab/>
        <w:t>Direct Testimony</w:t>
      </w:r>
      <w:r w:rsidRPr="00CB7343">
        <w:rPr>
          <w:sz w:val="24"/>
          <w:szCs w:val="24"/>
        </w:rPr>
        <w:tab/>
      </w:r>
      <w:r w:rsidRPr="00CB7343">
        <w:rPr>
          <w:sz w:val="24"/>
          <w:szCs w:val="24"/>
        </w:rPr>
        <w:tab/>
        <w:t>August 23, 2012</w:t>
      </w:r>
      <w:r w:rsidRPr="00CB7343">
        <w:rPr>
          <w:sz w:val="24"/>
          <w:szCs w:val="24"/>
        </w:rPr>
        <w:tab/>
      </w:r>
      <w:r w:rsidRPr="00CB7343">
        <w:rPr>
          <w:sz w:val="24"/>
          <w:szCs w:val="24"/>
        </w:rPr>
        <w:tab/>
      </w:r>
    </w:p>
    <w:p w:rsidR="00CB7343" w:rsidRPr="00CB7343" w:rsidRDefault="00CB7343" w:rsidP="00CB7343">
      <w:pPr>
        <w:spacing w:line="360" w:lineRule="auto"/>
        <w:contextualSpacing/>
        <w:rPr>
          <w:sz w:val="24"/>
          <w:szCs w:val="24"/>
        </w:rPr>
      </w:pPr>
      <w:r w:rsidRPr="00CB7343">
        <w:rPr>
          <w:sz w:val="24"/>
          <w:szCs w:val="24"/>
        </w:rPr>
        <w:tab/>
      </w:r>
      <w:r w:rsidRPr="00CB7343">
        <w:rPr>
          <w:sz w:val="24"/>
          <w:szCs w:val="24"/>
        </w:rPr>
        <w:tab/>
        <w:t>Rebuttal Testimony</w:t>
      </w:r>
      <w:r w:rsidRPr="00CB7343">
        <w:rPr>
          <w:sz w:val="24"/>
          <w:szCs w:val="24"/>
        </w:rPr>
        <w:tab/>
      </w:r>
      <w:r w:rsidRPr="00CB7343">
        <w:rPr>
          <w:sz w:val="24"/>
          <w:szCs w:val="24"/>
        </w:rPr>
        <w:tab/>
        <w:t>October 4, 2012</w:t>
      </w:r>
      <w:r w:rsidRPr="00CB7343">
        <w:rPr>
          <w:sz w:val="24"/>
          <w:szCs w:val="24"/>
        </w:rPr>
        <w:tab/>
      </w:r>
    </w:p>
    <w:p w:rsidR="00CB7343" w:rsidRPr="00CB7343" w:rsidRDefault="00CB7343" w:rsidP="00CB7343">
      <w:pPr>
        <w:spacing w:line="360" w:lineRule="auto"/>
        <w:contextualSpacing/>
        <w:rPr>
          <w:sz w:val="24"/>
          <w:szCs w:val="24"/>
        </w:rPr>
      </w:pPr>
      <w:r w:rsidRPr="00CB7343">
        <w:rPr>
          <w:sz w:val="24"/>
          <w:szCs w:val="24"/>
        </w:rPr>
        <w:tab/>
      </w:r>
      <w:r w:rsidRPr="00CB7343">
        <w:rPr>
          <w:sz w:val="24"/>
          <w:szCs w:val="24"/>
        </w:rPr>
        <w:tab/>
        <w:t>Surrebuttal Testimony</w:t>
      </w:r>
      <w:r w:rsidRPr="00CB7343">
        <w:rPr>
          <w:sz w:val="24"/>
          <w:szCs w:val="24"/>
        </w:rPr>
        <w:tab/>
      </w:r>
      <w:r w:rsidRPr="00CB7343">
        <w:rPr>
          <w:sz w:val="24"/>
          <w:szCs w:val="24"/>
        </w:rPr>
        <w:tab/>
        <w:t>October 25, 2012</w:t>
      </w:r>
    </w:p>
    <w:p w:rsidR="00CB7343" w:rsidRPr="00CB7343" w:rsidRDefault="00CB7343" w:rsidP="00CB7343">
      <w:pPr>
        <w:spacing w:line="360" w:lineRule="auto"/>
        <w:contextualSpacing/>
        <w:rPr>
          <w:sz w:val="24"/>
          <w:szCs w:val="24"/>
        </w:rPr>
      </w:pPr>
      <w:r w:rsidRPr="00CB7343">
        <w:rPr>
          <w:sz w:val="24"/>
          <w:szCs w:val="24"/>
        </w:rPr>
        <w:tab/>
      </w:r>
      <w:r w:rsidRPr="00CB7343">
        <w:rPr>
          <w:sz w:val="24"/>
          <w:szCs w:val="24"/>
        </w:rPr>
        <w:tab/>
        <w:t>Evidentiary hearing</w:t>
      </w:r>
      <w:r w:rsidRPr="00CB7343">
        <w:rPr>
          <w:sz w:val="24"/>
          <w:szCs w:val="24"/>
        </w:rPr>
        <w:tab/>
      </w:r>
      <w:r w:rsidRPr="00CB7343">
        <w:rPr>
          <w:sz w:val="24"/>
          <w:szCs w:val="24"/>
        </w:rPr>
        <w:tab/>
        <w:t>December 4 &amp; 5, 2012</w:t>
      </w:r>
      <w:r w:rsidRPr="00CB7343">
        <w:rPr>
          <w:sz w:val="24"/>
          <w:szCs w:val="24"/>
        </w:rPr>
        <w:tab/>
      </w:r>
    </w:p>
    <w:p w:rsidR="00CB7343" w:rsidRPr="00CB7343" w:rsidRDefault="00CB7343" w:rsidP="00CB7343">
      <w:pPr>
        <w:spacing w:line="360" w:lineRule="auto"/>
        <w:contextualSpacing/>
        <w:rPr>
          <w:sz w:val="24"/>
          <w:szCs w:val="24"/>
        </w:rPr>
      </w:pPr>
      <w:r w:rsidRPr="00CB7343">
        <w:rPr>
          <w:sz w:val="24"/>
          <w:szCs w:val="24"/>
        </w:rPr>
        <w:tab/>
      </w:r>
      <w:r w:rsidRPr="00CB7343">
        <w:rPr>
          <w:sz w:val="24"/>
          <w:szCs w:val="24"/>
        </w:rPr>
        <w:tab/>
        <w:t>Initial briefs</w:t>
      </w:r>
      <w:r w:rsidRPr="00CB7343">
        <w:rPr>
          <w:sz w:val="24"/>
          <w:szCs w:val="24"/>
        </w:rPr>
        <w:tab/>
      </w:r>
      <w:r w:rsidRPr="00CB7343">
        <w:rPr>
          <w:sz w:val="24"/>
          <w:szCs w:val="24"/>
        </w:rPr>
        <w:tab/>
      </w:r>
      <w:r w:rsidRPr="00CB7343">
        <w:rPr>
          <w:sz w:val="24"/>
          <w:szCs w:val="24"/>
        </w:rPr>
        <w:tab/>
        <w:t>January 9, 2013</w:t>
      </w:r>
    </w:p>
    <w:p w:rsidR="00CB7343" w:rsidRPr="00CB7343" w:rsidRDefault="00CB7343" w:rsidP="00CB7343">
      <w:pPr>
        <w:spacing w:line="360" w:lineRule="auto"/>
        <w:contextualSpacing/>
        <w:rPr>
          <w:sz w:val="24"/>
          <w:szCs w:val="24"/>
        </w:rPr>
      </w:pPr>
      <w:r w:rsidRPr="00CB7343">
        <w:rPr>
          <w:sz w:val="24"/>
          <w:szCs w:val="24"/>
        </w:rPr>
        <w:tab/>
      </w:r>
      <w:r w:rsidRPr="00CB7343">
        <w:rPr>
          <w:sz w:val="24"/>
          <w:szCs w:val="24"/>
        </w:rPr>
        <w:tab/>
        <w:t>Response briefs</w:t>
      </w:r>
      <w:r w:rsidRPr="00CB7343">
        <w:rPr>
          <w:sz w:val="24"/>
          <w:szCs w:val="24"/>
        </w:rPr>
        <w:tab/>
      </w:r>
      <w:r w:rsidRPr="00CB7343">
        <w:rPr>
          <w:sz w:val="24"/>
          <w:szCs w:val="24"/>
        </w:rPr>
        <w:tab/>
        <w:t>January 24, 2013</w:t>
      </w:r>
      <w:r w:rsidRPr="00CB7343">
        <w:rPr>
          <w:sz w:val="24"/>
          <w:szCs w:val="24"/>
        </w:rPr>
        <w:tab/>
      </w:r>
      <w:r w:rsidRPr="00CB7343">
        <w:rPr>
          <w:sz w:val="24"/>
          <w:szCs w:val="24"/>
        </w:rPr>
        <w:tab/>
      </w:r>
    </w:p>
    <w:p w:rsidR="00CB7343" w:rsidRPr="00CB7343" w:rsidRDefault="00CB7343" w:rsidP="00CB7343">
      <w:pPr>
        <w:spacing w:line="360" w:lineRule="auto"/>
        <w:contextualSpacing/>
        <w:rPr>
          <w:sz w:val="24"/>
          <w:szCs w:val="24"/>
        </w:rPr>
      </w:pPr>
    </w:p>
    <w:p w:rsidR="00CB7343" w:rsidRPr="00CB7343" w:rsidRDefault="00CB7343" w:rsidP="00786CE3">
      <w:pPr>
        <w:spacing w:line="360" w:lineRule="auto"/>
        <w:contextualSpacing/>
        <w:rPr>
          <w:sz w:val="24"/>
          <w:szCs w:val="24"/>
        </w:rPr>
      </w:pPr>
      <w:r w:rsidRPr="00CB7343">
        <w:rPr>
          <w:sz w:val="24"/>
          <w:szCs w:val="24"/>
        </w:rPr>
        <w:tab/>
      </w:r>
      <w:r w:rsidRPr="00CB7343">
        <w:rPr>
          <w:sz w:val="24"/>
          <w:szCs w:val="24"/>
        </w:rPr>
        <w:tab/>
      </w:r>
      <w:r w:rsidR="00786CE3">
        <w:rPr>
          <w:sz w:val="24"/>
          <w:szCs w:val="24"/>
        </w:rPr>
        <w:t xml:space="preserve">On May 12, 2012, the parties jointly submitted a Motion for Protective Order, in which the parties allege that both parties anticipate that they may be required to file or furnish information which is non-public and proprietary.  The Motion is granted here as unopposed.   </w:t>
      </w:r>
    </w:p>
    <w:p w:rsidR="00733075" w:rsidRPr="00FA6483" w:rsidRDefault="00733075" w:rsidP="00786CE3">
      <w:pPr>
        <w:jc w:val="center"/>
        <w:rPr>
          <w:b/>
          <w:sz w:val="24"/>
          <w:szCs w:val="24"/>
        </w:rPr>
      </w:pPr>
      <w:r w:rsidRPr="00CB7343">
        <w:rPr>
          <w:b/>
          <w:sz w:val="24"/>
          <w:szCs w:val="24"/>
        </w:rPr>
        <w:br w:type="page"/>
      </w:r>
      <w:r w:rsidRPr="00FA6483">
        <w:rPr>
          <w:b/>
          <w:sz w:val="24"/>
          <w:szCs w:val="24"/>
        </w:rPr>
        <w:lastRenderedPageBreak/>
        <w:t>BEFORE THE</w:t>
      </w:r>
    </w:p>
    <w:p w:rsidR="00733075" w:rsidRPr="00FA6483" w:rsidRDefault="00733075" w:rsidP="00786CE3">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733075" w:rsidRPr="00FA6483" w:rsidRDefault="00733075" w:rsidP="00733075">
      <w:pPr>
        <w:jc w:val="center"/>
        <w:rPr>
          <w:b/>
          <w:sz w:val="24"/>
          <w:szCs w:val="24"/>
        </w:rPr>
      </w:pPr>
    </w:p>
    <w:p w:rsidR="00733075" w:rsidRPr="00FA6483" w:rsidRDefault="00733075" w:rsidP="00733075">
      <w:pPr>
        <w:jc w:val="center"/>
        <w:rPr>
          <w:b/>
          <w:sz w:val="24"/>
          <w:szCs w:val="24"/>
        </w:rPr>
      </w:pPr>
    </w:p>
    <w:p w:rsidR="00733075" w:rsidRDefault="00733075" w:rsidP="00733075">
      <w:pPr>
        <w:rPr>
          <w:sz w:val="24"/>
          <w:szCs w:val="24"/>
        </w:rPr>
      </w:pPr>
      <w:r>
        <w:rPr>
          <w:sz w:val="24"/>
          <w:szCs w:val="24"/>
        </w:rPr>
        <w:t>Core Communications, Inc.</w:t>
      </w:r>
      <w:r>
        <w:rPr>
          <w:sz w:val="24"/>
          <w:szCs w:val="24"/>
        </w:rPr>
        <w:tab/>
      </w:r>
      <w:r>
        <w:rPr>
          <w:sz w:val="24"/>
          <w:szCs w:val="24"/>
        </w:rPr>
        <w:tab/>
      </w:r>
      <w:r>
        <w:rPr>
          <w:sz w:val="24"/>
          <w:szCs w:val="24"/>
        </w:rPr>
        <w:tab/>
      </w:r>
      <w:r>
        <w:rPr>
          <w:sz w:val="24"/>
          <w:szCs w:val="24"/>
        </w:rPr>
        <w:tab/>
        <w:t>:</w:t>
      </w:r>
    </w:p>
    <w:p w:rsidR="00733075" w:rsidRPr="00FA6483" w:rsidRDefault="00733075" w:rsidP="00733075">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733075" w:rsidRPr="00FA6483" w:rsidRDefault="00733075" w:rsidP="00733075">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C-2011-2253750</w:t>
      </w:r>
    </w:p>
    <w:p w:rsidR="00733075" w:rsidRPr="00FA6483" w:rsidRDefault="00733075" w:rsidP="00733075">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733075" w:rsidRDefault="00733075" w:rsidP="00733075">
      <w:pPr>
        <w:rPr>
          <w:sz w:val="24"/>
          <w:szCs w:val="24"/>
        </w:rPr>
      </w:pPr>
      <w:r>
        <w:rPr>
          <w:sz w:val="24"/>
          <w:szCs w:val="24"/>
        </w:rPr>
        <w:t>Verizon Pennsylvania Inc.</w:t>
      </w:r>
      <w:r>
        <w:rPr>
          <w:sz w:val="24"/>
          <w:szCs w:val="24"/>
        </w:rPr>
        <w:tab/>
      </w:r>
      <w:r>
        <w:rPr>
          <w:sz w:val="24"/>
          <w:szCs w:val="24"/>
        </w:rPr>
        <w:tab/>
      </w:r>
      <w:r>
        <w:rPr>
          <w:sz w:val="24"/>
          <w:szCs w:val="24"/>
        </w:rPr>
        <w:tab/>
      </w:r>
      <w:r>
        <w:rPr>
          <w:sz w:val="24"/>
          <w:szCs w:val="24"/>
        </w:rPr>
        <w:tab/>
      </w:r>
      <w:r w:rsidRPr="00FA6483">
        <w:rPr>
          <w:sz w:val="24"/>
          <w:szCs w:val="24"/>
        </w:rPr>
        <w:t>:</w:t>
      </w:r>
    </w:p>
    <w:p w:rsidR="00733075" w:rsidRDefault="00733075" w:rsidP="00733075">
      <w:pPr>
        <w:rPr>
          <w:sz w:val="24"/>
          <w:szCs w:val="24"/>
        </w:rPr>
      </w:pPr>
    </w:p>
    <w:p w:rsidR="00733075" w:rsidRDefault="00733075" w:rsidP="00733075">
      <w:pPr>
        <w:rPr>
          <w:sz w:val="24"/>
          <w:szCs w:val="24"/>
        </w:rPr>
      </w:pPr>
      <w:r>
        <w:rPr>
          <w:sz w:val="24"/>
          <w:szCs w:val="24"/>
        </w:rPr>
        <w:t>Core Communications, Inc.</w:t>
      </w:r>
      <w:r>
        <w:rPr>
          <w:sz w:val="24"/>
          <w:szCs w:val="24"/>
        </w:rPr>
        <w:tab/>
      </w:r>
      <w:r>
        <w:rPr>
          <w:sz w:val="24"/>
          <w:szCs w:val="24"/>
        </w:rPr>
        <w:tab/>
      </w:r>
      <w:r>
        <w:rPr>
          <w:sz w:val="24"/>
          <w:szCs w:val="24"/>
        </w:rPr>
        <w:tab/>
      </w:r>
      <w:r>
        <w:rPr>
          <w:sz w:val="24"/>
          <w:szCs w:val="24"/>
        </w:rPr>
        <w:tab/>
        <w:t>:</w:t>
      </w:r>
    </w:p>
    <w:p w:rsidR="00733075" w:rsidRDefault="00733075" w:rsidP="0073307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733075" w:rsidRDefault="00733075" w:rsidP="00733075">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t>C-2011-2253777</w:t>
      </w:r>
    </w:p>
    <w:p w:rsidR="00733075" w:rsidRDefault="00733075" w:rsidP="0073307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733075" w:rsidRPr="00FA6483" w:rsidRDefault="00733075" w:rsidP="00733075">
      <w:pPr>
        <w:rPr>
          <w:sz w:val="24"/>
          <w:szCs w:val="24"/>
        </w:rPr>
      </w:pPr>
      <w:r>
        <w:rPr>
          <w:sz w:val="24"/>
          <w:szCs w:val="24"/>
        </w:rPr>
        <w:t>Verizon North, Inc.</w:t>
      </w:r>
      <w:r>
        <w:rPr>
          <w:sz w:val="24"/>
          <w:szCs w:val="24"/>
        </w:rPr>
        <w:tab/>
      </w:r>
      <w:r>
        <w:rPr>
          <w:sz w:val="24"/>
          <w:szCs w:val="24"/>
        </w:rPr>
        <w:tab/>
      </w:r>
      <w:r>
        <w:rPr>
          <w:sz w:val="24"/>
          <w:szCs w:val="24"/>
        </w:rPr>
        <w:tab/>
      </w:r>
      <w:r>
        <w:rPr>
          <w:sz w:val="24"/>
          <w:szCs w:val="24"/>
        </w:rPr>
        <w:tab/>
      </w:r>
      <w:r>
        <w:rPr>
          <w:sz w:val="24"/>
          <w:szCs w:val="24"/>
        </w:rPr>
        <w:tab/>
        <w:t>:</w:t>
      </w:r>
    </w:p>
    <w:p w:rsidR="00733075" w:rsidRDefault="00733075" w:rsidP="00733075"/>
    <w:p w:rsidR="00AC7F69" w:rsidRDefault="00AC7F69" w:rsidP="00AC7F69">
      <w:pPr>
        <w:jc w:val="center"/>
        <w:rPr>
          <w:b/>
          <w:sz w:val="24"/>
          <w:szCs w:val="24"/>
        </w:rPr>
      </w:pPr>
    </w:p>
    <w:p w:rsidR="00AC7F69" w:rsidRDefault="00AC7F69" w:rsidP="00786CE3">
      <w:pPr>
        <w:rPr>
          <w:sz w:val="24"/>
          <w:szCs w:val="24"/>
        </w:rPr>
      </w:pPr>
      <w:r>
        <w:rPr>
          <w:b/>
          <w:sz w:val="24"/>
          <w:szCs w:val="24"/>
        </w:rPr>
        <w:tab/>
      </w:r>
      <w:r>
        <w:rPr>
          <w:b/>
          <w:sz w:val="24"/>
          <w:szCs w:val="24"/>
        </w:rPr>
        <w:tab/>
      </w:r>
      <w:r>
        <w:rPr>
          <w:b/>
          <w:sz w:val="24"/>
          <w:szCs w:val="24"/>
        </w:rPr>
        <w:tab/>
      </w:r>
    </w:p>
    <w:p w:rsidR="00AC7F69" w:rsidRDefault="00AC7F69" w:rsidP="00AC7F69">
      <w:pPr>
        <w:jc w:val="center"/>
        <w:rPr>
          <w:b/>
          <w:snapToGrid w:val="0"/>
          <w:sz w:val="24"/>
          <w:szCs w:val="24"/>
          <w:u w:val="single"/>
        </w:rPr>
      </w:pPr>
      <w:r>
        <w:rPr>
          <w:b/>
          <w:snapToGrid w:val="0"/>
          <w:sz w:val="24"/>
          <w:szCs w:val="24"/>
          <w:u w:val="single"/>
        </w:rPr>
        <w:t>PROTECTIVE ORDER</w:t>
      </w:r>
    </w:p>
    <w:p w:rsidR="00AC7F69" w:rsidRDefault="00AC7F69" w:rsidP="00AC7F69">
      <w:pPr>
        <w:ind w:left="1440"/>
        <w:rPr>
          <w:b/>
          <w:snapToGrid w:val="0"/>
          <w:sz w:val="24"/>
          <w:szCs w:val="24"/>
        </w:rPr>
      </w:pPr>
    </w:p>
    <w:p w:rsidR="00786CE3" w:rsidRDefault="00786CE3" w:rsidP="00AC7F69">
      <w:pPr>
        <w:ind w:left="1440"/>
        <w:rPr>
          <w:snapToGrid w:val="0"/>
          <w:sz w:val="24"/>
          <w:szCs w:val="24"/>
        </w:rPr>
      </w:pPr>
    </w:p>
    <w:p w:rsidR="00AC7F69" w:rsidRDefault="00AC7F69" w:rsidP="00AC7F69">
      <w:pPr>
        <w:ind w:left="1440"/>
        <w:rPr>
          <w:snapToGrid w:val="0"/>
          <w:sz w:val="24"/>
          <w:szCs w:val="24"/>
        </w:rPr>
      </w:pPr>
      <w:r>
        <w:rPr>
          <w:snapToGrid w:val="0"/>
          <w:sz w:val="24"/>
          <w:szCs w:val="24"/>
        </w:rPr>
        <w:t>THEREFORE,</w:t>
      </w:r>
    </w:p>
    <w:p w:rsidR="00786CE3" w:rsidRDefault="00786CE3" w:rsidP="00AC7F69">
      <w:pPr>
        <w:ind w:left="1440"/>
        <w:rPr>
          <w:snapToGrid w:val="0"/>
          <w:sz w:val="24"/>
          <w:szCs w:val="24"/>
        </w:rPr>
      </w:pPr>
    </w:p>
    <w:p w:rsidR="00AC7F69" w:rsidRDefault="00AC7F69" w:rsidP="00AC7F69">
      <w:pPr>
        <w:ind w:left="1440"/>
        <w:rPr>
          <w:snapToGrid w:val="0"/>
          <w:sz w:val="24"/>
          <w:szCs w:val="24"/>
        </w:rPr>
      </w:pPr>
    </w:p>
    <w:p w:rsidR="00AC7F69" w:rsidRDefault="00AC7F69" w:rsidP="00AC7F69">
      <w:pPr>
        <w:ind w:left="1440"/>
        <w:rPr>
          <w:snapToGrid w:val="0"/>
          <w:sz w:val="24"/>
          <w:szCs w:val="24"/>
        </w:rPr>
      </w:pPr>
      <w:r>
        <w:rPr>
          <w:snapToGrid w:val="0"/>
          <w:sz w:val="24"/>
          <w:szCs w:val="24"/>
        </w:rPr>
        <w:t>IT IS ORDERED:</w:t>
      </w:r>
    </w:p>
    <w:p w:rsidR="00AC7F69" w:rsidRDefault="00AC7F69" w:rsidP="00AC7F69">
      <w:pPr>
        <w:ind w:left="1440"/>
        <w:rPr>
          <w:snapToGrid w:val="0"/>
          <w:sz w:val="24"/>
          <w:szCs w:val="24"/>
        </w:rPr>
      </w:pPr>
    </w:p>
    <w:p w:rsidR="00AC7F69" w:rsidRDefault="00AC7F69" w:rsidP="00AC7F69">
      <w:pPr>
        <w:ind w:left="1440"/>
        <w:rPr>
          <w:snapToGrid w:val="0"/>
          <w:sz w:val="24"/>
          <w:szCs w:val="24"/>
        </w:rPr>
      </w:pPr>
    </w:p>
    <w:p w:rsidR="00AC7F69" w:rsidRDefault="00AC7F69" w:rsidP="00AC7F69">
      <w:pPr>
        <w:spacing w:line="360" w:lineRule="auto"/>
        <w:ind w:firstLine="720"/>
        <w:rPr>
          <w:snapToGrid w:val="0"/>
          <w:sz w:val="24"/>
          <w:szCs w:val="24"/>
        </w:rPr>
      </w:pPr>
      <w:r>
        <w:rPr>
          <w:snapToGrid w:val="0"/>
          <w:sz w:val="24"/>
          <w:szCs w:val="24"/>
        </w:rPr>
        <w:tab/>
        <w:t>1.</w:t>
      </w:r>
      <w:r>
        <w:rPr>
          <w:snapToGrid w:val="0"/>
          <w:sz w:val="24"/>
          <w:szCs w:val="24"/>
        </w:rPr>
        <w:tab/>
        <w:t xml:space="preserve">This Protective Order, jointly submitted by </w:t>
      </w:r>
      <w:r>
        <w:rPr>
          <w:sz w:val="24"/>
          <w:szCs w:val="24"/>
        </w:rPr>
        <w:t>Verizon Pennsylvania Inc. and Verizon North LLC (“Verizon”)</w:t>
      </w:r>
      <w:r>
        <w:rPr>
          <w:snapToGrid w:val="0"/>
          <w:sz w:val="24"/>
          <w:szCs w:val="24"/>
        </w:rPr>
        <w:t xml:space="preserve"> and Core Communications, Inc. is hereby established for use in this proceeding with respect to all materials and information identified at Paragraph 2 of this Protective Order which are filed with the Pennsylvania Public Utility Commission (“Commission”), produced in discovery, or otherwise presented during these proceedings.  All persons now and hereafter granted access to the materials and information identified in Paragraph 2 of this Protective Order shall use and disclose such information only in accordance with this Order.</w:t>
      </w:r>
    </w:p>
    <w:p w:rsidR="00AC7F69" w:rsidRDefault="00AC7F69" w:rsidP="00AC7F69">
      <w:pPr>
        <w:spacing w:line="360" w:lineRule="auto"/>
        <w:ind w:firstLine="720"/>
        <w:rPr>
          <w:snapToGrid w:val="0"/>
          <w:sz w:val="24"/>
          <w:szCs w:val="24"/>
        </w:rPr>
      </w:pPr>
    </w:p>
    <w:p w:rsidR="00AC7F69" w:rsidRDefault="00AC7F69" w:rsidP="00AC7F69">
      <w:pPr>
        <w:spacing w:line="360" w:lineRule="auto"/>
        <w:ind w:firstLine="720"/>
        <w:rPr>
          <w:snapToGrid w:val="0"/>
          <w:sz w:val="24"/>
          <w:szCs w:val="24"/>
        </w:rPr>
      </w:pPr>
      <w:r>
        <w:rPr>
          <w:snapToGrid w:val="0"/>
          <w:sz w:val="24"/>
          <w:szCs w:val="24"/>
        </w:rPr>
        <w:tab/>
        <w:t>2.</w:t>
      </w:r>
      <w:r>
        <w:rPr>
          <w:snapToGrid w:val="0"/>
          <w:sz w:val="24"/>
          <w:szCs w:val="24"/>
        </w:rPr>
        <w:tab/>
        <w:t xml:space="preserve">The materials subject to this Order are all written, recorded or graphic material, whether produced or created by a party or another person or entity, including but not limited to, correspondence, documents, data, information, studies, methodologies and other materials which a party or an affiliate of a party furnishes in this proceeding pursuant to </w:t>
      </w:r>
      <w:r>
        <w:rPr>
          <w:snapToGrid w:val="0"/>
          <w:sz w:val="24"/>
          <w:szCs w:val="24"/>
        </w:rPr>
        <w:lastRenderedPageBreak/>
        <w:t>Commission rules and regulations, discovery procedures or cross-examination or provides as a courtesy to a party to this proceeding, which are claimed to be of a proprietary or confidential nature and which are designated “PROPRIETARY” (hereinafter collectively referred to as “Proprietary Information”).</w:t>
      </w:r>
    </w:p>
    <w:p w:rsidR="00AC7F69" w:rsidRDefault="00AC7F69" w:rsidP="00AC7F69">
      <w:pPr>
        <w:spacing w:line="360" w:lineRule="auto"/>
        <w:ind w:firstLine="720"/>
        <w:rPr>
          <w:snapToGrid w:val="0"/>
          <w:sz w:val="24"/>
          <w:szCs w:val="24"/>
        </w:rPr>
      </w:pPr>
    </w:p>
    <w:p w:rsidR="00AC7F69" w:rsidRDefault="00AC7F69" w:rsidP="00AC7F69">
      <w:pPr>
        <w:spacing w:line="360" w:lineRule="auto"/>
        <w:ind w:firstLine="720"/>
        <w:rPr>
          <w:snapToGrid w:val="0"/>
          <w:sz w:val="24"/>
          <w:szCs w:val="24"/>
        </w:rPr>
      </w:pPr>
      <w:r>
        <w:rPr>
          <w:snapToGrid w:val="0"/>
          <w:sz w:val="24"/>
          <w:szCs w:val="24"/>
        </w:rPr>
        <w:tab/>
        <w:t xml:space="preserve">In addition, the parties may designate extremely sensitive Proprietary Information as “HIGHLY CONFIDENTIAL” (hereinafter referred to as “Highly Confidential Information”) and thus secure the additional protections set forth in this Order pertaining to such material.  Such “HIGHLY CONFIDENTIAL” information shall be only such Proprietary Information that constitutes or describes the producing party's marketing plans, including, </w:t>
      </w:r>
      <w:r>
        <w:rPr>
          <w:i/>
          <w:snapToGrid w:val="0"/>
          <w:sz w:val="24"/>
          <w:szCs w:val="24"/>
        </w:rPr>
        <w:t>inter alia</w:t>
      </w:r>
      <w:r>
        <w:rPr>
          <w:snapToGrid w:val="0"/>
          <w:sz w:val="24"/>
          <w:szCs w:val="24"/>
        </w:rPr>
        <w:t>, costing and pricing aspects thereof, competitive strategies, market share projections, marketing materials that have not yet been used, network deployment, customer-identifying information, or customer prospects for services that are subject to competition.</w:t>
      </w:r>
    </w:p>
    <w:p w:rsidR="00AC7F69" w:rsidRDefault="00AC7F69" w:rsidP="00AC7F69">
      <w:pPr>
        <w:spacing w:line="360" w:lineRule="auto"/>
        <w:ind w:firstLine="720"/>
        <w:rPr>
          <w:snapToGrid w:val="0"/>
          <w:sz w:val="24"/>
          <w:szCs w:val="24"/>
        </w:rPr>
      </w:pPr>
    </w:p>
    <w:p w:rsidR="00AC7F69" w:rsidRDefault="00AC7F69" w:rsidP="00AC7F69">
      <w:pPr>
        <w:spacing w:line="360" w:lineRule="auto"/>
        <w:ind w:firstLine="720"/>
        <w:rPr>
          <w:snapToGrid w:val="0"/>
          <w:sz w:val="24"/>
          <w:szCs w:val="24"/>
        </w:rPr>
      </w:pPr>
      <w:r>
        <w:rPr>
          <w:snapToGrid w:val="0"/>
          <w:sz w:val="24"/>
          <w:szCs w:val="24"/>
        </w:rPr>
        <w:tab/>
        <w:t>3.</w:t>
      </w:r>
      <w:r>
        <w:rPr>
          <w:snapToGrid w:val="0"/>
          <w:sz w:val="24"/>
          <w:szCs w:val="24"/>
        </w:rPr>
        <w:tab/>
        <w:t>Proprietary Information and Highly Confidential Information shall be made available to the Commission and its Staff for use in this proceeding.  For purposes of filing, to the extent that Proprietary Information and Highly Confidential Information is placed in the Commission’s report folders, such information shall be handled in accordance with routine Commission procedures inasmuch as the report folders are not subject to public disclosure.  To the extent that Proprietary Information or Highly Confidential Information is placed in the Commission’s testimony or document folders, such information shall be separately bound, conspicuously marked and sealed, and accompanied by a copy of this Order.  Public inspection of Proprietary Information and Highly Confidential Information shall be permitted only in accordance with this Protective Order.</w:t>
      </w:r>
    </w:p>
    <w:p w:rsidR="00AC7F69" w:rsidRDefault="00AC7F69" w:rsidP="00AC7F69">
      <w:pPr>
        <w:spacing w:line="360" w:lineRule="auto"/>
        <w:ind w:firstLine="720"/>
        <w:rPr>
          <w:snapToGrid w:val="0"/>
          <w:sz w:val="24"/>
          <w:szCs w:val="24"/>
        </w:rPr>
      </w:pPr>
    </w:p>
    <w:p w:rsidR="00AC7F69" w:rsidRDefault="00AC7F69" w:rsidP="00AC7F69">
      <w:pPr>
        <w:spacing w:line="360" w:lineRule="auto"/>
        <w:ind w:firstLine="720"/>
        <w:rPr>
          <w:snapToGrid w:val="0"/>
          <w:sz w:val="24"/>
          <w:szCs w:val="24"/>
        </w:rPr>
      </w:pPr>
      <w:r>
        <w:rPr>
          <w:snapToGrid w:val="0"/>
          <w:sz w:val="24"/>
          <w:szCs w:val="24"/>
        </w:rPr>
        <w:tab/>
        <w:t>4.</w:t>
      </w:r>
      <w:r>
        <w:rPr>
          <w:snapToGrid w:val="0"/>
          <w:sz w:val="24"/>
          <w:szCs w:val="24"/>
        </w:rPr>
        <w:tab/>
        <w:t>Proprietary Information and Highly Confidential Information shall be made available to counsel of record in this proceeding pursuant to the following procedures.</w:t>
      </w:r>
    </w:p>
    <w:p w:rsidR="00AC7F69" w:rsidRDefault="00AC7F69" w:rsidP="00AC7F69">
      <w:pPr>
        <w:spacing w:line="360" w:lineRule="auto"/>
        <w:ind w:firstLine="720"/>
        <w:rPr>
          <w:snapToGrid w:val="0"/>
          <w:sz w:val="24"/>
          <w:szCs w:val="24"/>
        </w:rPr>
      </w:pPr>
    </w:p>
    <w:p w:rsidR="00AC7F69" w:rsidRDefault="00AC7F69" w:rsidP="00AC7F69">
      <w:pPr>
        <w:tabs>
          <w:tab w:val="left" w:pos="2160"/>
          <w:tab w:val="left" w:pos="3024"/>
        </w:tabs>
        <w:spacing w:line="360" w:lineRule="auto"/>
        <w:ind w:left="1440" w:right="1440"/>
        <w:rPr>
          <w:snapToGrid w:val="0"/>
          <w:sz w:val="24"/>
          <w:szCs w:val="24"/>
        </w:rPr>
      </w:pPr>
      <w:r>
        <w:rPr>
          <w:snapToGrid w:val="0"/>
          <w:sz w:val="24"/>
          <w:szCs w:val="24"/>
        </w:rPr>
        <w:t>a.</w:t>
      </w:r>
      <w:r>
        <w:rPr>
          <w:snapToGrid w:val="0"/>
          <w:sz w:val="24"/>
          <w:szCs w:val="24"/>
        </w:rPr>
        <w:tab/>
      </w:r>
      <w:r>
        <w:rPr>
          <w:snapToGrid w:val="0"/>
          <w:sz w:val="24"/>
          <w:szCs w:val="24"/>
          <w:u w:val="single"/>
        </w:rPr>
        <w:t>Proprietary Information</w:t>
      </w:r>
      <w:r>
        <w:rPr>
          <w:snapToGrid w:val="0"/>
          <w:sz w:val="24"/>
          <w:szCs w:val="24"/>
        </w:rPr>
        <w:t xml:space="preserve">.  To the extent required for participation in this proceeding, a party’s counsel of record, including in-house counsel and outside counsel who are actively </w:t>
      </w:r>
      <w:r>
        <w:rPr>
          <w:snapToGrid w:val="0"/>
          <w:sz w:val="24"/>
          <w:szCs w:val="24"/>
        </w:rPr>
        <w:lastRenderedPageBreak/>
        <w:t>engaged in this proceeding, including partners, associates, secretaries, paralegals and employees of such counsel may afford access to Proprietary Information made available by another party (“the producing party”) pursuant to the following procedures:</w:t>
      </w:r>
    </w:p>
    <w:p w:rsidR="00AC7F69" w:rsidRDefault="00AC7F69" w:rsidP="00AC7F69">
      <w:pPr>
        <w:tabs>
          <w:tab w:val="left" w:pos="2160"/>
          <w:tab w:val="left" w:pos="3024"/>
        </w:tabs>
        <w:spacing w:line="360" w:lineRule="auto"/>
        <w:ind w:left="1440" w:right="1440"/>
        <w:rPr>
          <w:snapToGrid w:val="0"/>
          <w:sz w:val="24"/>
          <w:szCs w:val="24"/>
        </w:rPr>
      </w:pPr>
    </w:p>
    <w:p w:rsidR="00AC7F69" w:rsidRDefault="00AC7F69" w:rsidP="00AC7F69">
      <w:pPr>
        <w:pStyle w:val="BodyTextIndent"/>
        <w:tabs>
          <w:tab w:val="left" w:pos="720"/>
        </w:tabs>
        <w:spacing w:line="360" w:lineRule="auto"/>
        <w:ind w:left="1728" w:right="1728" w:firstLine="0"/>
        <w:rPr>
          <w:sz w:val="24"/>
          <w:szCs w:val="24"/>
        </w:rPr>
      </w:pPr>
      <w:proofErr w:type="spellStart"/>
      <w:r>
        <w:rPr>
          <w:sz w:val="24"/>
          <w:szCs w:val="24"/>
        </w:rPr>
        <w:t>i</w:t>
      </w:r>
      <w:proofErr w:type="spellEnd"/>
      <w:r>
        <w:rPr>
          <w:sz w:val="24"/>
          <w:szCs w:val="24"/>
        </w:rPr>
        <w:t>.</w:t>
      </w:r>
      <w:r>
        <w:rPr>
          <w:sz w:val="24"/>
          <w:szCs w:val="24"/>
        </w:rPr>
        <w:tab/>
        <w:t>To the party’s witness(</w:t>
      </w:r>
      <w:proofErr w:type="spellStart"/>
      <w:r>
        <w:rPr>
          <w:sz w:val="24"/>
          <w:szCs w:val="24"/>
        </w:rPr>
        <w:t>es</w:t>
      </w:r>
      <w:proofErr w:type="spellEnd"/>
      <w:r>
        <w:rPr>
          <w:sz w:val="24"/>
          <w:szCs w:val="24"/>
        </w:rPr>
        <w:t>) or expert(s) subject to the restrictions that such witness(</w:t>
      </w:r>
      <w:proofErr w:type="spellStart"/>
      <w:r>
        <w:rPr>
          <w:sz w:val="24"/>
          <w:szCs w:val="24"/>
        </w:rPr>
        <w:t>es</w:t>
      </w:r>
      <w:proofErr w:type="spellEnd"/>
      <w:r>
        <w:rPr>
          <w:sz w:val="24"/>
          <w:szCs w:val="24"/>
        </w:rPr>
        <w:t>) or expert(s) may not hold any of the following positions with any competitor or affiliate of a competitor of the producing party: an officer, board member, significant stockholder, partner, owner (other than owner of stock) or an employee of any competitor or affiliate of a competitor of the producing party where such witness or expert is primarily involved in the pricing, development, and/or marketing of products or services that are offered in competition with those of the producing party; provided, however, that any witness or expert shall not be disqualified on account of being a stockholder, partner, or owner unless his/her interest in the business constitutes a significant potential for violation of the limitations of permissible use of the Proprietary Information.  For purposes of this Order, stocks, partnership, or other ownership interest valued at less than $500,000 and/or constituting less than a 10 % interest in a business does not, in itself, establish a significant potential for violation.  For purposes of this Order, the parties acknowledge that the restrictions of this sub-paragraph 4(a</w:t>
      </w:r>
      <w:proofErr w:type="gramStart"/>
      <w:r>
        <w:rPr>
          <w:sz w:val="24"/>
          <w:szCs w:val="24"/>
        </w:rPr>
        <w:t>)(</w:t>
      </w:r>
      <w:proofErr w:type="spellStart"/>
      <w:proofErr w:type="gramEnd"/>
      <w:r>
        <w:rPr>
          <w:sz w:val="24"/>
          <w:szCs w:val="24"/>
        </w:rPr>
        <w:t>i</w:t>
      </w:r>
      <w:proofErr w:type="spellEnd"/>
      <w:r>
        <w:rPr>
          <w:sz w:val="24"/>
          <w:szCs w:val="24"/>
        </w:rPr>
        <w:t xml:space="preserve">) shall </w:t>
      </w:r>
      <w:r>
        <w:rPr>
          <w:sz w:val="24"/>
          <w:szCs w:val="24"/>
          <w:u w:val="single"/>
        </w:rPr>
        <w:t>not</w:t>
      </w:r>
      <w:r>
        <w:rPr>
          <w:sz w:val="24"/>
          <w:szCs w:val="24"/>
        </w:rPr>
        <w:t xml:space="preserve"> apply to Core officers Christopher Van De </w:t>
      </w:r>
      <w:proofErr w:type="spellStart"/>
      <w:r>
        <w:rPr>
          <w:sz w:val="24"/>
          <w:szCs w:val="24"/>
        </w:rPr>
        <w:t>Verg</w:t>
      </w:r>
      <w:proofErr w:type="spellEnd"/>
      <w:r>
        <w:rPr>
          <w:sz w:val="24"/>
          <w:szCs w:val="24"/>
        </w:rPr>
        <w:t xml:space="preserve"> and Bret Mingo.  Mr. Van de </w:t>
      </w:r>
      <w:proofErr w:type="spellStart"/>
      <w:r>
        <w:rPr>
          <w:sz w:val="24"/>
          <w:szCs w:val="24"/>
        </w:rPr>
        <w:t>Verg</w:t>
      </w:r>
      <w:proofErr w:type="spellEnd"/>
      <w:r>
        <w:rPr>
          <w:sz w:val="24"/>
          <w:szCs w:val="24"/>
        </w:rPr>
        <w:t xml:space="preserve"> and Mr. Mingo shall be permitted to view Proprietary and Highly Confidential information in this proceeding, subject to all of the other restrictions set forth in this Order.  </w:t>
      </w:r>
    </w:p>
    <w:p w:rsidR="00AC7F69" w:rsidRDefault="00AC7F69" w:rsidP="00AC7F69">
      <w:pPr>
        <w:pStyle w:val="BodyTextIndent2"/>
        <w:tabs>
          <w:tab w:val="left" w:pos="720"/>
        </w:tabs>
        <w:spacing w:line="360" w:lineRule="auto"/>
        <w:ind w:left="1728" w:right="1728" w:firstLine="0"/>
        <w:rPr>
          <w:sz w:val="24"/>
          <w:szCs w:val="24"/>
        </w:rPr>
      </w:pPr>
    </w:p>
    <w:p w:rsidR="00AC7F69" w:rsidRDefault="00AC7F69" w:rsidP="00AC7F69">
      <w:pPr>
        <w:pStyle w:val="BodyTextIndent2"/>
        <w:tabs>
          <w:tab w:val="left" w:pos="720"/>
        </w:tabs>
        <w:spacing w:line="360" w:lineRule="auto"/>
        <w:ind w:left="1728" w:right="1728" w:firstLine="0"/>
        <w:rPr>
          <w:sz w:val="24"/>
          <w:szCs w:val="24"/>
        </w:rPr>
      </w:pPr>
      <w:r>
        <w:rPr>
          <w:sz w:val="24"/>
          <w:szCs w:val="24"/>
        </w:rPr>
        <w:lastRenderedPageBreak/>
        <w:t>ii.</w:t>
      </w:r>
      <w:r>
        <w:rPr>
          <w:sz w:val="24"/>
          <w:szCs w:val="24"/>
        </w:rPr>
        <w:tab/>
        <w:t>To a party's independent expert retained to render professional services in this proceeding, subject to the restriction that the independent expert, another member of the independent expert's firm or the independent expert's firm generally also serves as an expert for, or as a consultant or advisor to a competitor or any affiliate of a competitor of the producing party, said independent expert must: (1) advise the producing party of the competitor's or affiliate's name(s); (2) make reasonable attempts to segregate those personnel assisting in the expert’s participation in this proceeding from those personnel working on behalf of a competitor or any affiliate of a competitor of the producing party; and (3) if segregation of such personnel is impractical, the independent expert shall give to the producing party written assurances that the lack of segregation will in no way jeopardize the interests of the producing party.  The producing party retains the right to challenge the adequacy of the written assurances that its interests will not be jeopardized.</w:t>
      </w:r>
    </w:p>
    <w:p w:rsidR="00AC7F69" w:rsidRDefault="00AC7F69" w:rsidP="00AC7F69">
      <w:pPr>
        <w:pStyle w:val="BodyTextIndent2"/>
        <w:tabs>
          <w:tab w:val="left" w:pos="720"/>
        </w:tabs>
        <w:spacing w:line="360" w:lineRule="auto"/>
        <w:ind w:left="1728" w:right="1728" w:firstLine="0"/>
        <w:rPr>
          <w:sz w:val="24"/>
          <w:szCs w:val="24"/>
        </w:rPr>
      </w:pPr>
    </w:p>
    <w:p w:rsidR="00AC7F69" w:rsidRDefault="00AC7F69" w:rsidP="00AC7F69">
      <w:pPr>
        <w:spacing w:line="360" w:lineRule="auto"/>
        <w:ind w:left="1440" w:right="1440"/>
        <w:rPr>
          <w:snapToGrid w:val="0"/>
          <w:sz w:val="24"/>
          <w:szCs w:val="24"/>
        </w:rPr>
      </w:pPr>
      <w:r>
        <w:rPr>
          <w:snapToGrid w:val="0"/>
          <w:sz w:val="24"/>
          <w:szCs w:val="24"/>
        </w:rPr>
        <w:t>b.</w:t>
      </w:r>
      <w:r>
        <w:rPr>
          <w:snapToGrid w:val="0"/>
          <w:sz w:val="24"/>
          <w:szCs w:val="24"/>
        </w:rPr>
        <w:tab/>
      </w:r>
      <w:r>
        <w:rPr>
          <w:snapToGrid w:val="0"/>
          <w:sz w:val="24"/>
          <w:szCs w:val="24"/>
          <w:u w:val="single"/>
        </w:rPr>
        <w:t>Highly Confidential Information</w:t>
      </w:r>
      <w:r>
        <w:rPr>
          <w:snapToGrid w:val="0"/>
          <w:sz w:val="24"/>
          <w:szCs w:val="24"/>
        </w:rPr>
        <w:t xml:space="preserve">.  Proprietary Information or other material designated as “Highly Confidential” shall be produced for inspection by a party's counsel of record only including in-house counsel and outside counsel of the reviewing party who are actively engaged in this proceeding, including partners, associates, secretaries, paralegals and other such employees of counsel.  If the inspecting counsel desires to disclose “Highly Confidential” material to persons other than counsel of record as described above, she or he shall notify the producing party's counsel three (3) business days prior to such disclosure, to allow the producing party time to raise the issue orally with the presiding Administrative Law Judge if there is any objection to </w:t>
      </w:r>
      <w:r>
        <w:rPr>
          <w:snapToGrid w:val="0"/>
          <w:sz w:val="24"/>
          <w:szCs w:val="24"/>
        </w:rPr>
        <w:lastRenderedPageBreak/>
        <w:t>such disclosure.  Highly Confidential Information may be disclosed under the terms of this provision only to persons who meet the qualifications of 4(a</w:t>
      </w:r>
      <w:proofErr w:type="gramStart"/>
      <w:r>
        <w:rPr>
          <w:snapToGrid w:val="0"/>
          <w:sz w:val="24"/>
          <w:szCs w:val="24"/>
        </w:rPr>
        <w:t>)(</w:t>
      </w:r>
      <w:proofErr w:type="spellStart"/>
      <w:proofErr w:type="gramEnd"/>
      <w:r>
        <w:rPr>
          <w:snapToGrid w:val="0"/>
          <w:sz w:val="24"/>
          <w:szCs w:val="24"/>
        </w:rPr>
        <w:t>i</w:t>
      </w:r>
      <w:proofErr w:type="spellEnd"/>
      <w:r>
        <w:rPr>
          <w:snapToGrid w:val="0"/>
          <w:sz w:val="24"/>
          <w:szCs w:val="24"/>
        </w:rPr>
        <w:t xml:space="preserve">) and (ii) above.   If upon inspection the requesting party disagrees with the designation of any of the material as “Highly Confidential” and the producing party does not revise the designation, that issue may also be submitted orally to the Administrative Law Judge for resolution.  </w:t>
      </w:r>
    </w:p>
    <w:p w:rsidR="00AC7F69" w:rsidRDefault="00AC7F69" w:rsidP="00AC7F69">
      <w:pPr>
        <w:spacing w:line="360" w:lineRule="auto"/>
        <w:ind w:left="1440" w:right="1440"/>
        <w:rPr>
          <w:snapToGrid w:val="0"/>
          <w:sz w:val="24"/>
          <w:szCs w:val="24"/>
        </w:rPr>
      </w:pPr>
    </w:p>
    <w:p w:rsidR="00AC7F69" w:rsidRDefault="00AC7F69" w:rsidP="00AC7F69">
      <w:pPr>
        <w:pStyle w:val="BodyTextIndent3"/>
        <w:tabs>
          <w:tab w:val="left" w:pos="720"/>
        </w:tabs>
        <w:spacing w:line="360" w:lineRule="auto"/>
        <w:ind w:left="1440" w:right="1440" w:firstLine="0"/>
        <w:rPr>
          <w:sz w:val="24"/>
          <w:szCs w:val="24"/>
        </w:rPr>
      </w:pPr>
      <w:r>
        <w:rPr>
          <w:sz w:val="24"/>
          <w:szCs w:val="24"/>
        </w:rPr>
        <w:t>c.</w:t>
      </w:r>
      <w:r>
        <w:rPr>
          <w:sz w:val="24"/>
          <w:szCs w:val="24"/>
        </w:rPr>
        <w:tab/>
        <w:t>No other persons may have access to the Proprietary Information or Highly Confidential Information except as authorized by order of the Commission or of the presiding Administrative Law Judge.  No person who may be entitled to receive, or who is afforded access to any Proprietary Information or Highly Confidential Information shall use or disclose such information for the purposes of business or competition, or any purpose other than the preparation for and conduct of this proceeding or any administrative or judicial review thereof.</w:t>
      </w:r>
    </w:p>
    <w:p w:rsidR="00AC7F69" w:rsidRDefault="00AC7F69" w:rsidP="00AC7F69">
      <w:pPr>
        <w:pStyle w:val="BodyTextIndent3"/>
        <w:tabs>
          <w:tab w:val="left" w:pos="720"/>
        </w:tabs>
        <w:spacing w:line="360" w:lineRule="auto"/>
        <w:ind w:left="1440" w:right="1440" w:firstLine="0"/>
        <w:rPr>
          <w:sz w:val="24"/>
          <w:szCs w:val="24"/>
        </w:rPr>
      </w:pPr>
    </w:p>
    <w:p w:rsidR="00AC7F69" w:rsidRDefault="00AC7F69" w:rsidP="00AC7F69">
      <w:pPr>
        <w:spacing w:line="360" w:lineRule="auto"/>
        <w:ind w:firstLine="720"/>
        <w:rPr>
          <w:snapToGrid w:val="0"/>
          <w:sz w:val="24"/>
          <w:szCs w:val="24"/>
        </w:rPr>
      </w:pPr>
      <w:r>
        <w:rPr>
          <w:snapToGrid w:val="0"/>
          <w:sz w:val="24"/>
          <w:szCs w:val="24"/>
        </w:rPr>
        <w:tab/>
        <w:t>5.</w:t>
      </w:r>
      <w:r>
        <w:rPr>
          <w:snapToGrid w:val="0"/>
          <w:sz w:val="24"/>
          <w:szCs w:val="24"/>
        </w:rPr>
        <w:tab/>
        <w:t>Prior to making Proprietary Information or Highly Confidential Information available to any person as provided in numbered Paragraph 4, above, counsel shall deliver a copy of this Order to such person and shall receive a written acknowledgment from that person in the form attached to this Order and designated as “Appendix A”.  Counsel shall promptly deliver to the producing party a copy of the executed Appendix A.</w:t>
      </w:r>
    </w:p>
    <w:p w:rsidR="00AC7F69" w:rsidRDefault="00AC7F69" w:rsidP="00AC7F69">
      <w:pPr>
        <w:spacing w:line="360" w:lineRule="auto"/>
        <w:ind w:firstLine="720"/>
        <w:rPr>
          <w:snapToGrid w:val="0"/>
          <w:sz w:val="24"/>
          <w:szCs w:val="24"/>
        </w:rPr>
      </w:pPr>
    </w:p>
    <w:p w:rsidR="00AC7F69" w:rsidRDefault="00AC7F69" w:rsidP="00AC7F69">
      <w:pPr>
        <w:spacing w:line="360" w:lineRule="auto"/>
        <w:ind w:firstLine="720"/>
        <w:rPr>
          <w:snapToGrid w:val="0"/>
          <w:sz w:val="24"/>
          <w:szCs w:val="24"/>
        </w:rPr>
      </w:pPr>
      <w:r>
        <w:rPr>
          <w:snapToGrid w:val="0"/>
          <w:sz w:val="24"/>
          <w:szCs w:val="24"/>
        </w:rPr>
        <w:tab/>
        <w:t>6.</w:t>
      </w:r>
      <w:r>
        <w:rPr>
          <w:snapToGrid w:val="0"/>
          <w:sz w:val="24"/>
          <w:szCs w:val="24"/>
        </w:rPr>
        <w:tab/>
        <w:t xml:space="preserve">A producing party shall designate data or documents as constituting or containing Proprietary Information or Highly Confidential Information by affixing an appropriate proprietary stamp or typewritten or printed designation on such data or documents.  Where only part of data compilations or multi-page documents constitutes or contains Proprietary Information or Highly Confidential Information, the producing party insofar as reasonably practicable within discovery and other time constraints imposed in this proceeding, </w:t>
      </w:r>
      <w:r>
        <w:rPr>
          <w:snapToGrid w:val="0"/>
          <w:sz w:val="24"/>
          <w:szCs w:val="24"/>
        </w:rPr>
        <w:lastRenderedPageBreak/>
        <w:t>shall designate only the specific data or pages of documents which constitute or contain Proprietary Information or Highly Confidential Information.</w:t>
      </w:r>
    </w:p>
    <w:p w:rsidR="00AC7F69" w:rsidRDefault="00AC7F69" w:rsidP="00AC7F69">
      <w:pPr>
        <w:spacing w:line="360" w:lineRule="auto"/>
        <w:ind w:firstLine="720"/>
        <w:rPr>
          <w:snapToGrid w:val="0"/>
          <w:sz w:val="24"/>
          <w:szCs w:val="24"/>
        </w:rPr>
      </w:pPr>
    </w:p>
    <w:p w:rsidR="00AC7F69" w:rsidRDefault="00AC7F69" w:rsidP="00AC7F69">
      <w:pPr>
        <w:spacing w:line="360" w:lineRule="auto"/>
        <w:ind w:firstLine="1440"/>
        <w:rPr>
          <w:snapToGrid w:val="0"/>
          <w:sz w:val="24"/>
          <w:szCs w:val="24"/>
        </w:rPr>
      </w:pPr>
      <w:r>
        <w:rPr>
          <w:snapToGrid w:val="0"/>
          <w:sz w:val="24"/>
          <w:szCs w:val="24"/>
        </w:rPr>
        <w:t>7.</w:t>
      </w:r>
      <w:r>
        <w:rPr>
          <w:snapToGrid w:val="0"/>
          <w:sz w:val="24"/>
          <w:szCs w:val="24"/>
        </w:rPr>
        <w:tab/>
        <w:t>Any federal agency which has access to and/or receives copies of the Proprietary Information or Highly Confidential Information will consider and treat the Proprietary Information or Highly Confidential Information as within the exemption from disclosure provided in the Freedom of Information Act as set forth at 5 U.S.C.A. §552(b</w:t>
      </w:r>
      <w:proofErr w:type="gramStart"/>
      <w:r>
        <w:rPr>
          <w:snapToGrid w:val="0"/>
          <w:sz w:val="24"/>
          <w:szCs w:val="24"/>
        </w:rPr>
        <w:t>)(</w:t>
      </w:r>
      <w:proofErr w:type="gramEnd"/>
      <w:r>
        <w:rPr>
          <w:snapToGrid w:val="0"/>
          <w:sz w:val="24"/>
          <w:szCs w:val="24"/>
        </w:rPr>
        <w:t>4) until such time as the information is found to be non-proprietary.</w:t>
      </w:r>
    </w:p>
    <w:p w:rsidR="00AC7F69" w:rsidRDefault="00AC7F69" w:rsidP="00AC7F69">
      <w:pPr>
        <w:spacing w:line="360" w:lineRule="auto"/>
        <w:ind w:firstLine="1440"/>
        <w:rPr>
          <w:snapToGrid w:val="0"/>
          <w:sz w:val="24"/>
          <w:szCs w:val="24"/>
        </w:rPr>
      </w:pPr>
    </w:p>
    <w:p w:rsidR="00AC7F69" w:rsidRDefault="00AC7F69" w:rsidP="00AC7F69">
      <w:pPr>
        <w:spacing w:line="360" w:lineRule="auto"/>
        <w:ind w:firstLine="1440"/>
        <w:rPr>
          <w:snapToGrid w:val="0"/>
          <w:sz w:val="24"/>
          <w:szCs w:val="24"/>
        </w:rPr>
      </w:pPr>
      <w:r>
        <w:rPr>
          <w:snapToGrid w:val="0"/>
          <w:sz w:val="24"/>
          <w:szCs w:val="24"/>
        </w:rPr>
        <w:t>8.</w:t>
      </w:r>
      <w:r>
        <w:rPr>
          <w:snapToGrid w:val="0"/>
          <w:sz w:val="24"/>
          <w:szCs w:val="24"/>
        </w:rPr>
        <w:tab/>
        <w:t>Any state agency which has access to and/or receives copies of the Proprietary Information or Highly Confidential Information will consider and treat the Proprietary Information or Highly Confidential Information as within the exemption from disclosure provided in the Pennsylvania Right-to-Know Act as set forth at 65 P.S. §66.1(2) until such time as the information is found to be non-proprietary.</w:t>
      </w:r>
    </w:p>
    <w:p w:rsidR="00AC7F69" w:rsidRDefault="00AC7F69" w:rsidP="00AC7F69">
      <w:pPr>
        <w:spacing w:line="360" w:lineRule="auto"/>
        <w:ind w:firstLine="720"/>
        <w:rPr>
          <w:snapToGrid w:val="0"/>
          <w:sz w:val="24"/>
          <w:szCs w:val="24"/>
        </w:rPr>
      </w:pPr>
    </w:p>
    <w:p w:rsidR="00AC7F69" w:rsidRDefault="00AC7F69" w:rsidP="00AC7F69">
      <w:pPr>
        <w:spacing w:line="360" w:lineRule="auto"/>
        <w:ind w:firstLine="720"/>
        <w:rPr>
          <w:snapToGrid w:val="0"/>
          <w:sz w:val="24"/>
          <w:szCs w:val="24"/>
        </w:rPr>
      </w:pPr>
      <w:r>
        <w:rPr>
          <w:snapToGrid w:val="0"/>
          <w:sz w:val="24"/>
          <w:szCs w:val="24"/>
        </w:rPr>
        <w:tab/>
        <w:t>9.</w:t>
      </w:r>
      <w:r>
        <w:rPr>
          <w:snapToGrid w:val="0"/>
          <w:sz w:val="24"/>
          <w:szCs w:val="24"/>
        </w:rPr>
        <w:tab/>
        <w:t>Any public reference to Proprietary Information or Highly Confidential Information by counsel or persons afforded access thereto shall be to the title or exhibit reference in sufficient detail to permit persons with access to the Proprietary Information or Highly Confidential Information to fully understand the reference and not more. The Proprietary Information or Highly Confidential Information shall remain a part of the record, to the extent admitted, for all purposes of administrative or judicial review.</w:t>
      </w:r>
    </w:p>
    <w:p w:rsidR="00AC7F69" w:rsidRDefault="00AC7F69" w:rsidP="00AC7F69">
      <w:pPr>
        <w:spacing w:line="360" w:lineRule="auto"/>
        <w:ind w:firstLine="720"/>
        <w:rPr>
          <w:snapToGrid w:val="0"/>
          <w:sz w:val="24"/>
          <w:szCs w:val="24"/>
        </w:rPr>
      </w:pPr>
    </w:p>
    <w:p w:rsidR="00AC7F69" w:rsidRDefault="00AC7F69" w:rsidP="00AC7F69">
      <w:pPr>
        <w:spacing w:line="360" w:lineRule="auto"/>
        <w:ind w:firstLine="720"/>
        <w:rPr>
          <w:snapToGrid w:val="0"/>
          <w:sz w:val="24"/>
          <w:szCs w:val="24"/>
        </w:rPr>
      </w:pPr>
      <w:r>
        <w:rPr>
          <w:snapToGrid w:val="0"/>
          <w:sz w:val="24"/>
          <w:szCs w:val="24"/>
        </w:rPr>
        <w:tab/>
        <w:t>10.</w:t>
      </w:r>
      <w:r>
        <w:rPr>
          <w:snapToGrid w:val="0"/>
          <w:sz w:val="24"/>
          <w:szCs w:val="24"/>
        </w:rPr>
        <w:tab/>
        <w:t xml:space="preserve">Parts of any record in this proceeding containing Proprietary Information or Highly Confidential Information, including but not limited to all exhibits, writings, testimony, cross-examination, argument and responses to discovery, and including reference thereto as mentioned in number Paragraph 9 above, shall be sealed for all purposes, including administrative and judicial review, unless such Proprietary Information or Highly Confidential Information is released from the restrictions of this Order, either through the agreement of the parties or pursuant to order of the Administrative Law Judge or the Commission.  Unresolved challenges arising under Paragraph 11 shall be decided on motion or petition by the presiding officer or the Commission as provided by 52 Pa. Code §5.423(a).  All such challenges will be </w:t>
      </w:r>
      <w:r>
        <w:rPr>
          <w:snapToGrid w:val="0"/>
          <w:sz w:val="24"/>
          <w:szCs w:val="24"/>
        </w:rPr>
        <w:lastRenderedPageBreak/>
        <w:t>resolved in conformity with existing rules, regulations, orders, statutes, precedent, etc., to the extent that such guidance is available.</w:t>
      </w:r>
    </w:p>
    <w:p w:rsidR="00AC7F69" w:rsidRDefault="00AC7F69" w:rsidP="00AC7F69">
      <w:pPr>
        <w:spacing w:line="360" w:lineRule="auto"/>
        <w:ind w:firstLine="720"/>
        <w:rPr>
          <w:snapToGrid w:val="0"/>
          <w:sz w:val="24"/>
          <w:szCs w:val="24"/>
        </w:rPr>
      </w:pPr>
    </w:p>
    <w:p w:rsidR="00AC7F69" w:rsidRDefault="00AC7F69" w:rsidP="00AC7F69">
      <w:pPr>
        <w:spacing w:line="360" w:lineRule="auto"/>
        <w:ind w:firstLine="720"/>
        <w:rPr>
          <w:snapToGrid w:val="0"/>
          <w:sz w:val="24"/>
          <w:szCs w:val="24"/>
        </w:rPr>
      </w:pPr>
      <w:r>
        <w:rPr>
          <w:snapToGrid w:val="0"/>
          <w:sz w:val="24"/>
          <w:szCs w:val="24"/>
        </w:rPr>
        <w:tab/>
        <w:t>11.</w:t>
      </w:r>
      <w:r>
        <w:rPr>
          <w:snapToGrid w:val="0"/>
          <w:sz w:val="24"/>
          <w:szCs w:val="24"/>
        </w:rPr>
        <w:tab/>
        <w:t>The parties affected by the terms of this Order shall retain the right to question or challenge the confidential or proprietary nature of Proprietary Information or Highly Confidential Information; to question or challenge the admissibility of Proprietary Information or Highly Confidential Information; to refuse or object to the production of Proprietary Information or Highly Confidential Information on any proper ground, including but not limited to irrelevance, immateriality or undue burden; to seek an order permitting disclosure of Proprietary Information or Highly Confidential Information beyond that allowed in this Order; and to seek additional measures of protection of Proprietary Information or Highly Confidential Information beyond those provided in this Order.  If a challenge is made to the designation of a document or information as Proprietary Information or Highly Confidential Information, the party claiming that the information is Proprietary Information or Highly Confidential Information retains the burden of demonstrating that the designation is necessary and appropriate.</w:t>
      </w:r>
    </w:p>
    <w:p w:rsidR="00AC7F69" w:rsidRDefault="00AC7F69" w:rsidP="00AC7F69">
      <w:pPr>
        <w:spacing w:line="360" w:lineRule="auto"/>
        <w:ind w:firstLine="720"/>
        <w:rPr>
          <w:snapToGrid w:val="0"/>
          <w:sz w:val="24"/>
          <w:szCs w:val="24"/>
        </w:rPr>
      </w:pPr>
    </w:p>
    <w:p w:rsidR="00AC7F69" w:rsidRDefault="00AC7F69" w:rsidP="00AC7F69">
      <w:pPr>
        <w:spacing w:line="360" w:lineRule="auto"/>
        <w:ind w:firstLine="720"/>
        <w:rPr>
          <w:snapToGrid w:val="0"/>
          <w:sz w:val="24"/>
          <w:szCs w:val="24"/>
        </w:rPr>
      </w:pPr>
      <w:r>
        <w:rPr>
          <w:snapToGrid w:val="0"/>
          <w:sz w:val="24"/>
          <w:szCs w:val="24"/>
        </w:rPr>
        <w:t>12.</w:t>
      </w:r>
      <w:r>
        <w:rPr>
          <w:snapToGrid w:val="0"/>
          <w:sz w:val="24"/>
          <w:szCs w:val="24"/>
        </w:rPr>
        <w:tab/>
        <w:t>Upon completion of this proceeding, including any administrative or judicial review, all copies of all documents and other materials, including notes, which contain any Proprietary Information or Highly Confidential Information, shall be immediately returned upon request to the party furnishing such Proprietary Information or Highly Confidential Information.  In the alternative, parties may provide an affidavit of counsel affirming that the materials containing or reflecting Proprietary Information or Highly Confidential Information have been destroyed.</w:t>
      </w:r>
    </w:p>
    <w:p w:rsidR="00AC7F69" w:rsidRDefault="00AC7F69" w:rsidP="00AC7F69">
      <w:pPr>
        <w:spacing w:line="480" w:lineRule="auto"/>
        <w:ind w:firstLine="720"/>
        <w:rPr>
          <w:snapToGrid w:val="0"/>
          <w:sz w:val="24"/>
          <w:szCs w:val="24"/>
        </w:rPr>
      </w:pPr>
    </w:p>
    <w:p w:rsidR="009F003E" w:rsidRDefault="00786CE3" w:rsidP="009F003E">
      <w:pPr>
        <w:rPr>
          <w:sz w:val="24"/>
          <w:szCs w:val="24"/>
        </w:rPr>
      </w:pPr>
      <w:r>
        <w:rPr>
          <w:snapToGrid w:val="0"/>
          <w:sz w:val="24"/>
          <w:szCs w:val="24"/>
        </w:rPr>
        <w:t>Dated:</w:t>
      </w:r>
      <w:r>
        <w:rPr>
          <w:snapToGrid w:val="0"/>
          <w:sz w:val="24"/>
          <w:szCs w:val="24"/>
        </w:rPr>
        <w:tab/>
      </w:r>
      <w:r>
        <w:rPr>
          <w:snapToGrid w:val="0"/>
          <w:sz w:val="24"/>
          <w:szCs w:val="24"/>
          <w:u w:val="single"/>
        </w:rPr>
        <w:t>May 29, 2012</w:t>
      </w:r>
      <w:r>
        <w:rPr>
          <w:snapToGrid w:val="0"/>
          <w:sz w:val="24"/>
          <w:szCs w:val="24"/>
        </w:rPr>
        <w:tab/>
      </w:r>
      <w:r>
        <w:rPr>
          <w:snapToGrid w:val="0"/>
          <w:sz w:val="24"/>
          <w:szCs w:val="24"/>
        </w:rPr>
        <w:tab/>
      </w:r>
      <w:r>
        <w:rPr>
          <w:snapToGrid w:val="0"/>
          <w:sz w:val="24"/>
          <w:szCs w:val="24"/>
        </w:rPr>
        <w:tab/>
      </w:r>
      <w:r>
        <w:rPr>
          <w:snapToGrid w:val="0"/>
          <w:sz w:val="24"/>
          <w:szCs w:val="24"/>
        </w:rPr>
        <w:tab/>
      </w:r>
      <w:r w:rsidR="00AC7F69">
        <w:rPr>
          <w:sz w:val="24"/>
          <w:szCs w:val="24"/>
        </w:rPr>
        <w:tab/>
        <w:t>__________________________________</w:t>
      </w:r>
    </w:p>
    <w:p w:rsidR="009F003E" w:rsidRDefault="009F003E" w:rsidP="009F003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AC7F69" w:rsidRDefault="009F003E" w:rsidP="009F003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r w:rsidR="00AC7F69">
        <w:rPr>
          <w:sz w:val="24"/>
          <w:szCs w:val="24"/>
        </w:rPr>
        <w:tab/>
      </w:r>
      <w:r w:rsidR="00AC7F69">
        <w:rPr>
          <w:sz w:val="24"/>
          <w:szCs w:val="24"/>
        </w:rPr>
        <w:tab/>
      </w:r>
      <w:r w:rsidR="00AC7F69">
        <w:rPr>
          <w:sz w:val="24"/>
          <w:szCs w:val="24"/>
        </w:rPr>
        <w:tab/>
      </w:r>
      <w:r w:rsidR="00AC7F69">
        <w:rPr>
          <w:sz w:val="24"/>
          <w:szCs w:val="24"/>
        </w:rPr>
        <w:tab/>
      </w:r>
      <w:r w:rsidR="00AC7F69">
        <w:rPr>
          <w:sz w:val="24"/>
          <w:szCs w:val="24"/>
        </w:rPr>
        <w:tab/>
      </w:r>
      <w:r w:rsidR="00AC7F69">
        <w:rPr>
          <w:sz w:val="24"/>
          <w:szCs w:val="24"/>
        </w:rPr>
        <w:tab/>
      </w:r>
      <w:r w:rsidR="00AC7F69">
        <w:rPr>
          <w:sz w:val="24"/>
          <w:szCs w:val="24"/>
        </w:rPr>
        <w:tab/>
      </w:r>
      <w:r w:rsidR="00AC7F69">
        <w:rPr>
          <w:sz w:val="24"/>
          <w:szCs w:val="24"/>
        </w:rPr>
        <w:tab/>
      </w:r>
      <w:r w:rsidR="00AC7F69">
        <w:rPr>
          <w:sz w:val="24"/>
          <w:szCs w:val="24"/>
        </w:rPr>
        <w:tab/>
      </w:r>
      <w:r w:rsidR="00AC7F69">
        <w:rPr>
          <w:sz w:val="24"/>
          <w:szCs w:val="24"/>
        </w:rPr>
        <w:tab/>
      </w:r>
      <w:r w:rsidR="00AC7F69">
        <w:rPr>
          <w:sz w:val="24"/>
          <w:szCs w:val="24"/>
        </w:rPr>
        <w:tab/>
      </w:r>
      <w:r w:rsidR="00AC7F69">
        <w:rPr>
          <w:sz w:val="24"/>
          <w:szCs w:val="24"/>
        </w:rPr>
        <w:tab/>
      </w:r>
      <w:r w:rsidR="00AC7F69">
        <w:rPr>
          <w:sz w:val="24"/>
          <w:szCs w:val="24"/>
        </w:rPr>
        <w:tab/>
      </w:r>
      <w:r w:rsidR="00AC7F69">
        <w:rPr>
          <w:sz w:val="24"/>
          <w:szCs w:val="24"/>
        </w:rPr>
        <w:tab/>
      </w:r>
    </w:p>
    <w:p w:rsidR="00AC7F69" w:rsidRDefault="00AC7F69" w:rsidP="00AC7F69">
      <w:pPr>
        <w:jc w:val="right"/>
        <w:rPr>
          <w:snapToGrid w:val="0"/>
          <w:sz w:val="24"/>
          <w:szCs w:val="24"/>
        </w:rPr>
      </w:pPr>
      <w:r>
        <w:rPr>
          <w:sz w:val="24"/>
          <w:szCs w:val="24"/>
        </w:rPr>
        <w:br w:type="page"/>
      </w:r>
      <w:r>
        <w:rPr>
          <w:snapToGrid w:val="0"/>
          <w:sz w:val="24"/>
          <w:szCs w:val="24"/>
        </w:rPr>
        <w:lastRenderedPageBreak/>
        <w:t>APPENDIX A</w:t>
      </w:r>
    </w:p>
    <w:p w:rsidR="00AC7F69" w:rsidRDefault="00AC7F69" w:rsidP="00AC7F69">
      <w:pPr>
        <w:jc w:val="center"/>
        <w:rPr>
          <w:b/>
          <w:sz w:val="24"/>
          <w:szCs w:val="24"/>
        </w:rPr>
      </w:pPr>
      <w:r>
        <w:rPr>
          <w:b/>
          <w:sz w:val="24"/>
          <w:szCs w:val="24"/>
        </w:rPr>
        <w:t>BEFORE THE</w:t>
      </w:r>
    </w:p>
    <w:p w:rsidR="00AC7F69" w:rsidRDefault="00AC7F69" w:rsidP="00AC7F69">
      <w:pPr>
        <w:jc w:val="center"/>
        <w:rPr>
          <w:sz w:val="24"/>
          <w:szCs w:val="24"/>
        </w:rPr>
      </w:pPr>
      <w:r>
        <w:rPr>
          <w:b/>
          <w:sz w:val="24"/>
          <w:szCs w:val="24"/>
        </w:rPr>
        <w:t>PENNSYLVANIA PUBLIC UTILITY COMMISSION</w:t>
      </w:r>
    </w:p>
    <w:p w:rsidR="00AC7F69" w:rsidRDefault="00AC7F69" w:rsidP="00AC7F69">
      <w:pPr>
        <w:rPr>
          <w:sz w:val="24"/>
          <w:szCs w:val="24"/>
        </w:rPr>
      </w:pPr>
    </w:p>
    <w:p w:rsidR="00AC7F69" w:rsidRDefault="00AC7F69" w:rsidP="00AC7F69">
      <w:pPr>
        <w:tabs>
          <w:tab w:val="left" w:pos="1080"/>
          <w:tab w:val="left" w:pos="2520"/>
          <w:tab w:val="left" w:pos="4680"/>
        </w:tabs>
        <w:rPr>
          <w:sz w:val="24"/>
          <w:szCs w:val="24"/>
        </w:rPr>
      </w:pPr>
      <w:r>
        <w:rPr>
          <w:sz w:val="24"/>
          <w:szCs w:val="24"/>
        </w:rPr>
        <w:t>Core Communications, Inc</w:t>
      </w:r>
      <w:proofErr w:type="gramStart"/>
      <w:r>
        <w:rPr>
          <w:sz w:val="24"/>
          <w:szCs w:val="24"/>
        </w:rPr>
        <w:t>.,</w:t>
      </w:r>
      <w:r>
        <w:rPr>
          <w:sz w:val="24"/>
          <w:szCs w:val="24"/>
        </w:rPr>
        <w:tab/>
        <w:t>:</w:t>
      </w:r>
      <w:proofErr w:type="gramEnd"/>
    </w:p>
    <w:p w:rsidR="00AC7F69" w:rsidRDefault="00AC7F69" w:rsidP="00AC7F69">
      <w:pPr>
        <w:tabs>
          <w:tab w:val="left" w:pos="1080"/>
          <w:tab w:val="left" w:pos="2520"/>
          <w:tab w:val="left" w:pos="4680"/>
        </w:tabs>
        <w:rPr>
          <w:sz w:val="24"/>
          <w:szCs w:val="24"/>
        </w:rPr>
      </w:pPr>
      <w:r>
        <w:rPr>
          <w:sz w:val="24"/>
          <w:szCs w:val="24"/>
        </w:rPr>
        <w:tab/>
      </w:r>
      <w:r>
        <w:rPr>
          <w:sz w:val="24"/>
          <w:szCs w:val="24"/>
        </w:rPr>
        <w:tab/>
      </w:r>
      <w:r>
        <w:rPr>
          <w:sz w:val="24"/>
          <w:szCs w:val="24"/>
        </w:rPr>
        <w:tab/>
        <w:t>:</w:t>
      </w:r>
    </w:p>
    <w:p w:rsidR="00AC7F69" w:rsidRDefault="00AC7F69" w:rsidP="00AC7F69">
      <w:pPr>
        <w:tabs>
          <w:tab w:val="left" w:pos="1080"/>
          <w:tab w:val="left" w:pos="2520"/>
          <w:tab w:val="left" w:pos="4680"/>
        </w:tabs>
        <w:rPr>
          <w:sz w:val="24"/>
          <w:szCs w:val="24"/>
        </w:rPr>
      </w:pPr>
      <w:r>
        <w:rPr>
          <w:sz w:val="24"/>
          <w:szCs w:val="24"/>
        </w:rPr>
        <w:tab/>
      </w:r>
      <w:r>
        <w:rPr>
          <w:sz w:val="24"/>
          <w:szCs w:val="24"/>
        </w:rPr>
        <w:tab/>
      </w:r>
      <w:proofErr w:type="gramStart"/>
      <w:r>
        <w:rPr>
          <w:sz w:val="24"/>
          <w:szCs w:val="24"/>
        </w:rPr>
        <w:t>Complainant,</w:t>
      </w:r>
      <w:r>
        <w:rPr>
          <w:sz w:val="24"/>
          <w:szCs w:val="24"/>
        </w:rPr>
        <w:tab/>
        <w:t>:</w:t>
      </w:r>
      <w:proofErr w:type="gramEnd"/>
    </w:p>
    <w:p w:rsidR="00AC7F69" w:rsidRDefault="00AC7F69" w:rsidP="00AC7F69">
      <w:pPr>
        <w:tabs>
          <w:tab w:val="left" w:pos="1080"/>
          <w:tab w:val="left" w:pos="2520"/>
          <w:tab w:val="left" w:pos="4680"/>
        </w:tabs>
        <w:rPr>
          <w:sz w:val="24"/>
          <w:szCs w:val="24"/>
        </w:rPr>
      </w:pPr>
      <w:r>
        <w:rPr>
          <w:sz w:val="24"/>
          <w:szCs w:val="24"/>
        </w:rPr>
        <w:tab/>
      </w:r>
      <w:r>
        <w:rPr>
          <w:sz w:val="24"/>
          <w:szCs w:val="24"/>
        </w:rPr>
        <w:tab/>
      </w:r>
      <w:r>
        <w:rPr>
          <w:sz w:val="24"/>
          <w:szCs w:val="24"/>
        </w:rPr>
        <w:tab/>
        <w:t>:</w:t>
      </w:r>
    </w:p>
    <w:p w:rsidR="00AC7F69" w:rsidRDefault="00AC7F69" w:rsidP="00AC7F69">
      <w:pPr>
        <w:tabs>
          <w:tab w:val="left" w:pos="1080"/>
          <w:tab w:val="left" w:pos="2520"/>
          <w:tab w:val="left" w:pos="4680"/>
        </w:tabs>
        <w:rPr>
          <w:sz w:val="24"/>
          <w:szCs w:val="24"/>
        </w:rPr>
      </w:pPr>
      <w:r>
        <w:rPr>
          <w:sz w:val="24"/>
          <w:szCs w:val="24"/>
        </w:rPr>
        <w:tab/>
        <w:t>v.</w:t>
      </w:r>
      <w:r>
        <w:rPr>
          <w:sz w:val="24"/>
          <w:szCs w:val="24"/>
        </w:rPr>
        <w:tab/>
      </w:r>
      <w:r>
        <w:rPr>
          <w:sz w:val="24"/>
          <w:szCs w:val="24"/>
        </w:rPr>
        <w:tab/>
        <w:t>:</w:t>
      </w:r>
      <w:r>
        <w:rPr>
          <w:sz w:val="24"/>
          <w:szCs w:val="24"/>
        </w:rPr>
        <w:tab/>
      </w:r>
      <w:r>
        <w:rPr>
          <w:sz w:val="24"/>
          <w:szCs w:val="24"/>
        </w:rPr>
        <w:tab/>
        <w:t xml:space="preserve">Docket No. </w:t>
      </w:r>
      <w:r>
        <w:rPr>
          <w:color w:val="000000"/>
          <w:sz w:val="24"/>
          <w:szCs w:val="24"/>
        </w:rPr>
        <w:t>C-2011-2253750</w:t>
      </w:r>
    </w:p>
    <w:p w:rsidR="00AC7F69" w:rsidRDefault="00AC7F69" w:rsidP="00AC7F69">
      <w:pPr>
        <w:tabs>
          <w:tab w:val="left" w:pos="1080"/>
          <w:tab w:val="left" w:pos="2520"/>
          <w:tab w:val="left" w:pos="4680"/>
        </w:tabs>
        <w:rPr>
          <w:sz w:val="24"/>
          <w:szCs w:val="24"/>
        </w:rPr>
      </w:pPr>
      <w:r>
        <w:rPr>
          <w:sz w:val="24"/>
          <w:szCs w:val="24"/>
        </w:rPr>
        <w:tab/>
      </w:r>
      <w:r>
        <w:rPr>
          <w:sz w:val="24"/>
          <w:szCs w:val="24"/>
        </w:rPr>
        <w:tab/>
      </w:r>
      <w:r>
        <w:rPr>
          <w:sz w:val="24"/>
          <w:szCs w:val="24"/>
        </w:rPr>
        <w:tab/>
        <w:t>:</w:t>
      </w:r>
      <w:r>
        <w:rPr>
          <w:sz w:val="24"/>
          <w:szCs w:val="24"/>
        </w:rPr>
        <w:tab/>
      </w:r>
      <w:r>
        <w:rPr>
          <w:sz w:val="24"/>
          <w:szCs w:val="24"/>
        </w:rPr>
        <w:tab/>
        <w:t>Docket No. C-2011-2253787</w:t>
      </w:r>
    </w:p>
    <w:p w:rsidR="00AC7F69" w:rsidRDefault="00AC7F69" w:rsidP="00AC7F69">
      <w:pPr>
        <w:tabs>
          <w:tab w:val="left" w:pos="1080"/>
          <w:tab w:val="left" w:pos="2520"/>
          <w:tab w:val="left" w:pos="4680"/>
        </w:tabs>
        <w:rPr>
          <w:sz w:val="24"/>
          <w:szCs w:val="24"/>
        </w:rPr>
      </w:pPr>
      <w:r>
        <w:rPr>
          <w:sz w:val="24"/>
          <w:szCs w:val="24"/>
        </w:rPr>
        <w:t>Verizon Pennsylvania Inc. and</w:t>
      </w:r>
      <w:r>
        <w:rPr>
          <w:sz w:val="24"/>
          <w:szCs w:val="24"/>
        </w:rPr>
        <w:tab/>
        <w:t>:</w:t>
      </w:r>
    </w:p>
    <w:p w:rsidR="00AC7F69" w:rsidRDefault="00AC7F69" w:rsidP="00AC7F69">
      <w:pPr>
        <w:tabs>
          <w:tab w:val="left" w:pos="1080"/>
          <w:tab w:val="left" w:pos="2520"/>
          <w:tab w:val="left" w:pos="4680"/>
        </w:tabs>
        <w:rPr>
          <w:sz w:val="24"/>
          <w:szCs w:val="24"/>
        </w:rPr>
      </w:pPr>
      <w:r>
        <w:rPr>
          <w:sz w:val="24"/>
          <w:szCs w:val="24"/>
        </w:rPr>
        <w:t xml:space="preserve">Verizon North </w:t>
      </w:r>
      <w:proofErr w:type="gramStart"/>
      <w:r>
        <w:rPr>
          <w:sz w:val="24"/>
          <w:szCs w:val="24"/>
        </w:rPr>
        <w:t>LLC,</w:t>
      </w:r>
      <w:r>
        <w:rPr>
          <w:sz w:val="24"/>
          <w:szCs w:val="24"/>
        </w:rPr>
        <w:tab/>
      </w:r>
      <w:r>
        <w:rPr>
          <w:sz w:val="24"/>
          <w:szCs w:val="24"/>
        </w:rPr>
        <w:tab/>
        <w:t>:</w:t>
      </w:r>
      <w:proofErr w:type="gramEnd"/>
    </w:p>
    <w:p w:rsidR="00AC7F69" w:rsidRDefault="00AC7F69" w:rsidP="00AC7F69">
      <w:pPr>
        <w:tabs>
          <w:tab w:val="left" w:pos="1080"/>
          <w:tab w:val="left" w:pos="2520"/>
          <w:tab w:val="left" w:pos="4680"/>
        </w:tabs>
        <w:rPr>
          <w:sz w:val="24"/>
          <w:szCs w:val="24"/>
        </w:rPr>
      </w:pPr>
      <w:r>
        <w:rPr>
          <w:sz w:val="24"/>
          <w:szCs w:val="24"/>
        </w:rPr>
        <w:tab/>
      </w:r>
      <w:r>
        <w:rPr>
          <w:sz w:val="24"/>
          <w:szCs w:val="24"/>
        </w:rPr>
        <w:tab/>
      </w:r>
      <w:proofErr w:type="gramStart"/>
      <w:r>
        <w:rPr>
          <w:sz w:val="24"/>
          <w:szCs w:val="24"/>
        </w:rPr>
        <w:t>Respondents.</w:t>
      </w:r>
      <w:proofErr w:type="gramEnd"/>
      <w:r>
        <w:rPr>
          <w:sz w:val="24"/>
          <w:szCs w:val="24"/>
        </w:rPr>
        <w:tab/>
        <w:t>:</w:t>
      </w:r>
    </w:p>
    <w:p w:rsidR="00AC7F69" w:rsidRDefault="00AC7F69" w:rsidP="00AC7F69">
      <w:pPr>
        <w:rPr>
          <w:b/>
          <w:sz w:val="24"/>
          <w:szCs w:val="24"/>
        </w:rPr>
      </w:pPr>
      <w:r>
        <w:rPr>
          <w:b/>
          <w:sz w:val="24"/>
          <w:szCs w:val="24"/>
        </w:rPr>
        <w:tab/>
      </w:r>
      <w:r>
        <w:rPr>
          <w:b/>
          <w:sz w:val="24"/>
          <w:szCs w:val="24"/>
        </w:rPr>
        <w:tab/>
      </w:r>
      <w:r>
        <w:rPr>
          <w:b/>
          <w:sz w:val="24"/>
          <w:szCs w:val="24"/>
        </w:rPr>
        <w:tab/>
      </w:r>
    </w:p>
    <w:p w:rsidR="00AC7F69" w:rsidRDefault="00AC7F69" w:rsidP="00AC7F69">
      <w:pPr>
        <w:pStyle w:val="WBBlockText"/>
        <w:spacing w:after="0"/>
      </w:pPr>
      <w:r>
        <w:tab/>
      </w:r>
      <w:r>
        <w:tab/>
      </w:r>
      <w:r>
        <w:tab/>
      </w:r>
    </w:p>
    <w:p w:rsidR="00AC7F69" w:rsidRDefault="00AC7F69" w:rsidP="00AC7F69">
      <w:pPr>
        <w:rPr>
          <w:b/>
          <w:snapToGrid w:val="0"/>
          <w:sz w:val="24"/>
          <w:szCs w:val="24"/>
        </w:rPr>
      </w:pPr>
      <w:r>
        <w:rPr>
          <w:b/>
          <w:snapToGrid w:val="0"/>
          <w:sz w:val="24"/>
          <w:szCs w:val="24"/>
        </w:rPr>
        <w:t>TO WHOM IT MAY CONCERN:</w:t>
      </w:r>
    </w:p>
    <w:p w:rsidR="00AC7F69" w:rsidRDefault="00AC7F69" w:rsidP="00AC7F69">
      <w:pPr>
        <w:rPr>
          <w:snapToGrid w:val="0"/>
          <w:sz w:val="24"/>
          <w:szCs w:val="24"/>
        </w:rPr>
      </w:pPr>
    </w:p>
    <w:p w:rsidR="00AC7F69" w:rsidRDefault="00AC7F69" w:rsidP="00AC7F69">
      <w:pPr>
        <w:rPr>
          <w:snapToGrid w:val="0"/>
          <w:sz w:val="24"/>
          <w:szCs w:val="24"/>
        </w:rPr>
      </w:pPr>
      <w:r>
        <w:rPr>
          <w:snapToGrid w:val="0"/>
          <w:sz w:val="24"/>
          <w:szCs w:val="24"/>
        </w:rPr>
        <w:t xml:space="preserve">The undersigned is the ______________________________________ of  __________________________(the retaining party) and hereby acknowledges that he/she does not hold any of the following positions with any competitor or affiliate of a competitor of the producing party (an officer, board member, significant stockholder, partner, owner or an employee) who is primarily involved in the pricing, development, and/or marketing of products or services that are offered in competition with those of the producing party. </w:t>
      </w:r>
    </w:p>
    <w:p w:rsidR="00AC7F69" w:rsidRDefault="00AC7F69" w:rsidP="00AC7F69">
      <w:pPr>
        <w:rPr>
          <w:snapToGrid w:val="0"/>
          <w:sz w:val="24"/>
          <w:szCs w:val="24"/>
        </w:rPr>
      </w:pPr>
    </w:p>
    <w:p w:rsidR="00AC7F69" w:rsidRDefault="00AC7F69" w:rsidP="00AC7F69">
      <w:pPr>
        <w:rPr>
          <w:snapToGrid w:val="0"/>
          <w:sz w:val="24"/>
          <w:szCs w:val="24"/>
        </w:rPr>
      </w:pPr>
      <w:r>
        <w:rPr>
          <w:snapToGrid w:val="0"/>
          <w:sz w:val="24"/>
          <w:szCs w:val="24"/>
        </w:rPr>
        <w:t xml:space="preserve">The undersigned has read and understands the Protective Order that deals with the treatment of Proprietary Information and Highly Confidential Information.  The undersigned agrees to be bound by, and comply with, the terms and conditions of said Order. </w:t>
      </w:r>
    </w:p>
    <w:p w:rsidR="00AC7F69" w:rsidRDefault="00AC7F69" w:rsidP="00AC7F69">
      <w:pPr>
        <w:rPr>
          <w:snapToGrid w:val="0"/>
          <w:sz w:val="24"/>
          <w:szCs w:val="24"/>
        </w:rPr>
      </w:pPr>
    </w:p>
    <w:p w:rsidR="00AC7F69" w:rsidRDefault="00AC7F69" w:rsidP="00AC7F69">
      <w:pPr>
        <w:rPr>
          <w:snapToGrid w:val="0"/>
          <w:sz w:val="24"/>
          <w:szCs w:val="24"/>
        </w:rPr>
      </w:pPr>
      <w:r>
        <w:rPr>
          <w:snapToGrid w:val="0"/>
          <w:sz w:val="24"/>
          <w:szCs w:val="24"/>
        </w:rPr>
        <w:t>In the case of an independent expert, the undersigned represents that he/she has complied with the provisions of numbered Paragraph 4 (a</w:t>
      </w:r>
      <w:proofErr w:type="gramStart"/>
      <w:r>
        <w:rPr>
          <w:snapToGrid w:val="0"/>
          <w:sz w:val="24"/>
          <w:szCs w:val="24"/>
        </w:rPr>
        <w:t>)(</w:t>
      </w:r>
      <w:proofErr w:type="gramEnd"/>
      <w:r>
        <w:rPr>
          <w:snapToGrid w:val="0"/>
          <w:sz w:val="24"/>
          <w:szCs w:val="24"/>
        </w:rPr>
        <w:t xml:space="preserve">ii) of the Order prior to submitting this Acknowledgement. </w:t>
      </w:r>
    </w:p>
    <w:p w:rsidR="00AC7F69" w:rsidRDefault="00AC7F69" w:rsidP="00AC7F69">
      <w:pPr>
        <w:rPr>
          <w:snapToGrid w:val="0"/>
          <w:sz w:val="24"/>
          <w:szCs w:val="24"/>
        </w:rPr>
      </w:pPr>
    </w:p>
    <w:tbl>
      <w:tblPr>
        <w:tblW w:w="0" w:type="auto"/>
        <w:tblLayout w:type="fixed"/>
        <w:tblLook w:val="04A0" w:firstRow="1" w:lastRow="0" w:firstColumn="1" w:lastColumn="0" w:noHBand="0" w:noVBand="1"/>
      </w:tblPr>
      <w:tblGrid>
        <w:gridCol w:w="2448"/>
        <w:gridCol w:w="1980"/>
        <w:gridCol w:w="4428"/>
      </w:tblGrid>
      <w:tr w:rsidR="00AC7F69" w:rsidTr="00AC7F69">
        <w:tc>
          <w:tcPr>
            <w:tcW w:w="2448" w:type="dxa"/>
          </w:tcPr>
          <w:p w:rsidR="00AC7F69" w:rsidRDefault="00AC7F69">
            <w:pPr>
              <w:pBdr>
                <w:bottom w:val="single" w:sz="12" w:space="1" w:color="auto"/>
              </w:pBdr>
              <w:rPr>
                <w:snapToGrid w:val="0"/>
                <w:sz w:val="24"/>
                <w:szCs w:val="24"/>
              </w:rPr>
            </w:pPr>
          </w:p>
          <w:p w:rsidR="00AC7F69" w:rsidRDefault="00AC7F69">
            <w:pPr>
              <w:pBdr>
                <w:bottom w:val="single" w:sz="12" w:space="1" w:color="auto"/>
              </w:pBdr>
              <w:rPr>
                <w:snapToGrid w:val="0"/>
                <w:sz w:val="24"/>
                <w:szCs w:val="24"/>
              </w:rPr>
            </w:pPr>
          </w:p>
          <w:p w:rsidR="00AC7F69" w:rsidRDefault="00AC7F69">
            <w:pPr>
              <w:pBdr>
                <w:bottom w:val="single" w:sz="12" w:space="1" w:color="auto"/>
              </w:pBdr>
              <w:rPr>
                <w:snapToGrid w:val="0"/>
                <w:sz w:val="24"/>
                <w:szCs w:val="24"/>
              </w:rPr>
            </w:pPr>
          </w:p>
          <w:p w:rsidR="00AC7F69" w:rsidRDefault="00AC7F69">
            <w:pPr>
              <w:pBdr>
                <w:bottom w:val="single" w:sz="12" w:space="1" w:color="auto"/>
              </w:pBdr>
              <w:rPr>
                <w:snapToGrid w:val="0"/>
                <w:sz w:val="24"/>
                <w:szCs w:val="24"/>
              </w:rPr>
            </w:pPr>
          </w:p>
          <w:p w:rsidR="00AC7F69" w:rsidRDefault="00AC7F69">
            <w:pPr>
              <w:pBdr>
                <w:bottom w:val="single" w:sz="12" w:space="1" w:color="auto"/>
              </w:pBdr>
              <w:rPr>
                <w:snapToGrid w:val="0"/>
                <w:sz w:val="24"/>
                <w:szCs w:val="24"/>
              </w:rPr>
            </w:pPr>
          </w:p>
          <w:p w:rsidR="00AC7F69" w:rsidRDefault="00AC7F69">
            <w:pPr>
              <w:pBdr>
                <w:bottom w:val="single" w:sz="12" w:space="1" w:color="auto"/>
              </w:pBdr>
              <w:rPr>
                <w:snapToGrid w:val="0"/>
                <w:sz w:val="24"/>
                <w:szCs w:val="24"/>
              </w:rPr>
            </w:pPr>
          </w:p>
          <w:p w:rsidR="00AC7F69" w:rsidRDefault="00AC7F69">
            <w:pPr>
              <w:pBdr>
                <w:bottom w:val="single" w:sz="12" w:space="1" w:color="auto"/>
              </w:pBdr>
              <w:rPr>
                <w:snapToGrid w:val="0"/>
                <w:sz w:val="24"/>
                <w:szCs w:val="24"/>
              </w:rPr>
            </w:pPr>
          </w:p>
          <w:p w:rsidR="00AC7F69" w:rsidRDefault="00AC7F69">
            <w:pPr>
              <w:pBdr>
                <w:bottom w:val="single" w:sz="12" w:space="1" w:color="auto"/>
              </w:pBdr>
              <w:rPr>
                <w:snapToGrid w:val="0"/>
                <w:sz w:val="24"/>
                <w:szCs w:val="24"/>
              </w:rPr>
            </w:pPr>
          </w:p>
          <w:p w:rsidR="00AC7F69" w:rsidRDefault="00AC7F69">
            <w:pPr>
              <w:rPr>
                <w:snapToGrid w:val="0"/>
                <w:sz w:val="24"/>
                <w:szCs w:val="24"/>
              </w:rPr>
            </w:pPr>
            <w:r>
              <w:rPr>
                <w:snapToGrid w:val="0"/>
                <w:sz w:val="24"/>
                <w:szCs w:val="24"/>
              </w:rPr>
              <w:t>DATE</w:t>
            </w:r>
          </w:p>
        </w:tc>
        <w:tc>
          <w:tcPr>
            <w:tcW w:w="1980" w:type="dxa"/>
          </w:tcPr>
          <w:p w:rsidR="00AC7F69" w:rsidRDefault="00AC7F69">
            <w:pPr>
              <w:rPr>
                <w:snapToGrid w:val="0"/>
                <w:sz w:val="24"/>
                <w:szCs w:val="24"/>
              </w:rPr>
            </w:pPr>
          </w:p>
        </w:tc>
        <w:tc>
          <w:tcPr>
            <w:tcW w:w="4428" w:type="dxa"/>
          </w:tcPr>
          <w:p w:rsidR="00AC7F69" w:rsidRDefault="00AC7F69">
            <w:pPr>
              <w:pBdr>
                <w:bottom w:val="single" w:sz="12" w:space="1" w:color="auto"/>
              </w:pBdr>
              <w:rPr>
                <w:snapToGrid w:val="0"/>
                <w:sz w:val="24"/>
                <w:szCs w:val="24"/>
              </w:rPr>
            </w:pPr>
          </w:p>
          <w:p w:rsidR="00AC7F69" w:rsidRDefault="00AC7F69">
            <w:pPr>
              <w:rPr>
                <w:snapToGrid w:val="0"/>
                <w:sz w:val="24"/>
                <w:szCs w:val="24"/>
              </w:rPr>
            </w:pPr>
            <w:r>
              <w:rPr>
                <w:snapToGrid w:val="0"/>
                <w:sz w:val="24"/>
                <w:szCs w:val="24"/>
              </w:rPr>
              <w:t>SIGNATURE</w:t>
            </w:r>
          </w:p>
          <w:p w:rsidR="00AC7F69" w:rsidRDefault="00AC7F69">
            <w:pPr>
              <w:pBdr>
                <w:bottom w:val="single" w:sz="12" w:space="1" w:color="auto"/>
              </w:pBdr>
              <w:rPr>
                <w:snapToGrid w:val="0"/>
                <w:sz w:val="24"/>
                <w:szCs w:val="24"/>
              </w:rPr>
            </w:pPr>
          </w:p>
          <w:p w:rsidR="00AC7F69" w:rsidRDefault="00AC7F69">
            <w:pPr>
              <w:pBdr>
                <w:bottom w:val="single" w:sz="12" w:space="1" w:color="auto"/>
              </w:pBdr>
              <w:rPr>
                <w:snapToGrid w:val="0"/>
                <w:sz w:val="24"/>
                <w:szCs w:val="24"/>
              </w:rPr>
            </w:pPr>
          </w:p>
          <w:p w:rsidR="00AC7F69" w:rsidRDefault="00AC7F69">
            <w:pPr>
              <w:rPr>
                <w:snapToGrid w:val="0"/>
                <w:sz w:val="24"/>
                <w:szCs w:val="24"/>
              </w:rPr>
            </w:pPr>
            <w:r>
              <w:rPr>
                <w:snapToGrid w:val="0"/>
                <w:sz w:val="24"/>
                <w:szCs w:val="24"/>
              </w:rPr>
              <w:t>PRINT NAME</w:t>
            </w:r>
          </w:p>
          <w:p w:rsidR="00AC7F69" w:rsidRDefault="00AC7F69">
            <w:pPr>
              <w:pBdr>
                <w:bottom w:val="single" w:sz="12" w:space="1" w:color="auto"/>
              </w:pBdr>
              <w:rPr>
                <w:snapToGrid w:val="0"/>
                <w:sz w:val="24"/>
                <w:szCs w:val="24"/>
              </w:rPr>
            </w:pPr>
          </w:p>
          <w:p w:rsidR="00AC7F69" w:rsidRDefault="00AC7F69">
            <w:pPr>
              <w:pBdr>
                <w:bottom w:val="single" w:sz="12" w:space="1" w:color="auto"/>
              </w:pBdr>
              <w:rPr>
                <w:snapToGrid w:val="0"/>
                <w:sz w:val="24"/>
                <w:szCs w:val="24"/>
              </w:rPr>
            </w:pPr>
          </w:p>
          <w:p w:rsidR="00AC7F69" w:rsidRDefault="00AC7F69">
            <w:pPr>
              <w:rPr>
                <w:snapToGrid w:val="0"/>
                <w:sz w:val="24"/>
                <w:szCs w:val="24"/>
              </w:rPr>
            </w:pPr>
            <w:r>
              <w:rPr>
                <w:snapToGrid w:val="0"/>
                <w:sz w:val="24"/>
                <w:szCs w:val="24"/>
              </w:rPr>
              <w:t>ADDRESS</w:t>
            </w:r>
          </w:p>
          <w:p w:rsidR="00AC7F69" w:rsidRDefault="00AC7F69">
            <w:pPr>
              <w:pBdr>
                <w:bottom w:val="single" w:sz="12" w:space="1" w:color="auto"/>
              </w:pBdr>
              <w:rPr>
                <w:snapToGrid w:val="0"/>
                <w:sz w:val="24"/>
                <w:szCs w:val="24"/>
              </w:rPr>
            </w:pPr>
          </w:p>
          <w:p w:rsidR="00AC7F69" w:rsidRDefault="00AC7F69">
            <w:pPr>
              <w:pBdr>
                <w:bottom w:val="single" w:sz="12" w:space="1" w:color="auto"/>
              </w:pBdr>
              <w:rPr>
                <w:snapToGrid w:val="0"/>
                <w:sz w:val="24"/>
                <w:szCs w:val="24"/>
              </w:rPr>
            </w:pPr>
          </w:p>
          <w:p w:rsidR="00AC7F69" w:rsidRDefault="00AC7F69">
            <w:pPr>
              <w:rPr>
                <w:snapToGrid w:val="0"/>
                <w:sz w:val="24"/>
                <w:szCs w:val="24"/>
              </w:rPr>
            </w:pPr>
            <w:r>
              <w:rPr>
                <w:snapToGrid w:val="0"/>
                <w:sz w:val="24"/>
                <w:szCs w:val="24"/>
              </w:rPr>
              <w:t>EMPLOYER</w:t>
            </w:r>
          </w:p>
        </w:tc>
      </w:tr>
    </w:tbl>
    <w:p w:rsidR="00AC7F69" w:rsidRDefault="00AC7F69" w:rsidP="00AC7F69">
      <w:pPr>
        <w:rPr>
          <w:snapToGrid w:val="0"/>
        </w:rPr>
      </w:pPr>
    </w:p>
    <w:p w:rsidR="00115915" w:rsidRDefault="00115915" w:rsidP="00AC7F69">
      <w:pPr>
        <w:sectPr w:rsidR="00115915" w:rsidSect="00C04960">
          <w:pgSz w:w="12240" w:h="15840"/>
          <w:pgMar w:top="1440" w:right="1440" w:bottom="1440" w:left="1440" w:header="720" w:footer="720" w:gutter="0"/>
          <w:cols w:space="720"/>
          <w:docGrid w:linePitch="360"/>
        </w:sectPr>
      </w:pPr>
    </w:p>
    <w:p w:rsidR="00115915" w:rsidRDefault="00115915" w:rsidP="00115915">
      <w:r>
        <w:rPr>
          <w:rFonts w:ascii="Microsoft Sans Serif"/>
          <w:b/>
          <w:sz w:val="24"/>
          <w:u w:val="single"/>
        </w:rPr>
        <w:lastRenderedPageBreak/>
        <w:t>C-2011-2253750 - CORE COMMUNICATIONS INC v. VERIZON PA</w:t>
      </w:r>
      <w:r>
        <w:rPr>
          <w:rFonts w:ascii="Microsoft Sans Serif"/>
          <w:b/>
          <w:sz w:val="24"/>
          <w:u w:val="single"/>
        </w:rPr>
        <w:cr/>
      </w:r>
      <w:r>
        <w:rPr>
          <w:rFonts w:ascii="Microsoft Sans Serif"/>
          <w:sz w:val="24"/>
        </w:rPr>
        <w:cr/>
        <w:t>MICHAEL A GRUIN ESQUIRE</w:t>
      </w:r>
      <w:r>
        <w:rPr>
          <w:rFonts w:ascii="Microsoft Sans Serif"/>
          <w:sz w:val="24"/>
        </w:rPr>
        <w:cr/>
        <w:t>STEVENS &amp; LEE</w:t>
      </w:r>
      <w:r>
        <w:rPr>
          <w:rFonts w:ascii="Microsoft Sans Serif"/>
          <w:sz w:val="24"/>
        </w:rPr>
        <w:cr/>
        <w:t>16TH FLOOR</w:t>
      </w:r>
      <w:r>
        <w:rPr>
          <w:rFonts w:ascii="Microsoft Sans Serif"/>
          <w:sz w:val="24"/>
        </w:rPr>
        <w:cr/>
        <w:t xml:space="preserve">17 NORTH SECOND </w:t>
      </w:r>
      <w:proofErr w:type="gramStart"/>
      <w:r>
        <w:rPr>
          <w:rFonts w:ascii="Microsoft Sans Serif"/>
          <w:sz w:val="24"/>
        </w:rPr>
        <w:t>STREET</w:t>
      </w:r>
      <w:proofErr w:type="gramEnd"/>
      <w:r>
        <w:rPr>
          <w:rFonts w:ascii="Microsoft Sans Serif"/>
          <w:sz w:val="24"/>
        </w:rPr>
        <w:cr/>
        <w:t>HARRISBURG PA  17101</w:t>
      </w:r>
      <w:r>
        <w:rPr>
          <w:rFonts w:ascii="Microsoft Sans Serif"/>
          <w:sz w:val="24"/>
        </w:rPr>
        <w:cr/>
        <w:t>717-255-7365</w:t>
      </w:r>
      <w:r>
        <w:rPr>
          <w:rFonts w:ascii="Microsoft Sans Serif"/>
          <w:sz w:val="24"/>
        </w:rPr>
        <w:cr/>
      </w:r>
      <w:r>
        <w:rPr>
          <w:rFonts w:ascii="Microsoft Sans Serif"/>
          <w:sz w:val="24"/>
        </w:rPr>
        <w:cr/>
        <w:t>WILLIAM E LEHMAN ESQUIRE</w:t>
      </w:r>
      <w:r>
        <w:rPr>
          <w:rFonts w:ascii="Microsoft Sans Serif"/>
          <w:sz w:val="24"/>
        </w:rPr>
        <w:cr/>
        <w:t>HAWKE MCKEON &amp; SNISCAK LLP</w:t>
      </w:r>
      <w:r>
        <w:rPr>
          <w:rFonts w:ascii="Microsoft Sans Serif"/>
          <w:sz w:val="24"/>
        </w:rPr>
        <w:cr/>
        <w:t>100 NORTH TENTH STREET</w:t>
      </w:r>
      <w:r>
        <w:rPr>
          <w:rFonts w:ascii="Microsoft Sans Serif"/>
          <w:sz w:val="24"/>
        </w:rPr>
        <w:cr/>
        <w:t>HARRISBURG PA  17105</w:t>
      </w:r>
      <w:r>
        <w:rPr>
          <w:rFonts w:ascii="Microsoft Sans Serif"/>
          <w:sz w:val="24"/>
        </w:rPr>
        <w:cr/>
        <w:t>717-236-1300</w:t>
      </w:r>
      <w:r>
        <w:rPr>
          <w:rFonts w:ascii="Microsoft Sans Serif"/>
          <w:sz w:val="24"/>
        </w:rPr>
        <w:cr/>
      </w:r>
      <w:r>
        <w:rPr>
          <w:rFonts w:ascii="Microsoft Sans Serif"/>
          <w:sz w:val="24"/>
        </w:rPr>
        <w:cr/>
        <w:t>SUZAN D PAIVA ESQUIRE</w:t>
      </w:r>
      <w:r>
        <w:rPr>
          <w:rFonts w:ascii="Microsoft Sans Serif"/>
          <w:sz w:val="24"/>
        </w:rPr>
        <w:cr/>
        <w:t>VERIZON</w:t>
      </w:r>
      <w:r>
        <w:rPr>
          <w:rFonts w:ascii="Microsoft Sans Serif"/>
          <w:sz w:val="24"/>
        </w:rPr>
        <w:cr/>
        <w:t>1717 ARCH STREET</w:t>
      </w:r>
      <w:r>
        <w:rPr>
          <w:rFonts w:ascii="Microsoft Sans Serif"/>
          <w:sz w:val="24"/>
        </w:rPr>
        <w:cr/>
        <w:t>3 EAST</w:t>
      </w:r>
      <w:r>
        <w:rPr>
          <w:rFonts w:ascii="Microsoft Sans Serif"/>
          <w:sz w:val="24"/>
        </w:rPr>
        <w:cr/>
        <w:t>PHILADELPHIA PA  19103</w:t>
      </w:r>
      <w:r>
        <w:rPr>
          <w:rFonts w:ascii="Microsoft Sans Serif"/>
          <w:sz w:val="24"/>
        </w:rPr>
        <w:cr/>
        <w:t>215.466.4755</w:t>
      </w:r>
      <w:r>
        <w:rPr>
          <w:rFonts w:ascii="Microsoft Sans Serif"/>
          <w:sz w:val="24"/>
        </w:rPr>
        <w:cr/>
      </w:r>
    </w:p>
    <w:p w:rsidR="00115915" w:rsidRDefault="00115915" w:rsidP="00115915"/>
    <w:p w:rsidR="00C04960" w:rsidRDefault="00C04960" w:rsidP="00AC7F69">
      <w:bookmarkStart w:id="0" w:name="_GoBack"/>
      <w:bookmarkEnd w:id="0"/>
    </w:p>
    <w:sectPr w:rsidR="00C049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F69"/>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915"/>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075"/>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CE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35DC"/>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003E"/>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C7F69"/>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B7343"/>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4DC5"/>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4E28"/>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F69"/>
    <w:pPr>
      <w:spacing w:line="240" w:lineRule="auto"/>
      <w:jc w:val="left"/>
    </w:pPr>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AC7F69"/>
    <w:pPr>
      <w:tabs>
        <w:tab w:val="left" w:pos="3024"/>
        <w:tab w:val="left" w:pos="3744"/>
      </w:tabs>
      <w:snapToGrid w:val="0"/>
      <w:spacing w:line="480" w:lineRule="auto"/>
      <w:ind w:firstLine="1710"/>
    </w:pPr>
    <w:rPr>
      <w:sz w:val="26"/>
    </w:rPr>
  </w:style>
  <w:style w:type="character" w:customStyle="1" w:styleId="BodyTextIndentChar">
    <w:name w:val="Body Text Indent Char"/>
    <w:basedOn w:val="DefaultParagraphFont"/>
    <w:link w:val="BodyTextIndent"/>
    <w:semiHidden/>
    <w:rsid w:val="00AC7F69"/>
    <w:rPr>
      <w:rFonts w:eastAsia="Times New Roman"/>
      <w:sz w:val="26"/>
      <w:szCs w:val="20"/>
    </w:rPr>
  </w:style>
  <w:style w:type="paragraph" w:styleId="BodyTextIndent2">
    <w:name w:val="Body Text Indent 2"/>
    <w:basedOn w:val="Normal"/>
    <w:link w:val="BodyTextIndent2Char"/>
    <w:semiHidden/>
    <w:unhideWhenUsed/>
    <w:rsid w:val="00AC7F69"/>
    <w:pPr>
      <w:tabs>
        <w:tab w:val="left" w:pos="3024"/>
        <w:tab w:val="left" w:pos="3744"/>
      </w:tabs>
      <w:snapToGrid w:val="0"/>
      <w:spacing w:line="480" w:lineRule="auto"/>
      <w:ind w:firstLine="1620"/>
    </w:pPr>
    <w:rPr>
      <w:sz w:val="26"/>
    </w:rPr>
  </w:style>
  <w:style w:type="character" w:customStyle="1" w:styleId="BodyTextIndent2Char">
    <w:name w:val="Body Text Indent 2 Char"/>
    <w:basedOn w:val="DefaultParagraphFont"/>
    <w:link w:val="BodyTextIndent2"/>
    <w:semiHidden/>
    <w:rsid w:val="00AC7F69"/>
    <w:rPr>
      <w:rFonts w:eastAsia="Times New Roman"/>
      <w:sz w:val="26"/>
      <w:szCs w:val="20"/>
    </w:rPr>
  </w:style>
  <w:style w:type="paragraph" w:styleId="BodyTextIndent3">
    <w:name w:val="Body Text Indent 3"/>
    <w:basedOn w:val="Normal"/>
    <w:link w:val="BodyTextIndent3Char"/>
    <w:semiHidden/>
    <w:unhideWhenUsed/>
    <w:rsid w:val="00AC7F69"/>
    <w:pPr>
      <w:tabs>
        <w:tab w:val="left" w:pos="2304"/>
        <w:tab w:val="left" w:pos="3024"/>
      </w:tabs>
      <w:snapToGrid w:val="0"/>
      <w:spacing w:line="480" w:lineRule="auto"/>
      <w:ind w:firstLine="720"/>
    </w:pPr>
    <w:rPr>
      <w:sz w:val="26"/>
    </w:rPr>
  </w:style>
  <w:style w:type="character" w:customStyle="1" w:styleId="BodyTextIndent3Char">
    <w:name w:val="Body Text Indent 3 Char"/>
    <w:basedOn w:val="DefaultParagraphFont"/>
    <w:link w:val="BodyTextIndent3"/>
    <w:semiHidden/>
    <w:rsid w:val="00AC7F69"/>
    <w:rPr>
      <w:rFonts w:eastAsia="Times New Roman"/>
      <w:sz w:val="26"/>
      <w:szCs w:val="20"/>
    </w:rPr>
  </w:style>
  <w:style w:type="character" w:customStyle="1" w:styleId="WBBlockTextChar">
    <w:name w:val="WB Block Text Char"/>
    <w:aliases w:val="BT Char"/>
    <w:link w:val="WBBlockText"/>
    <w:locked/>
    <w:rsid w:val="00AC7F69"/>
  </w:style>
  <w:style w:type="paragraph" w:customStyle="1" w:styleId="WBBlockText">
    <w:name w:val="WB Block Text"/>
    <w:aliases w:val="BT"/>
    <w:basedOn w:val="Normal"/>
    <w:link w:val="WBBlockTextChar"/>
    <w:rsid w:val="00AC7F69"/>
    <w:pPr>
      <w:spacing w:after="240"/>
    </w:pPr>
    <w:rPr>
      <w:rFonts w:eastAsiaTheme="minorHAnsi"/>
      <w:sz w:val="24"/>
      <w:szCs w:val="24"/>
    </w:rPr>
  </w:style>
  <w:style w:type="paragraph" w:styleId="BalloonText">
    <w:name w:val="Balloon Text"/>
    <w:basedOn w:val="Normal"/>
    <w:link w:val="BalloonTextChar"/>
    <w:uiPriority w:val="99"/>
    <w:semiHidden/>
    <w:unhideWhenUsed/>
    <w:rsid w:val="00E14DC5"/>
    <w:rPr>
      <w:rFonts w:ascii="Tahoma" w:hAnsi="Tahoma" w:cs="Tahoma"/>
      <w:sz w:val="16"/>
      <w:szCs w:val="16"/>
    </w:rPr>
  </w:style>
  <w:style w:type="character" w:customStyle="1" w:styleId="BalloonTextChar">
    <w:name w:val="Balloon Text Char"/>
    <w:basedOn w:val="DefaultParagraphFont"/>
    <w:link w:val="BalloonText"/>
    <w:uiPriority w:val="99"/>
    <w:semiHidden/>
    <w:rsid w:val="00E14DC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F69"/>
    <w:pPr>
      <w:spacing w:line="240" w:lineRule="auto"/>
      <w:jc w:val="left"/>
    </w:pPr>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AC7F69"/>
    <w:pPr>
      <w:tabs>
        <w:tab w:val="left" w:pos="3024"/>
        <w:tab w:val="left" w:pos="3744"/>
      </w:tabs>
      <w:snapToGrid w:val="0"/>
      <w:spacing w:line="480" w:lineRule="auto"/>
      <w:ind w:firstLine="1710"/>
    </w:pPr>
    <w:rPr>
      <w:sz w:val="26"/>
    </w:rPr>
  </w:style>
  <w:style w:type="character" w:customStyle="1" w:styleId="BodyTextIndentChar">
    <w:name w:val="Body Text Indent Char"/>
    <w:basedOn w:val="DefaultParagraphFont"/>
    <w:link w:val="BodyTextIndent"/>
    <w:semiHidden/>
    <w:rsid w:val="00AC7F69"/>
    <w:rPr>
      <w:rFonts w:eastAsia="Times New Roman"/>
      <w:sz w:val="26"/>
      <w:szCs w:val="20"/>
    </w:rPr>
  </w:style>
  <w:style w:type="paragraph" w:styleId="BodyTextIndent2">
    <w:name w:val="Body Text Indent 2"/>
    <w:basedOn w:val="Normal"/>
    <w:link w:val="BodyTextIndent2Char"/>
    <w:semiHidden/>
    <w:unhideWhenUsed/>
    <w:rsid w:val="00AC7F69"/>
    <w:pPr>
      <w:tabs>
        <w:tab w:val="left" w:pos="3024"/>
        <w:tab w:val="left" w:pos="3744"/>
      </w:tabs>
      <w:snapToGrid w:val="0"/>
      <w:spacing w:line="480" w:lineRule="auto"/>
      <w:ind w:firstLine="1620"/>
    </w:pPr>
    <w:rPr>
      <w:sz w:val="26"/>
    </w:rPr>
  </w:style>
  <w:style w:type="character" w:customStyle="1" w:styleId="BodyTextIndent2Char">
    <w:name w:val="Body Text Indent 2 Char"/>
    <w:basedOn w:val="DefaultParagraphFont"/>
    <w:link w:val="BodyTextIndent2"/>
    <w:semiHidden/>
    <w:rsid w:val="00AC7F69"/>
    <w:rPr>
      <w:rFonts w:eastAsia="Times New Roman"/>
      <w:sz w:val="26"/>
      <w:szCs w:val="20"/>
    </w:rPr>
  </w:style>
  <w:style w:type="paragraph" w:styleId="BodyTextIndent3">
    <w:name w:val="Body Text Indent 3"/>
    <w:basedOn w:val="Normal"/>
    <w:link w:val="BodyTextIndent3Char"/>
    <w:semiHidden/>
    <w:unhideWhenUsed/>
    <w:rsid w:val="00AC7F69"/>
    <w:pPr>
      <w:tabs>
        <w:tab w:val="left" w:pos="2304"/>
        <w:tab w:val="left" w:pos="3024"/>
      </w:tabs>
      <w:snapToGrid w:val="0"/>
      <w:spacing w:line="480" w:lineRule="auto"/>
      <w:ind w:firstLine="720"/>
    </w:pPr>
    <w:rPr>
      <w:sz w:val="26"/>
    </w:rPr>
  </w:style>
  <w:style w:type="character" w:customStyle="1" w:styleId="BodyTextIndent3Char">
    <w:name w:val="Body Text Indent 3 Char"/>
    <w:basedOn w:val="DefaultParagraphFont"/>
    <w:link w:val="BodyTextIndent3"/>
    <w:semiHidden/>
    <w:rsid w:val="00AC7F69"/>
    <w:rPr>
      <w:rFonts w:eastAsia="Times New Roman"/>
      <w:sz w:val="26"/>
      <w:szCs w:val="20"/>
    </w:rPr>
  </w:style>
  <w:style w:type="character" w:customStyle="1" w:styleId="WBBlockTextChar">
    <w:name w:val="WB Block Text Char"/>
    <w:aliases w:val="BT Char"/>
    <w:link w:val="WBBlockText"/>
    <w:locked/>
    <w:rsid w:val="00AC7F69"/>
  </w:style>
  <w:style w:type="paragraph" w:customStyle="1" w:styleId="WBBlockText">
    <w:name w:val="WB Block Text"/>
    <w:aliases w:val="BT"/>
    <w:basedOn w:val="Normal"/>
    <w:link w:val="WBBlockTextChar"/>
    <w:rsid w:val="00AC7F69"/>
    <w:pPr>
      <w:spacing w:after="240"/>
    </w:pPr>
    <w:rPr>
      <w:rFonts w:eastAsiaTheme="minorHAnsi"/>
      <w:sz w:val="24"/>
      <w:szCs w:val="24"/>
    </w:rPr>
  </w:style>
  <w:style w:type="paragraph" w:styleId="BalloonText">
    <w:name w:val="Balloon Text"/>
    <w:basedOn w:val="Normal"/>
    <w:link w:val="BalloonTextChar"/>
    <w:uiPriority w:val="99"/>
    <w:semiHidden/>
    <w:unhideWhenUsed/>
    <w:rsid w:val="00E14DC5"/>
    <w:rPr>
      <w:rFonts w:ascii="Tahoma" w:hAnsi="Tahoma" w:cs="Tahoma"/>
      <w:sz w:val="16"/>
      <w:szCs w:val="16"/>
    </w:rPr>
  </w:style>
  <w:style w:type="character" w:customStyle="1" w:styleId="BalloonTextChar">
    <w:name w:val="Balloon Text Char"/>
    <w:basedOn w:val="DefaultParagraphFont"/>
    <w:link w:val="BalloonText"/>
    <w:uiPriority w:val="99"/>
    <w:semiHidden/>
    <w:rsid w:val="00E14DC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31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3015</Words>
  <Characters>17187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Townend, Stephen</cp:lastModifiedBy>
  <cp:revision>2</cp:revision>
  <cp:lastPrinted>2012-07-09T12:15:00Z</cp:lastPrinted>
  <dcterms:created xsi:type="dcterms:W3CDTF">2012-07-09T12:35:00Z</dcterms:created>
  <dcterms:modified xsi:type="dcterms:W3CDTF">2012-07-09T12:35:00Z</dcterms:modified>
</cp:coreProperties>
</file>