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CF2338" w:rsidRDefault="00DE2949" w:rsidP="00E126F9">
      <w:pPr>
        <w:spacing w:line="240" w:lineRule="auto"/>
        <w:jc w:val="center"/>
        <w:rPr>
          <w:b/>
          <w:sz w:val="24"/>
          <w:szCs w:val="24"/>
        </w:rPr>
      </w:pPr>
      <w:r w:rsidRPr="00CF2338">
        <w:rPr>
          <w:b/>
          <w:sz w:val="24"/>
          <w:szCs w:val="24"/>
        </w:rPr>
        <w:t>BEFORE THE</w:t>
      </w:r>
    </w:p>
    <w:p w:rsidR="00DE2949" w:rsidRPr="00CF2338" w:rsidRDefault="00DE2949" w:rsidP="00E126F9">
      <w:pPr>
        <w:spacing w:line="240" w:lineRule="auto"/>
        <w:jc w:val="center"/>
        <w:rPr>
          <w:b/>
          <w:sz w:val="24"/>
          <w:szCs w:val="24"/>
        </w:rPr>
      </w:pPr>
      <w:r w:rsidRPr="00CF2338">
        <w:rPr>
          <w:b/>
          <w:sz w:val="24"/>
          <w:szCs w:val="24"/>
        </w:rPr>
        <w:t>PENNSYLVANIA PUBLIC UTILITY COMMISSION</w:t>
      </w:r>
    </w:p>
    <w:p w:rsidR="00DE2949" w:rsidRPr="00CF2338" w:rsidRDefault="00DE2949" w:rsidP="00E126F9">
      <w:pPr>
        <w:spacing w:line="240" w:lineRule="auto"/>
        <w:jc w:val="center"/>
        <w:rPr>
          <w:sz w:val="24"/>
          <w:szCs w:val="24"/>
        </w:rPr>
      </w:pPr>
    </w:p>
    <w:p w:rsidR="00DE2949" w:rsidRPr="00CF2338" w:rsidRDefault="00DE2949" w:rsidP="00E126F9">
      <w:pPr>
        <w:spacing w:line="240" w:lineRule="auto"/>
        <w:jc w:val="center"/>
        <w:rPr>
          <w:sz w:val="24"/>
          <w:szCs w:val="24"/>
        </w:rPr>
      </w:pPr>
    </w:p>
    <w:p w:rsidR="00E126F9" w:rsidRPr="00CF2338" w:rsidRDefault="00E126F9" w:rsidP="00E126F9">
      <w:pPr>
        <w:spacing w:line="240" w:lineRule="auto"/>
        <w:rPr>
          <w:sz w:val="24"/>
          <w:szCs w:val="24"/>
        </w:rPr>
      </w:pPr>
    </w:p>
    <w:p w:rsidR="00DE2949" w:rsidRPr="00CF2338" w:rsidRDefault="000462CE" w:rsidP="00E126F9">
      <w:pPr>
        <w:spacing w:line="240" w:lineRule="auto"/>
        <w:rPr>
          <w:sz w:val="24"/>
          <w:szCs w:val="24"/>
        </w:rPr>
      </w:pPr>
      <w:r w:rsidRPr="00CF2338">
        <w:rPr>
          <w:sz w:val="24"/>
          <w:szCs w:val="24"/>
        </w:rPr>
        <w:t>Melissa Teat</w:t>
      </w:r>
      <w:r w:rsidR="008B5083" w:rsidRPr="00CF2338">
        <w:rPr>
          <w:sz w:val="24"/>
          <w:szCs w:val="24"/>
        </w:rPr>
        <w:tab/>
      </w:r>
      <w:r w:rsidR="00E04BE4" w:rsidRPr="00CF2338">
        <w:rPr>
          <w:sz w:val="24"/>
          <w:szCs w:val="24"/>
        </w:rPr>
        <w:tab/>
      </w:r>
      <w:r w:rsidR="00DE2949" w:rsidRPr="00CF2338">
        <w:rPr>
          <w:sz w:val="24"/>
          <w:szCs w:val="24"/>
        </w:rPr>
        <w:tab/>
      </w:r>
      <w:r w:rsidR="00DE2949" w:rsidRPr="00CF2338">
        <w:rPr>
          <w:sz w:val="24"/>
          <w:szCs w:val="24"/>
        </w:rPr>
        <w:tab/>
      </w:r>
      <w:r w:rsidR="00DE2949" w:rsidRPr="00CF2338">
        <w:rPr>
          <w:sz w:val="24"/>
          <w:szCs w:val="24"/>
        </w:rPr>
        <w:tab/>
      </w:r>
      <w:r w:rsidR="00DE2949" w:rsidRPr="00CF2338">
        <w:rPr>
          <w:sz w:val="24"/>
          <w:szCs w:val="24"/>
        </w:rPr>
        <w:tab/>
        <w:t>:</w:t>
      </w:r>
    </w:p>
    <w:p w:rsidR="00DE2949" w:rsidRPr="00CF2338" w:rsidRDefault="00DE2949" w:rsidP="00E126F9">
      <w:pPr>
        <w:spacing w:line="240" w:lineRule="auto"/>
        <w:rPr>
          <w:sz w:val="24"/>
          <w:szCs w:val="24"/>
        </w:rPr>
      </w:pP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t>:</w:t>
      </w:r>
    </w:p>
    <w:p w:rsidR="00DE2949" w:rsidRPr="00CF2338" w:rsidRDefault="00DE2949" w:rsidP="00E126F9">
      <w:pPr>
        <w:spacing w:line="240" w:lineRule="auto"/>
        <w:rPr>
          <w:sz w:val="24"/>
          <w:szCs w:val="24"/>
        </w:rPr>
      </w:pPr>
      <w:r w:rsidRPr="00CF2338">
        <w:rPr>
          <w:sz w:val="24"/>
          <w:szCs w:val="24"/>
        </w:rPr>
        <w:tab/>
        <w:t>v.</w:t>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t>:</w:t>
      </w:r>
      <w:r w:rsidRPr="00CF2338">
        <w:rPr>
          <w:sz w:val="24"/>
          <w:szCs w:val="24"/>
        </w:rPr>
        <w:tab/>
      </w:r>
      <w:r w:rsidRPr="00CF2338">
        <w:rPr>
          <w:sz w:val="24"/>
          <w:szCs w:val="24"/>
        </w:rPr>
        <w:tab/>
      </w:r>
      <w:r w:rsidR="000462CE" w:rsidRPr="00CF2338">
        <w:rPr>
          <w:sz w:val="24"/>
          <w:szCs w:val="24"/>
        </w:rPr>
        <w:t>F-2011</w:t>
      </w:r>
      <w:r w:rsidR="008B5083" w:rsidRPr="00CF2338">
        <w:rPr>
          <w:sz w:val="24"/>
          <w:szCs w:val="24"/>
        </w:rPr>
        <w:t>-22</w:t>
      </w:r>
      <w:r w:rsidR="000462CE" w:rsidRPr="00CF2338">
        <w:rPr>
          <w:sz w:val="24"/>
          <w:szCs w:val="24"/>
        </w:rPr>
        <w:t>40670</w:t>
      </w:r>
    </w:p>
    <w:p w:rsidR="00DE2949" w:rsidRPr="00CF2338" w:rsidRDefault="00DE2949" w:rsidP="00E126F9">
      <w:pPr>
        <w:spacing w:line="240" w:lineRule="auto"/>
        <w:ind w:left="4320" w:firstLine="720"/>
        <w:rPr>
          <w:sz w:val="24"/>
          <w:szCs w:val="24"/>
        </w:rPr>
      </w:pPr>
      <w:r w:rsidRPr="00CF2338">
        <w:rPr>
          <w:sz w:val="24"/>
          <w:szCs w:val="24"/>
        </w:rPr>
        <w:t>:</w:t>
      </w:r>
    </w:p>
    <w:p w:rsidR="00DE2949" w:rsidRPr="00CF2338" w:rsidRDefault="000462CE" w:rsidP="00E126F9">
      <w:pPr>
        <w:spacing w:line="240" w:lineRule="auto"/>
        <w:rPr>
          <w:sz w:val="24"/>
          <w:szCs w:val="24"/>
        </w:rPr>
      </w:pPr>
      <w:r w:rsidRPr="00CF2338">
        <w:rPr>
          <w:sz w:val="24"/>
          <w:szCs w:val="24"/>
        </w:rPr>
        <w:t>PPL Electric Utilities Corporation</w:t>
      </w:r>
      <w:r w:rsidR="00DE2949" w:rsidRPr="00CF2338">
        <w:rPr>
          <w:sz w:val="24"/>
          <w:szCs w:val="24"/>
        </w:rPr>
        <w:tab/>
      </w:r>
      <w:r w:rsidR="00DE2949" w:rsidRPr="00CF2338">
        <w:rPr>
          <w:sz w:val="24"/>
          <w:szCs w:val="24"/>
        </w:rPr>
        <w:tab/>
      </w:r>
      <w:r w:rsidR="00DE2949" w:rsidRPr="00CF2338">
        <w:rPr>
          <w:sz w:val="24"/>
          <w:szCs w:val="24"/>
        </w:rPr>
        <w:tab/>
        <w:t>:</w:t>
      </w:r>
    </w:p>
    <w:p w:rsidR="00DE2949" w:rsidRPr="00CF2338" w:rsidRDefault="00DE2949" w:rsidP="00E126F9">
      <w:pPr>
        <w:spacing w:line="240" w:lineRule="auto"/>
        <w:rPr>
          <w:sz w:val="24"/>
          <w:szCs w:val="24"/>
        </w:rPr>
      </w:pPr>
    </w:p>
    <w:p w:rsidR="00DE2949" w:rsidRPr="00CF2338" w:rsidRDefault="00DE2949" w:rsidP="00E126F9">
      <w:pPr>
        <w:spacing w:line="240" w:lineRule="auto"/>
        <w:rPr>
          <w:sz w:val="24"/>
          <w:szCs w:val="24"/>
        </w:rPr>
      </w:pPr>
    </w:p>
    <w:p w:rsidR="00DE2949" w:rsidRPr="00CF2338" w:rsidRDefault="00DE2949" w:rsidP="00E126F9">
      <w:pPr>
        <w:spacing w:line="240" w:lineRule="auto"/>
        <w:rPr>
          <w:sz w:val="24"/>
          <w:szCs w:val="24"/>
        </w:rPr>
      </w:pPr>
    </w:p>
    <w:p w:rsidR="00DE2949" w:rsidRPr="00CF2338" w:rsidRDefault="00DE2949" w:rsidP="00E126F9">
      <w:pPr>
        <w:pStyle w:val="Heading1"/>
        <w:rPr>
          <w:b/>
          <w:caps/>
          <w:sz w:val="24"/>
          <w:szCs w:val="24"/>
        </w:rPr>
      </w:pPr>
      <w:r w:rsidRPr="00CF2338">
        <w:rPr>
          <w:b/>
          <w:caps/>
          <w:sz w:val="24"/>
          <w:szCs w:val="24"/>
        </w:rPr>
        <w:t>Initial Decision</w:t>
      </w:r>
    </w:p>
    <w:p w:rsidR="00DE2949" w:rsidRPr="00CF2338" w:rsidRDefault="00DE2949" w:rsidP="00E126F9">
      <w:pPr>
        <w:spacing w:line="240" w:lineRule="auto"/>
        <w:jc w:val="center"/>
        <w:rPr>
          <w:sz w:val="24"/>
          <w:szCs w:val="24"/>
          <w:u w:val="single"/>
        </w:rPr>
      </w:pPr>
    </w:p>
    <w:p w:rsidR="00DE2949" w:rsidRPr="00CF2338" w:rsidRDefault="00DE2949" w:rsidP="00E126F9">
      <w:pPr>
        <w:spacing w:line="240" w:lineRule="auto"/>
        <w:jc w:val="center"/>
        <w:rPr>
          <w:sz w:val="24"/>
          <w:szCs w:val="24"/>
          <w:u w:val="single"/>
        </w:rPr>
      </w:pPr>
    </w:p>
    <w:p w:rsidR="00DE2949" w:rsidRPr="00CF2338" w:rsidRDefault="00DE2949" w:rsidP="00E126F9">
      <w:pPr>
        <w:spacing w:line="240" w:lineRule="auto"/>
        <w:jc w:val="center"/>
        <w:rPr>
          <w:sz w:val="24"/>
          <w:szCs w:val="24"/>
        </w:rPr>
      </w:pPr>
      <w:r w:rsidRPr="00CF2338">
        <w:rPr>
          <w:sz w:val="24"/>
          <w:szCs w:val="24"/>
        </w:rPr>
        <w:t>Before</w:t>
      </w:r>
    </w:p>
    <w:p w:rsidR="00DE2949" w:rsidRPr="00CF2338" w:rsidRDefault="00DE2949" w:rsidP="00E126F9">
      <w:pPr>
        <w:spacing w:line="240" w:lineRule="auto"/>
        <w:jc w:val="center"/>
        <w:rPr>
          <w:sz w:val="24"/>
          <w:szCs w:val="24"/>
        </w:rPr>
      </w:pPr>
      <w:r w:rsidRPr="00CF2338">
        <w:rPr>
          <w:sz w:val="24"/>
          <w:szCs w:val="24"/>
        </w:rPr>
        <w:t>Katrina L. Dunderdale</w:t>
      </w:r>
    </w:p>
    <w:p w:rsidR="00DE2949" w:rsidRPr="00CF2338" w:rsidRDefault="00DE2949" w:rsidP="00E126F9">
      <w:pPr>
        <w:spacing w:line="240" w:lineRule="auto"/>
        <w:jc w:val="center"/>
        <w:rPr>
          <w:sz w:val="24"/>
          <w:szCs w:val="24"/>
        </w:rPr>
      </w:pPr>
      <w:r w:rsidRPr="00CF2338">
        <w:rPr>
          <w:sz w:val="24"/>
          <w:szCs w:val="24"/>
        </w:rPr>
        <w:t>Administrative Law Judge</w:t>
      </w:r>
    </w:p>
    <w:p w:rsidR="00DE2949" w:rsidRPr="00CF2338" w:rsidRDefault="00DE2949" w:rsidP="00E126F9">
      <w:pPr>
        <w:spacing w:line="240" w:lineRule="auto"/>
        <w:jc w:val="center"/>
        <w:rPr>
          <w:sz w:val="24"/>
          <w:szCs w:val="24"/>
        </w:rPr>
      </w:pPr>
    </w:p>
    <w:p w:rsidR="00DE2949" w:rsidRPr="00CF2338" w:rsidRDefault="00DE2949" w:rsidP="00E126F9">
      <w:pPr>
        <w:spacing w:line="240" w:lineRule="auto"/>
        <w:jc w:val="center"/>
        <w:rPr>
          <w:sz w:val="24"/>
          <w:szCs w:val="24"/>
        </w:rPr>
      </w:pPr>
    </w:p>
    <w:p w:rsidR="00DE2949" w:rsidRPr="00CF2338" w:rsidRDefault="00DE2949" w:rsidP="00E126F9">
      <w:pPr>
        <w:pStyle w:val="Heading1"/>
        <w:rPr>
          <w:sz w:val="24"/>
          <w:szCs w:val="24"/>
          <w:u w:val="none"/>
        </w:rPr>
      </w:pPr>
      <w:r w:rsidRPr="00CF2338">
        <w:rPr>
          <w:sz w:val="24"/>
          <w:szCs w:val="24"/>
        </w:rPr>
        <w:t>HISTORY OF THE PROCEEDING</w:t>
      </w:r>
    </w:p>
    <w:p w:rsidR="00DE2949" w:rsidRPr="00CF2338" w:rsidRDefault="00DE2949" w:rsidP="00E126F9">
      <w:pPr>
        <w:spacing w:line="240" w:lineRule="auto"/>
        <w:ind w:firstLine="1440"/>
        <w:rPr>
          <w:sz w:val="24"/>
          <w:szCs w:val="24"/>
        </w:rPr>
      </w:pPr>
    </w:p>
    <w:p w:rsidR="00C44296" w:rsidRPr="00CF2338" w:rsidRDefault="00C44296" w:rsidP="00C44296">
      <w:pPr>
        <w:spacing w:line="240" w:lineRule="auto"/>
        <w:ind w:firstLine="1440"/>
        <w:rPr>
          <w:sz w:val="24"/>
          <w:szCs w:val="24"/>
        </w:rPr>
      </w:pPr>
    </w:p>
    <w:p w:rsidR="00C44296" w:rsidRPr="00CF2338" w:rsidRDefault="00C44296" w:rsidP="00FB2F18">
      <w:pPr>
        <w:ind w:firstLine="1440"/>
        <w:rPr>
          <w:sz w:val="24"/>
          <w:szCs w:val="24"/>
        </w:rPr>
      </w:pPr>
      <w:r w:rsidRPr="00CF2338">
        <w:rPr>
          <w:sz w:val="24"/>
          <w:szCs w:val="24"/>
        </w:rPr>
        <w:t xml:space="preserve">On </w:t>
      </w:r>
      <w:r w:rsidR="000462CE" w:rsidRPr="00CF2338">
        <w:rPr>
          <w:sz w:val="24"/>
          <w:szCs w:val="24"/>
        </w:rPr>
        <w:t>May 3, 2011</w:t>
      </w:r>
      <w:r w:rsidRPr="00CF2338">
        <w:rPr>
          <w:sz w:val="24"/>
          <w:szCs w:val="24"/>
        </w:rPr>
        <w:t xml:space="preserve">, </w:t>
      </w:r>
      <w:r w:rsidR="000462CE" w:rsidRPr="00CF2338">
        <w:rPr>
          <w:sz w:val="24"/>
          <w:szCs w:val="24"/>
        </w:rPr>
        <w:t>Melissa Teat</w:t>
      </w:r>
      <w:r w:rsidRPr="00CF2338">
        <w:rPr>
          <w:sz w:val="24"/>
          <w:szCs w:val="24"/>
        </w:rPr>
        <w:t xml:space="preserve"> (“Complainant”) filed a formal complaint against </w:t>
      </w:r>
      <w:r w:rsidR="000462CE" w:rsidRPr="00CF2338">
        <w:rPr>
          <w:sz w:val="24"/>
          <w:szCs w:val="24"/>
        </w:rPr>
        <w:t>PPL Electric Utilities Corporation</w:t>
      </w:r>
      <w:r w:rsidRPr="00CF2338">
        <w:rPr>
          <w:sz w:val="24"/>
          <w:szCs w:val="24"/>
        </w:rPr>
        <w:t xml:space="preserve"> (“Respondent” or “</w:t>
      </w:r>
      <w:r w:rsidR="000462CE" w:rsidRPr="00CF2338">
        <w:rPr>
          <w:sz w:val="24"/>
          <w:szCs w:val="24"/>
        </w:rPr>
        <w:t>PPL</w:t>
      </w:r>
      <w:r w:rsidRPr="00CF2338">
        <w:rPr>
          <w:sz w:val="24"/>
          <w:szCs w:val="24"/>
        </w:rPr>
        <w:t xml:space="preserve">”) alleging </w:t>
      </w:r>
      <w:r w:rsidR="000462CE" w:rsidRPr="00CF2338">
        <w:rPr>
          <w:sz w:val="24"/>
          <w:szCs w:val="24"/>
        </w:rPr>
        <w:t>incorrect charges</w:t>
      </w:r>
      <w:r w:rsidR="008B5083" w:rsidRPr="00CF2338">
        <w:rPr>
          <w:sz w:val="24"/>
          <w:szCs w:val="24"/>
        </w:rPr>
        <w:t xml:space="preserve"> </w:t>
      </w:r>
      <w:r w:rsidRPr="00CF2338">
        <w:rPr>
          <w:sz w:val="24"/>
          <w:szCs w:val="24"/>
        </w:rPr>
        <w:t xml:space="preserve">on Complainant’s residential account with Respondent.  </w:t>
      </w:r>
      <w:r w:rsidR="000462CE" w:rsidRPr="00CF2338">
        <w:rPr>
          <w:sz w:val="24"/>
          <w:szCs w:val="24"/>
        </w:rPr>
        <w:t xml:space="preserve">Complainant requested the Commission order PPL to show how the charges were calculated and from where the charges originated.  </w:t>
      </w:r>
      <w:r w:rsidR="00080837">
        <w:rPr>
          <w:sz w:val="24"/>
          <w:szCs w:val="24"/>
        </w:rPr>
        <w:t xml:space="preserve">Complainant did not request a payment arrangement.  </w:t>
      </w:r>
      <w:r w:rsidRPr="00CF2338">
        <w:rPr>
          <w:sz w:val="24"/>
          <w:szCs w:val="24"/>
        </w:rPr>
        <w:t xml:space="preserve">On </w:t>
      </w:r>
      <w:r w:rsidR="000462CE" w:rsidRPr="00CF2338">
        <w:rPr>
          <w:sz w:val="24"/>
          <w:szCs w:val="24"/>
        </w:rPr>
        <w:t>May 31, 2011</w:t>
      </w:r>
      <w:r w:rsidRPr="00CF2338">
        <w:rPr>
          <w:sz w:val="24"/>
          <w:szCs w:val="24"/>
        </w:rPr>
        <w:t xml:space="preserve">, Respondent filed an Answer in </w:t>
      </w:r>
      <w:r w:rsidR="000462CE" w:rsidRPr="00CF2338">
        <w:rPr>
          <w:sz w:val="24"/>
          <w:szCs w:val="24"/>
        </w:rPr>
        <w:t>which PPL denied</w:t>
      </w:r>
      <w:r w:rsidRPr="00CF2338">
        <w:rPr>
          <w:sz w:val="24"/>
          <w:szCs w:val="24"/>
        </w:rPr>
        <w:t xml:space="preserve"> there </w:t>
      </w:r>
      <w:r w:rsidR="00FB2F18" w:rsidRPr="00CF2338">
        <w:rPr>
          <w:sz w:val="24"/>
          <w:szCs w:val="24"/>
        </w:rPr>
        <w:t xml:space="preserve">were errors in its billing statements to Complainant.  </w:t>
      </w:r>
    </w:p>
    <w:p w:rsidR="00C44296" w:rsidRPr="00CF2338" w:rsidRDefault="00C44296" w:rsidP="00C44296">
      <w:pPr>
        <w:rPr>
          <w:sz w:val="24"/>
          <w:szCs w:val="24"/>
        </w:rPr>
      </w:pPr>
    </w:p>
    <w:p w:rsidR="00FB2F18" w:rsidRPr="00CF2338" w:rsidRDefault="00C44296" w:rsidP="00FB2F18">
      <w:pPr>
        <w:rPr>
          <w:sz w:val="24"/>
          <w:szCs w:val="24"/>
        </w:rPr>
      </w:pPr>
      <w:r w:rsidRPr="00CF2338">
        <w:rPr>
          <w:sz w:val="24"/>
          <w:szCs w:val="24"/>
        </w:rPr>
        <w:tab/>
      </w:r>
      <w:r w:rsidRPr="00CF2338">
        <w:rPr>
          <w:sz w:val="24"/>
          <w:szCs w:val="24"/>
        </w:rPr>
        <w:tab/>
        <w:t xml:space="preserve">On </w:t>
      </w:r>
      <w:r w:rsidR="000462CE" w:rsidRPr="00CF2338">
        <w:rPr>
          <w:sz w:val="24"/>
          <w:szCs w:val="24"/>
        </w:rPr>
        <w:t>November 21</w:t>
      </w:r>
      <w:r w:rsidR="00FB2F18" w:rsidRPr="00CF2338">
        <w:rPr>
          <w:sz w:val="24"/>
          <w:szCs w:val="24"/>
        </w:rPr>
        <w:t>, 2011</w:t>
      </w:r>
      <w:r w:rsidRPr="00CF2338">
        <w:rPr>
          <w:sz w:val="24"/>
          <w:szCs w:val="24"/>
        </w:rPr>
        <w:t xml:space="preserve">, the Office of Administrative Law Judge issued a Telephone Hearing Notice, which scheduled an initial telephonic hearing to be conducted on </w:t>
      </w:r>
      <w:r w:rsidR="000462CE" w:rsidRPr="00CF2338">
        <w:rPr>
          <w:sz w:val="24"/>
          <w:szCs w:val="24"/>
        </w:rPr>
        <w:t>January</w:t>
      </w:r>
      <w:r w:rsidR="008B5083" w:rsidRPr="00CF2338">
        <w:rPr>
          <w:sz w:val="24"/>
          <w:szCs w:val="24"/>
        </w:rPr>
        <w:t xml:space="preserve"> 13</w:t>
      </w:r>
      <w:r w:rsidR="000462CE" w:rsidRPr="00CF2338">
        <w:rPr>
          <w:sz w:val="24"/>
          <w:szCs w:val="24"/>
        </w:rPr>
        <w:t>, 2012</w:t>
      </w:r>
      <w:r w:rsidRPr="00CF2338">
        <w:rPr>
          <w:sz w:val="24"/>
          <w:szCs w:val="24"/>
        </w:rPr>
        <w:t xml:space="preserve">.  On </w:t>
      </w:r>
      <w:r w:rsidR="000462CE" w:rsidRPr="00CF2338">
        <w:rPr>
          <w:sz w:val="24"/>
          <w:szCs w:val="24"/>
        </w:rPr>
        <w:t>November 23</w:t>
      </w:r>
      <w:r w:rsidR="00FB2F18" w:rsidRPr="00CF2338">
        <w:rPr>
          <w:sz w:val="24"/>
          <w:szCs w:val="24"/>
        </w:rPr>
        <w:t>, 2011</w:t>
      </w:r>
      <w:r w:rsidRPr="00CF2338">
        <w:rPr>
          <w:sz w:val="24"/>
          <w:szCs w:val="24"/>
        </w:rPr>
        <w:t xml:space="preserve">, the </w:t>
      </w:r>
      <w:r w:rsidR="000462CE" w:rsidRPr="00CF2338">
        <w:rPr>
          <w:sz w:val="24"/>
          <w:szCs w:val="24"/>
        </w:rPr>
        <w:t>presiding officer</w:t>
      </w:r>
      <w:r w:rsidRPr="00CF2338">
        <w:rPr>
          <w:sz w:val="24"/>
          <w:szCs w:val="24"/>
        </w:rPr>
        <w:t xml:space="preserve"> issued a Prehearing Order.  </w:t>
      </w:r>
    </w:p>
    <w:p w:rsidR="00FB2F18" w:rsidRPr="00CF2338" w:rsidRDefault="00FB2F18" w:rsidP="00FB2F18">
      <w:pPr>
        <w:ind w:firstLine="1440"/>
        <w:rPr>
          <w:sz w:val="24"/>
          <w:szCs w:val="24"/>
        </w:rPr>
      </w:pPr>
    </w:p>
    <w:p w:rsidR="002978EF" w:rsidRPr="00CF2338" w:rsidRDefault="000462CE" w:rsidP="000462CE">
      <w:pPr>
        <w:rPr>
          <w:sz w:val="24"/>
          <w:szCs w:val="24"/>
        </w:rPr>
      </w:pPr>
      <w:r w:rsidRPr="00CF2338">
        <w:rPr>
          <w:sz w:val="24"/>
          <w:szCs w:val="24"/>
        </w:rPr>
        <w:tab/>
      </w:r>
      <w:r w:rsidRPr="00CF2338">
        <w:rPr>
          <w:sz w:val="24"/>
          <w:szCs w:val="24"/>
        </w:rPr>
        <w:tab/>
        <w:t xml:space="preserve">On January 13, 2012, prior to the start of the telephonic hearing, Complainant requested a continuance due to illness.  The request was granted and on January 13, 2012, the presiding officer issued the First Interim Order to cancel the hearing and reschedule the </w:t>
      </w:r>
      <w:r w:rsidRPr="00CF2338">
        <w:rPr>
          <w:sz w:val="24"/>
          <w:szCs w:val="24"/>
        </w:rPr>
        <w:lastRenderedPageBreak/>
        <w:t xml:space="preserve">proceeding to a later date.  Thereafter, the Office of Administrative Law Judge issued a new notice which rescheduled the initial telephonic hearing to February 21, 2012.  </w:t>
      </w:r>
    </w:p>
    <w:p w:rsidR="002978EF" w:rsidRPr="00CF2338" w:rsidRDefault="002978EF" w:rsidP="000462CE">
      <w:pPr>
        <w:rPr>
          <w:sz w:val="24"/>
          <w:szCs w:val="24"/>
        </w:rPr>
      </w:pPr>
    </w:p>
    <w:p w:rsidR="000462CE" w:rsidRPr="00CF2338" w:rsidRDefault="002978EF" w:rsidP="002978EF">
      <w:pPr>
        <w:ind w:firstLine="1440"/>
        <w:rPr>
          <w:sz w:val="24"/>
          <w:szCs w:val="24"/>
        </w:rPr>
      </w:pPr>
      <w:r w:rsidRPr="00CF2338">
        <w:rPr>
          <w:sz w:val="24"/>
          <w:szCs w:val="24"/>
        </w:rPr>
        <w:t xml:space="preserve">On March 6, 2012, the presiding officer issued the Second Interim Order which rescheduled the telephonic hearing due to a conflict in the Administrative Law Judge’s schedule.  On March 7, 2012, the Office of Administrative Law Judge issued a new notice which rescheduled the telephonic hearing to April 17, 2012.  </w:t>
      </w:r>
      <w:r w:rsidR="000462CE" w:rsidRPr="00CF2338">
        <w:rPr>
          <w:sz w:val="24"/>
          <w:szCs w:val="24"/>
        </w:rPr>
        <w:t xml:space="preserve">  </w:t>
      </w:r>
    </w:p>
    <w:p w:rsidR="000462CE" w:rsidRPr="00CF2338" w:rsidRDefault="000462CE" w:rsidP="00FB2F18">
      <w:pPr>
        <w:ind w:firstLine="1440"/>
        <w:rPr>
          <w:sz w:val="24"/>
          <w:szCs w:val="24"/>
        </w:rPr>
      </w:pPr>
    </w:p>
    <w:p w:rsidR="00C44296" w:rsidRPr="00CF2338" w:rsidRDefault="00C44296" w:rsidP="00FB2F18">
      <w:pPr>
        <w:ind w:firstLine="1440"/>
        <w:rPr>
          <w:sz w:val="24"/>
          <w:szCs w:val="24"/>
        </w:rPr>
      </w:pPr>
      <w:r w:rsidRPr="00CF2338">
        <w:rPr>
          <w:sz w:val="24"/>
          <w:szCs w:val="24"/>
        </w:rPr>
        <w:t xml:space="preserve">The presiding officer convened the initial telephonic hearing as scheduled on </w:t>
      </w:r>
      <w:r w:rsidR="002978EF" w:rsidRPr="00CF2338">
        <w:rPr>
          <w:sz w:val="24"/>
          <w:szCs w:val="24"/>
        </w:rPr>
        <w:t>April 17, 2012</w:t>
      </w:r>
      <w:r w:rsidR="00FD00D0" w:rsidRPr="00CF2338">
        <w:rPr>
          <w:sz w:val="24"/>
          <w:szCs w:val="24"/>
        </w:rPr>
        <w:t>.  Ms</w:t>
      </w:r>
      <w:r w:rsidRPr="00CF2338">
        <w:rPr>
          <w:sz w:val="24"/>
          <w:szCs w:val="24"/>
        </w:rPr>
        <w:t xml:space="preserve">. </w:t>
      </w:r>
      <w:proofErr w:type="gramStart"/>
      <w:r w:rsidR="002978EF" w:rsidRPr="00CF2338">
        <w:rPr>
          <w:sz w:val="24"/>
          <w:szCs w:val="24"/>
        </w:rPr>
        <w:t>Teat</w:t>
      </w:r>
      <w:r w:rsidR="00FD00D0" w:rsidRPr="00CF2338">
        <w:rPr>
          <w:sz w:val="24"/>
          <w:szCs w:val="24"/>
        </w:rPr>
        <w:t xml:space="preserve"> </w:t>
      </w:r>
      <w:r w:rsidRPr="00CF2338">
        <w:rPr>
          <w:sz w:val="24"/>
          <w:szCs w:val="24"/>
        </w:rPr>
        <w:t xml:space="preserve"> appeared</w:t>
      </w:r>
      <w:proofErr w:type="gramEnd"/>
      <w:r w:rsidRPr="00CF2338">
        <w:rPr>
          <w:sz w:val="24"/>
          <w:szCs w:val="24"/>
        </w:rPr>
        <w:t xml:space="preserve"> </w:t>
      </w:r>
      <w:r w:rsidRPr="00CF2338">
        <w:rPr>
          <w:i/>
          <w:sz w:val="24"/>
          <w:szCs w:val="24"/>
        </w:rPr>
        <w:t>pro se</w:t>
      </w:r>
      <w:r w:rsidRPr="00CF2338">
        <w:rPr>
          <w:sz w:val="24"/>
          <w:szCs w:val="24"/>
        </w:rPr>
        <w:t xml:space="preserve"> and testified on </w:t>
      </w:r>
      <w:r w:rsidR="00FD00D0" w:rsidRPr="00CF2338">
        <w:rPr>
          <w:sz w:val="24"/>
          <w:szCs w:val="24"/>
        </w:rPr>
        <w:t>her</w:t>
      </w:r>
      <w:r w:rsidRPr="00CF2338">
        <w:rPr>
          <w:sz w:val="24"/>
          <w:szCs w:val="24"/>
        </w:rPr>
        <w:t xml:space="preserve"> own behalf.  </w:t>
      </w:r>
      <w:r w:rsidR="009411A8" w:rsidRPr="00CF2338">
        <w:rPr>
          <w:sz w:val="24"/>
          <w:szCs w:val="24"/>
        </w:rPr>
        <w:t xml:space="preserve">Complainant offered seven exhibits, marked as Complainant Exhibit 1 through Exhibit 7, which exhibits were admitted into evidence on April 17, 2012.  </w:t>
      </w:r>
      <w:r w:rsidRPr="00CF2338">
        <w:rPr>
          <w:sz w:val="24"/>
          <w:szCs w:val="24"/>
        </w:rPr>
        <w:t xml:space="preserve">Respondent was represented by </w:t>
      </w:r>
      <w:proofErr w:type="spellStart"/>
      <w:r w:rsidR="002978EF" w:rsidRPr="00CF2338">
        <w:rPr>
          <w:sz w:val="24"/>
          <w:szCs w:val="24"/>
        </w:rPr>
        <w:t>Graig</w:t>
      </w:r>
      <w:proofErr w:type="spellEnd"/>
      <w:r w:rsidR="002978EF" w:rsidRPr="00CF2338">
        <w:rPr>
          <w:sz w:val="24"/>
          <w:szCs w:val="24"/>
        </w:rPr>
        <w:t xml:space="preserve"> M. Schultz</w:t>
      </w:r>
      <w:r w:rsidRPr="00CF2338">
        <w:rPr>
          <w:sz w:val="24"/>
          <w:szCs w:val="24"/>
        </w:rPr>
        <w:t>,</w:t>
      </w:r>
      <w:r w:rsidR="00D436B9">
        <w:rPr>
          <w:sz w:val="24"/>
          <w:szCs w:val="24"/>
        </w:rPr>
        <w:t> </w:t>
      </w:r>
      <w:r w:rsidRPr="00CF2338">
        <w:rPr>
          <w:sz w:val="24"/>
          <w:szCs w:val="24"/>
        </w:rPr>
        <w:t xml:space="preserve">Esquire.  Attorney </w:t>
      </w:r>
      <w:r w:rsidR="002978EF" w:rsidRPr="00CF2338">
        <w:rPr>
          <w:sz w:val="24"/>
          <w:szCs w:val="24"/>
        </w:rPr>
        <w:t>Schultz</w:t>
      </w:r>
      <w:r w:rsidRPr="00CF2338">
        <w:rPr>
          <w:sz w:val="24"/>
          <w:szCs w:val="24"/>
        </w:rPr>
        <w:t xml:space="preserve"> presented the testimony of </w:t>
      </w:r>
      <w:r w:rsidR="00FD00D0" w:rsidRPr="00CF2338">
        <w:rPr>
          <w:sz w:val="24"/>
          <w:szCs w:val="24"/>
        </w:rPr>
        <w:t>one witness</w:t>
      </w:r>
      <w:r w:rsidRPr="00CF2338">
        <w:rPr>
          <w:sz w:val="24"/>
          <w:szCs w:val="24"/>
        </w:rPr>
        <w:t xml:space="preserve">, and offered </w:t>
      </w:r>
      <w:r w:rsidR="002978EF" w:rsidRPr="00CF2338">
        <w:rPr>
          <w:sz w:val="24"/>
          <w:szCs w:val="24"/>
        </w:rPr>
        <w:t>three</w:t>
      </w:r>
      <w:r w:rsidRPr="00CF2338">
        <w:rPr>
          <w:sz w:val="24"/>
          <w:szCs w:val="24"/>
        </w:rPr>
        <w:t xml:space="preserve"> exhibits, marked </w:t>
      </w:r>
      <w:r w:rsidR="002978EF" w:rsidRPr="00CF2338">
        <w:rPr>
          <w:sz w:val="24"/>
          <w:szCs w:val="24"/>
        </w:rPr>
        <w:t>as PPL</w:t>
      </w:r>
      <w:r w:rsidRPr="00CF2338">
        <w:rPr>
          <w:sz w:val="24"/>
          <w:szCs w:val="24"/>
        </w:rPr>
        <w:t xml:space="preserve"> Exhibit</w:t>
      </w:r>
      <w:r w:rsidR="00FD00D0" w:rsidRPr="00CF2338">
        <w:rPr>
          <w:sz w:val="24"/>
          <w:szCs w:val="24"/>
        </w:rPr>
        <w:t xml:space="preserve"> 1, 2</w:t>
      </w:r>
      <w:r w:rsidR="00FB2F18" w:rsidRPr="00CF2338">
        <w:rPr>
          <w:sz w:val="24"/>
          <w:szCs w:val="24"/>
        </w:rPr>
        <w:t xml:space="preserve">, </w:t>
      </w:r>
      <w:r w:rsidR="00FD00D0" w:rsidRPr="00CF2338">
        <w:rPr>
          <w:sz w:val="24"/>
          <w:szCs w:val="24"/>
        </w:rPr>
        <w:t xml:space="preserve">and </w:t>
      </w:r>
      <w:r w:rsidR="002978EF" w:rsidRPr="00CF2338">
        <w:rPr>
          <w:sz w:val="24"/>
          <w:szCs w:val="24"/>
        </w:rPr>
        <w:t>3</w:t>
      </w:r>
      <w:r w:rsidR="00FD00D0" w:rsidRPr="00CF2338">
        <w:rPr>
          <w:sz w:val="24"/>
          <w:szCs w:val="24"/>
        </w:rPr>
        <w:t>,</w:t>
      </w:r>
      <w:r w:rsidRPr="00CF2338">
        <w:rPr>
          <w:sz w:val="24"/>
          <w:szCs w:val="24"/>
        </w:rPr>
        <w:t xml:space="preserve"> which exhibits were admitted into evidence on </w:t>
      </w:r>
      <w:r w:rsidR="002978EF" w:rsidRPr="00CF2338">
        <w:rPr>
          <w:sz w:val="24"/>
          <w:szCs w:val="24"/>
        </w:rPr>
        <w:t>April</w:t>
      </w:r>
      <w:r w:rsidR="00D436B9">
        <w:rPr>
          <w:sz w:val="24"/>
          <w:szCs w:val="24"/>
        </w:rPr>
        <w:t> </w:t>
      </w:r>
      <w:r w:rsidR="002978EF" w:rsidRPr="00CF2338">
        <w:rPr>
          <w:sz w:val="24"/>
          <w:szCs w:val="24"/>
        </w:rPr>
        <w:t>17, 2012</w:t>
      </w:r>
      <w:r w:rsidRPr="00CF2338">
        <w:rPr>
          <w:sz w:val="24"/>
          <w:szCs w:val="24"/>
        </w:rPr>
        <w:t xml:space="preserve">.  Complainant and Respondent issued final statements on the hearing record in lieu of filing briefs.  </w:t>
      </w:r>
      <w:r w:rsidR="002978EF" w:rsidRPr="00CF2338">
        <w:rPr>
          <w:sz w:val="24"/>
          <w:szCs w:val="24"/>
        </w:rPr>
        <w:t xml:space="preserve">The transcript of the hearing contains sixty-six (66) pages and was received in the presiding officer’s office on May 8, 2012.  </w:t>
      </w:r>
    </w:p>
    <w:p w:rsidR="00C44296" w:rsidRPr="00CF2338" w:rsidRDefault="00C44296" w:rsidP="00C44296">
      <w:pPr>
        <w:tabs>
          <w:tab w:val="left" w:pos="2160"/>
        </w:tabs>
        <w:ind w:firstLine="1440"/>
        <w:rPr>
          <w:sz w:val="24"/>
          <w:szCs w:val="24"/>
        </w:rPr>
      </w:pPr>
    </w:p>
    <w:p w:rsidR="00C44296" w:rsidRPr="00CF2338" w:rsidRDefault="00C44296" w:rsidP="00C44296">
      <w:pPr>
        <w:tabs>
          <w:tab w:val="left" w:pos="2160"/>
        </w:tabs>
        <w:ind w:firstLine="1440"/>
        <w:rPr>
          <w:sz w:val="24"/>
          <w:szCs w:val="24"/>
        </w:rPr>
      </w:pPr>
      <w:r w:rsidRPr="00CF2338">
        <w:rPr>
          <w:sz w:val="24"/>
          <w:szCs w:val="24"/>
        </w:rPr>
        <w:t xml:space="preserve">On </w:t>
      </w:r>
      <w:r w:rsidR="002978EF" w:rsidRPr="00CF2338">
        <w:rPr>
          <w:sz w:val="24"/>
          <w:szCs w:val="24"/>
        </w:rPr>
        <w:t>May 11, 2012</w:t>
      </w:r>
      <w:r w:rsidR="00065149" w:rsidRPr="00CF2338">
        <w:rPr>
          <w:sz w:val="24"/>
          <w:szCs w:val="24"/>
        </w:rPr>
        <w:t>,</w:t>
      </w:r>
      <w:r w:rsidRPr="00CF2338">
        <w:rPr>
          <w:sz w:val="24"/>
          <w:szCs w:val="24"/>
        </w:rPr>
        <w:t xml:space="preserve"> </w:t>
      </w:r>
      <w:r w:rsidR="002978EF" w:rsidRPr="00CF2338">
        <w:rPr>
          <w:sz w:val="24"/>
          <w:szCs w:val="24"/>
        </w:rPr>
        <w:t>the presiding officer issued the Interim Order Closing the Hearing Record</w:t>
      </w:r>
      <w:r w:rsidRPr="00CF2338">
        <w:rPr>
          <w:sz w:val="24"/>
          <w:szCs w:val="24"/>
        </w:rPr>
        <w:t>.</w:t>
      </w:r>
    </w:p>
    <w:p w:rsidR="00C44296" w:rsidRPr="00CF2338" w:rsidRDefault="00C44296" w:rsidP="00C44296">
      <w:pPr>
        <w:tabs>
          <w:tab w:val="left" w:pos="2160"/>
        </w:tabs>
        <w:ind w:firstLine="1440"/>
        <w:rPr>
          <w:sz w:val="24"/>
          <w:szCs w:val="24"/>
        </w:rPr>
      </w:pPr>
    </w:p>
    <w:p w:rsidR="00C44296" w:rsidRPr="00CF2338" w:rsidRDefault="00C44296" w:rsidP="00C44296">
      <w:pPr>
        <w:tabs>
          <w:tab w:val="left" w:pos="2160"/>
        </w:tabs>
        <w:jc w:val="center"/>
        <w:rPr>
          <w:sz w:val="24"/>
          <w:szCs w:val="24"/>
          <w:u w:val="single"/>
        </w:rPr>
      </w:pPr>
      <w:r w:rsidRPr="00CF2338">
        <w:rPr>
          <w:sz w:val="24"/>
          <w:szCs w:val="24"/>
          <w:u w:val="single"/>
        </w:rPr>
        <w:t xml:space="preserve">FINDINGS OF </w:t>
      </w:r>
      <w:smartTag w:uri="urn:schemas-microsoft-com:office:smarttags" w:element="stockticker">
        <w:r w:rsidRPr="00CF2338">
          <w:rPr>
            <w:sz w:val="24"/>
            <w:szCs w:val="24"/>
            <w:u w:val="single"/>
          </w:rPr>
          <w:t>FACT</w:t>
        </w:r>
      </w:smartTag>
    </w:p>
    <w:p w:rsidR="00C44296" w:rsidRPr="00CF2338" w:rsidRDefault="00C44296" w:rsidP="00C44296">
      <w:pPr>
        <w:tabs>
          <w:tab w:val="left" w:pos="2160"/>
        </w:tabs>
        <w:rPr>
          <w:sz w:val="24"/>
          <w:szCs w:val="24"/>
          <w:u w:val="single"/>
        </w:rPr>
      </w:pPr>
    </w:p>
    <w:p w:rsidR="00C44296" w:rsidRPr="00CF2338" w:rsidRDefault="00C44296" w:rsidP="00C44296">
      <w:pPr>
        <w:tabs>
          <w:tab w:val="left" w:pos="2160"/>
        </w:tabs>
        <w:ind w:firstLine="1440"/>
        <w:rPr>
          <w:sz w:val="24"/>
          <w:szCs w:val="24"/>
        </w:rPr>
      </w:pPr>
      <w:r w:rsidRPr="00CF2338">
        <w:rPr>
          <w:sz w:val="24"/>
          <w:szCs w:val="24"/>
        </w:rPr>
        <w:t>1.</w:t>
      </w:r>
      <w:r w:rsidRPr="00CF2338">
        <w:rPr>
          <w:sz w:val="24"/>
          <w:szCs w:val="24"/>
        </w:rPr>
        <w:tab/>
        <w:t xml:space="preserve">Complainant, </w:t>
      </w:r>
      <w:r w:rsidR="002978EF" w:rsidRPr="00CF2338">
        <w:rPr>
          <w:sz w:val="24"/>
          <w:szCs w:val="24"/>
        </w:rPr>
        <w:t>Melissa Teat</w:t>
      </w:r>
      <w:r w:rsidR="00FB2F18" w:rsidRPr="00CF2338">
        <w:rPr>
          <w:sz w:val="24"/>
          <w:szCs w:val="24"/>
        </w:rPr>
        <w:t xml:space="preserve">, resides </w:t>
      </w:r>
      <w:r w:rsidR="008042E3">
        <w:rPr>
          <w:sz w:val="24"/>
          <w:szCs w:val="24"/>
        </w:rPr>
        <w:t xml:space="preserve">at 2149 White Oak Drive, East Stroudsburg, </w:t>
      </w:r>
      <w:r w:rsidR="00065149" w:rsidRPr="00CF2338">
        <w:rPr>
          <w:sz w:val="24"/>
          <w:szCs w:val="24"/>
        </w:rPr>
        <w:t>Pennsylvania</w:t>
      </w:r>
      <w:r w:rsidR="00E97292">
        <w:rPr>
          <w:sz w:val="24"/>
          <w:szCs w:val="24"/>
        </w:rPr>
        <w:t xml:space="preserve"> where she is the ratepayer of record and receives electric service</w:t>
      </w:r>
      <w:bookmarkStart w:id="0" w:name="_GoBack"/>
      <w:bookmarkEnd w:id="0"/>
      <w:r w:rsidR="00E97292">
        <w:rPr>
          <w:sz w:val="24"/>
          <w:szCs w:val="24"/>
        </w:rPr>
        <w:t xml:space="preserve"> from PPL</w:t>
      </w:r>
      <w:r w:rsidR="00E74CDD" w:rsidRPr="00CF2338">
        <w:rPr>
          <w:sz w:val="24"/>
          <w:szCs w:val="24"/>
        </w:rPr>
        <w:t>.</w:t>
      </w:r>
      <w:r w:rsidRPr="00CF2338">
        <w:rPr>
          <w:sz w:val="24"/>
          <w:szCs w:val="24"/>
        </w:rPr>
        <w:t xml:space="preserve">  </w:t>
      </w:r>
      <w:proofErr w:type="gramStart"/>
      <w:r w:rsidRPr="00CF2338">
        <w:rPr>
          <w:sz w:val="24"/>
          <w:szCs w:val="24"/>
        </w:rPr>
        <w:t>(Tr.</w:t>
      </w:r>
      <w:r w:rsidR="008042E3">
        <w:rPr>
          <w:sz w:val="24"/>
          <w:szCs w:val="24"/>
        </w:rPr>
        <w:t xml:space="preserve"> 6, 7</w:t>
      </w:r>
      <w:r w:rsidR="00E97292">
        <w:rPr>
          <w:sz w:val="24"/>
          <w:szCs w:val="24"/>
        </w:rPr>
        <w:t>; PPL Exhibit 1A</w:t>
      </w:r>
      <w:r w:rsidRPr="00CF2338">
        <w:rPr>
          <w:sz w:val="24"/>
          <w:szCs w:val="24"/>
        </w:rPr>
        <w:t>).</w:t>
      </w:r>
      <w:proofErr w:type="gramEnd"/>
      <w:r w:rsidRPr="00CF2338">
        <w:rPr>
          <w:sz w:val="24"/>
          <w:szCs w:val="24"/>
        </w:rPr>
        <w:t xml:space="preserve"> </w:t>
      </w:r>
    </w:p>
    <w:p w:rsidR="00044B8E" w:rsidRPr="00CF2338" w:rsidRDefault="00044B8E" w:rsidP="00C44296">
      <w:pPr>
        <w:tabs>
          <w:tab w:val="left" w:pos="2160"/>
        </w:tabs>
        <w:ind w:firstLine="1440"/>
        <w:rPr>
          <w:sz w:val="24"/>
          <w:szCs w:val="24"/>
        </w:rPr>
      </w:pPr>
    </w:p>
    <w:p w:rsidR="00044B8E" w:rsidRPr="00CF2338" w:rsidRDefault="008C756D" w:rsidP="00C44296">
      <w:pPr>
        <w:tabs>
          <w:tab w:val="left" w:pos="2160"/>
        </w:tabs>
        <w:ind w:firstLine="1440"/>
        <w:rPr>
          <w:sz w:val="24"/>
          <w:szCs w:val="24"/>
        </w:rPr>
      </w:pPr>
      <w:r w:rsidRPr="00CF2338">
        <w:rPr>
          <w:sz w:val="24"/>
          <w:szCs w:val="24"/>
        </w:rPr>
        <w:t>2</w:t>
      </w:r>
      <w:r w:rsidR="00044B8E" w:rsidRPr="00CF2338">
        <w:rPr>
          <w:sz w:val="24"/>
          <w:szCs w:val="24"/>
        </w:rPr>
        <w:t>.</w:t>
      </w:r>
      <w:r w:rsidR="00044B8E" w:rsidRPr="00CF2338">
        <w:rPr>
          <w:sz w:val="24"/>
          <w:szCs w:val="24"/>
        </w:rPr>
        <w:tab/>
      </w:r>
      <w:r w:rsidR="00E97292">
        <w:rPr>
          <w:sz w:val="24"/>
          <w:szCs w:val="24"/>
        </w:rPr>
        <w:t xml:space="preserve">From July 6, 2006 to November 2011, Complainant resided </w:t>
      </w:r>
      <w:r w:rsidR="008042E3">
        <w:rPr>
          <w:sz w:val="24"/>
          <w:szCs w:val="24"/>
        </w:rPr>
        <w:t xml:space="preserve">at 17 </w:t>
      </w:r>
      <w:proofErr w:type="spellStart"/>
      <w:r w:rsidR="008042E3">
        <w:rPr>
          <w:sz w:val="24"/>
          <w:szCs w:val="24"/>
        </w:rPr>
        <w:t>Abeel</w:t>
      </w:r>
      <w:proofErr w:type="spellEnd"/>
      <w:r w:rsidR="008042E3">
        <w:rPr>
          <w:sz w:val="24"/>
          <w:szCs w:val="24"/>
        </w:rPr>
        <w:t xml:space="preserve"> Road, Cottage No. 8, East Stroudsburg, Penns</w:t>
      </w:r>
      <w:r w:rsidR="005B4677">
        <w:rPr>
          <w:sz w:val="24"/>
          <w:szCs w:val="24"/>
        </w:rPr>
        <w:t>y</w:t>
      </w:r>
      <w:r w:rsidR="008042E3">
        <w:rPr>
          <w:sz w:val="24"/>
          <w:szCs w:val="24"/>
        </w:rPr>
        <w:t>lvania</w:t>
      </w:r>
      <w:r w:rsidR="005B4677">
        <w:rPr>
          <w:sz w:val="24"/>
          <w:szCs w:val="24"/>
        </w:rPr>
        <w:t xml:space="preserve"> (“17 </w:t>
      </w:r>
      <w:proofErr w:type="spellStart"/>
      <w:r w:rsidR="005B4677">
        <w:rPr>
          <w:sz w:val="24"/>
          <w:szCs w:val="24"/>
        </w:rPr>
        <w:t>Abeel</w:t>
      </w:r>
      <w:proofErr w:type="spellEnd"/>
      <w:r w:rsidR="005B4677">
        <w:rPr>
          <w:sz w:val="24"/>
          <w:szCs w:val="24"/>
        </w:rPr>
        <w:t xml:space="preserve"> Road”)</w:t>
      </w:r>
      <w:r w:rsidR="008042E3">
        <w:rPr>
          <w:sz w:val="24"/>
          <w:szCs w:val="24"/>
        </w:rPr>
        <w:t xml:space="preserve">, </w:t>
      </w:r>
      <w:r w:rsidR="00080837">
        <w:rPr>
          <w:sz w:val="24"/>
          <w:szCs w:val="24"/>
        </w:rPr>
        <w:t>where electric service was in her name</w:t>
      </w:r>
      <w:r w:rsidR="008042E3">
        <w:rPr>
          <w:sz w:val="24"/>
          <w:szCs w:val="24"/>
        </w:rPr>
        <w:t xml:space="preserve">.  </w:t>
      </w:r>
      <w:proofErr w:type="gramStart"/>
      <w:r w:rsidR="00044B8E" w:rsidRPr="00CF2338">
        <w:rPr>
          <w:sz w:val="24"/>
          <w:szCs w:val="24"/>
        </w:rPr>
        <w:t>(Tr.</w:t>
      </w:r>
      <w:r w:rsidR="00856715">
        <w:rPr>
          <w:sz w:val="24"/>
          <w:szCs w:val="24"/>
        </w:rPr>
        <w:t xml:space="preserve"> </w:t>
      </w:r>
      <w:r w:rsidR="008042E3">
        <w:rPr>
          <w:sz w:val="24"/>
          <w:szCs w:val="24"/>
        </w:rPr>
        <w:t>7, 8</w:t>
      </w:r>
      <w:r w:rsidR="00080837">
        <w:rPr>
          <w:sz w:val="24"/>
          <w:szCs w:val="24"/>
        </w:rPr>
        <w:t>, 36, 37</w:t>
      </w:r>
      <w:r w:rsidR="00A0630D" w:rsidRPr="00CF2338">
        <w:rPr>
          <w:sz w:val="24"/>
          <w:szCs w:val="24"/>
        </w:rPr>
        <w:t>).</w:t>
      </w:r>
      <w:proofErr w:type="gramEnd"/>
      <w:r w:rsidR="00044B8E" w:rsidRPr="00CF2338">
        <w:rPr>
          <w:sz w:val="24"/>
          <w:szCs w:val="24"/>
        </w:rPr>
        <w:t xml:space="preserve">  </w:t>
      </w:r>
    </w:p>
    <w:p w:rsidR="00044B8E" w:rsidRPr="00CF2338" w:rsidRDefault="00044B8E" w:rsidP="00C44296">
      <w:pPr>
        <w:tabs>
          <w:tab w:val="left" w:pos="2160"/>
        </w:tabs>
        <w:ind w:firstLine="1440"/>
        <w:rPr>
          <w:sz w:val="24"/>
          <w:szCs w:val="24"/>
        </w:rPr>
      </w:pPr>
    </w:p>
    <w:p w:rsidR="00AB2D65" w:rsidRPr="00CF2338" w:rsidRDefault="00E97292" w:rsidP="00C44296">
      <w:pPr>
        <w:tabs>
          <w:tab w:val="left" w:pos="2160"/>
        </w:tabs>
        <w:ind w:firstLine="1440"/>
        <w:rPr>
          <w:sz w:val="24"/>
          <w:szCs w:val="24"/>
        </w:rPr>
      </w:pPr>
      <w:r>
        <w:rPr>
          <w:sz w:val="24"/>
          <w:szCs w:val="24"/>
        </w:rPr>
        <w:lastRenderedPageBreak/>
        <w:t>3</w:t>
      </w:r>
      <w:r w:rsidR="00AB2D65" w:rsidRPr="00CF2338">
        <w:rPr>
          <w:sz w:val="24"/>
          <w:szCs w:val="24"/>
        </w:rPr>
        <w:t>.</w:t>
      </w:r>
      <w:r w:rsidR="00AB2D65" w:rsidRPr="00CF2338">
        <w:rPr>
          <w:sz w:val="24"/>
          <w:szCs w:val="24"/>
        </w:rPr>
        <w:tab/>
      </w:r>
      <w:r w:rsidR="008042E3">
        <w:rPr>
          <w:sz w:val="24"/>
          <w:szCs w:val="24"/>
        </w:rPr>
        <w:t>From August 2005 to July 2006, Complainant lived with her father at 2875 Old Bethlehem Pike</w:t>
      </w:r>
      <w:r w:rsidR="005B4677">
        <w:rPr>
          <w:sz w:val="24"/>
          <w:szCs w:val="24"/>
        </w:rPr>
        <w:t xml:space="preserve"> (“Old Bethlehem Pike”)</w:t>
      </w:r>
      <w:r w:rsidR="008042E3">
        <w:rPr>
          <w:sz w:val="24"/>
          <w:szCs w:val="24"/>
        </w:rPr>
        <w:t xml:space="preserve">, Quakertown, Pennsylvania. </w:t>
      </w:r>
      <w:r w:rsidR="00065149" w:rsidRPr="00CF2338">
        <w:rPr>
          <w:sz w:val="24"/>
          <w:szCs w:val="24"/>
        </w:rPr>
        <w:t xml:space="preserve"> </w:t>
      </w:r>
      <w:proofErr w:type="gramStart"/>
      <w:r w:rsidR="00065149" w:rsidRPr="00CF2338">
        <w:rPr>
          <w:sz w:val="24"/>
          <w:szCs w:val="24"/>
        </w:rPr>
        <w:t>(Tr.</w:t>
      </w:r>
      <w:r w:rsidR="008042E3">
        <w:rPr>
          <w:sz w:val="24"/>
          <w:szCs w:val="24"/>
        </w:rPr>
        <w:t xml:space="preserve"> 9, 10</w:t>
      </w:r>
      <w:r w:rsidR="00080837">
        <w:rPr>
          <w:sz w:val="24"/>
          <w:szCs w:val="24"/>
        </w:rPr>
        <w:t>, 36</w:t>
      </w:r>
      <w:r w:rsidR="00AB2D65" w:rsidRPr="00CF2338">
        <w:rPr>
          <w:sz w:val="24"/>
          <w:szCs w:val="24"/>
        </w:rPr>
        <w:t>).</w:t>
      </w:r>
      <w:proofErr w:type="gramEnd"/>
    </w:p>
    <w:p w:rsidR="00AB2D65" w:rsidRPr="00CF2338" w:rsidRDefault="00AB2D65" w:rsidP="00C44296">
      <w:pPr>
        <w:tabs>
          <w:tab w:val="left" w:pos="2160"/>
        </w:tabs>
        <w:ind w:firstLine="1440"/>
        <w:rPr>
          <w:sz w:val="24"/>
          <w:szCs w:val="24"/>
        </w:rPr>
      </w:pPr>
    </w:p>
    <w:p w:rsidR="00AB2D65" w:rsidRDefault="00E97292" w:rsidP="00C44296">
      <w:pPr>
        <w:tabs>
          <w:tab w:val="left" w:pos="2160"/>
        </w:tabs>
        <w:ind w:firstLine="1440"/>
        <w:rPr>
          <w:sz w:val="24"/>
          <w:szCs w:val="24"/>
        </w:rPr>
      </w:pPr>
      <w:r>
        <w:rPr>
          <w:sz w:val="24"/>
          <w:szCs w:val="24"/>
        </w:rPr>
        <w:t>4</w:t>
      </w:r>
      <w:r w:rsidR="00AB2D65" w:rsidRPr="00CF2338">
        <w:rPr>
          <w:sz w:val="24"/>
          <w:szCs w:val="24"/>
        </w:rPr>
        <w:t>.</w:t>
      </w:r>
      <w:r w:rsidR="00AB2D65" w:rsidRPr="00CF2338">
        <w:rPr>
          <w:sz w:val="24"/>
          <w:szCs w:val="24"/>
        </w:rPr>
        <w:tab/>
      </w:r>
      <w:r w:rsidR="008042E3">
        <w:rPr>
          <w:sz w:val="24"/>
          <w:szCs w:val="24"/>
        </w:rPr>
        <w:t xml:space="preserve">From </w:t>
      </w:r>
      <w:r w:rsidR="00080837">
        <w:rPr>
          <w:sz w:val="24"/>
          <w:szCs w:val="24"/>
        </w:rPr>
        <w:t>April 2, 2005</w:t>
      </w:r>
      <w:r w:rsidR="008042E3">
        <w:rPr>
          <w:sz w:val="24"/>
          <w:szCs w:val="24"/>
        </w:rPr>
        <w:t xml:space="preserve"> to </w:t>
      </w:r>
      <w:r w:rsidR="00080837">
        <w:rPr>
          <w:sz w:val="24"/>
          <w:szCs w:val="24"/>
        </w:rPr>
        <w:t xml:space="preserve">July 19, </w:t>
      </w:r>
      <w:r w:rsidR="008042E3">
        <w:rPr>
          <w:sz w:val="24"/>
          <w:szCs w:val="24"/>
        </w:rPr>
        <w:t>2005, Complainant lived at 650 Main Street</w:t>
      </w:r>
      <w:r w:rsidR="005B4677">
        <w:rPr>
          <w:sz w:val="24"/>
          <w:szCs w:val="24"/>
        </w:rPr>
        <w:t xml:space="preserve"> (“650 Main Street”)</w:t>
      </w:r>
      <w:r w:rsidR="008042E3">
        <w:rPr>
          <w:sz w:val="24"/>
          <w:szCs w:val="24"/>
        </w:rPr>
        <w:t>, Second Floor, Unit 5, Hellertown, Pennsylvania</w:t>
      </w:r>
      <w:r w:rsidR="00080837">
        <w:rPr>
          <w:sz w:val="24"/>
          <w:szCs w:val="24"/>
        </w:rPr>
        <w:t>, where electric service was in her name</w:t>
      </w:r>
      <w:r w:rsidR="008042E3">
        <w:rPr>
          <w:sz w:val="24"/>
          <w:szCs w:val="24"/>
        </w:rPr>
        <w:t xml:space="preserve">. </w:t>
      </w:r>
      <w:r w:rsidR="00AB2D65" w:rsidRPr="00CF2338">
        <w:rPr>
          <w:sz w:val="24"/>
          <w:szCs w:val="24"/>
        </w:rPr>
        <w:t xml:space="preserve"> </w:t>
      </w:r>
      <w:proofErr w:type="gramStart"/>
      <w:r w:rsidR="00AB2D65" w:rsidRPr="00CF2338">
        <w:rPr>
          <w:sz w:val="24"/>
          <w:szCs w:val="24"/>
        </w:rPr>
        <w:t>(Tr.</w:t>
      </w:r>
      <w:r w:rsidR="008042E3">
        <w:rPr>
          <w:sz w:val="24"/>
          <w:szCs w:val="24"/>
        </w:rPr>
        <w:t xml:space="preserve"> 9-12</w:t>
      </w:r>
      <w:r w:rsidR="00080837">
        <w:rPr>
          <w:sz w:val="24"/>
          <w:szCs w:val="24"/>
        </w:rPr>
        <w:t>, 35, 36</w:t>
      </w:r>
      <w:r w:rsidR="00065149" w:rsidRPr="00CF2338">
        <w:rPr>
          <w:sz w:val="24"/>
          <w:szCs w:val="24"/>
        </w:rPr>
        <w:t>).</w:t>
      </w:r>
      <w:proofErr w:type="gramEnd"/>
    </w:p>
    <w:p w:rsidR="00080837" w:rsidRDefault="00080837" w:rsidP="00C44296">
      <w:pPr>
        <w:tabs>
          <w:tab w:val="left" w:pos="2160"/>
        </w:tabs>
        <w:ind w:firstLine="1440"/>
        <w:rPr>
          <w:sz w:val="24"/>
          <w:szCs w:val="24"/>
        </w:rPr>
      </w:pPr>
    </w:p>
    <w:p w:rsidR="00080837" w:rsidRPr="00CF2338" w:rsidRDefault="00E97292" w:rsidP="00C44296">
      <w:pPr>
        <w:tabs>
          <w:tab w:val="left" w:pos="2160"/>
        </w:tabs>
        <w:ind w:firstLine="1440"/>
        <w:rPr>
          <w:sz w:val="24"/>
          <w:szCs w:val="24"/>
        </w:rPr>
      </w:pPr>
      <w:r>
        <w:rPr>
          <w:sz w:val="24"/>
          <w:szCs w:val="24"/>
        </w:rPr>
        <w:t>5</w:t>
      </w:r>
      <w:r w:rsidR="00080837">
        <w:rPr>
          <w:sz w:val="24"/>
          <w:szCs w:val="24"/>
        </w:rPr>
        <w:t>.</w:t>
      </w:r>
      <w:r w:rsidR="00080837">
        <w:rPr>
          <w:sz w:val="24"/>
          <w:szCs w:val="24"/>
        </w:rPr>
        <w:tab/>
        <w:t xml:space="preserve">From July 15, 2003 to April 4, 2005, Complainant lived at 2284 Vista Drive, Hellertown, Pennsylvania, where electric service was in her name, and applied for LIHEAP (Low Income Heating Energy Assistance Program) while at that address.  </w:t>
      </w:r>
      <w:proofErr w:type="gramStart"/>
      <w:r w:rsidR="00080837">
        <w:rPr>
          <w:sz w:val="24"/>
          <w:szCs w:val="24"/>
        </w:rPr>
        <w:t>(Tr. 35</w:t>
      </w:r>
      <w:r>
        <w:rPr>
          <w:sz w:val="24"/>
          <w:szCs w:val="24"/>
        </w:rPr>
        <w:t>, 53</w:t>
      </w:r>
      <w:r w:rsidR="00080837">
        <w:rPr>
          <w:sz w:val="24"/>
          <w:szCs w:val="24"/>
        </w:rPr>
        <w:t>; PPL Exhibit 4A).</w:t>
      </w:r>
      <w:proofErr w:type="gramEnd"/>
    </w:p>
    <w:p w:rsidR="005B4677" w:rsidRDefault="005B4677" w:rsidP="005B4677">
      <w:pPr>
        <w:tabs>
          <w:tab w:val="left" w:pos="2160"/>
        </w:tabs>
        <w:ind w:firstLine="1440"/>
        <w:rPr>
          <w:sz w:val="24"/>
          <w:szCs w:val="24"/>
        </w:rPr>
      </w:pPr>
    </w:p>
    <w:p w:rsidR="005B4677" w:rsidRDefault="005B4677" w:rsidP="005B4677">
      <w:pPr>
        <w:tabs>
          <w:tab w:val="left" w:pos="2160"/>
        </w:tabs>
        <w:ind w:firstLine="1440"/>
        <w:rPr>
          <w:sz w:val="24"/>
          <w:szCs w:val="24"/>
        </w:rPr>
      </w:pPr>
      <w:r>
        <w:rPr>
          <w:sz w:val="24"/>
          <w:szCs w:val="24"/>
        </w:rPr>
        <w:t>6.</w:t>
      </w:r>
      <w:r>
        <w:rPr>
          <w:sz w:val="24"/>
          <w:szCs w:val="24"/>
        </w:rPr>
        <w:tab/>
        <w:t xml:space="preserve">The amount listed as the balance on Complainant’s final bill for 650 Main Street was $1,654.70.  </w:t>
      </w:r>
      <w:proofErr w:type="gramStart"/>
      <w:r>
        <w:rPr>
          <w:sz w:val="24"/>
          <w:szCs w:val="24"/>
        </w:rPr>
        <w:t>(Tr. 12</w:t>
      </w:r>
      <w:r w:rsidR="00D541A6">
        <w:rPr>
          <w:sz w:val="24"/>
          <w:szCs w:val="24"/>
        </w:rPr>
        <w:t>, 37, 47</w:t>
      </w:r>
      <w:r>
        <w:rPr>
          <w:sz w:val="24"/>
          <w:szCs w:val="24"/>
        </w:rPr>
        <w:t>).</w:t>
      </w:r>
      <w:proofErr w:type="gramEnd"/>
    </w:p>
    <w:p w:rsidR="00080837" w:rsidRDefault="00080837" w:rsidP="005B4677">
      <w:pPr>
        <w:tabs>
          <w:tab w:val="left" w:pos="2160"/>
        </w:tabs>
        <w:ind w:firstLine="1440"/>
        <w:rPr>
          <w:sz w:val="24"/>
          <w:szCs w:val="24"/>
        </w:rPr>
      </w:pPr>
    </w:p>
    <w:p w:rsidR="00080837" w:rsidRPr="00CF2338" w:rsidRDefault="00080837" w:rsidP="005B4677">
      <w:pPr>
        <w:tabs>
          <w:tab w:val="left" w:pos="2160"/>
        </w:tabs>
        <w:ind w:firstLine="1440"/>
        <w:rPr>
          <w:sz w:val="24"/>
          <w:szCs w:val="24"/>
        </w:rPr>
      </w:pPr>
      <w:r>
        <w:rPr>
          <w:sz w:val="24"/>
          <w:szCs w:val="24"/>
        </w:rPr>
        <w:t>7.</w:t>
      </w:r>
      <w:r>
        <w:rPr>
          <w:sz w:val="24"/>
          <w:szCs w:val="24"/>
        </w:rPr>
        <w:tab/>
        <w:t xml:space="preserve">When Complainant contacted PPL to request electric service in her name at 17 </w:t>
      </w:r>
      <w:proofErr w:type="spellStart"/>
      <w:r>
        <w:rPr>
          <w:sz w:val="24"/>
          <w:szCs w:val="24"/>
        </w:rPr>
        <w:t>Abeel</w:t>
      </w:r>
      <w:proofErr w:type="spellEnd"/>
      <w:r>
        <w:rPr>
          <w:sz w:val="24"/>
          <w:szCs w:val="24"/>
        </w:rPr>
        <w:t xml:space="preserve"> Road, PPL informed Complainant PPL would transfer a balance of $1,654.70 to her new account, which sum was the unpaid balance from her service account at 650 Main Street.  </w:t>
      </w:r>
      <w:proofErr w:type="gramStart"/>
      <w:r>
        <w:rPr>
          <w:sz w:val="24"/>
          <w:szCs w:val="24"/>
        </w:rPr>
        <w:t>(Tr. 37, 38</w:t>
      </w:r>
      <w:r w:rsidR="00D541A6">
        <w:rPr>
          <w:sz w:val="24"/>
          <w:szCs w:val="24"/>
        </w:rPr>
        <w:t>, 46</w:t>
      </w:r>
      <w:r>
        <w:rPr>
          <w:sz w:val="24"/>
          <w:szCs w:val="24"/>
        </w:rPr>
        <w:t>).</w:t>
      </w:r>
      <w:proofErr w:type="gramEnd"/>
    </w:p>
    <w:p w:rsidR="00AB2D65" w:rsidRDefault="00AB2D65" w:rsidP="00AB2D65">
      <w:pPr>
        <w:tabs>
          <w:tab w:val="left" w:pos="2160"/>
        </w:tabs>
        <w:ind w:firstLine="1440"/>
        <w:rPr>
          <w:sz w:val="24"/>
          <w:szCs w:val="24"/>
        </w:rPr>
      </w:pPr>
    </w:p>
    <w:p w:rsidR="005B4677" w:rsidRDefault="005B4677" w:rsidP="00AB2D65">
      <w:pPr>
        <w:tabs>
          <w:tab w:val="left" w:pos="2160"/>
        </w:tabs>
        <w:ind w:firstLine="1440"/>
        <w:rPr>
          <w:sz w:val="24"/>
          <w:szCs w:val="24"/>
        </w:rPr>
      </w:pPr>
      <w:r>
        <w:rPr>
          <w:sz w:val="24"/>
          <w:szCs w:val="24"/>
        </w:rPr>
        <w:t>8.</w:t>
      </w:r>
      <w:r>
        <w:rPr>
          <w:sz w:val="24"/>
          <w:szCs w:val="24"/>
        </w:rPr>
        <w:tab/>
        <w:t xml:space="preserve">Complainant did not agree with the amount transferred into her account but she agreed to pay it and PPL put her on budget billing.  </w:t>
      </w:r>
      <w:proofErr w:type="gramStart"/>
      <w:r>
        <w:rPr>
          <w:sz w:val="24"/>
          <w:szCs w:val="24"/>
        </w:rPr>
        <w:t>(Tr. 14, 15).</w:t>
      </w:r>
      <w:proofErr w:type="gramEnd"/>
    </w:p>
    <w:p w:rsidR="0034534D" w:rsidRDefault="0034534D" w:rsidP="00AB2D65">
      <w:pPr>
        <w:tabs>
          <w:tab w:val="left" w:pos="2160"/>
        </w:tabs>
        <w:ind w:firstLine="1440"/>
        <w:rPr>
          <w:sz w:val="24"/>
          <w:szCs w:val="24"/>
        </w:rPr>
      </w:pPr>
    </w:p>
    <w:p w:rsidR="0034534D" w:rsidRDefault="00E97292" w:rsidP="00AB2D65">
      <w:pPr>
        <w:tabs>
          <w:tab w:val="left" w:pos="2160"/>
        </w:tabs>
        <w:ind w:firstLine="1440"/>
        <w:rPr>
          <w:sz w:val="24"/>
          <w:szCs w:val="24"/>
        </w:rPr>
      </w:pPr>
      <w:r>
        <w:rPr>
          <w:sz w:val="24"/>
          <w:szCs w:val="24"/>
        </w:rPr>
        <w:t>9</w:t>
      </w:r>
      <w:r w:rsidR="0034534D">
        <w:rPr>
          <w:sz w:val="24"/>
          <w:szCs w:val="24"/>
        </w:rPr>
        <w:t>.</w:t>
      </w:r>
      <w:r w:rsidR="0034534D">
        <w:rPr>
          <w:sz w:val="24"/>
          <w:szCs w:val="24"/>
        </w:rPr>
        <w:tab/>
      </w:r>
      <w:r w:rsidR="00D541A6">
        <w:rPr>
          <w:sz w:val="24"/>
          <w:szCs w:val="24"/>
        </w:rPr>
        <w:t>During the 56-month period f</w:t>
      </w:r>
      <w:r w:rsidR="0034534D">
        <w:rPr>
          <w:sz w:val="24"/>
          <w:szCs w:val="24"/>
        </w:rPr>
        <w:t xml:space="preserve">rom September 2006 to </w:t>
      </w:r>
      <w:r w:rsidR="00D541A6">
        <w:rPr>
          <w:sz w:val="24"/>
          <w:szCs w:val="24"/>
        </w:rPr>
        <w:t>April 2011</w:t>
      </w:r>
      <w:r w:rsidR="0034534D">
        <w:rPr>
          <w:sz w:val="24"/>
          <w:szCs w:val="24"/>
        </w:rPr>
        <w:t xml:space="preserve">, Complainant made </w:t>
      </w:r>
      <w:r>
        <w:rPr>
          <w:sz w:val="24"/>
          <w:szCs w:val="24"/>
        </w:rPr>
        <w:t>eleven (11</w:t>
      </w:r>
      <w:r w:rsidR="00D541A6">
        <w:rPr>
          <w:sz w:val="24"/>
          <w:szCs w:val="24"/>
        </w:rPr>
        <w:t>)</w:t>
      </w:r>
      <w:r w:rsidR="0034534D">
        <w:rPr>
          <w:sz w:val="24"/>
          <w:szCs w:val="24"/>
        </w:rPr>
        <w:t xml:space="preserve"> payments to PPL on the following dates for the amounts listed:  </w:t>
      </w:r>
    </w:p>
    <w:p w:rsidR="00E97292" w:rsidRDefault="00E97292" w:rsidP="00AB2D65">
      <w:pPr>
        <w:tabs>
          <w:tab w:val="left" w:pos="2160"/>
        </w:tabs>
        <w:ind w:firstLine="1440"/>
        <w:rPr>
          <w:sz w:val="24"/>
          <w:szCs w:val="24"/>
        </w:rPr>
      </w:pPr>
      <w:r>
        <w:rPr>
          <w:sz w:val="24"/>
          <w:szCs w:val="24"/>
        </w:rPr>
        <w:tab/>
        <w:t>September 25, 2006</w:t>
      </w:r>
      <w:r>
        <w:rPr>
          <w:sz w:val="24"/>
          <w:szCs w:val="24"/>
        </w:rPr>
        <w:tab/>
      </w:r>
      <w:r>
        <w:rPr>
          <w:sz w:val="24"/>
          <w:szCs w:val="24"/>
        </w:rPr>
        <w:tab/>
        <w:t>$100.00</w:t>
      </w:r>
    </w:p>
    <w:p w:rsidR="005B4677" w:rsidRDefault="0034534D" w:rsidP="00AB2D65">
      <w:pPr>
        <w:tabs>
          <w:tab w:val="left" w:pos="2160"/>
        </w:tabs>
        <w:ind w:firstLine="1440"/>
        <w:rPr>
          <w:sz w:val="24"/>
          <w:szCs w:val="24"/>
        </w:rPr>
      </w:pPr>
      <w:r>
        <w:rPr>
          <w:sz w:val="24"/>
          <w:szCs w:val="24"/>
        </w:rPr>
        <w:tab/>
        <w:t>February 12, 2007</w:t>
      </w:r>
      <w:r>
        <w:rPr>
          <w:sz w:val="24"/>
          <w:szCs w:val="24"/>
        </w:rPr>
        <w:tab/>
      </w:r>
      <w:r>
        <w:rPr>
          <w:sz w:val="24"/>
          <w:szCs w:val="24"/>
        </w:rPr>
        <w:tab/>
        <w:t>$113.00</w:t>
      </w:r>
    </w:p>
    <w:p w:rsidR="0034534D" w:rsidRDefault="0034534D" w:rsidP="00AB2D65">
      <w:pPr>
        <w:tabs>
          <w:tab w:val="left" w:pos="2160"/>
        </w:tabs>
        <w:ind w:firstLine="1440"/>
        <w:rPr>
          <w:sz w:val="24"/>
          <w:szCs w:val="24"/>
        </w:rPr>
      </w:pPr>
      <w:r>
        <w:rPr>
          <w:sz w:val="24"/>
          <w:szCs w:val="24"/>
        </w:rPr>
        <w:tab/>
        <w:t>April 10, 2007</w:t>
      </w:r>
      <w:r>
        <w:rPr>
          <w:sz w:val="24"/>
          <w:szCs w:val="24"/>
        </w:rPr>
        <w:tab/>
      </w:r>
      <w:r>
        <w:rPr>
          <w:sz w:val="24"/>
          <w:szCs w:val="24"/>
        </w:rPr>
        <w:tab/>
      </w:r>
      <w:r>
        <w:rPr>
          <w:sz w:val="24"/>
          <w:szCs w:val="24"/>
        </w:rPr>
        <w:tab/>
      </w:r>
      <w:proofErr w:type="gramStart"/>
      <w:r>
        <w:rPr>
          <w:sz w:val="24"/>
          <w:szCs w:val="24"/>
        </w:rPr>
        <w:t xml:space="preserve">$ </w:t>
      </w:r>
      <w:r w:rsidR="003D5D70">
        <w:rPr>
          <w:sz w:val="24"/>
          <w:szCs w:val="24"/>
        </w:rPr>
        <w:t xml:space="preserve"> </w:t>
      </w:r>
      <w:r>
        <w:rPr>
          <w:sz w:val="24"/>
          <w:szCs w:val="24"/>
        </w:rPr>
        <w:t>50.00</w:t>
      </w:r>
      <w:proofErr w:type="gramEnd"/>
    </w:p>
    <w:p w:rsidR="0034534D" w:rsidRDefault="0034534D" w:rsidP="00AB2D65">
      <w:pPr>
        <w:tabs>
          <w:tab w:val="left" w:pos="2160"/>
        </w:tabs>
        <w:ind w:firstLine="1440"/>
        <w:rPr>
          <w:sz w:val="24"/>
          <w:szCs w:val="24"/>
        </w:rPr>
      </w:pPr>
      <w:r>
        <w:rPr>
          <w:sz w:val="24"/>
          <w:szCs w:val="24"/>
        </w:rPr>
        <w:tab/>
        <w:t>August 28, 2007</w:t>
      </w:r>
      <w:r>
        <w:rPr>
          <w:sz w:val="24"/>
          <w:szCs w:val="24"/>
        </w:rPr>
        <w:tab/>
      </w:r>
      <w:r>
        <w:rPr>
          <w:sz w:val="24"/>
          <w:szCs w:val="24"/>
        </w:rPr>
        <w:tab/>
        <w:t xml:space="preserve">$ </w:t>
      </w:r>
      <w:r w:rsidR="003D5D70">
        <w:rPr>
          <w:sz w:val="24"/>
          <w:szCs w:val="24"/>
        </w:rPr>
        <w:t xml:space="preserve"> </w:t>
      </w:r>
      <w:r>
        <w:rPr>
          <w:sz w:val="24"/>
          <w:szCs w:val="24"/>
        </w:rPr>
        <w:t>55.00</w:t>
      </w:r>
    </w:p>
    <w:p w:rsidR="0034534D" w:rsidRDefault="0034534D" w:rsidP="00AB2D65">
      <w:pPr>
        <w:tabs>
          <w:tab w:val="left" w:pos="2160"/>
        </w:tabs>
        <w:ind w:firstLine="1440"/>
        <w:rPr>
          <w:sz w:val="24"/>
          <w:szCs w:val="24"/>
        </w:rPr>
      </w:pPr>
      <w:r>
        <w:rPr>
          <w:sz w:val="24"/>
          <w:szCs w:val="24"/>
        </w:rPr>
        <w:tab/>
        <w:t>July 30, 2008</w:t>
      </w:r>
      <w:r>
        <w:rPr>
          <w:sz w:val="24"/>
          <w:szCs w:val="24"/>
        </w:rPr>
        <w:tab/>
      </w:r>
      <w:r>
        <w:rPr>
          <w:sz w:val="24"/>
          <w:szCs w:val="24"/>
        </w:rPr>
        <w:tab/>
      </w:r>
      <w:r>
        <w:rPr>
          <w:sz w:val="24"/>
          <w:szCs w:val="24"/>
        </w:rPr>
        <w:tab/>
        <w:t>$100.00</w:t>
      </w:r>
    </w:p>
    <w:p w:rsidR="0034534D" w:rsidRDefault="0034534D" w:rsidP="00AB2D65">
      <w:pPr>
        <w:tabs>
          <w:tab w:val="left" w:pos="2160"/>
        </w:tabs>
        <w:ind w:firstLine="1440"/>
        <w:rPr>
          <w:sz w:val="24"/>
          <w:szCs w:val="24"/>
        </w:rPr>
      </w:pPr>
      <w:r>
        <w:rPr>
          <w:sz w:val="24"/>
          <w:szCs w:val="24"/>
        </w:rPr>
        <w:tab/>
        <w:t>March 9, 2009</w:t>
      </w:r>
      <w:r>
        <w:rPr>
          <w:sz w:val="24"/>
          <w:szCs w:val="24"/>
        </w:rPr>
        <w:tab/>
      </w:r>
      <w:r>
        <w:rPr>
          <w:sz w:val="24"/>
          <w:szCs w:val="24"/>
        </w:rPr>
        <w:tab/>
      </w:r>
      <w:r>
        <w:rPr>
          <w:sz w:val="24"/>
          <w:szCs w:val="24"/>
        </w:rPr>
        <w:tab/>
      </w:r>
      <w:proofErr w:type="gramStart"/>
      <w:r>
        <w:rPr>
          <w:sz w:val="24"/>
          <w:szCs w:val="24"/>
        </w:rPr>
        <w:t>$</w:t>
      </w:r>
      <w:r w:rsidR="00601516">
        <w:rPr>
          <w:sz w:val="24"/>
          <w:szCs w:val="24"/>
        </w:rPr>
        <w:t xml:space="preserve"> </w:t>
      </w:r>
      <w:r>
        <w:rPr>
          <w:sz w:val="24"/>
          <w:szCs w:val="24"/>
        </w:rPr>
        <w:t xml:space="preserve"> 50.00</w:t>
      </w:r>
      <w:proofErr w:type="gramEnd"/>
    </w:p>
    <w:p w:rsidR="0034534D" w:rsidRDefault="0034534D" w:rsidP="00AB2D65">
      <w:pPr>
        <w:tabs>
          <w:tab w:val="left" w:pos="2160"/>
        </w:tabs>
        <w:ind w:firstLine="1440"/>
        <w:rPr>
          <w:sz w:val="24"/>
          <w:szCs w:val="24"/>
        </w:rPr>
      </w:pPr>
      <w:r>
        <w:rPr>
          <w:sz w:val="24"/>
          <w:szCs w:val="24"/>
        </w:rPr>
        <w:lastRenderedPageBreak/>
        <w:tab/>
        <w:t>May 29, 2009</w:t>
      </w:r>
      <w:r>
        <w:rPr>
          <w:sz w:val="24"/>
          <w:szCs w:val="24"/>
        </w:rPr>
        <w:tab/>
      </w:r>
      <w:r>
        <w:rPr>
          <w:sz w:val="24"/>
          <w:szCs w:val="24"/>
        </w:rPr>
        <w:tab/>
      </w:r>
      <w:r>
        <w:rPr>
          <w:sz w:val="24"/>
          <w:szCs w:val="24"/>
        </w:rPr>
        <w:tab/>
      </w:r>
      <w:proofErr w:type="gramStart"/>
      <w:r>
        <w:rPr>
          <w:sz w:val="24"/>
          <w:szCs w:val="24"/>
        </w:rPr>
        <w:t>$</w:t>
      </w:r>
      <w:r w:rsidR="00D00FD6">
        <w:rPr>
          <w:sz w:val="24"/>
          <w:szCs w:val="24"/>
        </w:rPr>
        <w:t xml:space="preserve"> </w:t>
      </w:r>
      <w:r>
        <w:rPr>
          <w:sz w:val="24"/>
          <w:szCs w:val="24"/>
        </w:rPr>
        <w:t xml:space="preserve"> 50.00</w:t>
      </w:r>
      <w:proofErr w:type="gramEnd"/>
    </w:p>
    <w:p w:rsidR="0034534D" w:rsidRDefault="0034534D" w:rsidP="00AB2D65">
      <w:pPr>
        <w:tabs>
          <w:tab w:val="left" w:pos="2160"/>
        </w:tabs>
        <w:ind w:firstLine="1440"/>
        <w:rPr>
          <w:sz w:val="24"/>
          <w:szCs w:val="24"/>
        </w:rPr>
      </w:pPr>
      <w:r>
        <w:rPr>
          <w:sz w:val="24"/>
          <w:szCs w:val="24"/>
        </w:rPr>
        <w:tab/>
        <w:t>August 7, 2009</w:t>
      </w:r>
      <w:r>
        <w:rPr>
          <w:sz w:val="24"/>
          <w:szCs w:val="24"/>
        </w:rPr>
        <w:tab/>
      </w:r>
      <w:r>
        <w:rPr>
          <w:sz w:val="24"/>
          <w:szCs w:val="24"/>
        </w:rPr>
        <w:tab/>
      </w:r>
      <w:proofErr w:type="gramStart"/>
      <w:r>
        <w:rPr>
          <w:sz w:val="24"/>
          <w:szCs w:val="24"/>
        </w:rPr>
        <w:t>$</w:t>
      </w:r>
      <w:r w:rsidR="00D00FD6">
        <w:rPr>
          <w:sz w:val="24"/>
          <w:szCs w:val="24"/>
        </w:rPr>
        <w:t xml:space="preserve"> </w:t>
      </w:r>
      <w:r>
        <w:rPr>
          <w:sz w:val="24"/>
          <w:szCs w:val="24"/>
        </w:rPr>
        <w:t xml:space="preserve"> 63.53</w:t>
      </w:r>
      <w:proofErr w:type="gramEnd"/>
    </w:p>
    <w:p w:rsidR="0034534D" w:rsidRDefault="0034534D" w:rsidP="00AB2D65">
      <w:pPr>
        <w:tabs>
          <w:tab w:val="left" w:pos="2160"/>
        </w:tabs>
        <w:ind w:firstLine="1440"/>
        <w:rPr>
          <w:sz w:val="24"/>
          <w:szCs w:val="24"/>
        </w:rPr>
      </w:pPr>
      <w:r>
        <w:rPr>
          <w:sz w:val="24"/>
          <w:szCs w:val="24"/>
        </w:rPr>
        <w:tab/>
        <w:t>March 29, 2010</w:t>
      </w:r>
      <w:r>
        <w:rPr>
          <w:sz w:val="24"/>
          <w:szCs w:val="24"/>
        </w:rPr>
        <w:tab/>
      </w:r>
      <w:r>
        <w:rPr>
          <w:sz w:val="24"/>
          <w:szCs w:val="24"/>
        </w:rPr>
        <w:tab/>
      </w:r>
      <w:proofErr w:type="gramStart"/>
      <w:r>
        <w:rPr>
          <w:sz w:val="24"/>
          <w:szCs w:val="24"/>
        </w:rPr>
        <w:t xml:space="preserve">$ </w:t>
      </w:r>
      <w:r w:rsidR="00D00FD6">
        <w:rPr>
          <w:sz w:val="24"/>
          <w:szCs w:val="24"/>
        </w:rPr>
        <w:t xml:space="preserve"> </w:t>
      </w:r>
      <w:r>
        <w:rPr>
          <w:sz w:val="24"/>
          <w:szCs w:val="24"/>
        </w:rPr>
        <w:t>50.00</w:t>
      </w:r>
      <w:proofErr w:type="gramEnd"/>
    </w:p>
    <w:p w:rsidR="00D541A6" w:rsidRDefault="00D541A6" w:rsidP="00AB2D65">
      <w:pPr>
        <w:tabs>
          <w:tab w:val="left" w:pos="2160"/>
        </w:tabs>
        <w:ind w:firstLine="1440"/>
        <w:rPr>
          <w:sz w:val="24"/>
          <w:szCs w:val="24"/>
        </w:rPr>
      </w:pPr>
      <w:r>
        <w:rPr>
          <w:sz w:val="24"/>
          <w:szCs w:val="24"/>
        </w:rPr>
        <w:tab/>
        <w:t>August 25, 2010</w:t>
      </w:r>
      <w:r>
        <w:rPr>
          <w:sz w:val="24"/>
          <w:szCs w:val="24"/>
        </w:rPr>
        <w:tab/>
      </w:r>
      <w:r>
        <w:rPr>
          <w:sz w:val="24"/>
          <w:szCs w:val="24"/>
        </w:rPr>
        <w:tab/>
      </w:r>
      <w:proofErr w:type="gramStart"/>
      <w:r>
        <w:rPr>
          <w:sz w:val="24"/>
          <w:szCs w:val="24"/>
        </w:rPr>
        <w:t>$</w:t>
      </w:r>
      <w:r w:rsidR="00D00FD6">
        <w:rPr>
          <w:sz w:val="24"/>
          <w:szCs w:val="24"/>
        </w:rPr>
        <w:t xml:space="preserve"> </w:t>
      </w:r>
      <w:r>
        <w:rPr>
          <w:sz w:val="24"/>
          <w:szCs w:val="24"/>
        </w:rPr>
        <w:t xml:space="preserve"> 70.82</w:t>
      </w:r>
      <w:proofErr w:type="gramEnd"/>
    </w:p>
    <w:p w:rsidR="00D541A6" w:rsidRDefault="00D541A6" w:rsidP="00AB2D65">
      <w:pPr>
        <w:tabs>
          <w:tab w:val="left" w:pos="2160"/>
        </w:tabs>
        <w:ind w:firstLine="1440"/>
        <w:rPr>
          <w:sz w:val="24"/>
          <w:szCs w:val="24"/>
        </w:rPr>
      </w:pPr>
      <w:r>
        <w:rPr>
          <w:sz w:val="24"/>
          <w:szCs w:val="24"/>
        </w:rPr>
        <w:tab/>
        <w:t>April 20, 2011</w:t>
      </w:r>
      <w:r>
        <w:rPr>
          <w:sz w:val="24"/>
          <w:szCs w:val="24"/>
        </w:rPr>
        <w:tab/>
      </w:r>
      <w:r>
        <w:rPr>
          <w:sz w:val="24"/>
          <w:szCs w:val="24"/>
        </w:rPr>
        <w:tab/>
      </w:r>
      <w:r>
        <w:rPr>
          <w:sz w:val="24"/>
          <w:szCs w:val="24"/>
        </w:rPr>
        <w:tab/>
        <w:t>$345.00</w:t>
      </w:r>
    </w:p>
    <w:p w:rsidR="0034534D" w:rsidRDefault="0034534D" w:rsidP="00AB2D65">
      <w:pPr>
        <w:tabs>
          <w:tab w:val="left" w:pos="2160"/>
        </w:tabs>
        <w:ind w:firstLine="1440"/>
        <w:rPr>
          <w:sz w:val="24"/>
          <w:szCs w:val="24"/>
        </w:rPr>
      </w:pPr>
      <w:proofErr w:type="gramStart"/>
      <w:r>
        <w:rPr>
          <w:sz w:val="24"/>
          <w:szCs w:val="24"/>
        </w:rPr>
        <w:t xml:space="preserve">(Tr. </w:t>
      </w:r>
      <w:r w:rsidR="00E97292">
        <w:rPr>
          <w:sz w:val="24"/>
          <w:szCs w:val="24"/>
        </w:rPr>
        <w:t>19-</w:t>
      </w:r>
      <w:r>
        <w:rPr>
          <w:sz w:val="24"/>
          <w:szCs w:val="24"/>
        </w:rPr>
        <w:t>21</w:t>
      </w:r>
      <w:r w:rsidR="00D541A6">
        <w:rPr>
          <w:sz w:val="24"/>
          <w:szCs w:val="24"/>
        </w:rPr>
        <w:t>, 48, 49</w:t>
      </w:r>
      <w:r>
        <w:rPr>
          <w:sz w:val="24"/>
          <w:szCs w:val="24"/>
        </w:rPr>
        <w:t xml:space="preserve">; </w:t>
      </w:r>
      <w:r w:rsidR="00D541A6">
        <w:rPr>
          <w:sz w:val="24"/>
          <w:szCs w:val="24"/>
        </w:rPr>
        <w:t xml:space="preserve">PPL </w:t>
      </w:r>
      <w:r>
        <w:rPr>
          <w:sz w:val="24"/>
          <w:szCs w:val="24"/>
        </w:rPr>
        <w:t>Exhibit</w:t>
      </w:r>
      <w:r w:rsidR="00D541A6">
        <w:rPr>
          <w:sz w:val="24"/>
          <w:szCs w:val="24"/>
        </w:rPr>
        <w:t xml:space="preserve"> 1A</w:t>
      </w:r>
      <w:r>
        <w:rPr>
          <w:sz w:val="24"/>
          <w:szCs w:val="24"/>
        </w:rPr>
        <w:t>).</w:t>
      </w:r>
      <w:proofErr w:type="gramEnd"/>
    </w:p>
    <w:p w:rsidR="0034534D" w:rsidRDefault="0034534D" w:rsidP="00AB2D65">
      <w:pPr>
        <w:tabs>
          <w:tab w:val="left" w:pos="2160"/>
        </w:tabs>
        <w:ind w:firstLine="1440"/>
        <w:rPr>
          <w:sz w:val="24"/>
          <w:szCs w:val="24"/>
        </w:rPr>
      </w:pPr>
    </w:p>
    <w:p w:rsidR="00D541A6" w:rsidRDefault="00D541A6" w:rsidP="00AB2D65">
      <w:pPr>
        <w:tabs>
          <w:tab w:val="left" w:pos="2160"/>
        </w:tabs>
        <w:ind w:firstLine="1440"/>
        <w:rPr>
          <w:sz w:val="24"/>
          <w:szCs w:val="24"/>
        </w:rPr>
      </w:pPr>
      <w:r>
        <w:rPr>
          <w:sz w:val="24"/>
          <w:szCs w:val="24"/>
        </w:rPr>
        <w:t>1</w:t>
      </w:r>
      <w:r w:rsidR="00E97292">
        <w:rPr>
          <w:sz w:val="24"/>
          <w:szCs w:val="24"/>
        </w:rPr>
        <w:t>0</w:t>
      </w:r>
      <w:r>
        <w:rPr>
          <w:sz w:val="24"/>
          <w:szCs w:val="24"/>
        </w:rPr>
        <w:t>.</w:t>
      </w:r>
      <w:r>
        <w:rPr>
          <w:sz w:val="24"/>
          <w:szCs w:val="24"/>
        </w:rPr>
        <w:tab/>
      </w:r>
      <w:r w:rsidR="00E97292">
        <w:rPr>
          <w:sz w:val="24"/>
          <w:szCs w:val="24"/>
        </w:rPr>
        <w:t xml:space="preserve">In October 2008, Complainant lost her full-time job and received unemployment compensation for one year.  Complainant started at a new full-time job on February 28, 2011.  (Tr. 22, 23).  </w:t>
      </w:r>
    </w:p>
    <w:p w:rsidR="00D541A6" w:rsidRDefault="00D541A6" w:rsidP="00AB2D65">
      <w:pPr>
        <w:tabs>
          <w:tab w:val="left" w:pos="2160"/>
        </w:tabs>
        <w:ind w:firstLine="1440"/>
        <w:rPr>
          <w:sz w:val="24"/>
          <w:szCs w:val="24"/>
        </w:rPr>
      </w:pPr>
    </w:p>
    <w:p w:rsidR="0034534D" w:rsidRDefault="0034534D" w:rsidP="00AB2D65">
      <w:pPr>
        <w:tabs>
          <w:tab w:val="left" w:pos="2160"/>
        </w:tabs>
        <w:ind w:firstLine="1440"/>
        <w:rPr>
          <w:sz w:val="24"/>
          <w:szCs w:val="24"/>
        </w:rPr>
      </w:pPr>
      <w:r>
        <w:rPr>
          <w:sz w:val="24"/>
          <w:szCs w:val="24"/>
        </w:rPr>
        <w:t>11.</w:t>
      </w:r>
      <w:r>
        <w:rPr>
          <w:sz w:val="24"/>
          <w:szCs w:val="24"/>
        </w:rPr>
        <w:tab/>
      </w:r>
      <w:r w:rsidR="00E97292">
        <w:rPr>
          <w:sz w:val="24"/>
          <w:szCs w:val="24"/>
        </w:rPr>
        <w:t>In July 2011, PPL applied the security deposit totaling $235.83 to Complainant’s account.  (Tr. 49, 50; PPL Exhibit 1A).</w:t>
      </w:r>
    </w:p>
    <w:p w:rsidR="0034534D" w:rsidRDefault="0034534D" w:rsidP="0034534D">
      <w:pPr>
        <w:tabs>
          <w:tab w:val="left" w:pos="2160"/>
        </w:tabs>
        <w:rPr>
          <w:sz w:val="24"/>
          <w:szCs w:val="24"/>
        </w:rPr>
      </w:pPr>
      <w:r>
        <w:rPr>
          <w:sz w:val="24"/>
          <w:szCs w:val="24"/>
        </w:rPr>
        <w:tab/>
      </w:r>
    </w:p>
    <w:p w:rsidR="0034534D" w:rsidRDefault="0034534D" w:rsidP="00AB2D65">
      <w:pPr>
        <w:tabs>
          <w:tab w:val="left" w:pos="2160"/>
        </w:tabs>
        <w:ind w:firstLine="1440"/>
        <w:rPr>
          <w:sz w:val="24"/>
          <w:szCs w:val="24"/>
        </w:rPr>
      </w:pPr>
      <w:r>
        <w:rPr>
          <w:sz w:val="24"/>
          <w:szCs w:val="24"/>
        </w:rPr>
        <w:t>12.</w:t>
      </w:r>
      <w:r>
        <w:rPr>
          <w:sz w:val="24"/>
          <w:szCs w:val="24"/>
        </w:rPr>
        <w:tab/>
      </w:r>
      <w:r w:rsidR="00D541A6">
        <w:rPr>
          <w:sz w:val="24"/>
          <w:szCs w:val="24"/>
        </w:rPr>
        <w:t xml:space="preserve">On December 30, 2011, PPL closed the electric service account in Complainant’s name for 17 </w:t>
      </w:r>
      <w:proofErr w:type="spellStart"/>
      <w:r w:rsidR="00D541A6">
        <w:rPr>
          <w:sz w:val="24"/>
          <w:szCs w:val="24"/>
        </w:rPr>
        <w:t>Abeel</w:t>
      </w:r>
      <w:proofErr w:type="spellEnd"/>
      <w:r w:rsidR="00D541A6">
        <w:rPr>
          <w:sz w:val="24"/>
          <w:szCs w:val="24"/>
        </w:rPr>
        <w:t xml:space="preserve"> Road which listed $8,456.87 as an unpaid balance on that account.  (Tr. 50; PPL Exhibit 1A).</w:t>
      </w:r>
    </w:p>
    <w:p w:rsidR="0034534D" w:rsidRPr="00CF2338" w:rsidRDefault="0034534D" w:rsidP="00AB2D65">
      <w:pPr>
        <w:tabs>
          <w:tab w:val="left" w:pos="2160"/>
        </w:tabs>
        <w:ind w:firstLine="1440"/>
        <w:rPr>
          <w:sz w:val="24"/>
          <w:szCs w:val="24"/>
        </w:rPr>
      </w:pPr>
    </w:p>
    <w:p w:rsidR="00AB2D65" w:rsidRPr="00CF2338" w:rsidRDefault="00E97292" w:rsidP="00AB2D65">
      <w:pPr>
        <w:tabs>
          <w:tab w:val="left" w:pos="2160"/>
        </w:tabs>
        <w:ind w:firstLine="1440"/>
        <w:rPr>
          <w:sz w:val="24"/>
          <w:szCs w:val="24"/>
        </w:rPr>
      </w:pPr>
      <w:r>
        <w:rPr>
          <w:sz w:val="24"/>
          <w:szCs w:val="24"/>
        </w:rPr>
        <w:t>13</w:t>
      </w:r>
      <w:r w:rsidR="00AB2D65" w:rsidRPr="00CF2338">
        <w:rPr>
          <w:sz w:val="24"/>
          <w:szCs w:val="24"/>
        </w:rPr>
        <w:t>.</w:t>
      </w:r>
      <w:r w:rsidR="00AB2D65" w:rsidRPr="00CF2338">
        <w:rPr>
          <w:sz w:val="24"/>
          <w:szCs w:val="24"/>
        </w:rPr>
        <w:tab/>
      </w:r>
      <w:r>
        <w:rPr>
          <w:sz w:val="24"/>
          <w:szCs w:val="24"/>
        </w:rPr>
        <w:t>In November</w:t>
      </w:r>
      <w:r w:rsidR="00D541A6">
        <w:rPr>
          <w:sz w:val="24"/>
          <w:szCs w:val="24"/>
        </w:rPr>
        <w:t xml:space="preserve"> 2011, PPL opened an account in Complainant’s name at </w:t>
      </w:r>
      <w:r>
        <w:rPr>
          <w:sz w:val="24"/>
          <w:szCs w:val="24"/>
        </w:rPr>
        <w:t>2149</w:t>
      </w:r>
      <w:r w:rsidR="00D541A6">
        <w:rPr>
          <w:sz w:val="24"/>
          <w:szCs w:val="24"/>
        </w:rPr>
        <w:t xml:space="preserve"> White Oak Drive and transferred </w:t>
      </w:r>
      <w:r>
        <w:rPr>
          <w:sz w:val="24"/>
          <w:szCs w:val="24"/>
        </w:rPr>
        <w:t>an</w:t>
      </w:r>
      <w:r w:rsidR="00D541A6">
        <w:rPr>
          <w:sz w:val="24"/>
          <w:szCs w:val="24"/>
        </w:rPr>
        <w:t xml:space="preserve"> unpaid balance totaling $8,456.87 to the </w:t>
      </w:r>
      <w:r>
        <w:rPr>
          <w:sz w:val="24"/>
          <w:szCs w:val="24"/>
        </w:rPr>
        <w:t>2149</w:t>
      </w:r>
      <w:r w:rsidR="00D541A6">
        <w:rPr>
          <w:sz w:val="24"/>
          <w:szCs w:val="24"/>
        </w:rPr>
        <w:t xml:space="preserve"> White Oak Drive service account on December 30, 2011.  (Tr. </w:t>
      </w:r>
      <w:r>
        <w:rPr>
          <w:sz w:val="24"/>
          <w:szCs w:val="24"/>
        </w:rPr>
        <w:t xml:space="preserve">36, 37, </w:t>
      </w:r>
      <w:r w:rsidR="00D541A6">
        <w:rPr>
          <w:sz w:val="24"/>
          <w:szCs w:val="24"/>
        </w:rPr>
        <w:t>51; PPL Exhibit 1B).</w:t>
      </w:r>
    </w:p>
    <w:p w:rsidR="00AB2D65" w:rsidRPr="00CF2338" w:rsidRDefault="00AB2D65" w:rsidP="00AB2D65">
      <w:pPr>
        <w:tabs>
          <w:tab w:val="left" w:pos="2160"/>
        </w:tabs>
        <w:ind w:firstLine="1440"/>
        <w:rPr>
          <w:sz w:val="24"/>
          <w:szCs w:val="24"/>
        </w:rPr>
      </w:pPr>
    </w:p>
    <w:p w:rsidR="00AB2D65" w:rsidRPr="00CF2338" w:rsidRDefault="00E97292" w:rsidP="00AB2D65">
      <w:pPr>
        <w:tabs>
          <w:tab w:val="left" w:pos="2160"/>
        </w:tabs>
        <w:ind w:firstLine="1440"/>
        <w:rPr>
          <w:sz w:val="24"/>
          <w:szCs w:val="24"/>
        </w:rPr>
      </w:pPr>
      <w:r>
        <w:rPr>
          <w:sz w:val="24"/>
          <w:szCs w:val="24"/>
        </w:rPr>
        <w:t>14</w:t>
      </w:r>
      <w:r w:rsidR="00AB2D65" w:rsidRPr="00CF2338">
        <w:rPr>
          <w:sz w:val="24"/>
          <w:szCs w:val="24"/>
        </w:rPr>
        <w:t>.</w:t>
      </w:r>
      <w:r w:rsidR="00AB2D65" w:rsidRPr="00CF2338">
        <w:rPr>
          <w:sz w:val="24"/>
          <w:szCs w:val="24"/>
        </w:rPr>
        <w:tab/>
      </w:r>
      <w:r>
        <w:rPr>
          <w:sz w:val="24"/>
          <w:szCs w:val="24"/>
        </w:rPr>
        <w:t xml:space="preserve">As of the date of the administrative hearing, the unpaid account balance on PPL’s service account with Complainant totaled $9,993.32.  </w:t>
      </w:r>
      <w:r w:rsidR="002978EF" w:rsidRPr="00CF2338">
        <w:rPr>
          <w:sz w:val="24"/>
          <w:szCs w:val="24"/>
        </w:rPr>
        <w:t>(</w:t>
      </w:r>
      <w:r w:rsidR="00A8667C" w:rsidRPr="00CF2338">
        <w:rPr>
          <w:sz w:val="24"/>
          <w:szCs w:val="24"/>
        </w:rPr>
        <w:t>Tr.</w:t>
      </w:r>
      <w:r>
        <w:rPr>
          <w:sz w:val="24"/>
          <w:szCs w:val="24"/>
        </w:rPr>
        <w:t xml:space="preserve"> 53</w:t>
      </w:r>
      <w:r w:rsidR="00A8667C" w:rsidRPr="00CF2338">
        <w:rPr>
          <w:sz w:val="24"/>
          <w:szCs w:val="24"/>
        </w:rPr>
        <w:t>).</w:t>
      </w:r>
    </w:p>
    <w:p w:rsidR="00AB2D65" w:rsidRPr="00CF2338" w:rsidRDefault="00AB2D65" w:rsidP="00AB2D65">
      <w:pPr>
        <w:tabs>
          <w:tab w:val="left" w:pos="2160"/>
        </w:tabs>
        <w:ind w:firstLine="1440"/>
        <w:rPr>
          <w:sz w:val="24"/>
          <w:szCs w:val="24"/>
        </w:rPr>
      </w:pPr>
    </w:p>
    <w:p w:rsidR="00DE2949" w:rsidRPr="00CF2338" w:rsidRDefault="00DE2949">
      <w:pPr>
        <w:jc w:val="center"/>
        <w:rPr>
          <w:sz w:val="24"/>
          <w:szCs w:val="24"/>
        </w:rPr>
      </w:pPr>
      <w:r w:rsidRPr="00CF2338">
        <w:rPr>
          <w:sz w:val="24"/>
          <w:szCs w:val="24"/>
          <w:u w:val="single"/>
        </w:rPr>
        <w:t>DISCUSSION</w:t>
      </w:r>
    </w:p>
    <w:p w:rsidR="00DE2949" w:rsidRPr="00CF2338" w:rsidRDefault="00DE2949">
      <w:pPr>
        <w:jc w:val="center"/>
        <w:rPr>
          <w:sz w:val="24"/>
          <w:szCs w:val="24"/>
        </w:rPr>
      </w:pPr>
    </w:p>
    <w:p w:rsidR="00CF2338" w:rsidRPr="00CF2338" w:rsidRDefault="00C354E5" w:rsidP="00CF2338">
      <w:pPr>
        <w:tabs>
          <w:tab w:val="left" w:pos="-1440"/>
          <w:tab w:val="left" w:pos="-720"/>
        </w:tabs>
        <w:suppressAutoHyphens/>
        <w:rPr>
          <w:spacing w:val="-3"/>
          <w:sz w:val="24"/>
          <w:szCs w:val="24"/>
        </w:rPr>
      </w:pPr>
      <w:r w:rsidRPr="00CF2338">
        <w:rPr>
          <w:sz w:val="24"/>
          <w:szCs w:val="24"/>
        </w:rPr>
        <w:tab/>
      </w:r>
      <w:r w:rsidRPr="00CF2338">
        <w:rPr>
          <w:sz w:val="24"/>
          <w:szCs w:val="24"/>
        </w:rPr>
        <w:tab/>
      </w:r>
      <w:r w:rsidR="00A40F64" w:rsidRPr="00CF2338">
        <w:rPr>
          <w:sz w:val="24"/>
          <w:szCs w:val="24"/>
        </w:rPr>
        <w:t xml:space="preserve">In this matter, </w:t>
      </w:r>
      <w:r w:rsidRPr="00CF2338">
        <w:rPr>
          <w:sz w:val="24"/>
          <w:szCs w:val="24"/>
        </w:rPr>
        <w:t>Complainant allege</w:t>
      </w:r>
      <w:r w:rsidR="00C44296" w:rsidRPr="00CF2338">
        <w:rPr>
          <w:sz w:val="24"/>
          <w:szCs w:val="24"/>
        </w:rPr>
        <w:t>s</w:t>
      </w:r>
      <w:r w:rsidRPr="00CF2338">
        <w:rPr>
          <w:sz w:val="24"/>
          <w:szCs w:val="24"/>
        </w:rPr>
        <w:t xml:space="preserve"> </w:t>
      </w:r>
      <w:r w:rsidR="009411A8" w:rsidRPr="00CF2338">
        <w:rPr>
          <w:sz w:val="24"/>
          <w:szCs w:val="24"/>
        </w:rPr>
        <w:t xml:space="preserve">PPL added charges from previous addresses where she had lived into her current service account but those </w:t>
      </w:r>
      <w:r w:rsidR="006147AF">
        <w:rPr>
          <w:sz w:val="24"/>
          <w:szCs w:val="24"/>
        </w:rPr>
        <w:t xml:space="preserve">transferred </w:t>
      </w:r>
      <w:r w:rsidR="009411A8" w:rsidRPr="00CF2338">
        <w:rPr>
          <w:sz w:val="24"/>
          <w:szCs w:val="24"/>
        </w:rPr>
        <w:t>charges were incorrect.</w:t>
      </w:r>
      <w:r w:rsidR="006147AF">
        <w:rPr>
          <w:sz w:val="24"/>
          <w:szCs w:val="24"/>
        </w:rPr>
        <w:t xml:space="preserve">  Complainant also alleged the unpaid balance must be incorrect because she could not have used that much electricity since 2006.</w:t>
      </w:r>
      <w:r w:rsidR="009411A8" w:rsidRPr="00CF2338">
        <w:rPr>
          <w:sz w:val="24"/>
          <w:szCs w:val="24"/>
        </w:rPr>
        <w:t xml:space="preserve">  Complainant requested an accounting from PPL, and to show </w:t>
      </w:r>
      <w:r w:rsidR="009411A8" w:rsidRPr="00CF2338">
        <w:rPr>
          <w:sz w:val="24"/>
          <w:szCs w:val="24"/>
        </w:rPr>
        <w:lastRenderedPageBreak/>
        <w:t>where those charges arose and how PPL determined the amount to add</w:t>
      </w:r>
      <w:r w:rsidRPr="00CF2338">
        <w:rPr>
          <w:spacing w:val="-3"/>
          <w:sz w:val="24"/>
          <w:szCs w:val="24"/>
        </w:rPr>
        <w:t xml:space="preserve">.  </w:t>
      </w:r>
      <w:r w:rsidR="00CF2338" w:rsidRPr="00CF2338">
        <w:rPr>
          <w:sz w:val="24"/>
          <w:szCs w:val="24"/>
        </w:rPr>
        <w:t>Ms. Teat seeks the Commission’s intervention and, therefore, bears the burden of proving Respondent violated provisions of the Public Utility Code or the regulations in some fashion.</w:t>
      </w:r>
      <w:r w:rsidR="00CF2338" w:rsidRPr="00CF2338">
        <w:rPr>
          <w:rStyle w:val="FootnoteReference"/>
          <w:sz w:val="24"/>
          <w:szCs w:val="24"/>
        </w:rPr>
        <w:footnoteReference w:id="1"/>
      </w:r>
      <w:r w:rsidR="00CF2338" w:rsidRPr="00CF2338">
        <w:rPr>
          <w:sz w:val="24"/>
          <w:szCs w:val="24"/>
        </w:rPr>
        <w:t xml:space="preserve">  </w:t>
      </w:r>
      <w:r w:rsidR="00CF2338" w:rsidRPr="00CF2338">
        <w:rPr>
          <w:spacing w:val="-3"/>
          <w:sz w:val="24"/>
          <w:szCs w:val="24"/>
        </w:rPr>
        <w:t>Thus, Complainant must show, by a preponderance of the evidence</w:t>
      </w:r>
      <w:r w:rsidR="00CF2338" w:rsidRPr="00CF2338">
        <w:rPr>
          <w:rStyle w:val="FootnoteReference"/>
          <w:spacing w:val="-3"/>
          <w:sz w:val="24"/>
          <w:szCs w:val="24"/>
        </w:rPr>
        <w:footnoteReference w:id="2"/>
      </w:r>
      <w:r w:rsidR="00CF2338" w:rsidRPr="00CF2338">
        <w:rPr>
          <w:spacing w:val="-3"/>
          <w:sz w:val="24"/>
          <w:szCs w:val="24"/>
        </w:rPr>
        <w:t>, PPL is responsible for the problem described in the Complaint, and she is entitled to the relief requested.</w:t>
      </w:r>
      <w:r w:rsidR="00CF2338" w:rsidRPr="00CF2338">
        <w:rPr>
          <w:rStyle w:val="FootnoteReference"/>
          <w:spacing w:val="-3"/>
          <w:sz w:val="24"/>
          <w:szCs w:val="24"/>
        </w:rPr>
        <w:footnoteReference w:id="3"/>
      </w:r>
      <w:r w:rsidR="00CF2338" w:rsidRPr="00CF2338">
        <w:rPr>
          <w:spacing w:val="-3"/>
          <w:sz w:val="24"/>
          <w:szCs w:val="24"/>
        </w:rPr>
        <w:t xml:space="preserve">    </w:t>
      </w:r>
    </w:p>
    <w:p w:rsidR="00C354E5" w:rsidRPr="00CF2338" w:rsidRDefault="00C354E5" w:rsidP="00DE2949">
      <w:pPr>
        <w:tabs>
          <w:tab w:val="left" w:pos="-1440"/>
          <w:tab w:val="left" w:pos="-720"/>
        </w:tabs>
        <w:suppressAutoHyphens/>
        <w:rPr>
          <w:sz w:val="24"/>
          <w:szCs w:val="24"/>
        </w:rPr>
      </w:pPr>
    </w:p>
    <w:p w:rsidR="00CF2338" w:rsidRPr="00CF2338" w:rsidRDefault="00CF2338" w:rsidP="00CF2338">
      <w:pPr>
        <w:rPr>
          <w:sz w:val="24"/>
          <w:szCs w:val="24"/>
          <w:u w:val="single"/>
        </w:rPr>
      </w:pPr>
      <w:r w:rsidRPr="00CF2338">
        <w:rPr>
          <w:sz w:val="24"/>
          <w:szCs w:val="24"/>
          <w:u w:val="single"/>
        </w:rPr>
        <w:t>Applicable Statutes</w:t>
      </w:r>
    </w:p>
    <w:p w:rsidR="00CF2338" w:rsidRPr="00CF2338" w:rsidRDefault="00CF2338" w:rsidP="00CF2338">
      <w:pPr>
        <w:ind w:firstLine="720"/>
        <w:rPr>
          <w:sz w:val="24"/>
          <w:szCs w:val="24"/>
        </w:rPr>
      </w:pPr>
    </w:p>
    <w:p w:rsidR="00CF2338" w:rsidRPr="00CF2338" w:rsidRDefault="00CF2338" w:rsidP="00CF2338">
      <w:pPr>
        <w:ind w:firstLine="1440"/>
        <w:rPr>
          <w:color w:val="333333"/>
          <w:sz w:val="24"/>
          <w:szCs w:val="24"/>
        </w:rPr>
      </w:pPr>
      <w:r w:rsidRPr="00CF2338">
        <w:rPr>
          <w:color w:val="333333"/>
          <w:sz w:val="24"/>
          <w:szCs w:val="24"/>
        </w:rPr>
        <w:t>Section 1405(a) in Title 66 of Pennsylvania Statutes Annotated authorizes the Commission to investigate complaints regarding payment disputes between a public utility (such as P</w:t>
      </w:r>
      <w:r w:rsidR="00706782">
        <w:rPr>
          <w:color w:val="333333"/>
          <w:sz w:val="24"/>
          <w:szCs w:val="24"/>
        </w:rPr>
        <w:t>PL</w:t>
      </w:r>
      <w:r w:rsidRPr="00CF2338">
        <w:rPr>
          <w:color w:val="333333"/>
          <w:sz w:val="24"/>
          <w:szCs w:val="24"/>
        </w:rPr>
        <w:t xml:space="preserve">) and its customers (such as Complainant) and authorizes the Commission to establish payment agreements between a public utility and its customers.  </w:t>
      </w:r>
      <w:proofErr w:type="gramStart"/>
      <w:r w:rsidRPr="00CF2338">
        <w:rPr>
          <w:color w:val="333333"/>
          <w:sz w:val="24"/>
          <w:szCs w:val="24"/>
        </w:rPr>
        <w:t>66 Pa. C.S.A. §1405(a).</w:t>
      </w:r>
      <w:proofErr w:type="gramEnd"/>
    </w:p>
    <w:p w:rsidR="00CF2338" w:rsidRPr="00CF2338" w:rsidRDefault="00CF2338" w:rsidP="00CF2338">
      <w:pPr>
        <w:rPr>
          <w:sz w:val="24"/>
          <w:szCs w:val="24"/>
          <w:u w:val="single"/>
        </w:rPr>
      </w:pPr>
    </w:p>
    <w:p w:rsidR="00CF2338" w:rsidRPr="00CF2338" w:rsidRDefault="00CF2338" w:rsidP="00CF2338">
      <w:pPr>
        <w:rPr>
          <w:sz w:val="24"/>
          <w:szCs w:val="24"/>
        </w:rPr>
      </w:pPr>
      <w:r w:rsidRPr="00CF2338">
        <w:rPr>
          <w:sz w:val="24"/>
          <w:szCs w:val="24"/>
        </w:rPr>
        <w:tab/>
      </w:r>
      <w:r w:rsidRPr="00CF2338">
        <w:rPr>
          <w:sz w:val="24"/>
          <w:szCs w:val="24"/>
        </w:rPr>
        <w:tab/>
        <w:t>A violation of the Code may occur when a utility company fails to provide reasonable service, such as failure to correctly bill a customer.  The reasonable service requirement found in Section 1501 of the Code, 66 Pa. C.S. §1501, reads in pertinent part:</w:t>
      </w:r>
    </w:p>
    <w:p w:rsidR="00CF2338" w:rsidRPr="00CF2338" w:rsidRDefault="00CF2338" w:rsidP="00DB4DA0">
      <w:pPr>
        <w:spacing w:line="240" w:lineRule="auto"/>
        <w:ind w:left="1440" w:right="1440"/>
        <w:rPr>
          <w:sz w:val="24"/>
          <w:szCs w:val="24"/>
        </w:rPr>
      </w:pPr>
    </w:p>
    <w:p w:rsidR="00CF2338" w:rsidRPr="00CF2338" w:rsidRDefault="00CF2338" w:rsidP="005801FB">
      <w:pPr>
        <w:spacing w:line="240" w:lineRule="auto"/>
        <w:ind w:left="1440" w:right="1440"/>
        <w:rPr>
          <w:sz w:val="24"/>
          <w:szCs w:val="24"/>
        </w:rPr>
      </w:pPr>
      <w:r w:rsidRPr="00CF2338">
        <w:rPr>
          <w:sz w:val="24"/>
          <w:szCs w:val="24"/>
        </w:rPr>
        <w:t xml:space="preserve">Every public utility shall furnish and maintain adequate, efficient, safe, and reasonable service and facilities, and </w:t>
      </w:r>
      <w:r w:rsidRPr="00CF2338">
        <w:rPr>
          <w:sz w:val="24"/>
          <w:szCs w:val="24"/>
          <w:u w:val="single"/>
        </w:rPr>
        <w:t>shall make all such</w:t>
      </w:r>
      <w:r w:rsidRPr="00CF2338">
        <w:rPr>
          <w:sz w:val="24"/>
          <w:szCs w:val="24"/>
        </w:rPr>
        <w:t xml:space="preserve"> repairs, </w:t>
      </w:r>
      <w:r w:rsidRPr="00CF2338">
        <w:rPr>
          <w:sz w:val="24"/>
          <w:szCs w:val="24"/>
          <w:u w:val="single"/>
        </w:rPr>
        <w:t>changes, alterations</w:t>
      </w:r>
      <w:r w:rsidRPr="00CF2338">
        <w:rPr>
          <w:sz w:val="24"/>
          <w:szCs w:val="24"/>
        </w:rPr>
        <w:t xml:space="preserve">, substitutions, extensions, </w:t>
      </w:r>
      <w:r w:rsidRPr="00CF2338">
        <w:rPr>
          <w:sz w:val="24"/>
          <w:szCs w:val="24"/>
          <w:u w:val="single"/>
        </w:rPr>
        <w:t>and improvements in or to such service and facilities as shall be necessary or proper for the accommodation, convenience, and safety of its patrons</w:t>
      </w:r>
      <w:r w:rsidRPr="00CF2338">
        <w:rPr>
          <w:sz w:val="24"/>
          <w:szCs w:val="24"/>
        </w:rPr>
        <w:t>, employees, and the public.  Such service also shall be reasonably continuous and without unreasonable interruptions or delay.  Such service and facilities shall be in conformity with the regulations and orders of the commission.  (Emphasis added).</w:t>
      </w:r>
    </w:p>
    <w:p w:rsidR="00CF2338" w:rsidRPr="00CF2338" w:rsidRDefault="00CF2338" w:rsidP="00CF2338">
      <w:pPr>
        <w:rPr>
          <w:sz w:val="24"/>
          <w:szCs w:val="24"/>
        </w:rPr>
      </w:pPr>
    </w:p>
    <w:p w:rsidR="00CF2338" w:rsidRPr="00CF2338" w:rsidRDefault="00CF2338" w:rsidP="00CF2338">
      <w:pPr>
        <w:rPr>
          <w:sz w:val="24"/>
          <w:szCs w:val="24"/>
        </w:rPr>
      </w:pPr>
      <w:r w:rsidRPr="00CF2338">
        <w:rPr>
          <w:sz w:val="24"/>
          <w:szCs w:val="24"/>
        </w:rPr>
        <w:tab/>
      </w:r>
      <w:r w:rsidRPr="00CF2338">
        <w:rPr>
          <w:sz w:val="24"/>
          <w:szCs w:val="24"/>
        </w:rPr>
        <w:tab/>
        <w:t xml:space="preserve">Additionally, the Commission has exclusive jurisdiction to determine the reasonableness, adequacy and sufficiency of a public utility’s services and facilities.  </w:t>
      </w:r>
      <w:proofErr w:type="gramStart"/>
      <w:r w:rsidRPr="005801FB">
        <w:rPr>
          <w:sz w:val="24"/>
          <w:szCs w:val="24"/>
          <w:u w:val="single"/>
        </w:rPr>
        <w:lastRenderedPageBreak/>
        <w:t>Elkin</w:t>
      </w:r>
      <w:r w:rsidR="000B5725">
        <w:rPr>
          <w:sz w:val="24"/>
          <w:szCs w:val="24"/>
          <w:u w:val="single"/>
        </w:rPr>
        <w:t> </w:t>
      </w:r>
      <w:r w:rsidRPr="005801FB">
        <w:rPr>
          <w:sz w:val="24"/>
          <w:szCs w:val="24"/>
          <w:u w:val="single"/>
        </w:rPr>
        <w:t>v.</w:t>
      </w:r>
      <w:r w:rsidR="000B5725">
        <w:rPr>
          <w:sz w:val="24"/>
          <w:szCs w:val="24"/>
          <w:u w:val="single"/>
        </w:rPr>
        <w:t> </w:t>
      </w:r>
      <w:r w:rsidRPr="005801FB">
        <w:rPr>
          <w:sz w:val="24"/>
          <w:szCs w:val="24"/>
          <w:u w:val="single"/>
        </w:rPr>
        <w:t>Bell of Pa.</w:t>
      </w:r>
      <w:r w:rsidRPr="00CF2338">
        <w:rPr>
          <w:sz w:val="24"/>
          <w:szCs w:val="24"/>
        </w:rPr>
        <w:t>, 491 Pa. 123, 420 A.2d 371 (1980).</w:t>
      </w:r>
      <w:proofErr w:type="gramEnd"/>
      <w:r w:rsidRPr="00CF2338">
        <w:rPr>
          <w:sz w:val="24"/>
          <w:szCs w:val="24"/>
        </w:rPr>
        <w:t xml:space="preserve">  The term “service” is “used in its broadest and most inclusive sense, </w:t>
      </w:r>
      <w:proofErr w:type="spellStart"/>
      <w:r w:rsidRPr="00CF2338">
        <w:rPr>
          <w:sz w:val="24"/>
          <w:szCs w:val="24"/>
        </w:rPr>
        <w:t>includ</w:t>
      </w:r>
      <w:proofErr w:type="spellEnd"/>
      <w:r w:rsidRPr="00CF2338">
        <w:rPr>
          <w:sz w:val="24"/>
          <w:szCs w:val="24"/>
        </w:rPr>
        <w:t>[</w:t>
      </w:r>
      <w:proofErr w:type="spellStart"/>
      <w:r w:rsidRPr="00CF2338">
        <w:rPr>
          <w:sz w:val="24"/>
          <w:szCs w:val="24"/>
        </w:rPr>
        <w:t>ing</w:t>
      </w:r>
      <w:proofErr w:type="spellEnd"/>
      <w:r w:rsidRPr="00CF2338">
        <w:rPr>
          <w:sz w:val="24"/>
          <w:szCs w:val="24"/>
        </w:rPr>
        <w:t>] any and all acts done, rendered, or performed, and any and all things furnished or supplied...by public utilities...in the performance of their duties under [the Public Utility Code]....”  66 Pa. C.S. §102.  Thus a utility company’s practice of billing its customers must be reasonable, adequate and sufficient.</w:t>
      </w:r>
    </w:p>
    <w:p w:rsidR="00CF2338" w:rsidRPr="00CF2338" w:rsidRDefault="00CF2338" w:rsidP="00CF2338">
      <w:pPr>
        <w:rPr>
          <w:sz w:val="24"/>
          <w:szCs w:val="24"/>
        </w:rPr>
      </w:pPr>
      <w:r w:rsidRPr="00CF2338">
        <w:rPr>
          <w:sz w:val="24"/>
          <w:szCs w:val="24"/>
        </w:rPr>
        <w:t xml:space="preserve"> </w:t>
      </w:r>
    </w:p>
    <w:p w:rsidR="00CF2338" w:rsidRPr="00CF2338" w:rsidRDefault="00CF2338" w:rsidP="00CF2338">
      <w:pPr>
        <w:rPr>
          <w:sz w:val="24"/>
          <w:szCs w:val="24"/>
        </w:rPr>
      </w:pPr>
      <w:r w:rsidRPr="00CF2338">
        <w:rPr>
          <w:sz w:val="24"/>
          <w:szCs w:val="24"/>
        </w:rPr>
        <w:tab/>
      </w:r>
      <w:r w:rsidRPr="00CF2338">
        <w:rPr>
          <w:sz w:val="24"/>
          <w:szCs w:val="24"/>
        </w:rPr>
        <w:tab/>
        <w:t xml:space="preserve">Billing procedures for public utilities are governed by Section 1509 of the Code.  </w:t>
      </w:r>
      <w:proofErr w:type="gramStart"/>
      <w:r w:rsidRPr="00CF2338">
        <w:rPr>
          <w:sz w:val="24"/>
          <w:szCs w:val="24"/>
        </w:rPr>
        <w:t>66 Pa. C.S. §1509.</w:t>
      </w:r>
      <w:proofErr w:type="gramEnd"/>
      <w:r w:rsidRPr="00CF2338">
        <w:rPr>
          <w:sz w:val="24"/>
          <w:szCs w:val="24"/>
        </w:rPr>
        <w:t xml:space="preserve">  This section, in relevant part, states:</w:t>
      </w:r>
    </w:p>
    <w:p w:rsidR="00CF2338" w:rsidRPr="00CF2338" w:rsidRDefault="00CF2338" w:rsidP="0049041B">
      <w:pPr>
        <w:spacing w:line="240" w:lineRule="auto"/>
        <w:rPr>
          <w:sz w:val="24"/>
          <w:szCs w:val="24"/>
        </w:rPr>
      </w:pPr>
    </w:p>
    <w:p w:rsidR="00CF2338" w:rsidRPr="00CF2338" w:rsidRDefault="00CF2338" w:rsidP="005801FB">
      <w:pPr>
        <w:spacing w:line="240" w:lineRule="auto"/>
        <w:ind w:left="1440" w:right="1080"/>
        <w:contextualSpacing/>
        <w:rPr>
          <w:sz w:val="24"/>
          <w:szCs w:val="24"/>
        </w:rPr>
      </w:pPr>
      <w:r w:rsidRPr="00CF2338">
        <w:rPr>
          <w:sz w:val="24"/>
          <w:szCs w:val="24"/>
        </w:rPr>
        <w:t>All customers shall be permitted to receive bills monthly and shall be notified of their right thereto.  All bills shall be itemized to separately show amounts for basic service, Federal excise taxes, applicable State sales and gross receipts taxes, to the extent practicable, fuel adjustment charge, if any, State tax adjustment charge or such other similar components of the total bill as the commission may order.</w:t>
      </w:r>
    </w:p>
    <w:p w:rsidR="00CF2338" w:rsidRDefault="00CF2338" w:rsidP="00CF2338">
      <w:pPr>
        <w:rPr>
          <w:sz w:val="24"/>
          <w:szCs w:val="24"/>
          <w:u w:val="single"/>
        </w:rPr>
      </w:pPr>
    </w:p>
    <w:p w:rsidR="00470D3A" w:rsidRPr="00CF2338" w:rsidRDefault="00470D3A" w:rsidP="00470D3A">
      <w:pPr>
        <w:spacing w:line="240" w:lineRule="auto"/>
        <w:rPr>
          <w:sz w:val="24"/>
          <w:szCs w:val="24"/>
          <w:u w:val="single"/>
        </w:rPr>
      </w:pPr>
    </w:p>
    <w:p w:rsidR="00CF2338" w:rsidRPr="00CF2338" w:rsidRDefault="00CF2338" w:rsidP="00CF2338">
      <w:pPr>
        <w:rPr>
          <w:sz w:val="24"/>
          <w:szCs w:val="24"/>
          <w:u w:val="single"/>
        </w:rPr>
      </w:pPr>
      <w:r w:rsidRPr="00CF2338">
        <w:rPr>
          <w:sz w:val="24"/>
          <w:szCs w:val="24"/>
          <w:u w:val="single"/>
        </w:rPr>
        <w:t>Applicable Regulations</w:t>
      </w:r>
    </w:p>
    <w:p w:rsidR="00CF2338" w:rsidRPr="00CF2338" w:rsidRDefault="00CF2338" w:rsidP="00CF2338">
      <w:pPr>
        <w:rPr>
          <w:sz w:val="24"/>
          <w:szCs w:val="24"/>
          <w:u w:val="single"/>
        </w:rPr>
      </w:pPr>
    </w:p>
    <w:p w:rsidR="00CF2338" w:rsidRPr="00CF2338" w:rsidRDefault="00CF2338" w:rsidP="00CF2338">
      <w:pPr>
        <w:rPr>
          <w:sz w:val="24"/>
          <w:szCs w:val="24"/>
        </w:rPr>
      </w:pPr>
      <w:r w:rsidRPr="00CF2338">
        <w:rPr>
          <w:sz w:val="24"/>
          <w:szCs w:val="24"/>
        </w:rPr>
        <w:tab/>
      </w:r>
      <w:r w:rsidRPr="00CF2338">
        <w:rPr>
          <w:sz w:val="24"/>
          <w:szCs w:val="24"/>
        </w:rPr>
        <w:tab/>
        <w:t xml:space="preserve">Chapter 56 of the Commission’s regulations, Standards and Billing Practices for Residential Utility Service, requires public utilities to include certain information in customers’ bills. </w:t>
      </w:r>
      <w:r w:rsidR="00834475">
        <w:rPr>
          <w:sz w:val="24"/>
          <w:szCs w:val="24"/>
        </w:rPr>
        <w:t xml:space="preserve"> </w:t>
      </w:r>
      <w:proofErr w:type="gramStart"/>
      <w:r w:rsidRPr="00CF2338">
        <w:rPr>
          <w:sz w:val="24"/>
          <w:szCs w:val="24"/>
        </w:rPr>
        <w:t xml:space="preserve">52 Pa. Code §56.1, </w:t>
      </w:r>
      <w:r w:rsidRPr="00CF2338">
        <w:rPr>
          <w:i/>
          <w:sz w:val="24"/>
          <w:szCs w:val="24"/>
        </w:rPr>
        <w:t>et seq</w:t>
      </w:r>
      <w:r w:rsidRPr="00CF2338">
        <w:rPr>
          <w:sz w:val="24"/>
          <w:szCs w:val="24"/>
        </w:rPr>
        <w:t>.</w:t>
      </w:r>
      <w:proofErr w:type="gramEnd"/>
      <w:r w:rsidRPr="00CF2338">
        <w:rPr>
          <w:sz w:val="24"/>
          <w:szCs w:val="24"/>
        </w:rPr>
        <w:t xml:space="preserve">  Section 56.15 of the regulations provides in relevant part:</w:t>
      </w:r>
    </w:p>
    <w:p w:rsidR="00CF2338" w:rsidRPr="00CF2338" w:rsidRDefault="00CF2338" w:rsidP="00C51459">
      <w:pPr>
        <w:spacing w:line="240" w:lineRule="auto"/>
        <w:rPr>
          <w:sz w:val="24"/>
          <w:szCs w:val="24"/>
        </w:rPr>
      </w:pPr>
    </w:p>
    <w:p w:rsidR="00CF2338" w:rsidRPr="00CF2338" w:rsidRDefault="00CF2338" w:rsidP="005801FB">
      <w:pPr>
        <w:spacing w:line="240" w:lineRule="auto"/>
        <w:ind w:left="1440" w:right="634"/>
        <w:contextualSpacing/>
        <w:rPr>
          <w:sz w:val="24"/>
          <w:szCs w:val="24"/>
        </w:rPr>
      </w:pPr>
      <w:r w:rsidRPr="00CF2338">
        <w:rPr>
          <w:sz w:val="24"/>
          <w:szCs w:val="24"/>
        </w:rPr>
        <w:tab/>
        <w:t>A bill rendered by a utility for metered residential utility service shall state clearly the following information:</w:t>
      </w:r>
    </w:p>
    <w:p w:rsidR="00CF2338" w:rsidRPr="00CF2338" w:rsidRDefault="00CF2338" w:rsidP="005801FB">
      <w:pPr>
        <w:spacing w:line="240" w:lineRule="auto"/>
        <w:ind w:left="1440" w:right="634"/>
        <w:contextualSpacing/>
        <w:rPr>
          <w:sz w:val="24"/>
          <w:szCs w:val="24"/>
        </w:rPr>
      </w:pP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(1)</w:t>
      </w:r>
      <w:r w:rsidRPr="00CF2338">
        <w:rPr>
          <w:sz w:val="24"/>
          <w:szCs w:val="24"/>
        </w:rPr>
        <w:tab/>
        <w:t>The beginning and ending dates of the billing period.</w:t>
      </w: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(2)</w:t>
      </w:r>
      <w:r w:rsidRPr="00CF2338">
        <w:rPr>
          <w:sz w:val="24"/>
          <w:szCs w:val="24"/>
        </w:rPr>
        <w:tab/>
        <w:t>If applicable, the beginning and ending meter readings for the billing period.  If a bill is estimated, it shall contain a clear and conspicuous marking of the word “Estimated.”</w:t>
      </w:r>
    </w:p>
    <w:p w:rsidR="00CF2338" w:rsidRPr="00CF2338" w:rsidRDefault="00CF2338" w:rsidP="005801FB">
      <w:pPr>
        <w:spacing w:line="240" w:lineRule="auto"/>
        <w:ind w:left="1440" w:right="634"/>
        <w:contextualSpacing/>
        <w:rPr>
          <w:sz w:val="24"/>
          <w:szCs w:val="24"/>
        </w:rPr>
      </w:pP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(3)</w:t>
      </w:r>
      <w:r w:rsidRPr="00CF2338">
        <w:rPr>
          <w:sz w:val="24"/>
          <w:szCs w:val="24"/>
        </w:rPr>
        <w:tab/>
        <w:t>The due date on or before which payment shall be made or the account will be delinquent.</w:t>
      </w:r>
    </w:p>
    <w:p w:rsidR="00CF2338" w:rsidRPr="00CF2338" w:rsidRDefault="00CF2338" w:rsidP="005801FB">
      <w:pPr>
        <w:spacing w:line="240" w:lineRule="auto"/>
        <w:ind w:left="1440" w:right="634"/>
        <w:contextualSpacing/>
        <w:rPr>
          <w:sz w:val="24"/>
          <w:szCs w:val="24"/>
        </w:rPr>
      </w:pPr>
    </w:p>
    <w:p w:rsid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(4)</w:t>
      </w:r>
      <w:r w:rsidRPr="00CF2338">
        <w:rPr>
          <w:sz w:val="24"/>
          <w:szCs w:val="24"/>
        </w:rPr>
        <w:tab/>
        <w:t xml:space="preserve">The amount due for service rendered during the current billing period, specifying the charge for basic service, the energy or fuel adjustment charge, State tax adjustment surcharge if other than zero, State sales tax if applicable and other similar charges. The bill should also </w:t>
      </w:r>
      <w:r w:rsidRPr="00CF2338">
        <w:rPr>
          <w:sz w:val="24"/>
          <w:szCs w:val="24"/>
        </w:rPr>
        <w:lastRenderedPageBreak/>
        <w:t>indicate that a State gross receipts tax is being charged and a reasonable estimate of the charge.  ….</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(5)</w:t>
      </w:r>
      <w:r>
        <w:rPr>
          <w:sz w:val="24"/>
          <w:szCs w:val="24"/>
        </w:rPr>
        <w:tab/>
        <w:t>Amounts due for reconnection charges.</w:t>
      </w:r>
    </w:p>
    <w:p w:rsidR="005801FB" w:rsidRDefault="005801FB" w:rsidP="005801FB">
      <w:pPr>
        <w:spacing w:line="240" w:lineRule="auto"/>
        <w:ind w:left="1440" w:right="634"/>
        <w:contextualSpacing/>
        <w:rPr>
          <w:sz w:val="24"/>
          <w:szCs w:val="24"/>
        </w:rPr>
      </w:pPr>
    </w:p>
    <w:p w:rsidR="005801FB" w:rsidRPr="00CF2338" w:rsidRDefault="005801FB" w:rsidP="005801FB">
      <w:pPr>
        <w:spacing w:line="240" w:lineRule="auto"/>
        <w:ind w:left="1440" w:right="634"/>
        <w:contextualSpacing/>
        <w:rPr>
          <w:sz w:val="24"/>
          <w:szCs w:val="24"/>
        </w:rPr>
      </w:pPr>
      <w:r>
        <w:rPr>
          <w:sz w:val="24"/>
          <w:szCs w:val="24"/>
        </w:rPr>
        <w:tab/>
      </w:r>
      <w:r>
        <w:rPr>
          <w:sz w:val="24"/>
          <w:szCs w:val="24"/>
        </w:rPr>
        <w:tab/>
        <w:t>(6)</w:t>
      </w:r>
      <w:r>
        <w:rPr>
          <w:sz w:val="24"/>
          <w:szCs w:val="24"/>
        </w:rPr>
        <w:tab/>
        <w:t>Amounts due for security deposits.</w:t>
      </w:r>
    </w:p>
    <w:p w:rsidR="00CF2338" w:rsidRPr="00CF2338" w:rsidRDefault="00CF2338" w:rsidP="005801FB">
      <w:pPr>
        <w:spacing w:line="240" w:lineRule="auto"/>
        <w:ind w:left="1440" w:right="634"/>
        <w:contextualSpacing/>
        <w:rPr>
          <w:sz w:val="24"/>
          <w:szCs w:val="24"/>
        </w:rPr>
      </w:pP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(7)</w:t>
      </w:r>
      <w:r w:rsidRPr="00CF2338">
        <w:rPr>
          <w:sz w:val="24"/>
          <w:szCs w:val="24"/>
        </w:rPr>
        <w:tab/>
        <w:t>The total amount of payments and other credits made to the account during the current billing period.</w:t>
      </w:r>
    </w:p>
    <w:p w:rsidR="00CF2338" w:rsidRPr="00CF2338" w:rsidRDefault="00CF2338" w:rsidP="005801FB">
      <w:pPr>
        <w:spacing w:line="240" w:lineRule="auto"/>
        <w:ind w:left="1440" w:right="634"/>
        <w:contextualSpacing/>
        <w:rPr>
          <w:sz w:val="24"/>
          <w:szCs w:val="24"/>
        </w:rPr>
      </w:pPr>
    </w:p>
    <w:p w:rsidR="00CF2338" w:rsidRP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r>
      <w:r w:rsidR="005801FB">
        <w:rPr>
          <w:sz w:val="24"/>
          <w:szCs w:val="24"/>
        </w:rPr>
        <w:t>(8)</w:t>
      </w:r>
      <w:r w:rsidR="005801FB">
        <w:rPr>
          <w:sz w:val="24"/>
          <w:szCs w:val="24"/>
        </w:rPr>
        <w:tab/>
        <w:t>The amount of late payment charges, designated as such, which have accrued to the account of the customer for failure to pay bills by the due date of the bill and which are authorized under §56.22 (relating to accrual of late payment charges).</w:t>
      </w:r>
    </w:p>
    <w:p w:rsidR="00CF2338" w:rsidRPr="00CF2338" w:rsidRDefault="00CF2338" w:rsidP="005801FB">
      <w:pPr>
        <w:spacing w:line="240" w:lineRule="auto"/>
        <w:ind w:left="1440" w:right="634"/>
        <w:contextualSpacing/>
        <w:rPr>
          <w:sz w:val="24"/>
          <w:szCs w:val="24"/>
        </w:rPr>
      </w:pPr>
    </w:p>
    <w:p w:rsidR="00CF2338" w:rsidRDefault="00CF2338" w:rsidP="005801FB">
      <w:pPr>
        <w:spacing w:line="240" w:lineRule="auto"/>
        <w:ind w:left="1440" w:right="634"/>
        <w:contextualSpacing/>
        <w:rPr>
          <w:sz w:val="24"/>
          <w:szCs w:val="24"/>
        </w:rPr>
      </w:pPr>
      <w:r w:rsidRPr="00CF2338">
        <w:rPr>
          <w:sz w:val="24"/>
          <w:szCs w:val="24"/>
        </w:rPr>
        <w:tab/>
      </w:r>
      <w:r w:rsidRPr="00CF2338">
        <w:rPr>
          <w:sz w:val="24"/>
          <w:szCs w:val="24"/>
        </w:rPr>
        <w:tab/>
        <w:t>(9)</w:t>
      </w:r>
      <w:r w:rsidRPr="00CF2338">
        <w:rPr>
          <w:sz w:val="24"/>
          <w:szCs w:val="24"/>
        </w:rPr>
        <w:tab/>
        <w:t>The total amount due.</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(10)</w:t>
      </w:r>
      <w:r>
        <w:rPr>
          <w:sz w:val="24"/>
          <w:szCs w:val="24"/>
        </w:rPr>
        <w:tab/>
        <w:t>A clear and conspicuous marking of estimates.</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(11)</w:t>
      </w:r>
      <w:r>
        <w:rPr>
          <w:sz w:val="24"/>
          <w:szCs w:val="24"/>
        </w:rPr>
        <w:tab/>
        <w:t>A statement directing the customer to “register any question or complaint about the bill prior to the due date,” with the address and telephone number where the customer may initiate the inquiry or complaint with the public utility.</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(12)</w:t>
      </w:r>
      <w:r>
        <w:rPr>
          <w:sz w:val="24"/>
          <w:szCs w:val="24"/>
        </w:rPr>
        <w:tab/>
        <w:t>A statement that a rate schedule, an explanation of how to verify the accuracy of a bill and an explanation, in plain language of the various charges, if applicable, is available for inspection in the local business office of the public utility and on the public utility’s web site.</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(13)</w:t>
      </w:r>
      <w:r>
        <w:rPr>
          <w:sz w:val="24"/>
          <w:szCs w:val="24"/>
        </w:rPr>
        <w:tab/>
        <w:t>A designation of the applicable rate schedule as denoted in the officially filed tariff of the public utility.</w:t>
      </w:r>
    </w:p>
    <w:p w:rsidR="005801FB" w:rsidRDefault="005801FB" w:rsidP="005801FB">
      <w:pPr>
        <w:spacing w:line="240" w:lineRule="auto"/>
        <w:ind w:left="1440" w:right="634"/>
        <w:contextualSpacing/>
        <w:rPr>
          <w:sz w:val="24"/>
          <w:szCs w:val="24"/>
        </w:rPr>
      </w:pPr>
    </w:p>
    <w:p w:rsidR="005801FB" w:rsidRDefault="005801FB" w:rsidP="005801FB">
      <w:pPr>
        <w:spacing w:line="240" w:lineRule="auto"/>
        <w:ind w:left="1440" w:right="634"/>
        <w:contextualSpacing/>
        <w:rPr>
          <w:sz w:val="24"/>
          <w:szCs w:val="24"/>
        </w:rPr>
      </w:pPr>
      <w:r>
        <w:rPr>
          <w:sz w:val="24"/>
          <w:szCs w:val="24"/>
        </w:rPr>
        <w:tab/>
      </w:r>
      <w:r>
        <w:rPr>
          <w:sz w:val="24"/>
          <w:szCs w:val="24"/>
        </w:rPr>
        <w:tab/>
        <w:t>(14)</w:t>
      </w:r>
      <w:r>
        <w:rPr>
          <w:sz w:val="24"/>
          <w:szCs w:val="24"/>
        </w:rPr>
        <w:tab/>
        <w:t>Electric distribution utilities and natural gas distribution utilities shall incorporate the requirements in §§54.4 and 62.74 (relating to bill format for residential and small business customers).</w:t>
      </w:r>
    </w:p>
    <w:p w:rsidR="005801FB" w:rsidRDefault="005801FB" w:rsidP="005801FB">
      <w:pPr>
        <w:spacing w:line="240" w:lineRule="auto"/>
        <w:ind w:left="1440" w:right="634"/>
        <w:contextualSpacing/>
        <w:rPr>
          <w:sz w:val="24"/>
          <w:szCs w:val="24"/>
        </w:rPr>
      </w:pPr>
    </w:p>
    <w:p w:rsidR="00CF2338" w:rsidRPr="00CF2338" w:rsidRDefault="00CF2338" w:rsidP="00CF2338">
      <w:pPr>
        <w:rPr>
          <w:sz w:val="24"/>
          <w:szCs w:val="24"/>
        </w:rPr>
      </w:pPr>
    </w:p>
    <w:p w:rsidR="00CF2338" w:rsidRPr="00CF2338" w:rsidRDefault="00CF2338" w:rsidP="00CF2338">
      <w:pPr>
        <w:rPr>
          <w:sz w:val="24"/>
          <w:szCs w:val="24"/>
        </w:rPr>
      </w:pPr>
      <w:r w:rsidRPr="00CF2338">
        <w:rPr>
          <w:sz w:val="24"/>
          <w:szCs w:val="24"/>
          <w:u w:val="single"/>
        </w:rPr>
        <w:t>Positions of the Parties</w:t>
      </w:r>
    </w:p>
    <w:p w:rsidR="00CF2338" w:rsidRPr="00CF2338" w:rsidRDefault="00CF2338" w:rsidP="00CF2338">
      <w:pPr>
        <w:rPr>
          <w:sz w:val="24"/>
          <w:szCs w:val="24"/>
        </w:rPr>
      </w:pPr>
    </w:p>
    <w:p w:rsidR="00CF2338" w:rsidRPr="00CF2338" w:rsidRDefault="00CA01AA" w:rsidP="00CF2338">
      <w:pPr>
        <w:ind w:firstLine="1440"/>
        <w:rPr>
          <w:sz w:val="24"/>
          <w:szCs w:val="24"/>
        </w:rPr>
      </w:pPr>
      <w:r>
        <w:rPr>
          <w:sz w:val="24"/>
          <w:szCs w:val="24"/>
        </w:rPr>
        <w:t xml:space="preserve">Ms. Teat contends </w:t>
      </w:r>
      <w:r w:rsidR="0092623F">
        <w:rPr>
          <w:sz w:val="24"/>
          <w:szCs w:val="24"/>
        </w:rPr>
        <w:t>PPL transferred the wrong amount into her account when she moved to her current address fo</w:t>
      </w:r>
      <w:r w:rsidR="00CF2338" w:rsidRPr="00CF2338">
        <w:rPr>
          <w:sz w:val="24"/>
          <w:szCs w:val="24"/>
        </w:rPr>
        <w:t xml:space="preserve">r </w:t>
      </w:r>
      <w:r>
        <w:rPr>
          <w:sz w:val="24"/>
          <w:szCs w:val="24"/>
        </w:rPr>
        <w:t xml:space="preserve">prior </w:t>
      </w:r>
      <w:r w:rsidR="0092623F">
        <w:rPr>
          <w:sz w:val="24"/>
          <w:szCs w:val="24"/>
        </w:rPr>
        <w:t xml:space="preserve">unpaid </w:t>
      </w:r>
      <w:r w:rsidR="00CF2338" w:rsidRPr="00CF2338">
        <w:rPr>
          <w:sz w:val="24"/>
          <w:szCs w:val="24"/>
        </w:rPr>
        <w:t xml:space="preserve">electric </w:t>
      </w:r>
      <w:r w:rsidR="0092623F">
        <w:rPr>
          <w:sz w:val="24"/>
          <w:szCs w:val="24"/>
        </w:rPr>
        <w:t>service</w:t>
      </w:r>
      <w:r>
        <w:rPr>
          <w:sz w:val="24"/>
          <w:szCs w:val="24"/>
        </w:rPr>
        <w:t>.</w:t>
      </w:r>
      <w:r w:rsidR="0092623F">
        <w:rPr>
          <w:sz w:val="24"/>
          <w:szCs w:val="24"/>
        </w:rPr>
        <w:t xml:space="preserve">  She contends she could not possibly have used that much electricity in the time she resided at her prior address.</w:t>
      </w:r>
      <w:r>
        <w:rPr>
          <w:sz w:val="24"/>
          <w:szCs w:val="24"/>
        </w:rPr>
        <w:t xml:space="preserve">  She</w:t>
      </w:r>
      <w:r w:rsidR="00CF2338" w:rsidRPr="00CF2338">
        <w:rPr>
          <w:sz w:val="24"/>
          <w:szCs w:val="24"/>
        </w:rPr>
        <w:t xml:space="preserve"> asks the Commission to order </w:t>
      </w:r>
      <w:r>
        <w:rPr>
          <w:sz w:val="24"/>
          <w:szCs w:val="24"/>
        </w:rPr>
        <w:t>PPL</w:t>
      </w:r>
      <w:r w:rsidR="00CF2338" w:rsidRPr="00CF2338">
        <w:rPr>
          <w:sz w:val="24"/>
          <w:szCs w:val="24"/>
        </w:rPr>
        <w:t xml:space="preserve"> to </w:t>
      </w:r>
      <w:r>
        <w:rPr>
          <w:sz w:val="24"/>
          <w:szCs w:val="24"/>
        </w:rPr>
        <w:t xml:space="preserve">remove the </w:t>
      </w:r>
      <w:r w:rsidR="0092623F">
        <w:rPr>
          <w:sz w:val="24"/>
          <w:szCs w:val="24"/>
        </w:rPr>
        <w:t xml:space="preserve">transferred </w:t>
      </w:r>
      <w:r>
        <w:rPr>
          <w:sz w:val="24"/>
          <w:szCs w:val="24"/>
        </w:rPr>
        <w:t>charge</w:t>
      </w:r>
      <w:r w:rsidR="0092623F">
        <w:rPr>
          <w:sz w:val="24"/>
          <w:szCs w:val="24"/>
        </w:rPr>
        <w:t>s</w:t>
      </w:r>
      <w:r>
        <w:rPr>
          <w:sz w:val="24"/>
          <w:szCs w:val="24"/>
        </w:rPr>
        <w:t xml:space="preserve"> </w:t>
      </w:r>
      <w:r w:rsidR="0092623F">
        <w:rPr>
          <w:sz w:val="24"/>
          <w:szCs w:val="24"/>
        </w:rPr>
        <w:t xml:space="preserve">in excess of </w:t>
      </w:r>
      <w:r w:rsidR="00AA5458">
        <w:rPr>
          <w:sz w:val="24"/>
          <w:szCs w:val="24"/>
        </w:rPr>
        <w:t>$</w:t>
      </w:r>
      <w:r w:rsidR="0092623F">
        <w:rPr>
          <w:sz w:val="24"/>
          <w:szCs w:val="24"/>
        </w:rPr>
        <w:t>1,654.70</w:t>
      </w:r>
      <w:r>
        <w:rPr>
          <w:sz w:val="24"/>
          <w:szCs w:val="24"/>
        </w:rPr>
        <w:t xml:space="preserve"> from her </w:t>
      </w:r>
      <w:r w:rsidR="00CF2338" w:rsidRPr="00CF2338">
        <w:rPr>
          <w:sz w:val="24"/>
          <w:szCs w:val="24"/>
        </w:rPr>
        <w:lastRenderedPageBreak/>
        <w:t>account.</w:t>
      </w:r>
      <w:r w:rsidR="0092623F">
        <w:rPr>
          <w:sz w:val="24"/>
          <w:szCs w:val="24"/>
        </w:rPr>
        <w:t xml:space="preserve">  Complainant avers PPL should have terminated service to her long before the unpaid balance reached over $9</w:t>
      </w:r>
      <w:r w:rsidR="00A375F2">
        <w:rPr>
          <w:sz w:val="24"/>
          <w:szCs w:val="24"/>
        </w:rPr>
        <w:t>,</w:t>
      </w:r>
      <w:r w:rsidR="0092623F">
        <w:rPr>
          <w:sz w:val="24"/>
          <w:szCs w:val="24"/>
        </w:rPr>
        <w:t>000.00.</w:t>
      </w:r>
    </w:p>
    <w:p w:rsidR="00CF2338" w:rsidRPr="00CF2338" w:rsidRDefault="00CF2338" w:rsidP="00CF2338">
      <w:pPr>
        <w:ind w:firstLine="1440"/>
        <w:rPr>
          <w:sz w:val="24"/>
          <w:szCs w:val="24"/>
        </w:rPr>
      </w:pPr>
    </w:p>
    <w:p w:rsidR="00CF2338" w:rsidRPr="00CF2338" w:rsidRDefault="00CA01AA" w:rsidP="00CF2338">
      <w:pPr>
        <w:ind w:firstLine="1440"/>
        <w:rPr>
          <w:sz w:val="24"/>
          <w:szCs w:val="24"/>
        </w:rPr>
      </w:pPr>
      <w:r>
        <w:rPr>
          <w:sz w:val="24"/>
          <w:szCs w:val="24"/>
        </w:rPr>
        <w:t xml:space="preserve">PPL </w:t>
      </w:r>
      <w:r w:rsidR="00CF2338" w:rsidRPr="00CF2338">
        <w:rPr>
          <w:sz w:val="24"/>
          <w:szCs w:val="24"/>
        </w:rPr>
        <w:t xml:space="preserve">asserts </w:t>
      </w:r>
      <w:r w:rsidR="0092623F">
        <w:rPr>
          <w:sz w:val="24"/>
          <w:szCs w:val="24"/>
        </w:rPr>
        <w:t>it transferred the correct unpaid balance to Complainant</w:t>
      </w:r>
      <w:r w:rsidR="0084184B">
        <w:rPr>
          <w:sz w:val="24"/>
          <w:szCs w:val="24"/>
        </w:rPr>
        <w:t>’s</w:t>
      </w:r>
      <w:r w:rsidR="0092623F">
        <w:rPr>
          <w:sz w:val="24"/>
          <w:szCs w:val="24"/>
        </w:rPr>
        <w:t xml:space="preserve"> electric service account.  PPL avers the reason the unpaid balance is so high is because Complainant has failed to pay sufficient amounts and failed to pay every month, causing her unpaid balance to grow at a fast rate of speed.  </w:t>
      </w:r>
    </w:p>
    <w:p w:rsidR="00CA01AA" w:rsidRDefault="00CA01AA" w:rsidP="00CF2338">
      <w:pPr>
        <w:rPr>
          <w:sz w:val="24"/>
          <w:szCs w:val="24"/>
          <w:u w:val="single"/>
        </w:rPr>
      </w:pPr>
    </w:p>
    <w:p w:rsidR="00CF2338" w:rsidRPr="00CF2338" w:rsidRDefault="00CF2338" w:rsidP="00CF2338">
      <w:pPr>
        <w:rPr>
          <w:sz w:val="24"/>
          <w:szCs w:val="24"/>
        </w:rPr>
      </w:pPr>
      <w:r w:rsidRPr="00CF2338">
        <w:rPr>
          <w:sz w:val="24"/>
          <w:szCs w:val="24"/>
          <w:u w:val="single"/>
        </w:rPr>
        <w:t>Analysis</w:t>
      </w:r>
    </w:p>
    <w:p w:rsidR="00CF2338" w:rsidRPr="00CF2338" w:rsidRDefault="00CF2338" w:rsidP="00CF2338">
      <w:pPr>
        <w:rPr>
          <w:sz w:val="24"/>
          <w:szCs w:val="24"/>
        </w:rPr>
      </w:pPr>
    </w:p>
    <w:p w:rsidR="00CF2338" w:rsidRPr="00CF2338" w:rsidRDefault="0092623F" w:rsidP="00CF2338">
      <w:pPr>
        <w:ind w:firstLine="1440"/>
        <w:rPr>
          <w:sz w:val="24"/>
          <w:szCs w:val="24"/>
        </w:rPr>
      </w:pPr>
      <w:r>
        <w:rPr>
          <w:sz w:val="24"/>
          <w:szCs w:val="24"/>
        </w:rPr>
        <w:t xml:space="preserve">PPL correctly charged Ms. Teat.  The problem is not that PPL transferred an incorrect amount as unpaid.  The problem is Ms. Teat would not pay consistently, on time or in sufficient amounts for the electric service she received.  </w:t>
      </w:r>
    </w:p>
    <w:p w:rsidR="00CF2338" w:rsidRPr="00CF2338" w:rsidRDefault="00CF2338" w:rsidP="00CF2338">
      <w:pPr>
        <w:ind w:firstLine="1440"/>
        <w:rPr>
          <w:sz w:val="24"/>
          <w:szCs w:val="24"/>
        </w:rPr>
      </w:pPr>
    </w:p>
    <w:p w:rsidR="00CF2338" w:rsidRPr="00CF2338" w:rsidRDefault="00CF2338" w:rsidP="00CA01AA">
      <w:pPr>
        <w:pStyle w:val="Style0"/>
        <w:tabs>
          <w:tab w:val="left" w:pos="-1080"/>
          <w:tab w:val="left" w:pos="-720"/>
        </w:tabs>
        <w:spacing w:line="360" w:lineRule="auto"/>
        <w:ind w:firstLine="1440"/>
        <w:rPr>
          <w:rFonts w:ascii="Times New Roman" w:eastAsia="Batang" w:hAnsi="Times New Roman"/>
          <w:szCs w:val="24"/>
        </w:rPr>
      </w:pPr>
      <w:r w:rsidRPr="00CF2338">
        <w:rPr>
          <w:rFonts w:ascii="Times New Roman" w:eastAsia="Batang" w:hAnsi="Times New Roman"/>
          <w:szCs w:val="24"/>
        </w:rPr>
        <w:t xml:space="preserve">Based on the record, </w:t>
      </w:r>
      <w:r w:rsidR="00CA01AA">
        <w:rPr>
          <w:rFonts w:ascii="Times New Roman" w:eastAsia="Batang" w:hAnsi="Times New Roman"/>
          <w:szCs w:val="24"/>
        </w:rPr>
        <w:t>I conclude Ms. Teat</w:t>
      </w:r>
      <w:r w:rsidRPr="00CF2338">
        <w:rPr>
          <w:rFonts w:ascii="Times New Roman" w:eastAsia="Batang" w:hAnsi="Times New Roman"/>
          <w:szCs w:val="24"/>
        </w:rPr>
        <w:t xml:space="preserve"> did not meet </w:t>
      </w:r>
      <w:r w:rsidR="00CA01AA">
        <w:rPr>
          <w:rFonts w:ascii="Times New Roman" w:eastAsia="Batang" w:hAnsi="Times New Roman"/>
          <w:szCs w:val="24"/>
        </w:rPr>
        <w:t>the</w:t>
      </w:r>
      <w:r w:rsidRPr="00CF2338">
        <w:rPr>
          <w:rFonts w:ascii="Times New Roman" w:eastAsia="Batang" w:hAnsi="Times New Roman"/>
          <w:szCs w:val="24"/>
        </w:rPr>
        <w:t xml:space="preserve"> burden of showing </w:t>
      </w:r>
      <w:r w:rsidR="00CA01AA">
        <w:rPr>
          <w:rFonts w:ascii="Times New Roman" w:eastAsia="Batang" w:hAnsi="Times New Roman"/>
          <w:szCs w:val="24"/>
        </w:rPr>
        <w:t>PPL</w:t>
      </w:r>
      <w:r w:rsidRPr="00CF2338">
        <w:rPr>
          <w:rFonts w:ascii="Times New Roman" w:eastAsia="Batang" w:hAnsi="Times New Roman"/>
          <w:szCs w:val="24"/>
        </w:rPr>
        <w:t xml:space="preserve"> failed to </w:t>
      </w:r>
      <w:r w:rsidR="00CA01AA">
        <w:rPr>
          <w:rFonts w:ascii="Times New Roman" w:eastAsia="Batang" w:hAnsi="Times New Roman"/>
          <w:szCs w:val="24"/>
        </w:rPr>
        <w:t>charge her correctly for electric service</w:t>
      </w:r>
      <w:r w:rsidRPr="00CF2338">
        <w:rPr>
          <w:rFonts w:ascii="Times New Roman" w:eastAsia="Batang" w:hAnsi="Times New Roman"/>
          <w:szCs w:val="24"/>
        </w:rPr>
        <w:t>.</w:t>
      </w:r>
      <w:r w:rsidR="00CA01AA">
        <w:rPr>
          <w:rFonts w:ascii="Times New Roman" w:eastAsia="Batang" w:hAnsi="Times New Roman"/>
          <w:szCs w:val="24"/>
        </w:rPr>
        <w:t xml:space="preserve">  </w:t>
      </w:r>
      <w:r w:rsidRPr="00CF2338">
        <w:rPr>
          <w:rFonts w:ascii="Times New Roman" w:eastAsia="Batang" w:hAnsi="Times New Roman"/>
          <w:szCs w:val="24"/>
        </w:rPr>
        <w:t xml:space="preserve">While </w:t>
      </w:r>
      <w:r w:rsidR="00CA01AA">
        <w:rPr>
          <w:rFonts w:ascii="Times New Roman" w:eastAsia="Batang" w:hAnsi="Times New Roman"/>
          <w:szCs w:val="24"/>
        </w:rPr>
        <w:t>PPL’s</w:t>
      </w:r>
      <w:r w:rsidRPr="00CF2338">
        <w:rPr>
          <w:rFonts w:ascii="Times New Roman" w:eastAsia="Batang" w:hAnsi="Times New Roman"/>
          <w:szCs w:val="24"/>
        </w:rPr>
        <w:t xml:space="preserve"> billing might be presented in a less confusing fashion, the statement</w:t>
      </w:r>
      <w:r w:rsidR="00CA01AA">
        <w:rPr>
          <w:rFonts w:ascii="Times New Roman" w:eastAsia="Batang" w:hAnsi="Times New Roman"/>
          <w:szCs w:val="24"/>
        </w:rPr>
        <w:t>s contain</w:t>
      </w:r>
      <w:r w:rsidRPr="00CF2338">
        <w:rPr>
          <w:rFonts w:ascii="Times New Roman" w:eastAsia="Batang" w:hAnsi="Times New Roman"/>
          <w:szCs w:val="24"/>
        </w:rPr>
        <w:t xml:space="preserve"> the essential billing information:  (1) beginning and ending dates of the billing period; (2) beginning and ending actual meter readings for the billing period; (3) due date; (4) delinquent date; (5) amount due for service rendered during the current billing period specifying the charge for basic service and State taxes; (6) credits; and (7)</w:t>
      </w:r>
      <w:r w:rsidR="00362D09">
        <w:rPr>
          <w:rFonts w:ascii="Times New Roman" w:eastAsia="Batang" w:hAnsi="Times New Roman"/>
          <w:szCs w:val="24"/>
        </w:rPr>
        <w:t> </w:t>
      </w:r>
      <w:r w:rsidRPr="00CF2338">
        <w:rPr>
          <w:rFonts w:ascii="Times New Roman" w:eastAsia="Batang" w:hAnsi="Times New Roman"/>
          <w:szCs w:val="24"/>
        </w:rPr>
        <w:t xml:space="preserve">total amount due (Exhibit 3).  Thus the </w:t>
      </w:r>
      <w:r w:rsidR="00CA01AA">
        <w:rPr>
          <w:rFonts w:ascii="Times New Roman" w:eastAsia="Batang" w:hAnsi="Times New Roman"/>
          <w:szCs w:val="24"/>
        </w:rPr>
        <w:t>billing statements</w:t>
      </w:r>
      <w:r w:rsidRPr="00CF2338">
        <w:rPr>
          <w:rFonts w:ascii="Times New Roman" w:eastAsia="Batang" w:hAnsi="Times New Roman"/>
          <w:szCs w:val="24"/>
        </w:rPr>
        <w:t xml:space="preserve"> meet the billing information requirements of Section 56.15 of the Commission’s regulations.  </w:t>
      </w:r>
      <w:proofErr w:type="gramStart"/>
      <w:r w:rsidRPr="00CF2338">
        <w:rPr>
          <w:rFonts w:ascii="Times New Roman" w:eastAsia="Batang" w:hAnsi="Times New Roman"/>
          <w:szCs w:val="24"/>
        </w:rPr>
        <w:t>52 Pa. Code §56.15.</w:t>
      </w:r>
      <w:proofErr w:type="gramEnd"/>
      <w:r w:rsidRPr="00CF2338">
        <w:rPr>
          <w:rFonts w:ascii="Times New Roman" w:eastAsia="Batang" w:hAnsi="Times New Roman"/>
          <w:szCs w:val="24"/>
        </w:rPr>
        <w:t xml:space="preserve">  </w:t>
      </w:r>
    </w:p>
    <w:p w:rsidR="00CF2338" w:rsidRPr="00CF2338" w:rsidRDefault="00CF2338" w:rsidP="00CF2338">
      <w:pPr>
        <w:pStyle w:val="Style0"/>
        <w:tabs>
          <w:tab w:val="left" w:pos="-1080"/>
          <w:tab w:val="left" w:pos="-720"/>
        </w:tabs>
        <w:spacing w:line="360" w:lineRule="auto"/>
        <w:rPr>
          <w:rFonts w:ascii="Times New Roman" w:eastAsia="Batang" w:hAnsi="Times New Roman"/>
          <w:szCs w:val="24"/>
        </w:rPr>
      </w:pPr>
    </w:p>
    <w:p w:rsidR="00CF2338" w:rsidRPr="00CF2338" w:rsidRDefault="00CF2338" w:rsidP="00CF2338">
      <w:pPr>
        <w:jc w:val="center"/>
        <w:rPr>
          <w:sz w:val="24"/>
          <w:szCs w:val="24"/>
          <w:u w:val="single"/>
        </w:rPr>
      </w:pPr>
      <w:r w:rsidRPr="00CF2338">
        <w:rPr>
          <w:sz w:val="24"/>
          <w:szCs w:val="24"/>
          <w:u w:val="single"/>
        </w:rPr>
        <w:t>CONCLUSIONS OF LAW</w:t>
      </w:r>
    </w:p>
    <w:p w:rsidR="00CF2338" w:rsidRPr="00CF2338" w:rsidRDefault="00CF2338" w:rsidP="00CF2338">
      <w:pPr>
        <w:rPr>
          <w:sz w:val="24"/>
          <w:szCs w:val="24"/>
        </w:rPr>
      </w:pPr>
    </w:p>
    <w:p w:rsidR="00CF2338" w:rsidRPr="00CF2338" w:rsidRDefault="00CF2338" w:rsidP="00CF2338">
      <w:pPr>
        <w:rPr>
          <w:sz w:val="24"/>
          <w:szCs w:val="24"/>
        </w:rPr>
      </w:pPr>
      <w:r w:rsidRPr="00CF2338">
        <w:rPr>
          <w:sz w:val="24"/>
          <w:szCs w:val="24"/>
        </w:rPr>
        <w:tab/>
      </w:r>
      <w:r w:rsidRPr="00CF2338">
        <w:rPr>
          <w:sz w:val="24"/>
          <w:szCs w:val="24"/>
        </w:rPr>
        <w:tab/>
        <w:t>1.</w:t>
      </w:r>
      <w:r w:rsidRPr="00CF2338">
        <w:rPr>
          <w:sz w:val="24"/>
          <w:szCs w:val="24"/>
        </w:rPr>
        <w:tab/>
      </w:r>
      <w:r w:rsidR="00CA01AA">
        <w:rPr>
          <w:sz w:val="24"/>
          <w:szCs w:val="24"/>
        </w:rPr>
        <w:t>Complainant, as the one</w:t>
      </w:r>
      <w:r w:rsidRPr="00CF2338">
        <w:rPr>
          <w:sz w:val="24"/>
          <w:szCs w:val="24"/>
        </w:rPr>
        <w:t xml:space="preserve"> filing the complaint</w:t>
      </w:r>
      <w:r w:rsidR="00CA01AA">
        <w:rPr>
          <w:sz w:val="24"/>
          <w:szCs w:val="24"/>
        </w:rPr>
        <w:t>,</w:t>
      </w:r>
      <w:r w:rsidRPr="00CF2338">
        <w:rPr>
          <w:sz w:val="24"/>
          <w:szCs w:val="24"/>
        </w:rPr>
        <w:t xml:space="preserve"> bears the burden of proving she is entitled to relief from the Commission.  </w:t>
      </w:r>
      <w:proofErr w:type="gramStart"/>
      <w:r w:rsidRPr="00CF2338">
        <w:rPr>
          <w:sz w:val="24"/>
          <w:szCs w:val="24"/>
        </w:rPr>
        <w:t xml:space="preserve">66 </w:t>
      </w:r>
      <w:smartTag w:uri="urn:schemas-microsoft-com:office:smarttags" w:element="time">
        <w:r w:rsidRPr="00CF2338">
          <w:rPr>
            <w:sz w:val="24"/>
            <w:szCs w:val="24"/>
          </w:rPr>
          <w:t>Pa.</w:t>
        </w:r>
      </w:smartTag>
      <w:r w:rsidRPr="00CF2338">
        <w:rPr>
          <w:sz w:val="24"/>
          <w:szCs w:val="24"/>
        </w:rPr>
        <w:t xml:space="preserve"> C.S. §332(a).</w:t>
      </w:r>
      <w:proofErr w:type="gramEnd"/>
      <w:r w:rsidRPr="00CF2338">
        <w:rPr>
          <w:sz w:val="24"/>
          <w:szCs w:val="24"/>
        </w:rPr>
        <w:t xml:space="preserve">  </w:t>
      </w:r>
    </w:p>
    <w:p w:rsidR="00CF2338" w:rsidRPr="00CF2338" w:rsidRDefault="00CF2338" w:rsidP="00CF2338">
      <w:pPr>
        <w:rPr>
          <w:sz w:val="24"/>
          <w:szCs w:val="24"/>
        </w:rPr>
      </w:pPr>
    </w:p>
    <w:p w:rsidR="00CF2338" w:rsidRPr="00CF2338" w:rsidRDefault="00CF2338" w:rsidP="00CF2338">
      <w:pPr>
        <w:rPr>
          <w:sz w:val="24"/>
          <w:szCs w:val="24"/>
        </w:rPr>
      </w:pPr>
      <w:r w:rsidRPr="00CF2338">
        <w:rPr>
          <w:sz w:val="24"/>
          <w:szCs w:val="24"/>
        </w:rPr>
        <w:tab/>
      </w:r>
      <w:r w:rsidRPr="00CF2338">
        <w:rPr>
          <w:sz w:val="24"/>
          <w:szCs w:val="24"/>
        </w:rPr>
        <w:tab/>
        <w:t>2.</w:t>
      </w:r>
      <w:r w:rsidRPr="00CF2338">
        <w:rPr>
          <w:sz w:val="24"/>
          <w:szCs w:val="24"/>
        </w:rPr>
        <w:tab/>
        <w:t xml:space="preserve">“Burden of proof” means a duty to establish one’s case by a preponderance of the evidence, which requires that the evidence be more convincing by even the </w:t>
      </w:r>
      <w:r w:rsidRPr="00CF2338">
        <w:rPr>
          <w:sz w:val="24"/>
          <w:szCs w:val="24"/>
        </w:rPr>
        <w:lastRenderedPageBreak/>
        <w:t xml:space="preserve">smallest degree, than the evidence presented by the other side.  </w:t>
      </w:r>
      <w:proofErr w:type="gramStart"/>
      <w:r w:rsidRPr="00CA01AA">
        <w:rPr>
          <w:sz w:val="24"/>
          <w:szCs w:val="24"/>
          <w:u w:val="single"/>
        </w:rPr>
        <w:t>Se-Ling Hosiery, Inc. v. Margulies</w:t>
      </w:r>
      <w:r w:rsidRPr="00CF2338">
        <w:rPr>
          <w:sz w:val="24"/>
          <w:szCs w:val="24"/>
        </w:rPr>
        <w:t xml:space="preserve">, 364 </w:t>
      </w:r>
      <w:smartTag w:uri="urn:schemas-microsoft-com:office:smarttags" w:element="time">
        <w:r w:rsidRPr="00CF2338">
          <w:rPr>
            <w:sz w:val="24"/>
            <w:szCs w:val="24"/>
          </w:rPr>
          <w:t>Pa.</w:t>
        </w:r>
      </w:smartTag>
      <w:r w:rsidRPr="00CF2338">
        <w:rPr>
          <w:sz w:val="24"/>
          <w:szCs w:val="24"/>
        </w:rPr>
        <w:t xml:space="preserve"> 45, 70 A.2d 854 (1950).</w:t>
      </w:r>
      <w:proofErr w:type="gramEnd"/>
      <w:r w:rsidRPr="00CF2338">
        <w:rPr>
          <w:sz w:val="24"/>
          <w:szCs w:val="24"/>
        </w:rPr>
        <w:t xml:space="preserve">  </w:t>
      </w:r>
    </w:p>
    <w:p w:rsidR="00CF2338" w:rsidRPr="00CF2338" w:rsidRDefault="00CF2338" w:rsidP="00CF2338">
      <w:pPr>
        <w:rPr>
          <w:sz w:val="24"/>
          <w:szCs w:val="24"/>
        </w:rPr>
      </w:pPr>
    </w:p>
    <w:p w:rsidR="00CF2338" w:rsidRPr="00CF2338" w:rsidRDefault="00CF2338" w:rsidP="00CF2338">
      <w:pPr>
        <w:tabs>
          <w:tab w:val="left" w:pos="-1440"/>
          <w:tab w:val="left" w:pos="-720"/>
        </w:tabs>
        <w:suppressAutoHyphens/>
        <w:ind w:firstLine="1440"/>
        <w:rPr>
          <w:spacing w:val="-3"/>
          <w:sz w:val="24"/>
          <w:szCs w:val="24"/>
        </w:rPr>
      </w:pPr>
      <w:r w:rsidRPr="00CF2338">
        <w:rPr>
          <w:sz w:val="24"/>
          <w:szCs w:val="24"/>
        </w:rPr>
        <w:t>3.</w:t>
      </w:r>
      <w:r w:rsidRPr="00CF2338">
        <w:rPr>
          <w:sz w:val="24"/>
          <w:szCs w:val="24"/>
        </w:rPr>
        <w:tab/>
      </w:r>
      <w:r w:rsidRPr="00CF2338">
        <w:rPr>
          <w:spacing w:val="-3"/>
          <w:sz w:val="24"/>
          <w:szCs w:val="24"/>
        </w:rPr>
        <w:t xml:space="preserve">Complainant must show Respondent is responsible or accountable for the problem described in the Complaint.  </w:t>
      </w:r>
      <w:proofErr w:type="gramStart"/>
      <w:r w:rsidRPr="00CA01AA">
        <w:rPr>
          <w:spacing w:val="-3"/>
          <w:sz w:val="24"/>
          <w:szCs w:val="24"/>
          <w:u w:val="single"/>
        </w:rPr>
        <w:t>Patterson v. Bell Telephone Company of Pennsylvania,</w:t>
      </w:r>
      <w:r w:rsidRPr="00CF2338">
        <w:rPr>
          <w:i/>
          <w:spacing w:val="-3"/>
          <w:sz w:val="24"/>
          <w:szCs w:val="24"/>
        </w:rPr>
        <w:t xml:space="preserve"> </w:t>
      </w:r>
      <w:r w:rsidRPr="00CF2338">
        <w:rPr>
          <w:spacing w:val="-3"/>
          <w:sz w:val="24"/>
          <w:szCs w:val="24"/>
        </w:rPr>
        <w:t>72 Pa. PUC 196 (1990).</w:t>
      </w:r>
      <w:proofErr w:type="gramEnd"/>
      <w:r w:rsidRPr="00CF2338">
        <w:rPr>
          <w:spacing w:val="-3"/>
          <w:sz w:val="24"/>
          <w:szCs w:val="24"/>
        </w:rPr>
        <w:t xml:space="preserve">  Such a showing must be by a preponderance of the evidence.  </w:t>
      </w:r>
      <w:proofErr w:type="gramStart"/>
      <w:r w:rsidRPr="00CA01AA">
        <w:rPr>
          <w:sz w:val="24"/>
          <w:szCs w:val="24"/>
          <w:u w:val="single"/>
        </w:rPr>
        <w:t xml:space="preserve">Samuel J. </w:t>
      </w:r>
      <w:proofErr w:type="spellStart"/>
      <w:r w:rsidRPr="00CA01AA">
        <w:rPr>
          <w:sz w:val="24"/>
          <w:szCs w:val="24"/>
          <w:u w:val="single"/>
        </w:rPr>
        <w:t>Lansberry</w:t>
      </w:r>
      <w:proofErr w:type="spellEnd"/>
      <w:r w:rsidRPr="00CA01AA">
        <w:rPr>
          <w:sz w:val="24"/>
          <w:szCs w:val="24"/>
          <w:u w:val="single"/>
        </w:rPr>
        <w:t xml:space="preserve">, Inc. v. Pa. </w:t>
      </w:r>
      <w:r w:rsidR="00CA01AA">
        <w:rPr>
          <w:sz w:val="24"/>
          <w:szCs w:val="24"/>
          <w:u w:val="single"/>
        </w:rPr>
        <w:t>Public Utility Commission</w:t>
      </w:r>
      <w:r w:rsidRPr="00CF2338">
        <w:rPr>
          <w:sz w:val="24"/>
          <w:szCs w:val="24"/>
        </w:rPr>
        <w:t>,</w:t>
      </w:r>
      <w:r w:rsidRPr="00CF2338">
        <w:rPr>
          <w:i/>
          <w:sz w:val="24"/>
          <w:szCs w:val="24"/>
        </w:rPr>
        <w:t xml:space="preserve"> </w:t>
      </w:r>
      <w:r w:rsidRPr="00CF2338">
        <w:rPr>
          <w:sz w:val="24"/>
          <w:szCs w:val="24"/>
        </w:rPr>
        <w:t xml:space="preserve">578 A.2d 600, 602, </w:t>
      </w:r>
      <w:proofErr w:type="spellStart"/>
      <w:r w:rsidRPr="00CF2338">
        <w:rPr>
          <w:i/>
          <w:sz w:val="24"/>
          <w:szCs w:val="24"/>
        </w:rPr>
        <w:t>alloc</w:t>
      </w:r>
      <w:proofErr w:type="spellEnd"/>
      <w:r w:rsidRPr="00CF2338">
        <w:rPr>
          <w:i/>
          <w:sz w:val="24"/>
          <w:szCs w:val="24"/>
        </w:rPr>
        <w:t>.</w:t>
      </w:r>
      <w:proofErr w:type="gramEnd"/>
      <w:r w:rsidRPr="00CF2338">
        <w:rPr>
          <w:i/>
          <w:sz w:val="24"/>
          <w:szCs w:val="24"/>
        </w:rPr>
        <w:t xml:space="preserve"> </w:t>
      </w:r>
      <w:proofErr w:type="gramStart"/>
      <w:r w:rsidRPr="00CF2338">
        <w:rPr>
          <w:i/>
          <w:sz w:val="24"/>
          <w:szCs w:val="24"/>
        </w:rPr>
        <w:t>den</w:t>
      </w:r>
      <w:r w:rsidRPr="00CF2338">
        <w:rPr>
          <w:sz w:val="24"/>
          <w:szCs w:val="24"/>
        </w:rPr>
        <w:t>., 602 A.2d 863 (1992).</w:t>
      </w:r>
      <w:proofErr w:type="gramEnd"/>
      <w:r w:rsidRPr="00CF2338">
        <w:rPr>
          <w:sz w:val="24"/>
          <w:szCs w:val="24"/>
        </w:rPr>
        <w:t xml:space="preserve">  </w:t>
      </w:r>
    </w:p>
    <w:p w:rsidR="00CF2338" w:rsidRPr="00CF2338" w:rsidRDefault="00CF2338" w:rsidP="00CF2338">
      <w:pPr>
        <w:tabs>
          <w:tab w:val="left" w:pos="-1440"/>
          <w:tab w:val="left" w:pos="-720"/>
        </w:tabs>
        <w:suppressAutoHyphens/>
        <w:ind w:firstLine="1440"/>
        <w:rPr>
          <w:spacing w:val="-3"/>
          <w:sz w:val="24"/>
          <w:szCs w:val="24"/>
        </w:rPr>
      </w:pPr>
    </w:p>
    <w:p w:rsidR="00CF2338" w:rsidRPr="00CF2338" w:rsidRDefault="00CF2338" w:rsidP="00CF2338">
      <w:pPr>
        <w:tabs>
          <w:tab w:val="left" w:pos="-1440"/>
          <w:tab w:val="left" w:pos="-720"/>
        </w:tabs>
        <w:suppressAutoHyphens/>
        <w:ind w:firstLine="1440"/>
        <w:rPr>
          <w:spacing w:val="-3"/>
          <w:sz w:val="24"/>
          <w:szCs w:val="24"/>
        </w:rPr>
      </w:pPr>
      <w:r w:rsidRPr="00CF2338">
        <w:rPr>
          <w:spacing w:val="-3"/>
          <w:sz w:val="24"/>
          <w:szCs w:val="24"/>
        </w:rPr>
        <w:t>4.</w:t>
      </w:r>
      <w:r w:rsidRPr="00CF2338">
        <w:rPr>
          <w:spacing w:val="-3"/>
          <w:sz w:val="24"/>
          <w:szCs w:val="24"/>
        </w:rPr>
        <w:tab/>
        <w:t xml:space="preserve">Any finding of fact necessary to support the Commission’s adjudication must be based upon substantial evidence.  </w:t>
      </w:r>
      <w:proofErr w:type="gramStart"/>
      <w:r w:rsidRPr="00CA01AA">
        <w:rPr>
          <w:spacing w:val="-3"/>
          <w:sz w:val="24"/>
          <w:szCs w:val="24"/>
          <w:u w:val="single"/>
        </w:rPr>
        <w:t xml:space="preserve">Mill v. </w:t>
      </w:r>
      <w:r w:rsidR="00CA01AA">
        <w:rPr>
          <w:spacing w:val="-3"/>
          <w:sz w:val="24"/>
          <w:szCs w:val="24"/>
          <w:u w:val="single"/>
        </w:rPr>
        <w:t>Pa. Public Utility Commission</w:t>
      </w:r>
      <w:r w:rsidRPr="00CF2338">
        <w:rPr>
          <w:spacing w:val="-3"/>
          <w:sz w:val="24"/>
          <w:szCs w:val="24"/>
        </w:rPr>
        <w:t>, 447 A.2d 1100 (1982).</w:t>
      </w:r>
      <w:proofErr w:type="gramEnd"/>
    </w:p>
    <w:p w:rsidR="00CF2338" w:rsidRPr="00CF2338" w:rsidRDefault="00CF2338" w:rsidP="00CF2338">
      <w:pPr>
        <w:tabs>
          <w:tab w:val="left" w:pos="-1440"/>
          <w:tab w:val="left" w:pos="-720"/>
        </w:tabs>
        <w:suppressAutoHyphens/>
        <w:ind w:firstLine="1440"/>
        <w:rPr>
          <w:spacing w:val="-3"/>
          <w:sz w:val="24"/>
          <w:szCs w:val="24"/>
        </w:rPr>
      </w:pPr>
    </w:p>
    <w:p w:rsidR="00CF2338" w:rsidRPr="00CF2338" w:rsidRDefault="00CF2338" w:rsidP="00CF2338">
      <w:pPr>
        <w:tabs>
          <w:tab w:val="left" w:pos="-1440"/>
          <w:tab w:val="left" w:pos="-720"/>
        </w:tabs>
        <w:suppressAutoHyphens/>
        <w:ind w:firstLine="1440"/>
        <w:rPr>
          <w:sz w:val="24"/>
          <w:szCs w:val="24"/>
        </w:rPr>
      </w:pPr>
      <w:r w:rsidRPr="00CF2338">
        <w:rPr>
          <w:spacing w:val="-3"/>
          <w:sz w:val="24"/>
          <w:szCs w:val="24"/>
        </w:rPr>
        <w:t>5.</w:t>
      </w:r>
      <w:r w:rsidRPr="00CF2338">
        <w:rPr>
          <w:spacing w:val="-3"/>
          <w:sz w:val="24"/>
          <w:szCs w:val="24"/>
        </w:rPr>
        <w:tab/>
      </w:r>
      <w:r w:rsidRPr="00CF2338">
        <w:rPr>
          <w:sz w:val="24"/>
          <w:szCs w:val="24"/>
        </w:rPr>
        <w:t xml:space="preserve">Complainant failed to carry </w:t>
      </w:r>
      <w:r w:rsidR="00CA01AA">
        <w:rPr>
          <w:sz w:val="24"/>
          <w:szCs w:val="24"/>
        </w:rPr>
        <w:t>the</w:t>
      </w:r>
      <w:r w:rsidRPr="00CF2338">
        <w:rPr>
          <w:sz w:val="24"/>
          <w:szCs w:val="24"/>
        </w:rPr>
        <w:t xml:space="preserve"> burden of proof required under Section 332(a) of the Public Utility Code.  </w:t>
      </w:r>
      <w:proofErr w:type="gramStart"/>
      <w:r w:rsidRPr="00CF2338">
        <w:rPr>
          <w:sz w:val="24"/>
          <w:szCs w:val="24"/>
        </w:rPr>
        <w:t>66 Pa. C.S. §332(a).</w:t>
      </w:r>
      <w:proofErr w:type="gramEnd"/>
      <w:r w:rsidRPr="00CF2338">
        <w:rPr>
          <w:sz w:val="24"/>
          <w:szCs w:val="24"/>
        </w:rPr>
        <w:t xml:space="preserve"> </w:t>
      </w:r>
    </w:p>
    <w:p w:rsidR="00CF2338" w:rsidRPr="00CF2338" w:rsidRDefault="00CF2338" w:rsidP="00CF2338">
      <w:pPr>
        <w:pStyle w:val="Style0"/>
        <w:tabs>
          <w:tab w:val="left" w:pos="-1080"/>
          <w:tab w:val="left" w:pos="-720"/>
        </w:tabs>
        <w:spacing w:line="360" w:lineRule="auto"/>
        <w:rPr>
          <w:rFonts w:ascii="Times New Roman" w:eastAsia="Batang" w:hAnsi="Times New Roman"/>
          <w:szCs w:val="24"/>
        </w:rPr>
      </w:pPr>
    </w:p>
    <w:p w:rsidR="00CF2338" w:rsidRPr="00CF2338" w:rsidRDefault="00CF2338" w:rsidP="00CF2338">
      <w:pPr>
        <w:pStyle w:val="NormalWeb"/>
        <w:spacing w:before="0" w:beforeAutospacing="0" w:after="0" w:afterAutospacing="0" w:line="360" w:lineRule="auto"/>
        <w:ind w:firstLine="1440"/>
      </w:pPr>
      <w:r w:rsidRPr="00CF2338">
        <w:rPr>
          <w:spacing w:val="-3"/>
        </w:rPr>
        <w:t>6.</w:t>
      </w:r>
      <w:r w:rsidRPr="00CF2338">
        <w:rPr>
          <w:spacing w:val="-3"/>
        </w:rPr>
        <w:tab/>
      </w:r>
      <w:r w:rsidRPr="00CF2338">
        <w:t xml:space="preserve">A bill rendered by a utility for metered residential utility service shall state clearly the beginning and ending dates for the billing period and the amount due for service rendered during the current billing period.  </w:t>
      </w:r>
      <w:proofErr w:type="gramStart"/>
      <w:r w:rsidRPr="00CF2338">
        <w:t>52 Pa. Code §56.15.</w:t>
      </w:r>
      <w:proofErr w:type="gramEnd"/>
    </w:p>
    <w:p w:rsidR="00CF2338" w:rsidRPr="00CF2338" w:rsidRDefault="00CF2338" w:rsidP="00CF2338">
      <w:pPr>
        <w:pStyle w:val="Style0"/>
        <w:tabs>
          <w:tab w:val="left" w:pos="-1080"/>
          <w:tab w:val="left" w:pos="-720"/>
        </w:tabs>
        <w:spacing w:line="360" w:lineRule="auto"/>
        <w:rPr>
          <w:rFonts w:ascii="Times New Roman" w:eastAsia="Batang" w:hAnsi="Times New Roman"/>
          <w:szCs w:val="24"/>
        </w:rPr>
      </w:pPr>
    </w:p>
    <w:p w:rsidR="00CF2338" w:rsidRPr="00CF2338" w:rsidRDefault="00CF2338" w:rsidP="00DA6624">
      <w:pPr>
        <w:jc w:val="center"/>
        <w:rPr>
          <w:sz w:val="24"/>
          <w:szCs w:val="24"/>
        </w:rPr>
      </w:pPr>
      <w:r w:rsidRPr="00CF2338">
        <w:rPr>
          <w:sz w:val="24"/>
          <w:szCs w:val="24"/>
          <w:u w:val="single"/>
        </w:rPr>
        <w:t>ORDER</w:t>
      </w:r>
    </w:p>
    <w:p w:rsidR="00CF2338" w:rsidRDefault="00CF2338" w:rsidP="00C12CE0">
      <w:pPr>
        <w:rPr>
          <w:sz w:val="24"/>
          <w:szCs w:val="24"/>
        </w:rPr>
      </w:pPr>
    </w:p>
    <w:p w:rsidR="00F86A31" w:rsidRPr="00CF2338" w:rsidRDefault="00F86A31" w:rsidP="00DA6624">
      <w:pPr>
        <w:rPr>
          <w:sz w:val="24"/>
          <w:szCs w:val="24"/>
        </w:rPr>
      </w:pPr>
    </w:p>
    <w:p w:rsidR="00CF2338" w:rsidRPr="00CF2338" w:rsidRDefault="00CF2338" w:rsidP="00CF2338">
      <w:pPr>
        <w:ind w:firstLine="1440"/>
        <w:rPr>
          <w:sz w:val="24"/>
          <w:szCs w:val="24"/>
        </w:rPr>
      </w:pPr>
      <w:r w:rsidRPr="00CF2338">
        <w:rPr>
          <w:sz w:val="24"/>
          <w:szCs w:val="24"/>
        </w:rPr>
        <w:t>THEREFORE,</w:t>
      </w:r>
    </w:p>
    <w:p w:rsidR="00CF2338" w:rsidRPr="00CF2338" w:rsidRDefault="00CF2338" w:rsidP="00CF2338">
      <w:pPr>
        <w:ind w:firstLine="1440"/>
        <w:rPr>
          <w:sz w:val="24"/>
          <w:szCs w:val="24"/>
        </w:rPr>
      </w:pPr>
    </w:p>
    <w:p w:rsidR="00CF2338" w:rsidRPr="00CF2338" w:rsidRDefault="00CF2338" w:rsidP="00CF2338">
      <w:pPr>
        <w:ind w:firstLine="1440"/>
        <w:rPr>
          <w:sz w:val="24"/>
          <w:szCs w:val="24"/>
        </w:rPr>
      </w:pPr>
      <w:r w:rsidRPr="00CF2338">
        <w:rPr>
          <w:sz w:val="24"/>
          <w:szCs w:val="24"/>
        </w:rPr>
        <w:t xml:space="preserve">IT IS ORDERED:  </w:t>
      </w:r>
    </w:p>
    <w:p w:rsidR="00CF2338" w:rsidRPr="00CF2338" w:rsidRDefault="00CF2338" w:rsidP="00CF2338">
      <w:pPr>
        <w:ind w:firstLine="1440"/>
        <w:rPr>
          <w:sz w:val="24"/>
          <w:szCs w:val="24"/>
        </w:rPr>
      </w:pPr>
    </w:p>
    <w:p w:rsidR="00CF2338" w:rsidRPr="00CF2338" w:rsidRDefault="00CF2338" w:rsidP="00CF2338">
      <w:pPr>
        <w:ind w:firstLine="1440"/>
        <w:rPr>
          <w:sz w:val="24"/>
          <w:szCs w:val="24"/>
        </w:rPr>
      </w:pPr>
      <w:r w:rsidRPr="00CF2338">
        <w:rPr>
          <w:sz w:val="24"/>
          <w:szCs w:val="24"/>
        </w:rPr>
        <w:t>1.</w:t>
      </w:r>
      <w:r w:rsidRPr="00CF2338">
        <w:rPr>
          <w:sz w:val="24"/>
          <w:szCs w:val="24"/>
        </w:rPr>
        <w:tab/>
      </w:r>
      <w:r w:rsidR="00CA01AA">
        <w:rPr>
          <w:sz w:val="24"/>
          <w:szCs w:val="24"/>
        </w:rPr>
        <w:t xml:space="preserve">That Melissa Teat v. PPL Electric Utilities Corporation </w:t>
      </w:r>
      <w:r w:rsidRPr="00CF2338">
        <w:rPr>
          <w:sz w:val="24"/>
          <w:szCs w:val="24"/>
        </w:rPr>
        <w:t>at Docket No. F</w:t>
      </w:r>
      <w:r w:rsidR="008C14E4">
        <w:rPr>
          <w:sz w:val="24"/>
          <w:szCs w:val="24"/>
        </w:rPr>
        <w:noBreakHyphen/>
      </w:r>
      <w:r w:rsidR="00CA01AA">
        <w:rPr>
          <w:sz w:val="24"/>
          <w:szCs w:val="24"/>
        </w:rPr>
        <w:t>2011-2240670</w:t>
      </w:r>
      <w:r w:rsidRPr="00CF2338">
        <w:rPr>
          <w:sz w:val="24"/>
          <w:szCs w:val="24"/>
        </w:rPr>
        <w:t xml:space="preserve"> is dismissed for failure to carry the burden of proof.</w:t>
      </w:r>
    </w:p>
    <w:p w:rsidR="00CF2338" w:rsidRPr="00CF2338" w:rsidRDefault="00CF2338" w:rsidP="00CF2338">
      <w:pPr>
        <w:ind w:firstLine="1440"/>
        <w:rPr>
          <w:sz w:val="24"/>
          <w:szCs w:val="24"/>
        </w:rPr>
      </w:pPr>
    </w:p>
    <w:p w:rsidR="003F12B3" w:rsidRDefault="003F12B3" w:rsidP="00CF2338">
      <w:pPr>
        <w:ind w:firstLine="1440"/>
        <w:rPr>
          <w:sz w:val="24"/>
          <w:szCs w:val="24"/>
        </w:rPr>
      </w:pPr>
    </w:p>
    <w:p w:rsidR="00CF2338" w:rsidRPr="00CF2338" w:rsidRDefault="00CF2338" w:rsidP="00CF2338">
      <w:pPr>
        <w:ind w:firstLine="1440"/>
        <w:rPr>
          <w:sz w:val="24"/>
          <w:szCs w:val="24"/>
        </w:rPr>
      </w:pPr>
      <w:r w:rsidRPr="00CF2338">
        <w:rPr>
          <w:sz w:val="24"/>
          <w:szCs w:val="24"/>
        </w:rPr>
        <w:lastRenderedPageBreak/>
        <w:t>2.</w:t>
      </w:r>
      <w:r w:rsidRPr="00CF2338">
        <w:rPr>
          <w:sz w:val="24"/>
          <w:szCs w:val="24"/>
        </w:rPr>
        <w:tab/>
        <w:t>That the Secretary’s Bureau mark Docket No. F-</w:t>
      </w:r>
      <w:r w:rsidR="002E7859">
        <w:rPr>
          <w:sz w:val="24"/>
          <w:szCs w:val="24"/>
        </w:rPr>
        <w:t>2011-2240670 as</w:t>
      </w:r>
      <w:r w:rsidRPr="00CF2338">
        <w:rPr>
          <w:sz w:val="24"/>
          <w:szCs w:val="24"/>
        </w:rPr>
        <w:t xml:space="preserve"> closed.</w:t>
      </w:r>
    </w:p>
    <w:p w:rsidR="00065149" w:rsidRDefault="00065149" w:rsidP="00386F30">
      <w:pPr>
        <w:tabs>
          <w:tab w:val="left" w:pos="-1440"/>
          <w:tab w:val="left" w:pos="-720"/>
        </w:tabs>
        <w:suppressAutoHyphens/>
        <w:rPr>
          <w:spacing w:val="-3"/>
          <w:sz w:val="24"/>
          <w:szCs w:val="24"/>
        </w:rPr>
      </w:pPr>
    </w:p>
    <w:p w:rsidR="00DE7B43" w:rsidRPr="00CF2338" w:rsidRDefault="00DE7B43" w:rsidP="00386F30">
      <w:pPr>
        <w:tabs>
          <w:tab w:val="left" w:pos="-1440"/>
          <w:tab w:val="left" w:pos="-720"/>
        </w:tabs>
        <w:suppressAutoHyphens/>
        <w:rPr>
          <w:spacing w:val="-3"/>
          <w:sz w:val="24"/>
          <w:szCs w:val="24"/>
        </w:rPr>
      </w:pPr>
    </w:p>
    <w:p w:rsidR="006C2C49" w:rsidRPr="00CF2338" w:rsidRDefault="006C2C49" w:rsidP="006C2C49">
      <w:pPr>
        <w:spacing w:line="240" w:lineRule="auto"/>
        <w:rPr>
          <w:sz w:val="24"/>
          <w:szCs w:val="24"/>
        </w:rPr>
      </w:pPr>
    </w:p>
    <w:p w:rsidR="006C2C49" w:rsidRPr="00CF2338" w:rsidRDefault="006C2C49" w:rsidP="006C2C49">
      <w:pPr>
        <w:spacing w:line="240" w:lineRule="auto"/>
        <w:rPr>
          <w:sz w:val="24"/>
          <w:szCs w:val="24"/>
          <w:u w:val="single"/>
        </w:rPr>
      </w:pPr>
      <w:r w:rsidRPr="00CF2338">
        <w:rPr>
          <w:sz w:val="24"/>
          <w:szCs w:val="24"/>
        </w:rPr>
        <w:t xml:space="preserve">Date:  </w:t>
      </w:r>
      <w:r w:rsidR="002E7859">
        <w:rPr>
          <w:sz w:val="24"/>
          <w:szCs w:val="24"/>
          <w:u w:val="single"/>
        </w:rPr>
        <w:t xml:space="preserve">July </w:t>
      </w:r>
      <w:r w:rsidR="00AF1ABD">
        <w:rPr>
          <w:sz w:val="24"/>
          <w:szCs w:val="24"/>
          <w:u w:val="single"/>
        </w:rPr>
        <w:t>3</w:t>
      </w:r>
      <w:r w:rsidR="00B33004" w:rsidRPr="00CF2338">
        <w:rPr>
          <w:sz w:val="24"/>
          <w:szCs w:val="24"/>
          <w:u w:val="single"/>
        </w:rPr>
        <w:t>, 2012</w:t>
      </w:r>
      <w:r w:rsidRPr="00CF2338">
        <w:rPr>
          <w:sz w:val="24"/>
          <w:szCs w:val="24"/>
        </w:rPr>
        <w:tab/>
      </w:r>
      <w:r w:rsidR="002E7859">
        <w:rPr>
          <w:sz w:val="24"/>
          <w:szCs w:val="24"/>
        </w:rPr>
        <w:tab/>
      </w:r>
      <w:r w:rsidRPr="00CF2338">
        <w:rPr>
          <w:sz w:val="24"/>
          <w:szCs w:val="24"/>
        </w:rPr>
        <w:tab/>
      </w:r>
      <w:r w:rsidRPr="00CF2338">
        <w:rPr>
          <w:sz w:val="24"/>
          <w:szCs w:val="24"/>
        </w:rPr>
        <w:tab/>
      </w:r>
      <w:r w:rsidRPr="00CF2338">
        <w:rPr>
          <w:sz w:val="24"/>
          <w:szCs w:val="24"/>
        </w:rPr>
        <w:tab/>
      </w:r>
      <w:r w:rsidR="00DE7B43">
        <w:rPr>
          <w:sz w:val="24"/>
          <w:szCs w:val="24"/>
        </w:rPr>
        <w:tab/>
      </w:r>
      <w:r w:rsidRPr="00CF2338">
        <w:rPr>
          <w:sz w:val="24"/>
          <w:szCs w:val="24"/>
          <w:u w:val="single"/>
        </w:rPr>
        <w:t xml:space="preserve">                                                       </w:t>
      </w:r>
      <w:r w:rsidR="00E97531" w:rsidRPr="00CF2338">
        <w:rPr>
          <w:sz w:val="24"/>
          <w:szCs w:val="24"/>
          <w:u w:val="single"/>
        </w:rPr>
        <w:t xml:space="preserve">  </w:t>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t>Katrina L. Dunderdale</w:t>
      </w:r>
    </w:p>
    <w:p w:rsidR="006C2C49" w:rsidRPr="00CF2338" w:rsidRDefault="006C2C49" w:rsidP="006C2C49">
      <w:pPr>
        <w:spacing w:line="240" w:lineRule="auto"/>
        <w:rPr>
          <w:sz w:val="24"/>
          <w:szCs w:val="24"/>
        </w:rPr>
      </w:pP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Pr="00CF2338">
        <w:rPr>
          <w:sz w:val="24"/>
          <w:szCs w:val="24"/>
        </w:rPr>
        <w:tab/>
      </w:r>
      <w:r w:rsidR="00DE7B43">
        <w:rPr>
          <w:sz w:val="24"/>
          <w:szCs w:val="24"/>
        </w:rPr>
        <w:tab/>
      </w:r>
      <w:r w:rsidRPr="00CF2338">
        <w:rPr>
          <w:sz w:val="24"/>
          <w:szCs w:val="24"/>
        </w:rPr>
        <w:t>Administrative Law Judge</w:t>
      </w:r>
    </w:p>
    <w:p w:rsidR="00B33004" w:rsidRPr="00CF2338" w:rsidRDefault="00B33004" w:rsidP="006C2C49">
      <w:pPr>
        <w:spacing w:line="240" w:lineRule="auto"/>
        <w:rPr>
          <w:sz w:val="24"/>
          <w:szCs w:val="24"/>
        </w:rPr>
      </w:pPr>
    </w:p>
    <w:p w:rsidR="00DE2949" w:rsidRPr="00CF2338" w:rsidRDefault="00DE2949" w:rsidP="00B33004">
      <w:pPr>
        <w:rPr>
          <w:sz w:val="24"/>
          <w:szCs w:val="24"/>
        </w:rPr>
      </w:pPr>
    </w:p>
    <w:sectPr w:rsidR="00DE2949" w:rsidRPr="00CF2338" w:rsidSect="00DE294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70" w:rsidRDefault="00C92770">
      <w:r>
        <w:separator/>
      </w:r>
    </w:p>
  </w:endnote>
  <w:endnote w:type="continuationSeparator" w:id="0">
    <w:p w:rsidR="00C92770" w:rsidRDefault="00C9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315833">
      <w:rPr>
        <w:rStyle w:val="PageNumber"/>
        <w:noProof/>
        <w:sz w:val="24"/>
        <w:szCs w:val="24"/>
      </w:rPr>
      <w:t>2</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70" w:rsidRDefault="00C92770">
      <w:r>
        <w:separator/>
      </w:r>
    </w:p>
  </w:footnote>
  <w:footnote w:type="continuationSeparator" w:id="0">
    <w:p w:rsidR="00C92770" w:rsidRDefault="00C92770">
      <w:r>
        <w:continuationSeparator/>
      </w:r>
    </w:p>
  </w:footnote>
  <w:footnote w:id="1">
    <w:p w:rsidR="00CF2338" w:rsidRDefault="00CF2338" w:rsidP="00CF2338">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CF2338" w:rsidRPr="00EC0D25" w:rsidRDefault="00CF2338" w:rsidP="00CF2338">
      <w:pPr>
        <w:pStyle w:val="FootnoteText"/>
        <w:ind w:firstLine="720"/>
      </w:pPr>
    </w:p>
  </w:footnote>
  <w:footnote w:id="2">
    <w:p w:rsidR="00CF2338" w:rsidRDefault="00CF2338" w:rsidP="00CF2338">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xml:space="preserve">, </w:t>
      </w:r>
      <w:proofErr w:type="gramStart"/>
      <w:r w:rsidRPr="00EC0D25">
        <w:rPr>
          <w:spacing w:val="-3"/>
        </w:rPr>
        <w:t xml:space="preserve">134 </w:t>
      </w:r>
      <w:proofErr w:type="spellStart"/>
      <w:r w:rsidRPr="00EC0D25">
        <w:rPr>
          <w:spacing w:val="-3"/>
        </w:rPr>
        <w:t>Pa.Commw</w:t>
      </w:r>
      <w:proofErr w:type="spellEnd"/>
      <w:proofErr w:type="gram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CF2338" w:rsidRPr="00EC0D25" w:rsidRDefault="00CF2338" w:rsidP="00CF2338">
      <w:pPr>
        <w:pStyle w:val="FootnoteText"/>
        <w:ind w:firstLine="720"/>
      </w:pPr>
    </w:p>
  </w:footnote>
  <w:footnote w:id="3">
    <w:p w:rsidR="00CF2338" w:rsidRDefault="00CF2338" w:rsidP="00CF2338">
      <w:pPr>
        <w:pStyle w:val="FootnoteText"/>
        <w:ind w:firstLine="720"/>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CA5"/>
    <w:multiLevelType w:val="hybridMultilevel"/>
    <w:tmpl w:val="8DEC22D6"/>
    <w:lvl w:ilvl="0" w:tplc="45D421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1980"/>
        </w:tabs>
        <w:ind w:left="1980" w:hanging="360"/>
      </w:pPr>
    </w:lvl>
  </w:abstractNum>
  <w:abstractNum w:abstractNumId="3">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0">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3"/>
  </w:num>
  <w:num w:numId="4">
    <w:abstractNumId w:val="4"/>
  </w:num>
  <w:num w:numId="5">
    <w:abstractNumId w:val="9"/>
  </w:num>
  <w:num w:numId="6">
    <w:abstractNumId w:val="7"/>
    <w:lvlOverride w:ilvl="0">
      <w:startOverride w:val="1"/>
    </w:lvlOverride>
  </w:num>
  <w:num w:numId="7">
    <w:abstractNumId w:val="3"/>
    <w:lvlOverride w:ilvl="0">
      <w:startOverride w:val="1"/>
    </w:lvlOverride>
  </w:num>
  <w:num w:numId="8">
    <w:abstractNumId w:val="9"/>
    <w:lvlOverride w:ilvl="0">
      <w:startOverride w:val="2"/>
    </w:lvlOverride>
  </w:num>
  <w:num w:numId="9">
    <w:abstractNumId w:val="2"/>
  </w:num>
  <w:num w:numId="10">
    <w:abstractNumId w:val="10"/>
  </w:num>
  <w:num w:numId="11">
    <w:abstractNumId w:val="8"/>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05552"/>
    <w:rsid w:val="000268F4"/>
    <w:rsid w:val="0003169F"/>
    <w:rsid w:val="00044200"/>
    <w:rsid w:val="00044B8E"/>
    <w:rsid w:val="000462CE"/>
    <w:rsid w:val="00065149"/>
    <w:rsid w:val="000755DB"/>
    <w:rsid w:val="00080837"/>
    <w:rsid w:val="00083078"/>
    <w:rsid w:val="000961CD"/>
    <w:rsid w:val="000A1439"/>
    <w:rsid w:val="000A34DF"/>
    <w:rsid w:val="000B5725"/>
    <w:rsid w:val="000B69EA"/>
    <w:rsid w:val="000C50A8"/>
    <w:rsid w:val="000C55C5"/>
    <w:rsid w:val="000D6D9C"/>
    <w:rsid w:val="001056A1"/>
    <w:rsid w:val="00113941"/>
    <w:rsid w:val="0011768F"/>
    <w:rsid w:val="001339A3"/>
    <w:rsid w:val="0014638B"/>
    <w:rsid w:val="001635F9"/>
    <w:rsid w:val="00166694"/>
    <w:rsid w:val="00174631"/>
    <w:rsid w:val="001760E3"/>
    <w:rsid w:val="00187E50"/>
    <w:rsid w:val="001908AF"/>
    <w:rsid w:val="00192CF9"/>
    <w:rsid w:val="00195CBA"/>
    <w:rsid w:val="00195D67"/>
    <w:rsid w:val="001B2A30"/>
    <w:rsid w:val="001B55FD"/>
    <w:rsid w:val="001D457F"/>
    <w:rsid w:val="001D7DFB"/>
    <w:rsid w:val="001E2C0B"/>
    <w:rsid w:val="001E6855"/>
    <w:rsid w:val="001F16E2"/>
    <w:rsid w:val="0021278D"/>
    <w:rsid w:val="002135C1"/>
    <w:rsid w:val="00213C20"/>
    <w:rsid w:val="0024448A"/>
    <w:rsid w:val="00247B9F"/>
    <w:rsid w:val="0025693E"/>
    <w:rsid w:val="0026056B"/>
    <w:rsid w:val="00273706"/>
    <w:rsid w:val="002978EF"/>
    <w:rsid w:val="002A1305"/>
    <w:rsid w:val="002A59BF"/>
    <w:rsid w:val="002E25F3"/>
    <w:rsid w:val="002E2700"/>
    <w:rsid w:val="002E7859"/>
    <w:rsid w:val="00305F0D"/>
    <w:rsid w:val="00307CB3"/>
    <w:rsid w:val="00315833"/>
    <w:rsid w:val="003365CB"/>
    <w:rsid w:val="00341B79"/>
    <w:rsid w:val="003420E6"/>
    <w:rsid w:val="0034534D"/>
    <w:rsid w:val="003460CC"/>
    <w:rsid w:val="00355E33"/>
    <w:rsid w:val="003611E4"/>
    <w:rsid w:val="00362D09"/>
    <w:rsid w:val="003759A4"/>
    <w:rsid w:val="003768B7"/>
    <w:rsid w:val="00382023"/>
    <w:rsid w:val="00383A25"/>
    <w:rsid w:val="00386F30"/>
    <w:rsid w:val="003948AF"/>
    <w:rsid w:val="003962EA"/>
    <w:rsid w:val="003A2086"/>
    <w:rsid w:val="003A2C39"/>
    <w:rsid w:val="003A31A9"/>
    <w:rsid w:val="003A33F5"/>
    <w:rsid w:val="003C7183"/>
    <w:rsid w:val="003D3AA4"/>
    <w:rsid w:val="003D5D70"/>
    <w:rsid w:val="003F0927"/>
    <w:rsid w:val="003F12B3"/>
    <w:rsid w:val="003F68A9"/>
    <w:rsid w:val="004012A8"/>
    <w:rsid w:val="0041141D"/>
    <w:rsid w:val="00412886"/>
    <w:rsid w:val="0042086F"/>
    <w:rsid w:val="004222C6"/>
    <w:rsid w:val="004232E8"/>
    <w:rsid w:val="0043056E"/>
    <w:rsid w:val="00433CEC"/>
    <w:rsid w:val="0043514B"/>
    <w:rsid w:val="00437CE0"/>
    <w:rsid w:val="004415A2"/>
    <w:rsid w:val="00451160"/>
    <w:rsid w:val="00452A48"/>
    <w:rsid w:val="00470D3A"/>
    <w:rsid w:val="004768C7"/>
    <w:rsid w:val="0049041B"/>
    <w:rsid w:val="004A287A"/>
    <w:rsid w:val="004A3667"/>
    <w:rsid w:val="004A4AC4"/>
    <w:rsid w:val="004A5400"/>
    <w:rsid w:val="004B418C"/>
    <w:rsid w:val="004C0960"/>
    <w:rsid w:val="004D0D4F"/>
    <w:rsid w:val="004D6317"/>
    <w:rsid w:val="004D63DC"/>
    <w:rsid w:val="004E3DB9"/>
    <w:rsid w:val="004F4E74"/>
    <w:rsid w:val="004F511D"/>
    <w:rsid w:val="004F6DF0"/>
    <w:rsid w:val="004F7BE1"/>
    <w:rsid w:val="00507A2B"/>
    <w:rsid w:val="00530A02"/>
    <w:rsid w:val="0053722A"/>
    <w:rsid w:val="005407CD"/>
    <w:rsid w:val="00540947"/>
    <w:rsid w:val="00556E9A"/>
    <w:rsid w:val="005609B8"/>
    <w:rsid w:val="00560FDD"/>
    <w:rsid w:val="00567C6F"/>
    <w:rsid w:val="005745EB"/>
    <w:rsid w:val="00574E22"/>
    <w:rsid w:val="00576E65"/>
    <w:rsid w:val="005801FB"/>
    <w:rsid w:val="0058651A"/>
    <w:rsid w:val="00593D95"/>
    <w:rsid w:val="005B4677"/>
    <w:rsid w:val="005B4757"/>
    <w:rsid w:val="005B5748"/>
    <w:rsid w:val="005D3D7F"/>
    <w:rsid w:val="005E12B1"/>
    <w:rsid w:val="005F38C3"/>
    <w:rsid w:val="005F5C9E"/>
    <w:rsid w:val="00601516"/>
    <w:rsid w:val="00601B51"/>
    <w:rsid w:val="00606BD0"/>
    <w:rsid w:val="006147AF"/>
    <w:rsid w:val="00620C7B"/>
    <w:rsid w:val="0062515C"/>
    <w:rsid w:val="00655AE4"/>
    <w:rsid w:val="006647CC"/>
    <w:rsid w:val="00674464"/>
    <w:rsid w:val="00676D32"/>
    <w:rsid w:val="006837EE"/>
    <w:rsid w:val="006930B8"/>
    <w:rsid w:val="006B3FEA"/>
    <w:rsid w:val="006C2C49"/>
    <w:rsid w:val="006D0E2D"/>
    <w:rsid w:val="006D252C"/>
    <w:rsid w:val="006D7DE2"/>
    <w:rsid w:val="006E1F15"/>
    <w:rsid w:val="006F0985"/>
    <w:rsid w:val="006F4A53"/>
    <w:rsid w:val="006F5CB0"/>
    <w:rsid w:val="006F6BB8"/>
    <w:rsid w:val="00706782"/>
    <w:rsid w:val="00720264"/>
    <w:rsid w:val="00723D2E"/>
    <w:rsid w:val="0072437C"/>
    <w:rsid w:val="00747019"/>
    <w:rsid w:val="00757BEB"/>
    <w:rsid w:val="007618E6"/>
    <w:rsid w:val="007737A4"/>
    <w:rsid w:val="00777AD8"/>
    <w:rsid w:val="00791F9B"/>
    <w:rsid w:val="007A01A8"/>
    <w:rsid w:val="007C4CD8"/>
    <w:rsid w:val="007D5F4A"/>
    <w:rsid w:val="007E4657"/>
    <w:rsid w:val="007F46D2"/>
    <w:rsid w:val="00803E31"/>
    <w:rsid w:val="008042E3"/>
    <w:rsid w:val="00804DAB"/>
    <w:rsid w:val="00805247"/>
    <w:rsid w:val="00806C9B"/>
    <w:rsid w:val="00822088"/>
    <w:rsid w:val="0083441D"/>
    <w:rsid w:val="00834475"/>
    <w:rsid w:val="0084184B"/>
    <w:rsid w:val="00850505"/>
    <w:rsid w:val="00850A24"/>
    <w:rsid w:val="00856715"/>
    <w:rsid w:val="00862A3E"/>
    <w:rsid w:val="008648D6"/>
    <w:rsid w:val="00867FD3"/>
    <w:rsid w:val="00877C75"/>
    <w:rsid w:val="00881239"/>
    <w:rsid w:val="00881CA9"/>
    <w:rsid w:val="0088541A"/>
    <w:rsid w:val="008A7257"/>
    <w:rsid w:val="008B5083"/>
    <w:rsid w:val="008C14E4"/>
    <w:rsid w:val="008C21DB"/>
    <w:rsid w:val="008C2C84"/>
    <w:rsid w:val="008C756D"/>
    <w:rsid w:val="008D478C"/>
    <w:rsid w:val="008E759A"/>
    <w:rsid w:val="008F030B"/>
    <w:rsid w:val="008F558D"/>
    <w:rsid w:val="0091247C"/>
    <w:rsid w:val="0092623F"/>
    <w:rsid w:val="009411A8"/>
    <w:rsid w:val="00946C11"/>
    <w:rsid w:val="009504A6"/>
    <w:rsid w:val="00951CFC"/>
    <w:rsid w:val="009578D1"/>
    <w:rsid w:val="0096189E"/>
    <w:rsid w:val="009753B7"/>
    <w:rsid w:val="00976B8E"/>
    <w:rsid w:val="00977B94"/>
    <w:rsid w:val="00977BB6"/>
    <w:rsid w:val="009828D3"/>
    <w:rsid w:val="00992A72"/>
    <w:rsid w:val="00994613"/>
    <w:rsid w:val="00996FB5"/>
    <w:rsid w:val="00997FD4"/>
    <w:rsid w:val="009A3D9F"/>
    <w:rsid w:val="009D6921"/>
    <w:rsid w:val="009D7777"/>
    <w:rsid w:val="009E1902"/>
    <w:rsid w:val="009F5506"/>
    <w:rsid w:val="00A0630D"/>
    <w:rsid w:val="00A23A1A"/>
    <w:rsid w:val="00A375F2"/>
    <w:rsid w:val="00A40F64"/>
    <w:rsid w:val="00A450CB"/>
    <w:rsid w:val="00A5362D"/>
    <w:rsid w:val="00A54C14"/>
    <w:rsid w:val="00A60625"/>
    <w:rsid w:val="00A648CB"/>
    <w:rsid w:val="00A66258"/>
    <w:rsid w:val="00A75695"/>
    <w:rsid w:val="00A75B63"/>
    <w:rsid w:val="00A75EB0"/>
    <w:rsid w:val="00A8667C"/>
    <w:rsid w:val="00A964A8"/>
    <w:rsid w:val="00AA22B4"/>
    <w:rsid w:val="00AA3795"/>
    <w:rsid w:val="00AA3A21"/>
    <w:rsid w:val="00AA5458"/>
    <w:rsid w:val="00AB0456"/>
    <w:rsid w:val="00AB2D65"/>
    <w:rsid w:val="00AB68B6"/>
    <w:rsid w:val="00AB73D1"/>
    <w:rsid w:val="00AC1F69"/>
    <w:rsid w:val="00AC5192"/>
    <w:rsid w:val="00AD16D1"/>
    <w:rsid w:val="00AD5515"/>
    <w:rsid w:val="00AD671E"/>
    <w:rsid w:val="00AE0EA3"/>
    <w:rsid w:val="00AF1ABD"/>
    <w:rsid w:val="00AF4043"/>
    <w:rsid w:val="00AF7930"/>
    <w:rsid w:val="00B07ED7"/>
    <w:rsid w:val="00B20BB1"/>
    <w:rsid w:val="00B21A12"/>
    <w:rsid w:val="00B33004"/>
    <w:rsid w:val="00B45783"/>
    <w:rsid w:val="00B51F32"/>
    <w:rsid w:val="00B67D11"/>
    <w:rsid w:val="00B77211"/>
    <w:rsid w:val="00B839E8"/>
    <w:rsid w:val="00B93AED"/>
    <w:rsid w:val="00B96704"/>
    <w:rsid w:val="00BB279F"/>
    <w:rsid w:val="00BC6609"/>
    <w:rsid w:val="00BD0AF8"/>
    <w:rsid w:val="00BD1626"/>
    <w:rsid w:val="00BD656E"/>
    <w:rsid w:val="00BE0C66"/>
    <w:rsid w:val="00BF7A4B"/>
    <w:rsid w:val="00C12CE0"/>
    <w:rsid w:val="00C1408A"/>
    <w:rsid w:val="00C146D5"/>
    <w:rsid w:val="00C1597F"/>
    <w:rsid w:val="00C354E5"/>
    <w:rsid w:val="00C44296"/>
    <w:rsid w:val="00C50F60"/>
    <w:rsid w:val="00C51459"/>
    <w:rsid w:val="00C72198"/>
    <w:rsid w:val="00C7317C"/>
    <w:rsid w:val="00C90991"/>
    <w:rsid w:val="00C92770"/>
    <w:rsid w:val="00C9371A"/>
    <w:rsid w:val="00C97273"/>
    <w:rsid w:val="00CA01AA"/>
    <w:rsid w:val="00CA4DF4"/>
    <w:rsid w:val="00CA5FBB"/>
    <w:rsid w:val="00CA6685"/>
    <w:rsid w:val="00CC11CD"/>
    <w:rsid w:val="00CC23AC"/>
    <w:rsid w:val="00CC7273"/>
    <w:rsid w:val="00CC7EAF"/>
    <w:rsid w:val="00CE7E68"/>
    <w:rsid w:val="00CF2338"/>
    <w:rsid w:val="00CF340C"/>
    <w:rsid w:val="00CF6039"/>
    <w:rsid w:val="00D0052C"/>
    <w:rsid w:val="00D00FD6"/>
    <w:rsid w:val="00D02672"/>
    <w:rsid w:val="00D04E2C"/>
    <w:rsid w:val="00D160E6"/>
    <w:rsid w:val="00D236A3"/>
    <w:rsid w:val="00D30C6D"/>
    <w:rsid w:val="00D436B9"/>
    <w:rsid w:val="00D44704"/>
    <w:rsid w:val="00D541A6"/>
    <w:rsid w:val="00D64DCB"/>
    <w:rsid w:val="00D66FE4"/>
    <w:rsid w:val="00D7007A"/>
    <w:rsid w:val="00D82C44"/>
    <w:rsid w:val="00D86982"/>
    <w:rsid w:val="00D95DB1"/>
    <w:rsid w:val="00DA16D1"/>
    <w:rsid w:val="00DA6365"/>
    <w:rsid w:val="00DA6624"/>
    <w:rsid w:val="00DB4DA0"/>
    <w:rsid w:val="00DE2170"/>
    <w:rsid w:val="00DE2266"/>
    <w:rsid w:val="00DE2949"/>
    <w:rsid w:val="00DE7B43"/>
    <w:rsid w:val="00DE7F93"/>
    <w:rsid w:val="00DF04BF"/>
    <w:rsid w:val="00E02815"/>
    <w:rsid w:val="00E03BB5"/>
    <w:rsid w:val="00E04BE4"/>
    <w:rsid w:val="00E0580F"/>
    <w:rsid w:val="00E1062D"/>
    <w:rsid w:val="00E126F9"/>
    <w:rsid w:val="00E20FE1"/>
    <w:rsid w:val="00E323D7"/>
    <w:rsid w:val="00E329DC"/>
    <w:rsid w:val="00E33BA9"/>
    <w:rsid w:val="00E45AE4"/>
    <w:rsid w:val="00E500AF"/>
    <w:rsid w:val="00E5034B"/>
    <w:rsid w:val="00E74CDD"/>
    <w:rsid w:val="00E77421"/>
    <w:rsid w:val="00E80B68"/>
    <w:rsid w:val="00E85864"/>
    <w:rsid w:val="00E91CE3"/>
    <w:rsid w:val="00E941D2"/>
    <w:rsid w:val="00E97292"/>
    <w:rsid w:val="00E97531"/>
    <w:rsid w:val="00EA7153"/>
    <w:rsid w:val="00EC0D25"/>
    <w:rsid w:val="00EC46E0"/>
    <w:rsid w:val="00EC4BF1"/>
    <w:rsid w:val="00EC6BFE"/>
    <w:rsid w:val="00ED652F"/>
    <w:rsid w:val="00ED6B35"/>
    <w:rsid w:val="00EE0FF3"/>
    <w:rsid w:val="00EE480E"/>
    <w:rsid w:val="00EF3B1E"/>
    <w:rsid w:val="00F01C8E"/>
    <w:rsid w:val="00F220CF"/>
    <w:rsid w:val="00F43B77"/>
    <w:rsid w:val="00F72B2B"/>
    <w:rsid w:val="00F73C62"/>
    <w:rsid w:val="00F825B0"/>
    <w:rsid w:val="00F82D8F"/>
    <w:rsid w:val="00F86A31"/>
    <w:rsid w:val="00FA2CDB"/>
    <w:rsid w:val="00FA367A"/>
    <w:rsid w:val="00FA47B6"/>
    <w:rsid w:val="00FA60CF"/>
    <w:rsid w:val="00FB2F18"/>
    <w:rsid w:val="00FB3BB1"/>
    <w:rsid w:val="00FB448C"/>
    <w:rsid w:val="00FB7AFF"/>
    <w:rsid w:val="00FC0970"/>
    <w:rsid w:val="00FC42F5"/>
    <w:rsid w:val="00FC524D"/>
    <w:rsid w:val="00FD00D0"/>
    <w:rsid w:val="00FF0BD9"/>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paragraph" w:customStyle="1" w:styleId="Style0">
    <w:name w:val="Style0"/>
    <w:rsid w:val="00CF2338"/>
    <w:rPr>
      <w:rFonts w:ascii="Arial" w:hAnsi="Arial"/>
      <w:snapToGrid w:val="0"/>
      <w:sz w:val="24"/>
    </w:rPr>
  </w:style>
  <w:style w:type="paragraph" w:styleId="NormalWeb">
    <w:name w:val="Normal (Web)"/>
    <w:basedOn w:val="Normal"/>
    <w:rsid w:val="00CF2338"/>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paragraph" w:styleId="BalloonText">
    <w:name w:val="Balloon Text"/>
    <w:basedOn w:val="Normal"/>
    <w:link w:val="BalloonTextChar"/>
    <w:rsid w:val="0053722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3722A"/>
    <w:rPr>
      <w:rFonts w:ascii="Tahoma" w:hAnsi="Tahoma" w:cs="Tahoma"/>
      <w:sz w:val="16"/>
      <w:szCs w:val="16"/>
    </w:rPr>
  </w:style>
  <w:style w:type="paragraph" w:customStyle="1" w:styleId="Style0">
    <w:name w:val="Style0"/>
    <w:rsid w:val="00CF2338"/>
    <w:rPr>
      <w:rFonts w:ascii="Arial" w:hAnsi="Arial"/>
      <w:snapToGrid w:val="0"/>
      <w:sz w:val="24"/>
    </w:rPr>
  </w:style>
  <w:style w:type="paragraph" w:styleId="NormalWeb">
    <w:name w:val="Normal (Web)"/>
    <w:basedOn w:val="Normal"/>
    <w:rsid w:val="00CF2338"/>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E08E9-96B0-4835-8B96-3E3EDD56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35</cp:revision>
  <cp:lastPrinted>2012-07-03T15:35:00Z</cp:lastPrinted>
  <dcterms:created xsi:type="dcterms:W3CDTF">2012-07-03T13:00:00Z</dcterms:created>
  <dcterms:modified xsi:type="dcterms:W3CDTF">2012-07-03T18:55:00Z</dcterms:modified>
</cp:coreProperties>
</file>