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C2" w:rsidRDefault="00390FC2" w:rsidP="00390FC2">
      <w:pPr>
        <w:pStyle w:val="Title"/>
        <w:tabs>
          <w:tab w:val="clear" w:pos="360"/>
          <w:tab w:val="left" w:pos="0"/>
        </w:tabs>
      </w:pPr>
      <w:bookmarkStart w:id="0" w:name="_GoBack"/>
      <w:bookmarkEnd w:id="0"/>
      <w:r>
        <w:t>BEFORE THE</w:t>
      </w:r>
    </w:p>
    <w:p w:rsidR="00390FC2" w:rsidRDefault="00390FC2" w:rsidP="00390FC2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:rsidR="00390FC2" w:rsidRDefault="00390FC2" w:rsidP="00390FC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0FC2" w:rsidRDefault="00390FC2" w:rsidP="00390FC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1B30D4" w:rsidRDefault="001B30D4" w:rsidP="00EA3EED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EA3EED" w:rsidRPr="00A03D6F" w:rsidRDefault="009A4159" w:rsidP="00EA3EED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S. Stockton Alloway</w:t>
      </w:r>
      <w:r w:rsidR="00EA3EED" w:rsidRPr="00A03D6F">
        <w:rPr>
          <w:sz w:val="24"/>
        </w:rPr>
        <w:tab/>
      </w:r>
      <w:r w:rsidR="00EA3EED" w:rsidRPr="00A03D6F">
        <w:rPr>
          <w:sz w:val="24"/>
        </w:rPr>
        <w:tab/>
      </w:r>
      <w:r w:rsidR="00EA3EED" w:rsidRPr="00A03D6F">
        <w:rPr>
          <w:sz w:val="24"/>
        </w:rPr>
        <w:tab/>
      </w:r>
      <w:r w:rsidR="00EA3EED">
        <w:rPr>
          <w:sz w:val="24"/>
        </w:rPr>
        <w:tab/>
      </w:r>
      <w:r w:rsidR="00EA3EED" w:rsidRPr="00A03D6F">
        <w:rPr>
          <w:sz w:val="24"/>
        </w:rPr>
        <w:tab/>
      </w:r>
      <w:r w:rsidR="00EA3EED" w:rsidRPr="00A03D6F">
        <w:rPr>
          <w:b/>
          <w:sz w:val="24"/>
        </w:rPr>
        <w:t>:</w:t>
      </w:r>
    </w:p>
    <w:p w:rsidR="00EA3EED" w:rsidRPr="00A03D6F" w:rsidRDefault="00EA3EED" w:rsidP="00EA3EED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EA3EED" w:rsidRPr="00A03D6F" w:rsidRDefault="00EA3EED" w:rsidP="00EA3EED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>
        <w:rPr>
          <w:sz w:val="24"/>
        </w:rPr>
        <w:t>C-201</w:t>
      </w:r>
      <w:r w:rsidR="007C072C">
        <w:rPr>
          <w:sz w:val="24"/>
        </w:rPr>
        <w:t>2</w:t>
      </w:r>
      <w:r>
        <w:rPr>
          <w:sz w:val="24"/>
        </w:rPr>
        <w:t>-2</w:t>
      </w:r>
      <w:r w:rsidR="00A83E82">
        <w:rPr>
          <w:sz w:val="24"/>
        </w:rPr>
        <w:t>2</w:t>
      </w:r>
      <w:r w:rsidR="007C072C">
        <w:rPr>
          <w:sz w:val="24"/>
        </w:rPr>
        <w:t>88383</w:t>
      </w:r>
    </w:p>
    <w:p w:rsidR="00EA3EED" w:rsidRPr="00A03D6F" w:rsidRDefault="00EA3EED" w:rsidP="00EA3EED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EA3EED" w:rsidRPr="00A03D6F" w:rsidRDefault="009A4159" w:rsidP="00EA3EED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Pennsylvania</w:t>
      </w:r>
      <w:r w:rsidR="00565D02">
        <w:rPr>
          <w:sz w:val="24"/>
        </w:rPr>
        <w:t>-</w:t>
      </w:r>
      <w:r>
        <w:rPr>
          <w:sz w:val="24"/>
        </w:rPr>
        <w:t>American Water Company</w:t>
      </w:r>
      <w:r w:rsidR="00EA3EED" w:rsidRPr="00A03D6F">
        <w:rPr>
          <w:sz w:val="24"/>
        </w:rPr>
        <w:tab/>
      </w:r>
      <w:r w:rsidR="00EA3EED" w:rsidRPr="00A03D6F">
        <w:rPr>
          <w:sz w:val="24"/>
        </w:rPr>
        <w:tab/>
      </w:r>
      <w:r w:rsidR="00EA3EED" w:rsidRPr="00A03D6F">
        <w:rPr>
          <w:b/>
          <w:sz w:val="24"/>
        </w:rPr>
        <w:t>:</w:t>
      </w:r>
    </w:p>
    <w:p w:rsidR="00EA3EED" w:rsidRPr="00A03D6F" w:rsidRDefault="00EA3EED" w:rsidP="00EA3EED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972E3" w:rsidRDefault="006972E3" w:rsidP="006972E3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1335CD" w:rsidRDefault="001335CD" w:rsidP="006972E3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972E3" w:rsidRDefault="00AE54FE" w:rsidP="006972E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</w:t>
      </w:r>
      <w:r w:rsidR="00821A08">
        <w:rPr>
          <w:b/>
          <w:sz w:val="24"/>
          <w:szCs w:val="24"/>
          <w:u w:val="single"/>
        </w:rPr>
        <w:t>NITIAL DECISION</w:t>
      </w:r>
    </w:p>
    <w:p w:rsidR="006972E3" w:rsidRPr="00EE6AE4" w:rsidRDefault="006972E3" w:rsidP="006972E3">
      <w:pPr>
        <w:jc w:val="center"/>
        <w:rPr>
          <w:b/>
          <w:sz w:val="24"/>
          <w:szCs w:val="24"/>
        </w:rPr>
      </w:pPr>
    </w:p>
    <w:p w:rsidR="009E43FB" w:rsidRPr="009E43FB" w:rsidRDefault="009E43FB" w:rsidP="009E43FB">
      <w:pPr>
        <w:jc w:val="center"/>
        <w:rPr>
          <w:sz w:val="24"/>
          <w:szCs w:val="24"/>
        </w:rPr>
      </w:pPr>
    </w:p>
    <w:p w:rsidR="009E43FB" w:rsidRPr="009E43FB" w:rsidRDefault="009E43FB" w:rsidP="009E43FB">
      <w:pPr>
        <w:jc w:val="center"/>
        <w:rPr>
          <w:sz w:val="24"/>
          <w:szCs w:val="24"/>
        </w:rPr>
      </w:pPr>
      <w:r w:rsidRPr="009E43FB">
        <w:rPr>
          <w:sz w:val="24"/>
          <w:szCs w:val="24"/>
        </w:rPr>
        <w:t>Before</w:t>
      </w:r>
    </w:p>
    <w:p w:rsidR="009E43FB" w:rsidRPr="009E43FB" w:rsidRDefault="009E43FB" w:rsidP="009E43FB">
      <w:pPr>
        <w:jc w:val="center"/>
        <w:rPr>
          <w:sz w:val="24"/>
          <w:szCs w:val="24"/>
        </w:rPr>
      </w:pPr>
      <w:r w:rsidRPr="009E43FB">
        <w:rPr>
          <w:sz w:val="24"/>
          <w:szCs w:val="24"/>
        </w:rPr>
        <w:t>Conrad A. Johnson</w:t>
      </w:r>
    </w:p>
    <w:p w:rsidR="009E43FB" w:rsidRPr="009E43FB" w:rsidRDefault="009E43FB" w:rsidP="009E43FB">
      <w:pPr>
        <w:jc w:val="center"/>
        <w:rPr>
          <w:sz w:val="24"/>
          <w:szCs w:val="24"/>
        </w:rPr>
      </w:pPr>
      <w:r w:rsidRPr="009E43FB">
        <w:rPr>
          <w:sz w:val="24"/>
          <w:szCs w:val="24"/>
        </w:rPr>
        <w:t>Administrative Law Judge</w:t>
      </w:r>
    </w:p>
    <w:p w:rsidR="009E43FB" w:rsidRPr="009E43FB" w:rsidRDefault="009E43FB" w:rsidP="009E43FB">
      <w:pPr>
        <w:jc w:val="center"/>
        <w:rPr>
          <w:sz w:val="24"/>
          <w:szCs w:val="24"/>
        </w:rPr>
      </w:pPr>
    </w:p>
    <w:p w:rsidR="009E43FB" w:rsidRPr="009E43FB" w:rsidRDefault="009E43FB" w:rsidP="009E43FB">
      <w:pPr>
        <w:jc w:val="center"/>
        <w:rPr>
          <w:sz w:val="24"/>
          <w:szCs w:val="24"/>
        </w:rPr>
      </w:pPr>
    </w:p>
    <w:p w:rsidR="009E43FB" w:rsidRPr="009E43FB" w:rsidRDefault="009E43FB" w:rsidP="009E43FB">
      <w:pPr>
        <w:jc w:val="center"/>
        <w:rPr>
          <w:sz w:val="24"/>
          <w:szCs w:val="24"/>
          <w:u w:val="single"/>
        </w:rPr>
      </w:pPr>
      <w:r w:rsidRPr="009E43FB">
        <w:rPr>
          <w:sz w:val="24"/>
          <w:szCs w:val="24"/>
          <w:u w:val="single"/>
        </w:rPr>
        <w:t>HISTORY OF THE PROCEEDING</w:t>
      </w:r>
    </w:p>
    <w:p w:rsidR="009E43FB" w:rsidRPr="009E43FB" w:rsidRDefault="009E43FB" w:rsidP="009E43FB">
      <w:pPr>
        <w:jc w:val="center"/>
        <w:rPr>
          <w:sz w:val="24"/>
          <w:szCs w:val="24"/>
          <w:u w:val="single"/>
        </w:rPr>
      </w:pPr>
    </w:p>
    <w:p w:rsidR="009E43FB" w:rsidRPr="009E43FB" w:rsidRDefault="009E43FB" w:rsidP="009E43FB">
      <w:pPr>
        <w:jc w:val="center"/>
        <w:rPr>
          <w:sz w:val="24"/>
          <w:szCs w:val="24"/>
          <w:u w:val="single"/>
        </w:rPr>
      </w:pPr>
    </w:p>
    <w:p w:rsidR="00DB1199" w:rsidRDefault="009E43FB" w:rsidP="009E43FB">
      <w:pPr>
        <w:spacing w:line="360" w:lineRule="auto"/>
        <w:rPr>
          <w:sz w:val="24"/>
          <w:szCs w:val="24"/>
        </w:rPr>
      </w:pPr>
      <w:r w:rsidRPr="009E43FB">
        <w:rPr>
          <w:sz w:val="24"/>
          <w:szCs w:val="24"/>
        </w:rPr>
        <w:tab/>
      </w:r>
      <w:r w:rsidRPr="009E43FB">
        <w:rPr>
          <w:sz w:val="24"/>
          <w:szCs w:val="24"/>
        </w:rPr>
        <w:tab/>
      </w:r>
      <w:r w:rsidR="009A4159">
        <w:rPr>
          <w:sz w:val="24"/>
          <w:szCs w:val="24"/>
        </w:rPr>
        <w:t xml:space="preserve">Complainant S. Stockton </w:t>
      </w:r>
      <w:proofErr w:type="spellStart"/>
      <w:r w:rsidR="009A4159">
        <w:rPr>
          <w:sz w:val="24"/>
          <w:szCs w:val="24"/>
        </w:rPr>
        <w:t>Alloway’s</w:t>
      </w:r>
      <w:proofErr w:type="spellEnd"/>
      <w:r w:rsidR="009A4159">
        <w:rPr>
          <w:sz w:val="24"/>
          <w:szCs w:val="24"/>
        </w:rPr>
        <w:t xml:space="preserve"> </w:t>
      </w:r>
      <w:r w:rsidR="00F758F7">
        <w:rPr>
          <w:sz w:val="24"/>
          <w:szCs w:val="24"/>
        </w:rPr>
        <w:t xml:space="preserve">February </w:t>
      </w:r>
      <w:r w:rsidR="009D6510">
        <w:rPr>
          <w:sz w:val="24"/>
          <w:szCs w:val="24"/>
        </w:rPr>
        <w:t>10</w:t>
      </w:r>
      <w:r w:rsidR="00F758F7">
        <w:rPr>
          <w:sz w:val="24"/>
          <w:szCs w:val="24"/>
        </w:rPr>
        <w:t xml:space="preserve">, 2012 </w:t>
      </w:r>
      <w:r w:rsidR="009A4159">
        <w:rPr>
          <w:sz w:val="24"/>
          <w:szCs w:val="24"/>
        </w:rPr>
        <w:t xml:space="preserve">Formal Complaint </w:t>
      </w:r>
      <w:r w:rsidR="00F652EE">
        <w:rPr>
          <w:sz w:val="24"/>
          <w:szCs w:val="24"/>
        </w:rPr>
        <w:t>challeng</w:t>
      </w:r>
      <w:r w:rsidR="00CF7033">
        <w:rPr>
          <w:sz w:val="24"/>
          <w:szCs w:val="24"/>
        </w:rPr>
        <w:t>es</w:t>
      </w:r>
      <w:r w:rsidR="00F652EE">
        <w:rPr>
          <w:sz w:val="24"/>
          <w:szCs w:val="24"/>
        </w:rPr>
        <w:t xml:space="preserve"> the reasonableness of </w:t>
      </w:r>
      <w:r w:rsidR="009A4159">
        <w:rPr>
          <w:sz w:val="24"/>
          <w:szCs w:val="24"/>
        </w:rPr>
        <w:t>Respondent Pennsylvania</w:t>
      </w:r>
      <w:r w:rsidR="00565D02">
        <w:rPr>
          <w:sz w:val="24"/>
          <w:szCs w:val="24"/>
        </w:rPr>
        <w:t>-</w:t>
      </w:r>
      <w:r w:rsidR="009A4159">
        <w:rPr>
          <w:sz w:val="24"/>
          <w:szCs w:val="24"/>
        </w:rPr>
        <w:t>American Water</w:t>
      </w:r>
      <w:r w:rsidR="00F758F7">
        <w:rPr>
          <w:sz w:val="24"/>
          <w:szCs w:val="24"/>
        </w:rPr>
        <w:t xml:space="preserve"> Company</w:t>
      </w:r>
      <w:r w:rsidR="009A4159">
        <w:rPr>
          <w:sz w:val="24"/>
          <w:szCs w:val="24"/>
        </w:rPr>
        <w:t xml:space="preserve">’s </w:t>
      </w:r>
      <w:r w:rsidR="00F652EE">
        <w:rPr>
          <w:sz w:val="24"/>
          <w:szCs w:val="24"/>
        </w:rPr>
        <w:t xml:space="preserve">Commission-approved flat </w:t>
      </w:r>
      <w:r w:rsidR="009A4159">
        <w:rPr>
          <w:sz w:val="24"/>
          <w:szCs w:val="24"/>
        </w:rPr>
        <w:t xml:space="preserve">rate </w:t>
      </w:r>
      <w:r w:rsidR="00F652EE">
        <w:rPr>
          <w:sz w:val="24"/>
          <w:szCs w:val="24"/>
        </w:rPr>
        <w:t>for unmetered customers</w:t>
      </w:r>
      <w:r w:rsidR="00011469">
        <w:rPr>
          <w:sz w:val="24"/>
          <w:szCs w:val="24"/>
        </w:rPr>
        <w:t>’ wastewater service</w:t>
      </w:r>
      <w:r w:rsidR="00CF7033">
        <w:rPr>
          <w:sz w:val="24"/>
          <w:szCs w:val="24"/>
        </w:rPr>
        <w:t xml:space="preserve">. </w:t>
      </w:r>
      <w:r w:rsidR="00F652EE">
        <w:rPr>
          <w:sz w:val="24"/>
          <w:szCs w:val="24"/>
        </w:rPr>
        <w:t xml:space="preserve"> </w:t>
      </w:r>
      <w:r w:rsidR="00C875BF">
        <w:rPr>
          <w:sz w:val="24"/>
          <w:szCs w:val="24"/>
        </w:rPr>
        <w:t xml:space="preserve">Complaint ¶4A. </w:t>
      </w:r>
      <w:r w:rsidR="00DB1199">
        <w:rPr>
          <w:sz w:val="24"/>
          <w:szCs w:val="24"/>
        </w:rPr>
        <w:t xml:space="preserve"> </w:t>
      </w:r>
      <w:r w:rsidR="00C875BF">
        <w:rPr>
          <w:sz w:val="24"/>
          <w:szCs w:val="24"/>
        </w:rPr>
        <w:t xml:space="preserve">Complainant </w:t>
      </w:r>
      <w:r w:rsidR="00DB1199">
        <w:rPr>
          <w:sz w:val="24"/>
          <w:szCs w:val="24"/>
        </w:rPr>
        <w:t xml:space="preserve">Alloway </w:t>
      </w:r>
      <w:r w:rsidR="00C875BF">
        <w:rPr>
          <w:sz w:val="24"/>
          <w:szCs w:val="24"/>
        </w:rPr>
        <w:t xml:space="preserve">submits that the flat rate is unfair </w:t>
      </w:r>
      <w:r w:rsidR="00DB1199">
        <w:rPr>
          <w:sz w:val="24"/>
          <w:szCs w:val="24"/>
        </w:rPr>
        <w:t xml:space="preserve">because </w:t>
      </w:r>
      <w:r w:rsidR="00C875BF">
        <w:rPr>
          <w:sz w:val="24"/>
          <w:szCs w:val="24"/>
        </w:rPr>
        <w:t>as a one</w:t>
      </w:r>
      <w:r w:rsidR="00565D02">
        <w:rPr>
          <w:sz w:val="24"/>
          <w:szCs w:val="24"/>
        </w:rPr>
        <w:t>-</w:t>
      </w:r>
      <w:r w:rsidR="00C875BF">
        <w:rPr>
          <w:sz w:val="24"/>
          <w:szCs w:val="24"/>
        </w:rPr>
        <w:t xml:space="preserve">person household he is paying the same rate as </w:t>
      </w:r>
      <w:r w:rsidR="00DB1199">
        <w:rPr>
          <w:sz w:val="24"/>
          <w:szCs w:val="24"/>
        </w:rPr>
        <w:t>a household of four</w:t>
      </w:r>
      <w:r w:rsidR="007D43C7">
        <w:rPr>
          <w:sz w:val="24"/>
          <w:szCs w:val="24"/>
        </w:rPr>
        <w:t xml:space="preserve"> or more</w:t>
      </w:r>
      <w:r w:rsidR="00C875BF">
        <w:rPr>
          <w:sz w:val="24"/>
          <w:szCs w:val="24"/>
        </w:rPr>
        <w:t>.</w:t>
      </w:r>
      <w:r w:rsidR="00F758F7">
        <w:rPr>
          <w:sz w:val="24"/>
          <w:szCs w:val="24"/>
        </w:rPr>
        <w:t xml:space="preserve"> </w:t>
      </w:r>
      <w:r w:rsidR="00C875BF">
        <w:rPr>
          <w:sz w:val="24"/>
          <w:szCs w:val="24"/>
        </w:rPr>
        <w:t xml:space="preserve"> </w:t>
      </w:r>
      <w:r w:rsidR="00DB1199">
        <w:rPr>
          <w:sz w:val="24"/>
          <w:szCs w:val="24"/>
        </w:rPr>
        <w:t xml:space="preserve">Id. ¶4B.  As relief, Mr. Alloway requests that the Pennsylvania Public Utility Commission </w:t>
      </w:r>
      <w:r w:rsidR="00290F1E">
        <w:rPr>
          <w:sz w:val="24"/>
          <w:szCs w:val="24"/>
        </w:rPr>
        <w:t xml:space="preserve">(Commission) </w:t>
      </w:r>
      <w:r w:rsidR="00DB1199">
        <w:rPr>
          <w:sz w:val="24"/>
          <w:szCs w:val="24"/>
        </w:rPr>
        <w:t xml:space="preserve">require Respondent to recalculate the flat rate </w:t>
      </w:r>
      <w:r w:rsidR="00011469">
        <w:rPr>
          <w:sz w:val="24"/>
          <w:szCs w:val="24"/>
        </w:rPr>
        <w:t xml:space="preserve">according to </w:t>
      </w:r>
      <w:r w:rsidR="00DB1199">
        <w:rPr>
          <w:sz w:val="24"/>
          <w:szCs w:val="24"/>
        </w:rPr>
        <w:t xml:space="preserve">household size. </w:t>
      </w:r>
      <w:r w:rsidR="00F758F7">
        <w:rPr>
          <w:sz w:val="24"/>
          <w:szCs w:val="24"/>
        </w:rPr>
        <w:t xml:space="preserve"> </w:t>
      </w:r>
      <w:r w:rsidR="00DB1199">
        <w:rPr>
          <w:sz w:val="24"/>
          <w:szCs w:val="24"/>
        </w:rPr>
        <w:t>Id. ¶5.</w:t>
      </w:r>
    </w:p>
    <w:p w:rsidR="00DB1199" w:rsidRDefault="00DB1199" w:rsidP="009E43FB">
      <w:pPr>
        <w:spacing w:line="360" w:lineRule="auto"/>
        <w:rPr>
          <w:sz w:val="24"/>
          <w:szCs w:val="24"/>
        </w:rPr>
      </w:pPr>
    </w:p>
    <w:p w:rsidR="0047533B" w:rsidRDefault="00DB1199" w:rsidP="009E43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Respondent </w:t>
      </w:r>
      <w:r w:rsidR="00565D02">
        <w:rPr>
          <w:sz w:val="24"/>
          <w:szCs w:val="24"/>
        </w:rPr>
        <w:t>Pennsylvania-American</w:t>
      </w:r>
      <w:r w:rsidR="00F758F7">
        <w:rPr>
          <w:sz w:val="24"/>
          <w:szCs w:val="24"/>
        </w:rPr>
        <w:t xml:space="preserve"> Water </w:t>
      </w:r>
      <w:r w:rsidR="00565D02">
        <w:rPr>
          <w:sz w:val="24"/>
          <w:szCs w:val="24"/>
        </w:rPr>
        <w:t xml:space="preserve">Company </w:t>
      </w:r>
      <w:r w:rsidR="00F758F7">
        <w:rPr>
          <w:sz w:val="24"/>
          <w:szCs w:val="24"/>
        </w:rPr>
        <w:t>(PAWC</w:t>
      </w:r>
      <w:r w:rsidR="00290F1E">
        <w:rPr>
          <w:sz w:val="24"/>
          <w:szCs w:val="24"/>
        </w:rPr>
        <w:t>,</w:t>
      </w:r>
      <w:r w:rsidR="00F758F7">
        <w:rPr>
          <w:sz w:val="24"/>
          <w:szCs w:val="24"/>
        </w:rPr>
        <w:t xml:space="preserve"> Company</w:t>
      </w:r>
      <w:r w:rsidR="00290F1E">
        <w:rPr>
          <w:sz w:val="24"/>
          <w:szCs w:val="24"/>
        </w:rPr>
        <w:t xml:space="preserve"> or Respondent</w:t>
      </w:r>
      <w:r w:rsidR="00F758F7">
        <w:rPr>
          <w:sz w:val="24"/>
          <w:szCs w:val="24"/>
        </w:rPr>
        <w:t>) answers the complaint</w:t>
      </w:r>
      <w:r w:rsidR="00AD6B5E">
        <w:rPr>
          <w:sz w:val="24"/>
          <w:szCs w:val="24"/>
        </w:rPr>
        <w:t xml:space="preserve"> </w:t>
      </w:r>
      <w:r w:rsidR="009D6510">
        <w:rPr>
          <w:sz w:val="24"/>
          <w:szCs w:val="24"/>
        </w:rPr>
        <w:t xml:space="preserve">by </w:t>
      </w:r>
      <w:r w:rsidR="00AD6B5E">
        <w:rPr>
          <w:sz w:val="24"/>
          <w:szCs w:val="24"/>
        </w:rPr>
        <w:t xml:space="preserve">denying that Mr. Alloway was entitled to a flat rate based upon household size.  </w:t>
      </w:r>
      <w:r w:rsidR="00837B4B">
        <w:rPr>
          <w:sz w:val="24"/>
          <w:szCs w:val="24"/>
        </w:rPr>
        <w:t xml:space="preserve">PAWC’s March 6, 2012 </w:t>
      </w:r>
      <w:r w:rsidR="00AD6B5E">
        <w:rPr>
          <w:sz w:val="24"/>
          <w:szCs w:val="24"/>
        </w:rPr>
        <w:t>Answer ¶4B.</w:t>
      </w:r>
      <w:r w:rsidR="00F670EB">
        <w:rPr>
          <w:sz w:val="24"/>
          <w:szCs w:val="24"/>
        </w:rPr>
        <w:t xml:space="preserve">  PAWC maintains that on April 23, 2010</w:t>
      </w:r>
      <w:r w:rsidR="00D32F54">
        <w:rPr>
          <w:sz w:val="24"/>
          <w:szCs w:val="24"/>
        </w:rPr>
        <w:t>,</w:t>
      </w:r>
      <w:r w:rsidR="00F670EB">
        <w:rPr>
          <w:sz w:val="24"/>
          <w:szCs w:val="24"/>
        </w:rPr>
        <w:t xml:space="preserve"> it filed Supplement No. 2 to Tariff Wastewater-</w:t>
      </w:r>
      <w:r w:rsidR="00011469">
        <w:rPr>
          <w:sz w:val="24"/>
          <w:szCs w:val="24"/>
        </w:rPr>
        <w:t>P</w:t>
      </w:r>
      <w:r w:rsidR="00F670EB">
        <w:rPr>
          <w:sz w:val="24"/>
          <w:szCs w:val="24"/>
        </w:rPr>
        <w:t>a P.U.C. No</w:t>
      </w:r>
      <w:r w:rsidR="003265C3">
        <w:rPr>
          <w:sz w:val="24"/>
          <w:szCs w:val="24"/>
        </w:rPr>
        <w:t>.</w:t>
      </w:r>
      <w:r w:rsidR="00F670EB">
        <w:rPr>
          <w:sz w:val="24"/>
          <w:szCs w:val="24"/>
        </w:rPr>
        <w:t xml:space="preserve"> 8 </w:t>
      </w:r>
      <w:r w:rsidR="006A437F">
        <w:rPr>
          <w:sz w:val="24"/>
          <w:szCs w:val="24"/>
        </w:rPr>
        <w:t xml:space="preserve">with the Commission </w:t>
      </w:r>
      <w:r w:rsidR="00F670EB">
        <w:rPr>
          <w:sz w:val="24"/>
          <w:szCs w:val="24"/>
        </w:rPr>
        <w:t xml:space="preserve">and requested an increase in the total annual operating revenues for its </w:t>
      </w:r>
      <w:r w:rsidR="0047533B">
        <w:rPr>
          <w:sz w:val="24"/>
          <w:szCs w:val="24"/>
        </w:rPr>
        <w:t>Coatesville Wastew</w:t>
      </w:r>
      <w:r w:rsidR="00F670EB">
        <w:rPr>
          <w:sz w:val="24"/>
          <w:szCs w:val="24"/>
        </w:rPr>
        <w:t>ater Operations that service</w:t>
      </w:r>
      <w:r w:rsidR="003265C3">
        <w:rPr>
          <w:sz w:val="24"/>
          <w:szCs w:val="24"/>
        </w:rPr>
        <w:t>s</w:t>
      </w:r>
      <w:r w:rsidR="00F670EB">
        <w:rPr>
          <w:sz w:val="24"/>
          <w:szCs w:val="24"/>
        </w:rPr>
        <w:t xml:space="preserve"> Mr. Alloway and other customers.  Id.  </w:t>
      </w:r>
      <w:r w:rsidR="0047533B">
        <w:rPr>
          <w:sz w:val="24"/>
          <w:szCs w:val="24"/>
        </w:rPr>
        <w:t xml:space="preserve">Within the first 30 days of the </w:t>
      </w:r>
      <w:r w:rsidR="0047533B">
        <w:rPr>
          <w:sz w:val="24"/>
          <w:szCs w:val="24"/>
        </w:rPr>
        <w:lastRenderedPageBreak/>
        <w:t xml:space="preserve">filing, </w:t>
      </w:r>
      <w:r w:rsidR="00AB61E6">
        <w:rPr>
          <w:sz w:val="24"/>
          <w:szCs w:val="24"/>
        </w:rPr>
        <w:t>PAWC</w:t>
      </w:r>
      <w:r w:rsidR="0047533B">
        <w:rPr>
          <w:sz w:val="24"/>
          <w:szCs w:val="24"/>
        </w:rPr>
        <w:t xml:space="preserve"> maintains it gave ratepayers notice of the requested rate increase</w:t>
      </w:r>
      <w:r w:rsidR="00AB61E6">
        <w:rPr>
          <w:sz w:val="24"/>
          <w:szCs w:val="24"/>
        </w:rPr>
        <w:t xml:space="preserve"> filed with the Commission at Docket No. R-2010-2166212</w:t>
      </w:r>
      <w:r w:rsidR="00F670EB">
        <w:rPr>
          <w:sz w:val="24"/>
          <w:szCs w:val="24"/>
        </w:rPr>
        <w:t>.</w:t>
      </w:r>
    </w:p>
    <w:p w:rsidR="00837B4B" w:rsidRDefault="00837B4B" w:rsidP="009E43FB">
      <w:pPr>
        <w:spacing w:line="360" w:lineRule="auto"/>
        <w:rPr>
          <w:sz w:val="24"/>
          <w:szCs w:val="24"/>
        </w:rPr>
      </w:pPr>
    </w:p>
    <w:p w:rsidR="00DB1199" w:rsidRDefault="0047533B" w:rsidP="009E43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Respondent asserts that Mr. Alloway did not file a formal complaint in opposition to the requested rate increase, nor did he attend any of the four Public Input Hearings </w:t>
      </w:r>
      <w:r w:rsidR="00AB61E6">
        <w:rPr>
          <w:sz w:val="24"/>
          <w:szCs w:val="24"/>
        </w:rPr>
        <w:t xml:space="preserve">conducted </w:t>
      </w:r>
      <w:r>
        <w:rPr>
          <w:sz w:val="24"/>
          <w:szCs w:val="24"/>
        </w:rPr>
        <w:t>on the matter.</w:t>
      </w:r>
      <w:r w:rsidR="00F670E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B61E6">
        <w:rPr>
          <w:sz w:val="24"/>
          <w:szCs w:val="24"/>
        </w:rPr>
        <w:t xml:space="preserve">Respondent </w:t>
      </w:r>
      <w:r w:rsidR="00011469">
        <w:rPr>
          <w:sz w:val="24"/>
          <w:szCs w:val="24"/>
        </w:rPr>
        <w:t>maintains</w:t>
      </w:r>
      <w:r w:rsidR="00AB61E6">
        <w:rPr>
          <w:sz w:val="24"/>
          <w:szCs w:val="24"/>
        </w:rPr>
        <w:t xml:space="preserve"> that on October 27, 2010, a Joint Petition for Settlement of All Issues in Rate Proceeding (Joint Petition) was filed with the Commission by all of the active parties in the </w:t>
      </w:r>
      <w:r w:rsidR="007D43C7">
        <w:rPr>
          <w:sz w:val="24"/>
          <w:szCs w:val="24"/>
        </w:rPr>
        <w:t xml:space="preserve">subject rate increase </w:t>
      </w:r>
      <w:r w:rsidR="00AB61E6">
        <w:rPr>
          <w:sz w:val="24"/>
          <w:szCs w:val="24"/>
        </w:rPr>
        <w:t xml:space="preserve">proceeding.  By Order entered </w:t>
      </w:r>
      <w:r w:rsidR="00290F1E">
        <w:rPr>
          <w:sz w:val="24"/>
          <w:szCs w:val="24"/>
        </w:rPr>
        <w:t>December 16</w:t>
      </w:r>
      <w:r w:rsidR="00AB61E6">
        <w:rPr>
          <w:sz w:val="24"/>
          <w:szCs w:val="24"/>
        </w:rPr>
        <w:t>, 2010, the Commission approved the Joint Petition and authorized PA</w:t>
      </w:r>
      <w:r w:rsidR="00290F1E">
        <w:rPr>
          <w:sz w:val="24"/>
          <w:szCs w:val="24"/>
        </w:rPr>
        <w:t>W</w:t>
      </w:r>
      <w:r w:rsidR="00AB61E6">
        <w:rPr>
          <w:sz w:val="24"/>
          <w:szCs w:val="24"/>
        </w:rPr>
        <w:t xml:space="preserve">C to charge the Settlement Rates set forth in the </w:t>
      </w:r>
      <w:r w:rsidR="00011469">
        <w:rPr>
          <w:sz w:val="24"/>
          <w:szCs w:val="24"/>
        </w:rPr>
        <w:t xml:space="preserve">Joint </w:t>
      </w:r>
      <w:r w:rsidR="00AB61E6">
        <w:rPr>
          <w:sz w:val="24"/>
          <w:szCs w:val="24"/>
        </w:rPr>
        <w:t xml:space="preserve">Petition.  </w:t>
      </w:r>
      <w:r w:rsidR="00AD18F3">
        <w:rPr>
          <w:sz w:val="24"/>
          <w:szCs w:val="24"/>
        </w:rPr>
        <w:t xml:space="preserve">Because Mr. Alloway’s flat rate as an unmetered customer had been approved </w:t>
      </w:r>
      <w:r w:rsidR="00290F1E">
        <w:rPr>
          <w:sz w:val="24"/>
          <w:szCs w:val="24"/>
        </w:rPr>
        <w:t xml:space="preserve">by </w:t>
      </w:r>
      <w:r w:rsidR="00AD18F3">
        <w:rPr>
          <w:sz w:val="24"/>
          <w:szCs w:val="24"/>
        </w:rPr>
        <w:t xml:space="preserve">the Commission, PAWC </w:t>
      </w:r>
      <w:r w:rsidR="002F3D9D">
        <w:rPr>
          <w:sz w:val="24"/>
          <w:szCs w:val="24"/>
        </w:rPr>
        <w:t xml:space="preserve">requested dismissal of </w:t>
      </w:r>
      <w:r w:rsidR="007D43C7">
        <w:rPr>
          <w:sz w:val="24"/>
          <w:szCs w:val="24"/>
        </w:rPr>
        <w:t>Mr. Alloway’s</w:t>
      </w:r>
      <w:r w:rsidR="00AD18F3">
        <w:rPr>
          <w:sz w:val="24"/>
          <w:szCs w:val="24"/>
        </w:rPr>
        <w:t xml:space="preserve"> </w:t>
      </w:r>
      <w:r w:rsidR="002F3D9D">
        <w:rPr>
          <w:sz w:val="24"/>
          <w:szCs w:val="24"/>
        </w:rPr>
        <w:t>complaint.</w:t>
      </w:r>
    </w:p>
    <w:p w:rsidR="00FF648B" w:rsidRDefault="00FF648B" w:rsidP="00536423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1A6F" w:rsidRDefault="002F3D9D" w:rsidP="00536423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March 16, 2012</w:t>
      </w:r>
      <w:r w:rsidR="00D802EE">
        <w:rPr>
          <w:sz w:val="24"/>
          <w:szCs w:val="24"/>
        </w:rPr>
        <w:t xml:space="preserve">, </w:t>
      </w:r>
      <w:r w:rsidR="00521B7D">
        <w:rPr>
          <w:sz w:val="24"/>
          <w:szCs w:val="24"/>
        </w:rPr>
        <w:t>t</w:t>
      </w:r>
      <w:r w:rsidR="00D802EE">
        <w:rPr>
          <w:sz w:val="24"/>
          <w:szCs w:val="24"/>
        </w:rPr>
        <w:t xml:space="preserve">he Commission notified the parties that this </w:t>
      </w:r>
      <w:r>
        <w:rPr>
          <w:sz w:val="24"/>
          <w:szCs w:val="24"/>
        </w:rPr>
        <w:t xml:space="preserve">proceeding </w:t>
      </w:r>
      <w:r w:rsidR="00D802EE">
        <w:rPr>
          <w:sz w:val="24"/>
          <w:szCs w:val="24"/>
        </w:rPr>
        <w:t>was assigned to the undersigned ALJ for an initial telep</w:t>
      </w:r>
      <w:r w:rsidR="00536423">
        <w:rPr>
          <w:sz w:val="24"/>
          <w:szCs w:val="24"/>
        </w:rPr>
        <w:t>h</w:t>
      </w:r>
      <w:r w:rsidR="00D802EE">
        <w:rPr>
          <w:sz w:val="24"/>
          <w:szCs w:val="24"/>
        </w:rPr>
        <w:t>onic hearing</w:t>
      </w:r>
      <w:r>
        <w:rPr>
          <w:sz w:val="24"/>
          <w:szCs w:val="24"/>
        </w:rPr>
        <w:t xml:space="preserve">. </w:t>
      </w:r>
      <w:r w:rsidR="00565D02">
        <w:rPr>
          <w:sz w:val="24"/>
          <w:szCs w:val="24"/>
        </w:rPr>
        <w:t xml:space="preserve"> </w:t>
      </w:r>
      <w:r>
        <w:rPr>
          <w:sz w:val="24"/>
          <w:szCs w:val="24"/>
        </w:rPr>
        <w:t>On the same date</w:t>
      </w:r>
      <w:r w:rsidR="00536423">
        <w:rPr>
          <w:sz w:val="24"/>
          <w:szCs w:val="24"/>
        </w:rPr>
        <w:t>, a Prehearing Order outlining the relevant procedural rules was issued to the parties.</w:t>
      </w:r>
      <w:r>
        <w:rPr>
          <w:sz w:val="24"/>
          <w:szCs w:val="24"/>
        </w:rPr>
        <w:t xml:space="preserve">  </w:t>
      </w:r>
      <w:r w:rsidR="00536423">
        <w:rPr>
          <w:sz w:val="24"/>
          <w:szCs w:val="24"/>
        </w:rPr>
        <w:t>The hearing convened as scheduled.  M</w:t>
      </w:r>
      <w:r w:rsidR="00D17115">
        <w:rPr>
          <w:sz w:val="24"/>
          <w:szCs w:val="24"/>
        </w:rPr>
        <w:t>r</w:t>
      </w:r>
      <w:r w:rsidR="00536423">
        <w:rPr>
          <w:sz w:val="24"/>
          <w:szCs w:val="24"/>
        </w:rPr>
        <w:t xml:space="preserve">. </w:t>
      </w:r>
      <w:r w:rsidR="00D17115">
        <w:rPr>
          <w:sz w:val="24"/>
          <w:szCs w:val="24"/>
        </w:rPr>
        <w:t xml:space="preserve">Alloway </w:t>
      </w:r>
      <w:r w:rsidR="00536423">
        <w:rPr>
          <w:sz w:val="24"/>
          <w:szCs w:val="24"/>
        </w:rPr>
        <w:t>represented h</w:t>
      </w:r>
      <w:r w:rsidR="00D17115">
        <w:rPr>
          <w:sz w:val="24"/>
          <w:szCs w:val="24"/>
        </w:rPr>
        <w:t>imself</w:t>
      </w:r>
      <w:r w:rsidR="00536423">
        <w:rPr>
          <w:sz w:val="24"/>
          <w:szCs w:val="24"/>
        </w:rPr>
        <w:t xml:space="preserve">.  </w:t>
      </w:r>
      <w:r w:rsidR="00D17115">
        <w:rPr>
          <w:sz w:val="24"/>
          <w:szCs w:val="24"/>
        </w:rPr>
        <w:t xml:space="preserve">PAWC was </w:t>
      </w:r>
      <w:r w:rsidR="00AD18F3">
        <w:rPr>
          <w:sz w:val="24"/>
          <w:szCs w:val="24"/>
        </w:rPr>
        <w:t xml:space="preserve">represented by </w:t>
      </w:r>
      <w:r w:rsidR="00D17115">
        <w:rPr>
          <w:sz w:val="24"/>
          <w:szCs w:val="24"/>
        </w:rPr>
        <w:t>Seth A. Mendelson</w:t>
      </w:r>
      <w:r w:rsidR="00F53F9F">
        <w:rPr>
          <w:sz w:val="24"/>
          <w:szCs w:val="24"/>
        </w:rPr>
        <w:t xml:space="preserve">, Esquire. </w:t>
      </w:r>
      <w:r w:rsidR="007604FB">
        <w:rPr>
          <w:sz w:val="24"/>
          <w:szCs w:val="24"/>
        </w:rPr>
        <w:t xml:space="preserve"> </w:t>
      </w:r>
      <w:r w:rsidR="00F53F9F">
        <w:rPr>
          <w:sz w:val="24"/>
          <w:szCs w:val="24"/>
        </w:rPr>
        <w:t xml:space="preserve">Testimony was received from </w:t>
      </w:r>
      <w:r w:rsidR="00D17115">
        <w:rPr>
          <w:sz w:val="24"/>
          <w:szCs w:val="24"/>
        </w:rPr>
        <w:t xml:space="preserve">Mr. Alloway </w:t>
      </w:r>
      <w:r w:rsidR="00F53F9F">
        <w:rPr>
          <w:sz w:val="24"/>
          <w:szCs w:val="24"/>
        </w:rPr>
        <w:t xml:space="preserve">and </w:t>
      </w:r>
      <w:r w:rsidR="00D17115">
        <w:rPr>
          <w:sz w:val="24"/>
          <w:szCs w:val="24"/>
        </w:rPr>
        <w:t>PAWC</w:t>
      </w:r>
      <w:r w:rsidR="00F53F9F">
        <w:rPr>
          <w:sz w:val="24"/>
          <w:szCs w:val="24"/>
        </w:rPr>
        <w:t xml:space="preserve">’s </w:t>
      </w:r>
      <w:r w:rsidR="00D17115">
        <w:rPr>
          <w:sz w:val="24"/>
          <w:szCs w:val="24"/>
        </w:rPr>
        <w:t>Manage</w:t>
      </w:r>
      <w:r w:rsidR="00AD18F3">
        <w:rPr>
          <w:sz w:val="24"/>
          <w:szCs w:val="24"/>
        </w:rPr>
        <w:t>r</w:t>
      </w:r>
      <w:r w:rsidR="00D17115">
        <w:rPr>
          <w:sz w:val="24"/>
          <w:szCs w:val="24"/>
        </w:rPr>
        <w:t xml:space="preserve"> of Rates and Regulations, John Cox.</w:t>
      </w:r>
      <w:r w:rsidR="007604FB">
        <w:rPr>
          <w:sz w:val="24"/>
          <w:szCs w:val="24"/>
        </w:rPr>
        <w:t xml:space="preserve"> </w:t>
      </w:r>
      <w:r w:rsidR="00F53F9F">
        <w:rPr>
          <w:sz w:val="24"/>
          <w:szCs w:val="24"/>
        </w:rPr>
        <w:t xml:space="preserve"> Complainant did not offer any exhibits.  Respondent’s Exhibits </w:t>
      </w:r>
      <w:r w:rsidR="00D17115">
        <w:rPr>
          <w:sz w:val="24"/>
          <w:szCs w:val="24"/>
        </w:rPr>
        <w:t xml:space="preserve">1 and 2 </w:t>
      </w:r>
      <w:r w:rsidR="00F53F9F">
        <w:rPr>
          <w:sz w:val="24"/>
          <w:szCs w:val="24"/>
        </w:rPr>
        <w:t>w</w:t>
      </w:r>
      <w:r w:rsidR="00521B7D">
        <w:rPr>
          <w:sz w:val="24"/>
          <w:szCs w:val="24"/>
        </w:rPr>
        <w:t>e</w:t>
      </w:r>
      <w:r w:rsidR="00F53F9F">
        <w:rPr>
          <w:sz w:val="24"/>
          <w:szCs w:val="24"/>
        </w:rPr>
        <w:t xml:space="preserve">re admitted into the record. </w:t>
      </w:r>
      <w:r w:rsidR="007604FB">
        <w:rPr>
          <w:sz w:val="24"/>
          <w:szCs w:val="24"/>
        </w:rPr>
        <w:t xml:space="preserve"> </w:t>
      </w:r>
      <w:r w:rsidR="00F53F9F">
        <w:rPr>
          <w:sz w:val="24"/>
          <w:szCs w:val="24"/>
        </w:rPr>
        <w:t xml:space="preserve">The hearing generated </w:t>
      </w:r>
      <w:r w:rsidR="00D17115">
        <w:rPr>
          <w:sz w:val="24"/>
          <w:szCs w:val="24"/>
        </w:rPr>
        <w:t>35</w:t>
      </w:r>
      <w:r w:rsidR="00F53F9F">
        <w:rPr>
          <w:sz w:val="24"/>
          <w:szCs w:val="24"/>
        </w:rPr>
        <w:t xml:space="preserve"> pages of transcribed testimony.  </w:t>
      </w:r>
      <w:r w:rsidR="00290F1E">
        <w:rPr>
          <w:sz w:val="24"/>
          <w:szCs w:val="24"/>
        </w:rPr>
        <w:t xml:space="preserve">No briefs were filed.  </w:t>
      </w:r>
      <w:r w:rsidR="00F53F9F">
        <w:rPr>
          <w:sz w:val="24"/>
          <w:szCs w:val="24"/>
        </w:rPr>
        <w:t xml:space="preserve">The record was closed by Interim Order dated </w:t>
      </w:r>
      <w:r w:rsidR="00D17115">
        <w:rPr>
          <w:sz w:val="24"/>
          <w:szCs w:val="24"/>
        </w:rPr>
        <w:t>June 1</w:t>
      </w:r>
      <w:r w:rsidR="000A2BA4">
        <w:rPr>
          <w:sz w:val="24"/>
          <w:szCs w:val="24"/>
        </w:rPr>
        <w:t>9</w:t>
      </w:r>
      <w:r w:rsidR="00F53F9F">
        <w:rPr>
          <w:sz w:val="24"/>
          <w:szCs w:val="24"/>
        </w:rPr>
        <w:t>, 2012.  This case is procedurally read</w:t>
      </w:r>
      <w:r w:rsidR="007604FB">
        <w:rPr>
          <w:sz w:val="24"/>
          <w:szCs w:val="24"/>
        </w:rPr>
        <w:t>y</w:t>
      </w:r>
      <w:r w:rsidR="00F53F9F">
        <w:rPr>
          <w:sz w:val="24"/>
          <w:szCs w:val="24"/>
        </w:rPr>
        <w:t xml:space="preserve"> for ruling.</w:t>
      </w:r>
    </w:p>
    <w:p w:rsidR="00D17115" w:rsidRDefault="00D17115" w:rsidP="00536423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z w:val="24"/>
          <w:szCs w:val="24"/>
        </w:rPr>
      </w:pPr>
    </w:p>
    <w:p w:rsidR="00536423" w:rsidRDefault="00251A6F" w:rsidP="00251A6F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FINDINGS OF FACT</w:t>
      </w:r>
    </w:p>
    <w:p w:rsidR="00251A6F" w:rsidRDefault="00251A6F" w:rsidP="00251A6F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sz w:val="24"/>
          <w:szCs w:val="24"/>
        </w:rPr>
      </w:pPr>
    </w:p>
    <w:p w:rsidR="00251A6F" w:rsidRDefault="000A2BA4" w:rsidP="00251A6F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 w:rsidRPr="000A2BA4">
        <w:rPr>
          <w:sz w:val="24"/>
          <w:szCs w:val="24"/>
        </w:rPr>
        <w:t>Complainant S. Stockton Alloway (Complain</w:t>
      </w:r>
      <w:r w:rsidR="003B50AA">
        <w:rPr>
          <w:sz w:val="24"/>
          <w:szCs w:val="24"/>
        </w:rPr>
        <w:t xml:space="preserve">ant or Mr. Alloway) resides at </w:t>
      </w:r>
      <w:r w:rsidRPr="000A2BA4">
        <w:rPr>
          <w:sz w:val="24"/>
          <w:szCs w:val="24"/>
        </w:rPr>
        <w:t xml:space="preserve">755 Main </w:t>
      </w:r>
      <w:r w:rsidR="00011469">
        <w:rPr>
          <w:sz w:val="24"/>
          <w:szCs w:val="24"/>
        </w:rPr>
        <w:t>S</w:t>
      </w:r>
      <w:r w:rsidRPr="000A2BA4">
        <w:rPr>
          <w:sz w:val="24"/>
          <w:szCs w:val="24"/>
        </w:rPr>
        <w:t xml:space="preserve">treet, Parkesburg, Pennsylvania. </w:t>
      </w:r>
      <w:r w:rsidR="00565D02">
        <w:rPr>
          <w:sz w:val="24"/>
          <w:szCs w:val="24"/>
        </w:rPr>
        <w:t xml:space="preserve"> </w:t>
      </w:r>
      <w:r w:rsidRPr="000A2BA4">
        <w:rPr>
          <w:sz w:val="24"/>
          <w:szCs w:val="24"/>
        </w:rPr>
        <w:t xml:space="preserve">Tr. 6. </w:t>
      </w:r>
    </w:p>
    <w:p w:rsidR="000A2BA4" w:rsidRPr="000A2BA4" w:rsidRDefault="000A2BA4" w:rsidP="000A2BA4">
      <w:pPr>
        <w:suppressAutoHyphens/>
        <w:autoSpaceDE w:val="0"/>
        <w:autoSpaceDN w:val="0"/>
        <w:spacing w:line="360" w:lineRule="auto"/>
        <w:rPr>
          <w:sz w:val="24"/>
          <w:szCs w:val="24"/>
        </w:rPr>
      </w:pPr>
    </w:p>
    <w:p w:rsidR="000A2BA4" w:rsidRDefault="00251A6F" w:rsidP="000A2BA4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</w:rPr>
      </w:pPr>
      <w:r w:rsidRPr="000A2BA4">
        <w:rPr>
          <w:sz w:val="24"/>
          <w:szCs w:val="24"/>
        </w:rPr>
        <w:t xml:space="preserve">Respondent </w:t>
      </w:r>
      <w:r w:rsidR="00565D02">
        <w:rPr>
          <w:sz w:val="24"/>
          <w:szCs w:val="24"/>
        </w:rPr>
        <w:t>Pennsylvania-American</w:t>
      </w:r>
      <w:r w:rsidR="000A2BA4" w:rsidRPr="000A2BA4">
        <w:rPr>
          <w:sz w:val="24"/>
          <w:szCs w:val="24"/>
        </w:rPr>
        <w:t xml:space="preserve"> Water Company (PAWC</w:t>
      </w:r>
      <w:r w:rsidR="00290F1E">
        <w:rPr>
          <w:sz w:val="24"/>
          <w:szCs w:val="24"/>
        </w:rPr>
        <w:t>,</w:t>
      </w:r>
      <w:r w:rsidR="000A2BA4" w:rsidRPr="000A2BA4">
        <w:rPr>
          <w:sz w:val="24"/>
          <w:szCs w:val="24"/>
        </w:rPr>
        <w:t xml:space="preserve"> Company</w:t>
      </w:r>
      <w:r w:rsidR="00290F1E">
        <w:rPr>
          <w:sz w:val="24"/>
          <w:szCs w:val="24"/>
        </w:rPr>
        <w:t xml:space="preserve"> or Respondent</w:t>
      </w:r>
      <w:r w:rsidR="00011469">
        <w:rPr>
          <w:sz w:val="24"/>
          <w:szCs w:val="24"/>
        </w:rPr>
        <w:t>) is</w:t>
      </w:r>
      <w:r w:rsidR="000A2BA4" w:rsidRPr="000A2BA4">
        <w:rPr>
          <w:sz w:val="24"/>
          <w:szCs w:val="24"/>
        </w:rPr>
        <w:t xml:space="preserve"> </w:t>
      </w:r>
      <w:r w:rsidR="000A2BA4" w:rsidRPr="000A2BA4">
        <w:rPr>
          <w:sz w:val="24"/>
        </w:rPr>
        <w:t>a jurisdictional public utility providing wastewater service to Pennsylvania customers.</w:t>
      </w:r>
    </w:p>
    <w:p w:rsidR="003265C3" w:rsidRPr="003265C3" w:rsidRDefault="003265C3" w:rsidP="003265C3">
      <w:pPr>
        <w:pStyle w:val="ListParagraph"/>
        <w:rPr>
          <w:sz w:val="24"/>
          <w:szCs w:val="24"/>
        </w:rPr>
      </w:pPr>
    </w:p>
    <w:p w:rsidR="00C62AA2" w:rsidRPr="007C0B0D" w:rsidRDefault="00C62AA2" w:rsidP="00C62AA2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 w:rsidRPr="007C0B0D">
        <w:rPr>
          <w:sz w:val="24"/>
          <w:szCs w:val="24"/>
        </w:rPr>
        <w:lastRenderedPageBreak/>
        <w:t xml:space="preserve">On April 23, 2010, PAWC’s Coatesville Wastewater Operations filed with the Commission </w:t>
      </w:r>
      <w:r w:rsidR="007C0B0D" w:rsidRPr="007C0B0D">
        <w:rPr>
          <w:sz w:val="24"/>
          <w:szCs w:val="24"/>
        </w:rPr>
        <w:t xml:space="preserve">at Docket No. R-2010-2166212, </w:t>
      </w:r>
      <w:r w:rsidRPr="007C0B0D">
        <w:rPr>
          <w:sz w:val="24"/>
          <w:szCs w:val="24"/>
        </w:rPr>
        <w:t>Supplement No. 2 to Tariff Wastewater-P</w:t>
      </w:r>
      <w:r w:rsidR="00565D02">
        <w:rPr>
          <w:sz w:val="24"/>
          <w:szCs w:val="24"/>
        </w:rPr>
        <w:t>a</w:t>
      </w:r>
      <w:r w:rsidRPr="007C0B0D">
        <w:rPr>
          <w:sz w:val="24"/>
          <w:szCs w:val="24"/>
        </w:rPr>
        <w:t>. P.U.C. No. 8</w:t>
      </w:r>
      <w:r w:rsidR="003B50AA">
        <w:rPr>
          <w:sz w:val="24"/>
          <w:szCs w:val="24"/>
        </w:rPr>
        <w:t>,</w:t>
      </w:r>
      <w:r w:rsidRPr="007C0B0D">
        <w:rPr>
          <w:sz w:val="24"/>
          <w:szCs w:val="24"/>
        </w:rPr>
        <w:t xml:space="preserve"> proposing changes to its rates</w:t>
      </w:r>
      <w:r w:rsidR="00780308" w:rsidRPr="007C0B0D">
        <w:rPr>
          <w:sz w:val="24"/>
          <w:szCs w:val="24"/>
        </w:rPr>
        <w:t xml:space="preserve"> (April 2010 rate filing</w:t>
      </w:r>
      <w:r w:rsidR="009F5BEC" w:rsidRPr="007C0B0D">
        <w:rPr>
          <w:sz w:val="24"/>
          <w:szCs w:val="24"/>
        </w:rPr>
        <w:t xml:space="preserve"> or proceeding</w:t>
      </w:r>
      <w:r w:rsidR="00780308" w:rsidRPr="007C0B0D">
        <w:rPr>
          <w:sz w:val="24"/>
          <w:szCs w:val="24"/>
        </w:rPr>
        <w:t>)</w:t>
      </w:r>
      <w:r w:rsidRPr="007C0B0D">
        <w:rPr>
          <w:sz w:val="24"/>
          <w:szCs w:val="24"/>
        </w:rPr>
        <w:t>.  Exhibit 1; Tr. 17.</w:t>
      </w:r>
    </w:p>
    <w:p w:rsidR="00C62AA2" w:rsidRPr="00C62AA2" w:rsidRDefault="00C62AA2" w:rsidP="00C62AA2">
      <w:pPr>
        <w:pStyle w:val="ListParagraph"/>
        <w:suppressAutoHyphens/>
        <w:autoSpaceDE w:val="0"/>
        <w:autoSpaceDN w:val="0"/>
        <w:spacing w:line="360" w:lineRule="auto"/>
        <w:ind w:left="0"/>
        <w:rPr>
          <w:sz w:val="24"/>
          <w:szCs w:val="24"/>
        </w:rPr>
      </w:pPr>
    </w:p>
    <w:p w:rsidR="007C0B0D" w:rsidRDefault="009F5BEC" w:rsidP="00780308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90" w:firstLine="1350"/>
        <w:rPr>
          <w:sz w:val="24"/>
          <w:szCs w:val="24"/>
        </w:rPr>
      </w:pPr>
      <w:r>
        <w:rPr>
          <w:sz w:val="24"/>
          <w:szCs w:val="24"/>
        </w:rPr>
        <w:t xml:space="preserve">Subsequent to </w:t>
      </w:r>
      <w:r w:rsidR="00780308">
        <w:rPr>
          <w:sz w:val="24"/>
          <w:szCs w:val="24"/>
        </w:rPr>
        <w:t>PAWC’s April 2010 rate filing</w:t>
      </w:r>
      <w:r>
        <w:rPr>
          <w:sz w:val="24"/>
          <w:szCs w:val="24"/>
        </w:rPr>
        <w:t xml:space="preserve">, 113 people testified during </w:t>
      </w:r>
      <w:r w:rsidRPr="009F5BEC">
        <w:rPr>
          <w:sz w:val="24"/>
          <w:szCs w:val="24"/>
        </w:rPr>
        <w:t xml:space="preserve"> </w:t>
      </w:r>
      <w:r>
        <w:rPr>
          <w:sz w:val="24"/>
          <w:szCs w:val="24"/>
        </w:rPr>
        <w:t>four public input hearings</w:t>
      </w:r>
      <w:r w:rsidR="007C0B0D">
        <w:rPr>
          <w:sz w:val="24"/>
          <w:szCs w:val="24"/>
        </w:rPr>
        <w:t xml:space="preserve"> concerning the proposed increases</w:t>
      </w:r>
      <w:r>
        <w:rPr>
          <w:sz w:val="24"/>
          <w:szCs w:val="24"/>
        </w:rPr>
        <w:t xml:space="preserve">; several </w:t>
      </w:r>
      <w:r w:rsidR="00780308">
        <w:rPr>
          <w:sz w:val="24"/>
          <w:szCs w:val="24"/>
        </w:rPr>
        <w:t xml:space="preserve">formal complaints were filed </w:t>
      </w:r>
      <w:r>
        <w:rPr>
          <w:sz w:val="24"/>
          <w:szCs w:val="24"/>
        </w:rPr>
        <w:t xml:space="preserve">challenging PAWC’s proposed rate changes; and numerous entities sought intervention into the rate proceeding.  Tr. 18-20. </w:t>
      </w:r>
    </w:p>
    <w:p w:rsidR="007C0B0D" w:rsidRPr="007C0B0D" w:rsidRDefault="007C0B0D" w:rsidP="007C0B0D">
      <w:pPr>
        <w:suppressAutoHyphens/>
        <w:autoSpaceDE w:val="0"/>
        <w:autoSpaceDN w:val="0"/>
        <w:spacing w:line="360" w:lineRule="auto"/>
        <w:rPr>
          <w:sz w:val="24"/>
          <w:szCs w:val="24"/>
        </w:rPr>
      </w:pPr>
    </w:p>
    <w:p w:rsidR="007C0B0D" w:rsidRDefault="007C0B0D" w:rsidP="00780308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90" w:firstLine="1350"/>
        <w:rPr>
          <w:sz w:val="24"/>
          <w:szCs w:val="24"/>
        </w:rPr>
      </w:pPr>
      <w:r>
        <w:rPr>
          <w:sz w:val="24"/>
          <w:szCs w:val="24"/>
        </w:rPr>
        <w:t>After multiple discussions between the active parties to the April 2010 rate proceeding, the parties reached a settlement, which was submitted to the Commission for approval.  Tr. 21.</w:t>
      </w:r>
    </w:p>
    <w:p w:rsidR="007C0B0D" w:rsidRPr="007C0B0D" w:rsidRDefault="007C0B0D" w:rsidP="007C0B0D">
      <w:pPr>
        <w:suppressAutoHyphens/>
        <w:autoSpaceDE w:val="0"/>
        <w:autoSpaceDN w:val="0"/>
        <w:spacing w:line="360" w:lineRule="auto"/>
        <w:rPr>
          <w:sz w:val="24"/>
          <w:szCs w:val="24"/>
        </w:rPr>
      </w:pPr>
    </w:p>
    <w:p w:rsidR="00C62AA2" w:rsidRDefault="00C62AA2" w:rsidP="00780308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90" w:firstLine="1350"/>
        <w:rPr>
          <w:sz w:val="24"/>
          <w:szCs w:val="24"/>
        </w:rPr>
      </w:pPr>
      <w:r w:rsidRPr="007C0B0D">
        <w:rPr>
          <w:sz w:val="24"/>
          <w:szCs w:val="24"/>
        </w:rPr>
        <w:t xml:space="preserve">The Commission approved </w:t>
      </w:r>
      <w:r w:rsidR="007C0B0D" w:rsidRPr="007C0B0D">
        <w:rPr>
          <w:sz w:val="24"/>
          <w:szCs w:val="24"/>
        </w:rPr>
        <w:t xml:space="preserve">the settlement </w:t>
      </w:r>
      <w:r w:rsidR="00290F1E">
        <w:rPr>
          <w:sz w:val="24"/>
          <w:szCs w:val="24"/>
        </w:rPr>
        <w:t xml:space="preserve">of </w:t>
      </w:r>
      <w:r w:rsidR="007C0B0D">
        <w:rPr>
          <w:sz w:val="24"/>
          <w:szCs w:val="24"/>
        </w:rPr>
        <w:t xml:space="preserve">the April 2010 rate filing </w:t>
      </w:r>
      <w:r w:rsidR="007C0B0D" w:rsidRPr="007C0B0D">
        <w:rPr>
          <w:sz w:val="24"/>
          <w:szCs w:val="24"/>
        </w:rPr>
        <w:t xml:space="preserve">and </w:t>
      </w:r>
      <w:r w:rsidRPr="007C0B0D">
        <w:rPr>
          <w:sz w:val="24"/>
          <w:szCs w:val="24"/>
        </w:rPr>
        <w:t>PAWC’s rates for various classes of customers by Order entered December 16, 2010.  Exhibit 2.</w:t>
      </w:r>
    </w:p>
    <w:p w:rsidR="007C0B0D" w:rsidRPr="007C0B0D" w:rsidRDefault="007C0B0D" w:rsidP="007C0B0D">
      <w:pPr>
        <w:pStyle w:val="ListParagraph"/>
        <w:rPr>
          <w:sz w:val="24"/>
          <w:szCs w:val="24"/>
        </w:rPr>
      </w:pPr>
    </w:p>
    <w:p w:rsidR="003265C3" w:rsidRPr="007C0B0D" w:rsidRDefault="003265C3" w:rsidP="007C0B0D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1440" w:firstLine="0"/>
        <w:rPr>
          <w:sz w:val="24"/>
          <w:szCs w:val="24"/>
        </w:rPr>
      </w:pPr>
      <w:r w:rsidRPr="007C0B0D">
        <w:rPr>
          <w:sz w:val="24"/>
          <w:szCs w:val="24"/>
        </w:rPr>
        <w:t>PAWC provides wastewater services to Mr. Alloway through it</w:t>
      </w:r>
      <w:r w:rsidR="003B50AA">
        <w:rPr>
          <w:sz w:val="24"/>
          <w:szCs w:val="24"/>
        </w:rPr>
        <w:t>s</w:t>
      </w:r>
    </w:p>
    <w:p w:rsidR="00D575AE" w:rsidRPr="00D575AE" w:rsidRDefault="003265C3" w:rsidP="007C0B0D">
      <w:pPr>
        <w:pStyle w:val="ListParagraph"/>
        <w:suppressAutoHyphens/>
        <w:autoSpaceDE w:val="0"/>
        <w:autoSpaceDN w:val="0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Coa</w:t>
      </w:r>
      <w:r w:rsidR="00D575AE">
        <w:rPr>
          <w:sz w:val="24"/>
          <w:szCs w:val="24"/>
        </w:rPr>
        <w:t xml:space="preserve">tesville Wastewater Operations.  Tr. 17, 27. </w:t>
      </w:r>
    </w:p>
    <w:p w:rsidR="00251A6F" w:rsidRPr="00251A6F" w:rsidRDefault="00251A6F" w:rsidP="00251A6F">
      <w:pPr>
        <w:pStyle w:val="ListParagraph"/>
        <w:rPr>
          <w:sz w:val="24"/>
          <w:szCs w:val="24"/>
        </w:rPr>
      </w:pPr>
    </w:p>
    <w:p w:rsidR="003265C3" w:rsidRDefault="008F0FBE" w:rsidP="00313B05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PAWC</w:t>
      </w:r>
      <w:r w:rsidR="003265C3">
        <w:rPr>
          <w:sz w:val="24"/>
          <w:szCs w:val="24"/>
        </w:rPr>
        <w:t xml:space="preserve"> has several classes of customers — residential, commercial, industrial, municipal, sales</w:t>
      </w:r>
      <w:r w:rsidR="00762F52">
        <w:rPr>
          <w:sz w:val="24"/>
          <w:szCs w:val="24"/>
        </w:rPr>
        <w:t xml:space="preserve"> f</w:t>
      </w:r>
      <w:r w:rsidR="003265C3">
        <w:rPr>
          <w:sz w:val="24"/>
          <w:szCs w:val="24"/>
        </w:rPr>
        <w:t>or resale and bulk.</w:t>
      </w:r>
      <w:r w:rsidR="00762F52">
        <w:rPr>
          <w:sz w:val="24"/>
          <w:szCs w:val="24"/>
        </w:rPr>
        <w:t xml:space="preserve">  Tr. 26.</w:t>
      </w:r>
    </w:p>
    <w:p w:rsidR="00762F52" w:rsidRPr="00762F52" w:rsidRDefault="00762F52" w:rsidP="00762F52">
      <w:pPr>
        <w:suppressAutoHyphens/>
        <w:autoSpaceDE w:val="0"/>
        <w:autoSpaceDN w:val="0"/>
        <w:spacing w:line="360" w:lineRule="auto"/>
        <w:rPr>
          <w:sz w:val="24"/>
          <w:szCs w:val="24"/>
        </w:rPr>
      </w:pPr>
    </w:p>
    <w:p w:rsidR="00762F52" w:rsidRDefault="00762F52" w:rsidP="00762F52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 w:rsidRPr="00762F52">
        <w:rPr>
          <w:sz w:val="24"/>
          <w:szCs w:val="24"/>
        </w:rPr>
        <w:t xml:space="preserve">Mr. Alloway </w:t>
      </w:r>
      <w:r>
        <w:rPr>
          <w:sz w:val="24"/>
          <w:szCs w:val="24"/>
        </w:rPr>
        <w:t xml:space="preserve">is in PAWC’s class of customers who are residential and </w:t>
      </w:r>
      <w:r w:rsidRPr="00762F52">
        <w:rPr>
          <w:sz w:val="24"/>
          <w:szCs w:val="24"/>
        </w:rPr>
        <w:t>unmetered.  Tr. 27.</w:t>
      </w:r>
    </w:p>
    <w:p w:rsidR="00762F52" w:rsidRPr="00762F52" w:rsidRDefault="00762F52" w:rsidP="00762F52">
      <w:pPr>
        <w:pStyle w:val="ListParagraph"/>
        <w:spacing w:line="360" w:lineRule="auto"/>
        <w:rPr>
          <w:sz w:val="24"/>
          <w:szCs w:val="24"/>
        </w:rPr>
      </w:pPr>
    </w:p>
    <w:p w:rsidR="00762F52" w:rsidRDefault="00762F52" w:rsidP="00762F5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ab/>
        <w:t xml:space="preserve">PAWC has </w:t>
      </w:r>
      <w:r w:rsidR="003F52B2">
        <w:rPr>
          <w:sz w:val="24"/>
          <w:szCs w:val="24"/>
        </w:rPr>
        <w:t>64</w:t>
      </w:r>
      <w:r>
        <w:rPr>
          <w:sz w:val="24"/>
          <w:szCs w:val="24"/>
        </w:rPr>
        <w:t xml:space="preserve"> unmetered, residential customers.  Tr. 30.</w:t>
      </w:r>
    </w:p>
    <w:p w:rsidR="00762F52" w:rsidRPr="00762F52" w:rsidRDefault="00762F52" w:rsidP="00762F52">
      <w:pPr>
        <w:pStyle w:val="ListParagraph"/>
        <w:spacing w:line="360" w:lineRule="auto"/>
        <w:rPr>
          <w:sz w:val="24"/>
          <w:szCs w:val="24"/>
        </w:rPr>
      </w:pPr>
    </w:p>
    <w:p w:rsidR="00762F52" w:rsidRDefault="00762F52" w:rsidP="00762F52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PAWC charges unmetered, residential customers a flat rate of $56.79 monthly for wastewater services.</w:t>
      </w:r>
    </w:p>
    <w:p w:rsidR="008F0FBE" w:rsidRPr="008F0FBE" w:rsidRDefault="008F0FBE" w:rsidP="008F0FBE">
      <w:pPr>
        <w:pStyle w:val="ListParagraph"/>
        <w:rPr>
          <w:sz w:val="24"/>
          <w:szCs w:val="24"/>
        </w:rPr>
      </w:pPr>
    </w:p>
    <w:p w:rsidR="00CF7973" w:rsidRPr="00CF7973" w:rsidRDefault="00CF7973" w:rsidP="003F52B2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90" w:firstLine="1350"/>
        <w:rPr>
          <w:sz w:val="24"/>
          <w:szCs w:val="24"/>
        </w:rPr>
      </w:pPr>
      <w:r w:rsidRPr="00CF7973">
        <w:rPr>
          <w:sz w:val="24"/>
          <w:szCs w:val="24"/>
        </w:rPr>
        <w:lastRenderedPageBreak/>
        <w:t>Mr. Alloway pays PAWC $56.79 monthly for wastewater services.</w:t>
      </w:r>
      <w:r w:rsidR="003F52B2">
        <w:rPr>
          <w:sz w:val="24"/>
          <w:szCs w:val="24"/>
        </w:rPr>
        <w:t xml:space="preserve"> </w:t>
      </w:r>
      <w:r w:rsidRPr="00CF7973">
        <w:rPr>
          <w:sz w:val="24"/>
          <w:szCs w:val="24"/>
        </w:rPr>
        <w:t xml:space="preserve"> Tr. 14.</w:t>
      </w:r>
    </w:p>
    <w:p w:rsidR="00CF7973" w:rsidRPr="00CF7973" w:rsidRDefault="00CF7973" w:rsidP="00CF7973">
      <w:pPr>
        <w:pStyle w:val="ListParagraph"/>
        <w:rPr>
          <w:sz w:val="24"/>
          <w:szCs w:val="24"/>
        </w:rPr>
      </w:pPr>
    </w:p>
    <w:p w:rsidR="00CF7973" w:rsidRPr="003F52B2" w:rsidRDefault="00251A6F" w:rsidP="003F52B2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 w:rsidRPr="003F52B2">
        <w:rPr>
          <w:sz w:val="24"/>
          <w:szCs w:val="24"/>
        </w:rPr>
        <w:t xml:space="preserve">On </w:t>
      </w:r>
      <w:r w:rsidR="00313B05" w:rsidRPr="003F52B2">
        <w:rPr>
          <w:sz w:val="24"/>
          <w:szCs w:val="24"/>
        </w:rPr>
        <w:t>February 1</w:t>
      </w:r>
      <w:r w:rsidR="00442C2D" w:rsidRPr="003F52B2">
        <w:rPr>
          <w:sz w:val="24"/>
          <w:szCs w:val="24"/>
        </w:rPr>
        <w:t>0</w:t>
      </w:r>
      <w:r w:rsidR="00313B05" w:rsidRPr="003F52B2">
        <w:rPr>
          <w:sz w:val="24"/>
          <w:szCs w:val="24"/>
        </w:rPr>
        <w:t>, 201</w:t>
      </w:r>
      <w:r w:rsidR="00442C2D" w:rsidRPr="003F52B2">
        <w:rPr>
          <w:sz w:val="24"/>
          <w:szCs w:val="24"/>
        </w:rPr>
        <w:t>2</w:t>
      </w:r>
      <w:r w:rsidR="00313B05" w:rsidRPr="003F52B2">
        <w:rPr>
          <w:sz w:val="24"/>
          <w:szCs w:val="24"/>
        </w:rPr>
        <w:t>, M</w:t>
      </w:r>
      <w:r w:rsidR="00442C2D" w:rsidRPr="003F52B2">
        <w:rPr>
          <w:sz w:val="24"/>
          <w:szCs w:val="24"/>
        </w:rPr>
        <w:t>r</w:t>
      </w:r>
      <w:r w:rsidR="00313B05" w:rsidRPr="003F52B2">
        <w:rPr>
          <w:sz w:val="24"/>
          <w:szCs w:val="24"/>
        </w:rPr>
        <w:t xml:space="preserve">. </w:t>
      </w:r>
      <w:r w:rsidR="00442C2D" w:rsidRPr="003F52B2">
        <w:rPr>
          <w:sz w:val="24"/>
          <w:szCs w:val="24"/>
        </w:rPr>
        <w:t xml:space="preserve">Alloway </w:t>
      </w:r>
      <w:r w:rsidR="00313B05" w:rsidRPr="003F52B2">
        <w:rPr>
          <w:sz w:val="24"/>
          <w:szCs w:val="24"/>
        </w:rPr>
        <w:t>filed h</w:t>
      </w:r>
      <w:r w:rsidR="00442C2D" w:rsidRPr="003F52B2">
        <w:rPr>
          <w:sz w:val="24"/>
          <w:szCs w:val="24"/>
        </w:rPr>
        <w:t>is</w:t>
      </w:r>
      <w:r w:rsidR="00313B05" w:rsidRPr="003F52B2">
        <w:rPr>
          <w:sz w:val="24"/>
          <w:szCs w:val="24"/>
        </w:rPr>
        <w:t xml:space="preserve"> Formal Complaint against</w:t>
      </w:r>
    </w:p>
    <w:p w:rsidR="009A6084" w:rsidRDefault="00442C2D" w:rsidP="003F52B2">
      <w:pPr>
        <w:pStyle w:val="ListParagraph"/>
        <w:suppressAutoHyphens/>
        <w:autoSpaceDE w:val="0"/>
        <w:autoSpaceDN w:val="0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PAWC</w:t>
      </w:r>
      <w:r w:rsidR="00313B05">
        <w:rPr>
          <w:sz w:val="24"/>
          <w:szCs w:val="24"/>
        </w:rPr>
        <w:t xml:space="preserve">, opposing the Company’s rate increase and alleging </w:t>
      </w:r>
      <w:r>
        <w:rPr>
          <w:sz w:val="24"/>
          <w:szCs w:val="24"/>
        </w:rPr>
        <w:t>the Company’s flat rate for unmetered service was unfair because, as a single member household, he p</w:t>
      </w:r>
      <w:r w:rsidR="00CF7973">
        <w:rPr>
          <w:sz w:val="24"/>
          <w:szCs w:val="24"/>
        </w:rPr>
        <w:t>ays</w:t>
      </w:r>
      <w:r>
        <w:rPr>
          <w:sz w:val="24"/>
          <w:szCs w:val="24"/>
        </w:rPr>
        <w:t xml:space="preserve"> the same rate as</w:t>
      </w:r>
      <w:r w:rsidR="00A96B22">
        <w:rPr>
          <w:sz w:val="24"/>
          <w:szCs w:val="24"/>
        </w:rPr>
        <w:t xml:space="preserve"> a household of four or more.</w:t>
      </w:r>
      <w:r w:rsidR="009A6084">
        <w:rPr>
          <w:sz w:val="24"/>
          <w:szCs w:val="24"/>
        </w:rPr>
        <w:t xml:space="preserve"> </w:t>
      </w:r>
      <w:r w:rsidR="003F52B2">
        <w:rPr>
          <w:sz w:val="24"/>
          <w:szCs w:val="24"/>
        </w:rPr>
        <w:t xml:space="preserve"> </w:t>
      </w:r>
      <w:r w:rsidR="009A6084">
        <w:rPr>
          <w:sz w:val="24"/>
          <w:szCs w:val="24"/>
        </w:rPr>
        <w:t xml:space="preserve">Complaint </w:t>
      </w:r>
      <w:r w:rsidR="00A96B22">
        <w:rPr>
          <w:sz w:val="24"/>
          <w:szCs w:val="24"/>
        </w:rPr>
        <w:t>¶</w:t>
      </w:r>
      <w:r w:rsidR="009A6084">
        <w:rPr>
          <w:sz w:val="24"/>
          <w:szCs w:val="24"/>
        </w:rPr>
        <w:t>¶4</w:t>
      </w:r>
      <w:r w:rsidR="00A96B22">
        <w:rPr>
          <w:sz w:val="24"/>
          <w:szCs w:val="24"/>
        </w:rPr>
        <w:t xml:space="preserve">A and </w:t>
      </w:r>
      <w:r w:rsidR="00883537">
        <w:rPr>
          <w:sz w:val="24"/>
          <w:szCs w:val="24"/>
        </w:rPr>
        <w:t>B; Tr. 14.</w:t>
      </w:r>
    </w:p>
    <w:p w:rsidR="009A6084" w:rsidRPr="009A6084" w:rsidRDefault="009A6084" w:rsidP="009A6084">
      <w:pPr>
        <w:pStyle w:val="ListParagraph"/>
        <w:rPr>
          <w:sz w:val="24"/>
          <w:szCs w:val="24"/>
        </w:rPr>
      </w:pPr>
    </w:p>
    <w:p w:rsidR="00E7075A" w:rsidRDefault="00E7075A" w:rsidP="00847EB9">
      <w:pPr>
        <w:pStyle w:val="ListParagraph"/>
        <w:numPr>
          <w:ilvl w:val="0"/>
          <w:numId w:val="4"/>
        </w:numPr>
        <w:suppressAutoHyphens/>
        <w:autoSpaceDE w:val="0"/>
        <w:autoSpaceDN w:val="0"/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A96B22">
        <w:rPr>
          <w:sz w:val="24"/>
          <w:szCs w:val="24"/>
        </w:rPr>
        <w:t>March 6, 2012</w:t>
      </w:r>
      <w:r>
        <w:rPr>
          <w:sz w:val="24"/>
          <w:szCs w:val="24"/>
        </w:rPr>
        <w:t xml:space="preserve">, </w:t>
      </w:r>
      <w:r w:rsidR="00A96B22">
        <w:rPr>
          <w:sz w:val="24"/>
          <w:szCs w:val="24"/>
        </w:rPr>
        <w:t xml:space="preserve">PAWC </w:t>
      </w:r>
      <w:r>
        <w:rPr>
          <w:sz w:val="24"/>
          <w:szCs w:val="24"/>
        </w:rPr>
        <w:t xml:space="preserve">filed its Answer </w:t>
      </w:r>
      <w:r w:rsidR="00A96B22">
        <w:rPr>
          <w:sz w:val="24"/>
          <w:szCs w:val="24"/>
        </w:rPr>
        <w:t>denying that its Commission</w:t>
      </w:r>
      <w:r w:rsidR="003F52B2">
        <w:rPr>
          <w:sz w:val="24"/>
          <w:szCs w:val="24"/>
        </w:rPr>
        <w:t>-</w:t>
      </w:r>
      <w:r w:rsidR="008C6228">
        <w:rPr>
          <w:sz w:val="24"/>
          <w:szCs w:val="24"/>
        </w:rPr>
        <w:t xml:space="preserve"> </w:t>
      </w:r>
      <w:r w:rsidR="00A96B22">
        <w:rPr>
          <w:sz w:val="24"/>
          <w:szCs w:val="24"/>
        </w:rPr>
        <w:t xml:space="preserve">approved rate for wastewater services was unfair to Mr. Alloway. </w:t>
      </w:r>
      <w:r w:rsidR="003F52B2">
        <w:rPr>
          <w:sz w:val="24"/>
          <w:szCs w:val="24"/>
        </w:rPr>
        <w:t xml:space="preserve"> </w:t>
      </w:r>
      <w:r w:rsidR="00933D51">
        <w:rPr>
          <w:sz w:val="24"/>
          <w:szCs w:val="24"/>
        </w:rPr>
        <w:t>Answer ¶4</w:t>
      </w:r>
      <w:r w:rsidR="00A96B22">
        <w:rPr>
          <w:sz w:val="24"/>
          <w:szCs w:val="24"/>
        </w:rPr>
        <w:t>B</w:t>
      </w:r>
      <w:r w:rsidR="00883537">
        <w:rPr>
          <w:sz w:val="24"/>
          <w:szCs w:val="24"/>
        </w:rPr>
        <w:t>;</w:t>
      </w:r>
      <w:r w:rsidR="00A96B22">
        <w:rPr>
          <w:sz w:val="24"/>
          <w:szCs w:val="24"/>
        </w:rPr>
        <w:t xml:space="preserve"> </w:t>
      </w:r>
      <w:r w:rsidR="00774502">
        <w:rPr>
          <w:sz w:val="24"/>
          <w:szCs w:val="24"/>
        </w:rPr>
        <w:t xml:space="preserve">Tr. </w:t>
      </w:r>
      <w:r w:rsidR="00883537">
        <w:rPr>
          <w:sz w:val="24"/>
          <w:szCs w:val="24"/>
        </w:rPr>
        <w:t>2</w:t>
      </w:r>
      <w:r w:rsidR="00774502">
        <w:rPr>
          <w:sz w:val="24"/>
          <w:szCs w:val="24"/>
        </w:rPr>
        <w:t>6</w:t>
      </w:r>
      <w:r w:rsidR="00933D51">
        <w:rPr>
          <w:sz w:val="24"/>
          <w:szCs w:val="24"/>
        </w:rPr>
        <w:t>.</w:t>
      </w:r>
    </w:p>
    <w:p w:rsidR="001759FE" w:rsidRPr="001759FE" w:rsidRDefault="001759FE" w:rsidP="00847EB9">
      <w:pPr>
        <w:pStyle w:val="ListParagraph"/>
        <w:spacing w:line="360" w:lineRule="auto"/>
        <w:rPr>
          <w:sz w:val="24"/>
          <w:szCs w:val="24"/>
        </w:rPr>
      </w:pPr>
    </w:p>
    <w:p w:rsidR="001D5F2E" w:rsidRPr="00192971" w:rsidRDefault="001D5F2E" w:rsidP="00847EB9">
      <w:pPr>
        <w:tabs>
          <w:tab w:val="left" w:pos="2160"/>
        </w:tabs>
        <w:spacing w:line="360" w:lineRule="auto"/>
        <w:jc w:val="center"/>
        <w:rPr>
          <w:sz w:val="24"/>
          <w:szCs w:val="24"/>
          <w:u w:val="single"/>
        </w:rPr>
      </w:pPr>
      <w:r w:rsidRPr="00DD5B52">
        <w:rPr>
          <w:sz w:val="24"/>
          <w:szCs w:val="24"/>
          <w:u w:val="single"/>
        </w:rPr>
        <w:t>DISCUSSION</w:t>
      </w:r>
    </w:p>
    <w:p w:rsidR="006E4830" w:rsidRPr="00192971" w:rsidRDefault="006E4830" w:rsidP="00847EB9">
      <w:pPr>
        <w:tabs>
          <w:tab w:val="left" w:pos="2160"/>
        </w:tabs>
        <w:spacing w:line="360" w:lineRule="auto"/>
        <w:jc w:val="center"/>
        <w:rPr>
          <w:sz w:val="24"/>
          <w:szCs w:val="24"/>
          <w:u w:val="single"/>
        </w:rPr>
      </w:pPr>
    </w:p>
    <w:p w:rsidR="006E4830" w:rsidRDefault="006E4830" w:rsidP="00847EB9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192971">
        <w:rPr>
          <w:sz w:val="24"/>
          <w:szCs w:val="24"/>
        </w:rPr>
        <w:t xml:space="preserve">As the party seeking </w:t>
      </w:r>
      <w:r>
        <w:rPr>
          <w:sz w:val="24"/>
          <w:szCs w:val="24"/>
        </w:rPr>
        <w:t xml:space="preserve">relief from </w:t>
      </w:r>
      <w:r w:rsidRPr="00192971">
        <w:rPr>
          <w:sz w:val="24"/>
          <w:szCs w:val="24"/>
        </w:rPr>
        <w:t>th</w:t>
      </w:r>
      <w:r>
        <w:rPr>
          <w:sz w:val="24"/>
          <w:szCs w:val="24"/>
        </w:rPr>
        <w:t>e</w:t>
      </w:r>
      <w:r w:rsidRPr="00192971">
        <w:rPr>
          <w:sz w:val="24"/>
          <w:szCs w:val="24"/>
        </w:rPr>
        <w:t xml:space="preserve"> Commission, </w:t>
      </w:r>
      <w:r w:rsidR="003476FF">
        <w:rPr>
          <w:sz w:val="24"/>
          <w:szCs w:val="24"/>
        </w:rPr>
        <w:t xml:space="preserve">the </w:t>
      </w:r>
      <w:r w:rsidR="00001323">
        <w:rPr>
          <w:sz w:val="24"/>
          <w:szCs w:val="24"/>
        </w:rPr>
        <w:t>c</w:t>
      </w:r>
      <w:r w:rsidRPr="00192971">
        <w:rPr>
          <w:sz w:val="24"/>
          <w:szCs w:val="24"/>
        </w:rPr>
        <w:t xml:space="preserve">omplainant has the burden of proving </w:t>
      </w:r>
      <w:r w:rsidR="003476FF">
        <w:rPr>
          <w:sz w:val="24"/>
          <w:szCs w:val="24"/>
        </w:rPr>
        <w:t xml:space="preserve">the </w:t>
      </w:r>
      <w:r w:rsidR="00001323">
        <w:rPr>
          <w:sz w:val="24"/>
          <w:szCs w:val="24"/>
        </w:rPr>
        <w:t>r</w:t>
      </w:r>
      <w:r w:rsidRPr="00192971">
        <w:rPr>
          <w:sz w:val="24"/>
          <w:szCs w:val="24"/>
        </w:rPr>
        <w:t xml:space="preserve">espondent violated the provisions of the Public Utility Code </w:t>
      </w:r>
      <w:r w:rsidR="00EC6E46">
        <w:rPr>
          <w:sz w:val="24"/>
          <w:szCs w:val="24"/>
        </w:rPr>
        <w:t xml:space="preserve">(Code) </w:t>
      </w:r>
      <w:r w:rsidRPr="00192971">
        <w:rPr>
          <w:sz w:val="24"/>
          <w:szCs w:val="24"/>
        </w:rPr>
        <w:t xml:space="preserve">or this Commission’s regulations </w:t>
      </w:r>
      <w:r>
        <w:rPr>
          <w:sz w:val="24"/>
          <w:szCs w:val="24"/>
        </w:rPr>
        <w:t xml:space="preserve">or order </w:t>
      </w:r>
      <w:r w:rsidRPr="00192971">
        <w:rPr>
          <w:sz w:val="24"/>
          <w:szCs w:val="24"/>
        </w:rPr>
        <w:t>in some fashion.  Section 332(a) of the Code,</w:t>
      </w:r>
      <w:r w:rsidR="00EC6E46">
        <w:rPr>
          <w:sz w:val="24"/>
          <w:szCs w:val="24"/>
        </w:rPr>
        <w:t xml:space="preserve"> </w:t>
      </w:r>
      <w:r w:rsidRPr="00192971">
        <w:rPr>
          <w:sz w:val="24"/>
          <w:szCs w:val="24"/>
        </w:rPr>
        <w:t>66 Pa. C.S. §332(a).</w:t>
      </w:r>
      <w:r>
        <w:rPr>
          <w:sz w:val="24"/>
          <w:szCs w:val="24"/>
        </w:rPr>
        <w:t xml:space="preserve">  </w:t>
      </w:r>
      <w:r w:rsidRPr="006C16D1">
        <w:rPr>
          <w:spacing w:val="-3"/>
          <w:sz w:val="24"/>
          <w:szCs w:val="24"/>
        </w:rPr>
        <w:t xml:space="preserve">To establish a sufficient case and satisfy the burden of proof, </w:t>
      </w:r>
      <w:r w:rsidR="003476FF">
        <w:rPr>
          <w:spacing w:val="-3"/>
          <w:sz w:val="24"/>
          <w:szCs w:val="24"/>
        </w:rPr>
        <w:t xml:space="preserve">the </w:t>
      </w:r>
      <w:r w:rsidRPr="006C16D1">
        <w:rPr>
          <w:spacing w:val="-3"/>
          <w:sz w:val="24"/>
          <w:szCs w:val="24"/>
        </w:rPr>
        <w:t xml:space="preserve">complainant must show that the respondent public utility is responsible or accountable for the problem described in the </w:t>
      </w:r>
      <w:r w:rsidR="00001323">
        <w:rPr>
          <w:spacing w:val="-3"/>
          <w:sz w:val="24"/>
          <w:szCs w:val="24"/>
        </w:rPr>
        <w:t>c</w:t>
      </w:r>
      <w:r w:rsidRPr="006C16D1">
        <w:rPr>
          <w:spacing w:val="-3"/>
          <w:sz w:val="24"/>
          <w:szCs w:val="24"/>
        </w:rPr>
        <w:t xml:space="preserve">omplaint.  </w:t>
      </w:r>
      <w:r w:rsidRPr="00885B20">
        <w:rPr>
          <w:i/>
          <w:spacing w:val="-3"/>
          <w:sz w:val="24"/>
          <w:szCs w:val="24"/>
        </w:rPr>
        <w:t>Patterson v. Bell Telephone Company of Pennsylvania</w:t>
      </w:r>
      <w:r w:rsidRPr="006C16D1">
        <w:rPr>
          <w:spacing w:val="-3"/>
          <w:sz w:val="24"/>
          <w:szCs w:val="24"/>
        </w:rPr>
        <w:t xml:space="preserve">, 72 PA PUC 196 (1990), </w:t>
      </w:r>
      <w:r w:rsidRPr="00885B20">
        <w:rPr>
          <w:i/>
          <w:spacing w:val="-3"/>
          <w:sz w:val="24"/>
          <w:szCs w:val="24"/>
        </w:rPr>
        <w:t>Feinstein v. Philadelphia Suburban Water Company</w:t>
      </w:r>
      <w:r w:rsidRPr="006C16D1">
        <w:rPr>
          <w:spacing w:val="-3"/>
          <w:sz w:val="24"/>
          <w:szCs w:val="24"/>
        </w:rPr>
        <w:t xml:space="preserve">, 50 PA PUC 300 (1976).  Such a showing must be by a preponderance of the evidence.  </w:t>
      </w:r>
      <w:r w:rsidRPr="00885B20">
        <w:rPr>
          <w:i/>
          <w:spacing w:val="-3"/>
          <w:sz w:val="24"/>
          <w:szCs w:val="24"/>
        </w:rPr>
        <w:t>Samuel J. Lansberry, Inc. v. PA Public Utility Comm’n</w:t>
      </w:r>
      <w:r w:rsidRPr="006C16D1">
        <w:rPr>
          <w:spacing w:val="-3"/>
          <w:sz w:val="24"/>
          <w:szCs w:val="24"/>
        </w:rPr>
        <w:t>, 134 Pa.</w:t>
      </w:r>
      <w:r w:rsidR="0020572E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 xml:space="preserve">Commw. 218; 221-222, 578 A.2d 600; 602 (1990), </w:t>
      </w:r>
      <w:r w:rsidRPr="006C16D1">
        <w:rPr>
          <w:i/>
          <w:spacing w:val="-3"/>
          <w:sz w:val="24"/>
          <w:szCs w:val="24"/>
        </w:rPr>
        <w:t>alloc. den</w:t>
      </w:r>
      <w:r w:rsidR="003476FF">
        <w:rPr>
          <w:spacing w:val="-3"/>
          <w:sz w:val="24"/>
          <w:szCs w:val="24"/>
        </w:rPr>
        <w:t>., 602 A.2d 863 (Pa.</w:t>
      </w:r>
      <w:r w:rsidRPr="006C16D1">
        <w:rPr>
          <w:spacing w:val="-3"/>
          <w:sz w:val="24"/>
          <w:szCs w:val="24"/>
        </w:rPr>
        <w:t xml:space="preserve"> 1992).  </w:t>
      </w:r>
      <w:r w:rsidR="003476FF">
        <w:rPr>
          <w:spacing w:val="-3"/>
          <w:sz w:val="24"/>
          <w:szCs w:val="24"/>
        </w:rPr>
        <w:t>The burden is met</w:t>
      </w:r>
      <w:r w:rsidRPr="006C16D1">
        <w:rPr>
          <w:spacing w:val="-3"/>
          <w:sz w:val="24"/>
          <w:szCs w:val="24"/>
        </w:rPr>
        <w:t xml:space="preserve"> by presenting evidence more convincing, by even the smallest amount, than that presented by the other party.  </w:t>
      </w:r>
      <w:r w:rsidRPr="00885B20">
        <w:rPr>
          <w:i/>
          <w:spacing w:val="-3"/>
          <w:sz w:val="24"/>
          <w:szCs w:val="24"/>
        </w:rPr>
        <w:t>Se-Ling Hosiery v. Margulies</w:t>
      </w:r>
      <w:r w:rsidRPr="006C16D1">
        <w:rPr>
          <w:spacing w:val="-3"/>
          <w:sz w:val="24"/>
          <w:szCs w:val="24"/>
        </w:rPr>
        <w:t xml:space="preserve">, 364 Pa. 45, 70 A.2d 854 (1950).  </w:t>
      </w:r>
    </w:p>
    <w:p w:rsidR="006E4830" w:rsidRDefault="006E4830" w:rsidP="006E48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6E4830" w:rsidRPr="006C16D1" w:rsidRDefault="006E4830" w:rsidP="006E48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6C16D1">
        <w:rPr>
          <w:spacing w:val="-3"/>
          <w:sz w:val="24"/>
          <w:szCs w:val="24"/>
        </w:rPr>
        <w:t xml:space="preserve">Additionally, any finding of fact necessary to support the Commission’s adjudication must be based upon substantial evidence.  </w:t>
      </w:r>
      <w:r w:rsidRPr="00885B20">
        <w:rPr>
          <w:i/>
          <w:spacing w:val="-3"/>
          <w:sz w:val="24"/>
          <w:szCs w:val="24"/>
        </w:rPr>
        <w:t>Mill v. Comm’w., PA Public Utility Comm’n</w:t>
      </w:r>
      <w:r w:rsidRPr="006C16D1">
        <w:rPr>
          <w:spacing w:val="-3"/>
          <w:sz w:val="24"/>
          <w:szCs w:val="24"/>
        </w:rPr>
        <w:t>, 67 Pa.</w:t>
      </w:r>
      <w:r w:rsidR="0020572E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 xml:space="preserve">Commw. 597, 447 A.2d 1100 (1982), </w:t>
      </w:r>
      <w:r w:rsidRPr="00885B20">
        <w:rPr>
          <w:i/>
          <w:spacing w:val="-3"/>
          <w:sz w:val="24"/>
          <w:szCs w:val="24"/>
        </w:rPr>
        <w:t>Edan Transportation Corp. v. PA Public Utility Comm’n</w:t>
      </w:r>
      <w:r w:rsidRPr="006C16D1">
        <w:rPr>
          <w:spacing w:val="-3"/>
          <w:sz w:val="24"/>
          <w:szCs w:val="24"/>
        </w:rPr>
        <w:t>, 154 Pa.</w:t>
      </w:r>
      <w:r w:rsidR="0020572E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>Commw. 21, 623 A.2d 6 (1993), 2 Pa.</w:t>
      </w:r>
      <w:r w:rsidR="002A03FF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 xml:space="preserve">C.S. §704.  More is required than a mere trace of evidence or a suspicion of the existence of a fact sought to be established.  </w:t>
      </w:r>
      <w:r w:rsidRPr="00885B20">
        <w:rPr>
          <w:i/>
          <w:spacing w:val="-3"/>
          <w:sz w:val="24"/>
          <w:szCs w:val="24"/>
        </w:rPr>
        <w:t>Norfolk and Western Ry. v. PA Public Utility Comm’n</w:t>
      </w:r>
      <w:r w:rsidRPr="006C16D1">
        <w:rPr>
          <w:spacing w:val="-3"/>
          <w:sz w:val="24"/>
          <w:szCs w:val="24"/>
        </w:rPr>
        <w:t>, 489 Pa. 109, 413 A.2d 1037 (1980);</w:t>
      </w:r>
      <w:r w:rsidR="00141D6F">
        <w:rPr>
          <w:spacing w:val="-3"/>
          <w:sz w:val="24"/>
          <w:szCs w:val="24"/>
        </w:rPr>
        <w:t xml:space="preserve"> </w:t>
      </w:r>
      <w:r w:rsidRPr="00885B20">
        <w:rPr>
          <w:i/>
          <w:spacing w:val="-3"/>
          <w:sz w:val="24"/>
          <w:szCs w:val="24"/>
        </w:rPr>
        <w:t xml:space="preserve">Erie Resistor </w:t>
      </w:r>
      <w:r w:rsidRPr="00885B20">
        <w:rPr>
          <w:i/>
          <w:spacing w:val="-3"/>
          <w:sz w:val="24"/>
          <w:szCs w:val="24"/>
        </w:rPr>
        <w:lastRenderedPageBreak/>
        <w:t>Corp. v. Unemployment Compensation Bd. of Review</w:t>
      </w:r>
      <w:r w:rsidRPr="006C16D1">
        <w:rPr>
          <w:spacing w:val="-3"/>
          <w:sz w:val="24"/>
          <w:szCs w:val="24"/>
        </w:rPr>
        <w:t>, 194 Pa.</w:t>
      </w:r>
      <w:r w:rsidR="00001323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 xml:space="preserve">Super. 278, 166 A.2d 96 (1960); </w:t>
      </w:r>
      <w:r w:rsidRPr="00885B20">
        <w:rPr>
          <w:i/>
          <w:spacing w:val="-3"/>
          <w:sz w:val="24"/>
          <w:szCs w:val="24"/>
        </w:rPr>
        <w:t>Murphy v. Commonwealth, Dep’t. of Public Welfare, White Haven Center</w:t>
      </w:r>
      <w:r w:rsidRPr="006C16D1">
        <w:rPr>
          <w:spacing w:val="-3"/>
          <w:sz w:val="24"/>
          <w:szCs w:val="24"/>
        </w:rPr>
        <w:t>, 85 Pa.</w:t>
      </w:r>
      <w:r w:rsidR="0020572E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>Commw. 23, 480 A.2d 382 (1984).</w:t>
      </w:r>
    </w:p>
    <w:p w:rsidR="006E4830" w:rsidRDefault="006E4830" w:rsidP="006E4830">
      <w:pPr>
        <w:tabs>
          <w:tab w:val="left" w:pos="-1440"/>
          <w:tab w:val="left" w:pos="-720"/>
        </w:tabs>
        <w:suppressAutoHyphens/>
        <w:spacing w:line="360" w:lineRule="auto"/>
        <w:rPr>
          <w:sz w:val="24"/>
          <w:szCs w:val="24"/>
        </w:rPr>
      </w:pPr>
    </w:p>
    <w:p w:rsidR="00C77914" w:rsidRDefault="00883537" w:rsidP="00C77914">
      <w:pPr>
        <w:tabs>
          <w:tab w:val="left" w:pos="-1440"/>
          <w:tab w:val="left" w:pos="-720"/>
        </w:tabs>
        <w:suppressAutoHyphens/>
        <w:ind w:right="1080" w:firstLine="1440"/>
        <w:rPr>
          <w:sz w:val="24"/>
          <w:szCs w:val="24"/>
        </w:rPr>
      </w:pPr>
      <w:r>
        <w:rPr>
          <w:sz w:val="24"/>
          <w:szCs w:val="24"/>
        </w:rPr>
        <w:t>Mr. Alloway submits:</w:t>
      </w:r>
    </w:p>
    <w:p w:rsidR="00C77914" w:rsidRDefault="00C77914" w:rsidP="00C77914">
      <w:pPr>
        <w:tabs>
          <w:tab w:val="left" w:pos="-1440"/>
          <w:tab w:val="left" w:pos="-720"/>
        </w:tabs>
        <w:suppressAutoHyphens/>
        <w:ind w:right="1080" w:firstLine="1440"/>
        <w:rPr>
          <w:sz w:val="24"/>
          <w:szCs w:val="24"/>
        </w:rPr>
      </w:pPr>
    </w:p>
    <w:p w:rsidR="00883537" w:rsidRDefault="00883537" w:rsidP="00C77914">
      <w:pPr>
        <w:tabs>
          <w:tab w:val="left" w:pos="-1440"/>
          <w:tab w:val="left" w:pos="-720"/>
        </w:tabs>
        <w:suppressAutoHyphens/>
        <w:ind w:right="1080" w:firstLine="1440"/>
        <w:rPr>
          <w:sz w:val="24"/>
          <w:szCs w:val="24"/>
        </w:rPr>
      </w:pPr>
      <w:r>
        <w:rPr>
          <w:sz w:val="24"/>
          <w:szCs w:val="24"/>
        </w:rPr>
        <w:t>My main complaint is I, as a single person, I’m pay</w:t>
      </w:r>
      <w:r w:rsidR="00C77914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the same flat </w:t>
      </w:r>
      <w:r w:rsidR="00C77914">
        <w:rPr>
          <w:sz w:val="24"/>
          <w:szCs w:val="24"/>
        </w:rPr>
        <w:tab/>
      </w:r>
      <w:r w:rsidR="00C77914">
        <w:rPr>
          <w:sz w:val="24"/>
          <w:szCs w:val="24"/>
        </w:rPr>
        <w:tab/>
      </w:r>
      <w:r>
        <w:rPr>
          <w:sz w:val="24"/>
          <w:szCs w:val="24"/>
        </w:rPr>
        <w:t xml:space="preserve">rate for sewage as single dwelling units, which would be a party of </w:t>
      </w:r>
      <w:r w:rsidR="00C77914">
        <w:rPr>
          <w:sz w:val="24"/>
          <w:szCs w:val="24"/>
        </w:rPr>
        <w:tab/>
      </w:r>
      <w:r w:rsidR="00C77914">
        <w:rPr>
          <w:sz w:val="24"/>
          <w:szCs w:val="24"/>
        </w:rPr>
        <w:tab/>
      </w:r>
      <w:r w:rsidR="00C77914">
        <w:rPr>
          <w:sz w:val="24"/>
          <w:szCs w:val="24"/>
        </w:rPr>
        <w:tab/>
      </w:r>
      <w:r>
        <w:rPr>
          <w:sz w:val="24"/>
          <w:szCs w:val="24"/>
        </w:rPr>
        <w:t>t</w:t>
      </w:r>
      <w:r w:rsidR="00C77914">
        <w:rPr>
          <w:sz w:val="24"/>
          <w:szCs w:val="24"/>
        </w:rPr>
        <w:t xml:space="preserve">wo, three, four, or even more.  I consider the rate too expensive for </w:t>
      </w:r>
      <w:r w:rsidR="00C77914">
        <w:rPr>
          <w:sz w:val="24"/>
          <w:szCs w:val="24"/>
        </w:rPr>
        <w:tab/>
      </w:r>
      <w:r w:rsidR="00C77914">
        <w:rPr>
          <w:sz w:val="24"/>
          <w:szCs w:val="24"/>
        </w:rPr>
        <w:tab/>
        <w:t xml:space="preserve">the amount I use, produce sewage.  </w:t>
      </w:r>
    </w:p>
    <w:p w:rsidR="00C77914" w:rsidRDefault="00C77914" w:rsidP="00C77914">
      <w:pPr>
        <w:tabs>
          <w:tab w:val="left" w:pos="-1440"/>
          <w:tab w:val="left" w:pos="-720"/>
        </w:tabs>
        <w:suppressAutoHyphens/>
        <w:spacing w:line="360" w:lineRule="auto"/>
        <w:ind w:left="1354" w:right="1080" w:firstLine="86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C77914" w:rsidRDefault="00C77914" w:rsidP="00C77914">
      <w:pPr>
        <w:tabs>
          <w:tab w:val="left" w:pos="-1440"/>
          <w:tab w:val="left" w:pos="-720"/>
        </w:tabs>
        <w:suppressAutoHyphens/>
        <w:ind w:left="1440" w:right="1080"/>
        <w:rPr>
          <w:sz w:val="24"/>
          <w:szCs w:val="24"/>
        </w:rPr>
      </w:pPr>
      <w:r>
        <w:rPr>
          <w:sz w:val="24"/>
          <w:szCs w:val="24"/>
        </w:rPr>
        <w:t xml:space="preserve">I think the flat </w:t>
      </w:r>
      <w:r w:rsidR="003B50AA">
        <w:rPr>
          <w:sz w:val="24"/>
          <w:szCs w:val="24"/>
        </w:rPr>
        <w:t xml:space="preserve">rate </w:t>
      </w:r>
      <w:r>
        <w:rPr>
          <w:sz w:val="24"/>
          <w:szCs w:val="24"/>
        </w:rPr>
        <w:t>is wrong for a single person.  I think they ought to take how ma</w:t>
      </w:r>
      <w:r w:rsidR="00141D6F">
        <w:rPr>
          <w:sz w:val="24"/>
          <w:szCs w:val="24"/>
        </w:rPr>
        <w:t>n</w:t>
      </w:r>
      <w:r>
        <w:rPr>
          <w:sz w:val="24"/>
          <w:szCs w:val="24"/>
        </w:rPr>
        <w:t xml:space="preserve">y people are </w:t>
      </w:r>
      <w:r w:rsidR="003B50AA">
        <w:rPr>
          <w:sz w:val="24"/>
          <w:szCs w:val="24"/>
        </w:rPr>
        <w:t>bu</w:t>
      </w:r>
      <w:r>
        <w:rPr>
          <w:sz w:val="24"/>
          <w:szCs w:val="24"/>
        </w:rPr>
        <w:t>ying the house to figure out a flat rate.</w:t>
      </w:r>
    </w:p>
    <w:p w:rsidR="00C77914" w:rsidRDefault="00C77914" w:rsidP="00C77914">
      <w:pPr>
        <w:tabs>
          <w:tab w:val="left" w:pos="-1440"/>
          <w:tab w:val="left" w:pos="-720"/>
        </w:tabs>
        <w:suppressAutoHyphens/>
        <w:ind w:left="1440" w:right="1080"/>
        <w:rPr>
          <w:sz w:val="24"/>
          <w:szCs w:val="24"/>
        </w:rPr>
      </w:pPr>
    </w:p>
    <w:p w:rsidR="00C77914" w:rsidRDefault="00C77914" w:rsidP="003B50AA">
      <w:pPr>
        <w:tabs>
          <w:tab w:val="left" w:pos="-1440"/>
          <w:tab w:val="left" w:pos="-720"/>
        </w:tabs>
        <w:suppressAutoHyphens/>
        <w:spacing w:line="36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Tr. 14.</w:t>
      </w:r>
    </w:p>
    <w:p w:rsidR="00C77914" w:rsidRDefault="00C77914" w:rsidP="003B50AA">
      <w:pPr>
        <w:tabs>
          <w:tab w:val="left" w:pos="-1440"/>
          <w:tab w:val="left" w:pos="-720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83537" w:rsidRDefault="00141D6F" w:rsidP="003B50AA">
      <w:pPr>
        <w:tabs>
          <w:tab w:val="left" w:pos="-1440"/>
          <w:tab w:val="left" w:pos="-720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PAWC counters that before its Commission</w:t>
      </w:r>
      <w:r w:rsidR="00B3557D">
        <w:rPr>
          <w:sz w:val="24"/>
          <w:szCs w:val="24"/>
        </w:rPr>
        <w:t>-</w:t>
      </w:r>
      <w:r>
        <w:rPr>
          <w:sz w:val="24"/>
          <w:szCs w:val="24"/>
        </w:rPr>
        <w:t xml:space="preserve">approved rates became effective on December 16, 2010, customers were given </w:t>
      </w:r>
      <w:r w:rsidR="00E4079A">
        <w:rPr>
          <w:sz w:val="24"/>
          <w:szCs w:val="24"/>
        </w:rPr>
        <w:t xml:space="preserve">timely </w:t>
      </w:r>
      <w:r>
        <w:rPr>
          <w:sz w:val="24"/>
          <w:szCs w:val="24"/>
        </w:rPr>
        <w:t xml:space="preserve">notice of </w:t>
      </w:r>
      <w:r w:rsidR="00E4079A">
        <w:rPr>
          <w:sz w:val="24"/>
          <w:szCs w:val="24"/>
        </w:rPr>
        <w:t xml:space="preserve">its April 2010 </w:t>
      </w:r>
      <w:r w:rsidR="008C6228">
        <w:rPr>
          <w:sz w:val="24"/>
          <w:szCs w:val="24"/>
        </w:rPr>
        <w:t xml:space="preserve">rate </w:t>
      </w:r>
      <w:r w:rsidR="00E4079A">
        <w:rPr>
          <w:sz w:val="24"/>
          <w:szCs w:val="24"/>
        </w:rPr>
        <w:t>filing</w:t>
      </w:r>
      <w:r w:rsidR="00B3557D">
        <w:rPr>
          <w:sz w:val="24"/>
          <w:szCs w:val="24"/>
        </w:rPr>
        <w:t>, which proposed</w:t>
      </w:r>
      <w:r w:rsidR="00E4079A">
        <w:rPr>
          <w:sz w:val="24"/>
          <w:szCs w:val="24"/>
        </w:rPr>
        <w:t xml:space="preserve"> </w:t>
      </w:r>
      <w:r w:rsidR="00B3557D">
        <w:rPr>
          <w:sz w:val="24"/>
          <w:szCs w:val="24"/>
        </w:rPr>
        <w:t>a 197 percent overall increase in annual revenues.  Tr. 19</w:t>
      </w:r>
      <w:r w:rsidR="0093007D">
        <w:rPr>
          <w:sz w:val="24"/>
          <w:szCs w:val="24"/>
        </w:rPr>
        <w:t xml:space="preserve">.  “The primary driver of the case (the proposed increase) was the company’s $55 million investment in a new wastewater treatment facility for Coatesville and the surrounding areas.”  Tr. 19.  </w:t>
      </w:r>
      <w:r w:rsidR="00E4079A">
        <w:rPr>
          <w:sz w:val="24"/>
          <w:szCs w:val="24"/>
        </w:rPr>
        <w:t xml:space="preserve">The proposed changes in PAWC’s rates for </w:t>
      </w:r>
      <w:r w:rsidR="0093007D">
        <w:rPr>
          <w:sz w:val="24"/>
          <w:szCs w:val="24"/>
        </w:rPr>
        <w:t>the</w:t>
      </w:r>
      <w:r w:rsidR="00E4079A">
        <w:rPr>
          <w:sz w:val="24"/>
          <w:szCs w:val="24"/>
        </w:rPr>
        <w:t xml:space="preserve"> Coatesville area</w:t>
      </w:r>
      <w:r w:rsidR="00B3557D">
        <w:rPr>
          <w:sz w:val="24"/>
          <w:szCs w:val="24"/>
        </w:rPr>
        <w:t xml:space="preserve"> generated significant media coverage and public interest. Tr. 18.  </w:t>
      </w:r>
      <w:r w:rsidR="004B7D4B">
        <w:rPr>
          <w:sz w:val="24"/>
          <w:szCs w:val="24"/>
        </w:rPr>
        <w:t xml:space="preserve">The Municipal Sewer Group, comprising four townships and two authorities served by the Coatesville facility, filed a formal complaint on behalf of the interest of its residents.  Tr. 20.  City/Borough Alliance, which included the City of Coatesville, the Borough of Parkesburg and the Township of East Fallowfield, intervened in the rate proceeding on behalf of its residents.  Tr. 20.  </w:t>
      </w:r>
      <w:r w:rsidR="00CE4FCF">
        <w:rPr>
          <w:sz w:val="24"/>
          <w:szCs w:val="24"/>
        </w:rPr>
        <w:t xml:space="preserve">The City/Borough Alliance was an active party during the rate proceeding.  Tr. 22.  The </w:t>
      </w:r>
      <w:r w:rsidR="00E2105B">
        <w:rPr>
          <w:sz w:val="24"/>
          <w:szCs w:val="24"/>
        </w:rPr>
        <w:t xml:space="preserve">Pennsylvania </w:t>
      </w:r>
      <w:r w:rsidR="00CE4FCF">
        <w:rPr>
          <w:sz w:val="24"/>
          <w:szCs w:val="24"/>
        </w:rPr>
        <w:t>Office of Consumer Advocate</w:t>
      </w:r>
      <w:r w:rsidR="00E2105B">
        <w:rPr>
          <w:sz w:val="24"/>
          <w:szCs w:val="24"/>
        </w:rPr>
        <w:t xml:space="preserve">, the Pennsylvania Office of Small Business Advocate </w:t>
      </w:r>
      <w:r w:rsidR="00CE4FCF">
        <w:rPr>
          <w:sz w:val="24"/>
          <w:szCs w:val="24"/>
        </w:rPr>
        <w:t>and the Commission’s Office of Trial Staff</w:t>
      </w:r>
      <w:r w:rsidR="00202C3D">
        <w:rPr>
          <w:rStyle w:val="FootnoteReference"/>
          <w:sz w:val="24"/>
          <w:szCs w:val="24"/>
        </w:rPr>
        <w:footnoteReference w:id="1"/>
      </w:r>
      <w:r w:rsidR="00CE4FCF">
        <w:rPr>
          <w:sz w:val="24"/>
          <w:szCs w:val="24"/>
        </w:rPr>
        <w:t xml:space="preserve"> were also active parties. </w:t>
      </w:r>
      <w:r w:rsidR="000F1516">
        <w:rPr>
          <w:sz w:val="24"/>
          <w:szCs w:val="24"/>
        </w:rPr>
        <w:t xml:space="preserve"> </w:t>
      </w:r>
      <w:r w:rsidR="00CE4FCF">
        <w:rPr>
          <w:sz w:val="24"/>
          <w:szCs w:val="24"/>
        </w:rPr>
        <w:t xml:space="preserve">Tr. 19. </w:t>
      </w:r>
      <w:r w:rsidR="00202C3D">
        <w:rPr>
          <w:sz w:val="24"/>
          <w:szCs w:val="24"/>
        </w:rPr>
        <w:t xml:space="preserve"> </w:t>
      </w:r>
      <w:r w:rsidR="0093007D">
        <w:rPr>
          <w:sz w:val="24"/>
          <w:szCs w:val="24"/>
        </w:rPr>
        <w:t>F</w:t>
      </w:r>
      <w:r w:rsidR="00E4079A">
        <w:rPr>
          <w:sz w:val="24"/>
          <w:szCs w:val="24"/>
        </w:rPr>
        <w:t>our public input hearings were held in the service territory to receive comments from the public</w:t>
      </w:r>
      <w:r w:rsidR="00B3557D">
        <w:rPr>
          <w:sz w:val="24"/>
          <w:szCs w:val="24"/>
        </w:rPr>
        <w:t xml:space="preserve"> and 113 people testified during the hearings</w:t>
      </w:r>
      <w:r w:rsidR="00E4079A">
        <w:rPr>
          <w:sz w:val="24"/>
          <w:szCs w:val="24"/>
        </w:rPr>
        <w:t xml:space="preserve">. </w:t>
      </w:r>
      <w:r w:rsidR="000F1516">
        <w:rPr>
          <w:sz w:val="24"/>
          <w:szCs w:val="24"/>
        </w:rPr>
        <w:t xml:space="preserve"> </w:t>
      </w:r>
      <w:r w:rsidR="00B3557D">
        <w:rPr>
          <w:sz w:val="24"/>
          <w:szCs w:val="24"/>
        </w:rPr>
        <w:t>Tr. 18.</w:t>
      </w:r>
      <w:r w:rsidR="00CE4FCF">
        <w:rPr>
          <w:sz w:val="24"/>
          <w:szCs w:val="24"/>
        </w:rPr>
        <w:t xml:space="preserve">  </w:t>
      </w:r>
    </w:p>
    <w:p w:rsidR="00085340" w:rsidRDefault="00085340" w:rsidP="009D4C48">
      <w:pPr>
        <w:spacing w:line="360" w:lineRule="auto"/>
        <w:ind w:left="1440" w:right="1080" w:hanging="1440"/>
        <w:rPr>
          <w:sz w:val="24"/>
          <w:szCs w:val="24"/>
        </w:rPr>
      </w:pPr>
    </w:p>
    <w:p w:rsidR="00570469" w:rsidRDefault="00C015DC" w:rsidP="005F56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5F568B">
        <w:rPr>
          <w:sz w:val="24"/>
          <w:szCs w:val="24"/>
        </w:rPr>
        <w:tab/>
      </w:r>
      <w:r w:rsidR="00E2105B">
        <w:rPr>
          <w:sz w:val="24"/>
          <w:szCs w:val="24"/>
        </w:rPr>
        <w:t>“As a result of the public input hearings the company agreed to phas</w:t>
      </w:r>
      <w:r w:rsidR="00633A4D">
        <w:rPr>
          <w:sz w:val="24"/>
          <w:szCs w:val="24"/>
        </w:rPr>
        <w:t>e</w:t>
      </w:r>
      <w:r w:rsidR="00E2105B">
        <w:rPr>
          <w:sz w:val="24"/>
          <w:szCs w:val="24"/>
        </w:rPr>
        <w:t xml:space="preserve"> in the rate incre</w:t>
      </w:r>
      <w:r w:rsidR="008C6228">
        <w:rPr>
          <w:sz w:val="24"/>
          <w:szCs w:val="24"/>
        </w:rPr>
        <w:t>a</w:t>
      </w:r>
      <w:r w:rsidR="00E2105B">
        <w:rPr>
          <w:sz w:val="24"/>
          <w:szCs w:val="24"/>
        </w:rPr>
        <w:t>s</w:t>
      </w:r>
      <w:r w:rsidR="008C6228">
        <w:rPr>
          <w:sz w:val="24"/>
          <w:szCs w:val="24"/>
        </w:rPr>
        <w:t>e</w:t>
      </w:r>
      <w:r w:rsidR="00E2105B">
        <w:rPr>
          <w:sz w:val="24"/>
          <w:szCs w:val="24"/>
        </w:rPr>
        <w:t xml:space="preserve"> over six years… and agree</w:t>
      </w:r>
      <w:r w:rsidR="008C6228">
        <w:rPr>
          <w:sz w:val="24"/>
          <w:szCs w:val="24"/>
        </w:rPr>
        <w:t>d</w:t>
      </w:r>
      <w:r w:rsidR="00E2105B">
        <w:rPr>
          <w:sz w:val="24"/>
          <w:szCs w:val="24"/>
        </w:rPr>
        <w:t xml:space="preserve"> not to file for another general wastewater increase for Coatesville prior to March 31, 2016,” PAWC’s witness, Manager of Rates and Regulations John Cox, </w:t>
      </w:r>
      <w:r w:rsidR="00EB16F9">
        <w:rPr>
          <w:sz w:val="24"/>
          <w:szCs w:val="24"/>
        </w:rPr>
        <w:t xml:space="preserve">(Manager Cox) </w:t>
      </w:r>
      <w:r w:rsidR="008C6228">
        <w:rPr>
          <w:sz w:val="24"/>
          <w:szCs w:val="24"/>
        </w:rPr>
        <w:t>testified</w:t>
      </w:r>
      <w:r w:rsidR="00E2105B">
        <w:rPr>
          <w:sz w:val="24"/>
          <w:szCs w:val="24"/>
        </w:rPr>
        <w:t xml:space="preserve">.  </w:t>
      </w:r>
      <w:r w:rsidR="00426AA9">
        <w:rPr>
          <w:sz w:val="24"/>
          <w:szCs w:val="24"/>
        </w:rPr>
        <w:t>Tr. 22-23.  After multiple discussions between PAWC and the active parties, a settlement was reached, under which the parties would seek Commission approval to allow PAWC to increase its general operating revenues by $5,999</w:t>
      </w:r>
      <w:r w:rsidR="00633A4D">
        <w:rPr>
          <w:sz w:val="24"/>
          <w:szCs w:val="24"/>
        </w:rPr>
        <w:t>,</w:t>
      </w:r>
      <w:r w:rsidR="00426AA9">
        <w:rPr>
          <w:sz w:val="24"/>
          <w:szCs w:val="24"/>
        </w:rPr>
        <w:t>000.</w:t>
      </w:r>
      <w:r w:rsidR="00633A4D">
        <w:rPr>
          <w:sz w:val="24"/>
          <w:szCs w:val="24"/>
        </w:rPr>
        <w:t>00.</w:t>
      </w:r>
      <w:r w:rsidR="00426AA9">
        <w:rPr>
          <w:sz w:val="24"/>
          <w:szCs w:val="24"/>
        </w:rPr>
        <w:t xml:space="preserve">  Tr. 22.  </w:t>
      </w:r>
      <w:r w:rsidR="00570469">
        <w:rPr>
          <w:sz w:val="24"/>
          <w:szCs w:val="24"/>
        </w:rPr>
        <w:t xml:space="preserve">The </w:t>
      </w:r>
      <w:r w:rsidR="00570469" w:rsidRPr="00570469">
        <w:rPr>
          <w:sz w:val="24"/>
          <w:szCs w:val="24"/>
        </w:rPr>
        <w:t>Commission</w:t>
      </w:r>
      <w:r w:rsidR="00570469">
        <w:rPr>
          <w:sz w:val="24"/>
          <w:szCs w:val="24"/>
        </w:rPr>
        <w:t>’s December 16, 2010 Order</w:t>
      </w:r>
      <w:r w:rsidR="00570469" w:rsidRPr="00570469">
        <w:rPr>
          <w:sz w:val="24"/>
          <w:szCs w:val="24"/>
        </w:rPr>
        <w:t xml:space="preserve"> approved </w:t>
      </w:r>
      <w:r w:rsidR="00570469">
        <w:rPr>
          <w:sz w:val="24"/>
          <w:szCs w:val="24"/>
        </w:rPr>
        <w:t xml:space="preserve">the settlement and </w:t>
      </w:r>
      <w:r w:rsidR="00570469" w:rsidRPr="00570469">
        <w:rPr>
          <w:sz w:val="24"/>
          <w:szCs w:val="24"/>
        </w:rPr>
        <w:t>PAWC’s rates for various classes of customers.  Exhibit 2.</w:t>
      </w:r>
      <w:r w:rsidR="00570469">
        <w:rPr>
          <w:sz w:val="24"/>
          <w:szCs w:val="24"/>
        </w:rPr>
        <w:t xml:space="preserve">  </w:t>
      </w:r>
      <w:r w:rsidR="00633A4D">
        <w:rPr>
          <w:sz w:val="24"/>
          <w:szCs w:val="24"/>
        </w:rPr>
        <w:t xml:space="preserve">Accordingly, PAWC </w:t>
      </w:r>
      <w:r w:rsidR="008C6228">
        <w:rPr>
          <w:sz w:val="24"/>
          <w:szCs w:val="24"/>
        </w:rPr>
        <w:t>argues</w:t>
      </w:r>
      <w:r w:rsidR="00633A4D">
        <w:rPr>
          <w:sz w:val="24"/>
          <w:szCs w:val="24"/>
        </w:rPr>
        <w:t>:</w:t>
      </w:r>
    </w:p>
    <w:p w:rsidR="00633A4D" w:rsidRDefault="00633A4D" w:rsidP="005F568B">
      <w:pPr>
        <w:spacing w:line="360" w:lineRule="auto"/>
        <w:rPr>
          <w:sz w:val="24"/>
          <w:szCs w:val="24"/>
        </w:rPr>
      </w:pPr>
    </w:p>
    <w:p w:rsidR="00633A4D" w:rsidRDefault="00633A4D" w:rsidP="003B50AA">
      <w:pPr>
        <w:ind w:left="1440" w:right="1080"/>
        <w:rPr>
          <w:sz w:val="24"/>
          <w:szCs w:val="24"/>
        </w:rPr>
      </w:pPr>
      <w:r>
        <w:rPr>
          <w:sz w:val="24"/>
          <w:szCs w:val="24"/>
        </w:rPr>
        <w:t>… Mr. Alloway’s formal complain</w:t>
      </w:r>
      <w:r w:rsidR="00CF7973">
        <w:rPr>
          <w:sz w:val="24"/>
          <w:szCs w:val="24"/>
        </w:rPr>
        <w:t xml:space="preserve">t (should) be </w:t>
      </w:r>
      <w:r>
        <w:rPr>
          <w:sz w:val="24"/>
          <w:szCs w:val="24"/>
        </w:rPr>
        <w:t>dismissed because this matter has been determined, it is based on a settlement that was adopted by the Commiss</w:t>
      </w:r>
      <w:r w:rsidR="008C6228">
        <w:rPr>
          <w:sz w:val="24"/>
          <w:szCs w:val="24"/>
        </w:rPr>
        <w:t>i</w:t>
      </w:r>
      <w:r>
        <w:rPr>
          <w:sz w:val="24"/>
          <w:szCs w:val="24"/>
        </w:rPr>
        <w:t>on, and the Commission found that the rates that the company is charging are fair and just for all customers.</w:t>
      </w:r>
    </w:p>
    <w:p w:rsidR="00570469" w:rsidRDefault="00570469" w:rsidP="003B50AA">
      <w:pPr>
        <w:ind w:left="1440" w:right="1080"/>
        <w:rPr>
          <w:sz w:val="24"/>
          <w:szCs w:val="24"/>
        </w:rPr>
      </w:pPr>
    </w:p>
    <w:p w:rsidR="00633A4D" w:rsidRDefault="00633A4D" w:rsidP="003B50AA">
      <w:pPr>
        <w:spacing w:line="360" w:lineRule="auto"/>
        <w:ind w:left="1440" w:right="1080" w:hanging="1440"/>
        <w:rPr>
          <w:sz w:val="24"/>
          <w:szCs w:val="24"/>
        </w:rPr>
      </w:pPr>
      <w:r>
        <w:rPr>
          <w:sz w:val="24"/>
          <w:szCs w:val="24"/>
        </w:rPr>
        <w:t>Tr. 34.</w:t>
      </w:r>
    </w:p>
    <w:p w:rsidR="00570469" w:rsidRDefault="00570469" w:rsidP="003B50AA">
      <w:pPr>
        <w:spacing w:line="360" w:lineRule="auto"/>
        <w:rPr>
          <w:sz w:val="24"/>
          <w:szCs w:val="24"/>
        </w:rPr>
      </w:pPr>
    </w:p>
    <w:p w:rsidR="009D4C48" w:rsidRDefault="005F568B" w:rsidP="003B50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explained below</w:t>
      </w:r>
      <w:r w:rsidR="00122A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D5F2E">
        <w:rPr>
          <w:sz w:val="24"/>
          <w:szCs w:val="24"/>
        </w:rPr>
        <w:t>the law on this issue is well established</w:t>
      </w:r>
      <w:r w:rsidR="004F24CA">
        <w:rPr>
          <w:sz w:val="24"/>
          <w:szCs w:val="24"/>
        </w:rPr>
        <w:t xml:space="preserve"> and Complain</w:t>
      </w:r>
      <w:r w:rsidR="00122A62">
        <w:rPr>
          <w:sz w:val="24"/>
          <w:szCs w:val="24"/>
        </w:rPr>
        <w:t>an</w:t>
      </w:r>
      <w:r w:rsidR="004F24CA">
        <w:rPr>
          <w:sz w:val="24"/>
          <w:szCs w:val="24"/>
        </w:rPr>
        <w:t xml:space="preserve">t failed to prove any statutory violation by </w:t>
      </w:r>
      <w:r w:rsidR="008C6228">
        <w:rPr>
          <w:sz w:val="24"/>
          <w:szCs w:val="24"/>
        </w:rPr>
        <w:t>PAWC</w:t>
      </w:r>
      <w:r w:rsidR="001D5F2E">
        <w:rPr>
          <w:sz w:val="24"/>
          <w:szCs w:val="24"/>
        </w:rPr>
        <w:t>.</w:t>
      </w:r>
    </w:p>
    <w:p w:rsidR="009D4C48" w:rsidRPr="00FA60CC" w:rsidRDefault="009D4C48" w:rsidP="009D4C48">
      <w:pPr>
        <w:spacing w:line="360" w:lineRule="auto"/>
        <w:ind w:left="1440" w:right="1080" w:hanging="1440"/>
        <w:rPr>
          <w:sz w:val="24"/>
          <w:szCs w:val="24"/>
        </w:rPr>
      </w:pPr>
    </w:p>
    <w:p w:rsidR="00FA60CC" w:rsidRDefault="005F568B" w:rsidP="005F568B">
      <w:pPr>
        <w:spacing w:line="360" w:lineRule="auto"/>
        <w:ind w:firstLine="1440"/>
        <w:rPr>
          <w:sz w:val="24"/>
          <w:szCs w:val="24"/>
        </w:rPr>
      </w:pPr>
      <w:r w:rsidRPr="00FA60CC">
        <w:rPr>
          <w:sz w:val="24"/>
          <w:szCs w:val="24"/>
        </w:rPr>
        <w:t xml:space="preserve">Pennsylvania courts have repeatedly held that tariff provisions that have been properly submitted to and approved by the Commission are </w:t>
      </w:r>
      <w:r w:rsidRPr="00FA60CC">
        <w:rPr>
          <w:i/>
          <w:sz w:val="24"/>
          <w:szCs w:val="24"/>
        </w:rPr>
        <w:t>prima facie</w:t>
      </w:r>
      <w:r w:rsidRPr="00FA60CC">
        <w:rPr>
          <w:sz w:val="24"/>
          <w:szCs w:val="24"/>
        </w:rPr>
        <w:t xml:space="preserve"> reasonable.  </w:t>
      </w:r>
      <w:r w:rsidRPr="00FA60CC">
        <w:rPr>
          <w:i/>
          <w:sz w:val="24"/>
          <w:szCs w:val="24"/>
        </w:rPr>
        <w:t>Zucker v. Pa. PUC</w:t>
      </w:r>
      <w:r w:rsidRPr="00FA60CC">
        <w:rPr>
          <w:sz w:val="24"/>
          <w:szCs w:val="24"/>
        </w:rPr>
        <w:t xml:space="preserve">, 401 A.2d 1377 (Pa. Cmwlth. Ct. 1979), </w:t>
      </w:r>
      <w:r w:rsidRPr="00FA60CC">
        <w:rPr>
          <w:i/>
          <w:sz w:val="24"/>
          <w:szCs w:val="24"/>
        </w:rPr>
        <w:t>Shenango Township Board of Supervisors v. Pa. PUC</w:t>
      </w:r>
      <w:r w:rsidRPr="00FA60CC">
        <w:rPr>
          <w:sz w:val="24"/>
          <w:szCs w:val="24"/>
        </w:rPr>
        <w:t xml:space="preserve">, 686 A.2d 910, 914 (Pa. Cmwlth. Ct. 1996), </w:t>
      </w:r>
      <w:r w:rsidRPr="00FA60CC">
        <w:rPr>
          <w:i/>
          <w:sz w:val="24"/>
          <w:szCs w:val="24"/>
        </w:rPr>
        <w:t>Kossman v. Pa. PUC</w:t>
      </w:r>
      <w:r w:rsidRPr="00FA60CC">
        <w:rPr>
          <w:sz w:val="24"/>
          <w:szCs w:val="24"/>
        </w:rPr>
        <w:t>, 694 A.2d 1147, 1151 (Pa. Cmwlth. Ct. 1997).  Therefore, a complainant seeking to evade the effect of an existing tariff provision carries a very heavy burden to prove that the facts and circumstances have changed so drastically as to render the application of the tariff provision unreasonable</w:t>
      </w:r>
      <w:r w:rsidRPr="00C619EF">
        <w:rPr>
          <w:sz w:val="24"/>
          <w:szCs w:val="24"/>
        </w:rPr>
        <w:t>.</w:t>
      </w:r>
      <w:r w:rsidR="00F4370E" w:rsidRPr="00C619EF">
        <w:rPr>
          <w:sz w:val="24"/>
          <w:szCs w:val="24"/>
        </w:rPr>
        <w:t xml:space="preserve"> </w:t>
      </w:r>
      <w:r w:rsidR="000F1516">
        <w:rPr>
          <w:sz w:val="24"/>
          <w:szCs w:val="24"/>
        </w:rPr>
        <w:t xml:space="preserve"> </w:t>
      </w:r>
      <w:r w:rsidRPr="00C619EF">
        <w:rPr>
          <w:sz w:val="24"/>
          <w:szCs w:val="24"/>
        </w:rPr>
        <w:t>Id</w:t>
      </w:r>
      <w:r w:rsidRPr="00FA60CC">
        <w:rPr>
          <w:i/>
          <w:sz w:val="24"/>
          <w:szCs w:val="24"/>
        </w:rPr>
        <w:t>.</w:t>
      </w:r>
      <w:r w:rsidRPr="00FA60CC">
        <w:rPr>
          <w:sz w:val="24"/>
          <w:szCs w:val="24"/>
        </w:rPr>
        <w:t xml:space="preserve">; </w:t>
      </w:r>
    </w:p>
    <w:p w:rsidR="007B6F4F" w:rsidRDefault="005F568B" w:rsidP="00FA60CC">
      <w:pPr>
        <w:spacing w:line="360" w:lineRule="auto"/>
        <w:rPr>
          <w:sz w:val="24"/>
          <w:szCs w:val="24"/>
        </w:rPr>
      </w:pPr>
      <w:r w:rsidRPr="00FA60CC">
        <w:rPr>
          <w:i/>
          <w:sz w:val="24"/>
          <w:szCs w:val="24"/>
        </w:rPr>
        <w:t>Brockway Glass Co. v. Pa. PUC</w:t>
      </w:r>
      <w:r w:rsidRPr="00FA60CC">
        <w:rPr>
          <w:sz w:val="24"/>
          <w:szCs w:val="24"/>
        </w:rPr>
        <w:t xml:space="preserve">, 437 A.2d 1067 (Pa. Cmwlth. Ct. 1981). </w:t>
      </w:r>
    </w:p>
    <w:p w:rsidR="007B6F4F" w:rsidRDefault="007B6F4F" w:rsidP="00FA60CC">
      <w:pPr>
        <w:spacing w:line="360" w:lineRule="auto"/>
        <w:rPr>
          <w:sz w:val="24"/>
          <w:szCs w:val="24"/>
        </w:rPr>
      </w:pPr>
    </w:p>
    <w:p w:rsidR="004B0935" w:rsidRDefault="007B6F4F" w:rsidP="001A576F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 the instant case, the documentary evidence establishes that the </w:t>
      </w:r>
      <w:r w:rsidR="00CA7173">
        <w:rPr>
          <w:sz w:val="24"/>
          <w:szCs w:val="24"/>
        </w:rPr>
        <w:t xml:space="preserve">Company’s </w:t>
      </w:r>
      <w:r>
        <w:rPr>
          <w:sz w:val="24"/>
          <w:szCs w:val="24"/>
        </w:rPr>
        <w:t xml:space="preserve">rates charged for </w:t>
      </w:r>
      <w:r w:rsidR="00C619EF">
        <w:rPr>
          <w:sz w:val="24"/>
          <w:szCs w:val="24"/>
        </w:rPr>
        <w:t xml:space="preserve">wastewater </w:t>
      </w:r>
      <w:r>
        <w:rPr>
          <w:sz w:val="24"/>
          <w:szCs w:val="24"/>
        </w:rPr>
        <w:t xml:space="preserve">service to customers under its several </w:t>
      </w:r>
      <w:r w:rsidR="00C619EF">
        <w:rPr>
          <w:sz w:val="24"/>
          <w:szCs w:val="24"/>
        </w:rPr>
        <w:t>r</w:t>
      </w:r>
      <w:r>
        <w:rPr>
          <w:sz w:val="24"/>
          <w:szCs w:val="24"/>
        </w:rPr>
        <w:t xml:space="preserve">ate </w:t>
      </w:r>
      <w:r w:rsidR="00C619EF">
        <w:rPr>
          <w:sz w:val="24"/>
          <w:szCs w:val="24"/>
        </w:rPr>
        <w:t>s</w:t>
      </w:r>
      <w:r>
        <w:rPr>
          <w:sz w:val="24"/>
          <w:szCs w:val="24"/>
        </w:rPr>
        <w:t>chedules</w:t>
      </w:r>
      <w:r w:rsidR="00C619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19EF">
        <w:rPr>
          <w:sz w:val="24"/>
          <w:szCs w:val="24"/>
        </w:rPr>
        <w:t>including Mr.</w:t>
      </w:r>
      <w:r w:rsidR="000F1516">
        <w:rPr>
          <w:sz w:val="24"/>
          <w:szCs w:val="24"/>
        </w:rPr>
        <w:t> </w:t>
      </w:r>
      <w:r w:rsidR="00C619EF">
        <w:rPr>
          <w:sz w:val="24"/>
          <w:szCs w:val="24"/>
        </w:rPr>
        <w:t xml:space="preserve">Alloway’s flat rate as an unmetered customer, </w:t>
      </w:r>
      <w:r>
        <w:rPr>
          <w:sz w:val="24"/>
          <w:szCs w:val="24"/>
        </w:rPr>
        <w:t xml:space="preserve">offered pursuant to its </w:t>
      </w:r>
      <w:r w:rsidR="00C619EF" w:rsidRPr="00C619EF">
        <w:rPr>
          <w:sz w:val="24"/>
          <w:szCs w:val="24"/>
        </w:rPr>
        <w:t xml:space="preserve">Supplement No. 2 to Tariff Wastewater-Pa P.U.C. No. 8 </w:t>
      </w:r>
      <w:r w:rsidR="00C619EF">
        <w:rPr>
          <w:sz w:val="24"/>
          <w:szCs w:val="24"/>
        </w:rPr>
        <w:t xml:space="preserve">(Tariff) </w:t>
      </w:r>
      <w:r>
        <w:rPr>
          <w:sz w:val="24"/>
          <w:szCs w:val="24"/>
        </w:rPr>
        <w:t>w</w:t>
      </w:r>
      <w:r w:rsidR="004B0935">
        <w:rPr>
          <w:sz w:val="24"/>
          <w:szCs w:val="24"/>
        </w:rPr>
        <w:t>ere</w:t>
      </w:r>
      <w:r>
        <w:rPr>
          <w:sz w:val="24"/>
          <w:szCs w:val="24"/>
        </w:rPr>
        <w:t xml:space="preserve"> approved by Commission Order entered on </w:t>
      </w:r>
      <w:r w:rsidR="00C619EF">
        <w:rPr>
          <w:sz w:val="24"/>
          <w:szCs w:val="24"/>
        </w:rPr>
        <w:lastRenderedPageBreak/>
        <w:t xml:space="preserve">December 16, 2010 </w:t>
      </w:r>
      <w:r>
        <w:rPr>
          <w:sz w:val="24"/>
          <w:szCs w:val="24"/>
        </w:rPr>
        <w:t>at Docket No. R</w:t>
      </w:r>
      <w:r w:rsidR="0096068A">
        <w:rPr>
          <w:sz w:val="24"/>
          <w:szCs w:val="24"/>
        </w:rPr>
        <w:t>-</w:t>
      </w:r>
      <w:r>
        <w:rPr>
          <w:sz w:val="24"/>
          <w:szCs w:val="24"/>
        </w:rPr>
        <w:t>2010-216</w:t>
      </w:r>
      <w:r w:rsidR="00C619EF">
        <w:rPr>
          <w:sz w:val="24"/>
          <w:szCs w:val="24"/>
        </w:rPr>
        <w:t>6212</w:t>
      </w:r>
      <w:r>
        <w:rPr>
          <w:sz w:val="24"/>
          <w:szCs w:val="24"/>
        </w:rPr>
        <w:t>.</w:t>
      </w:r>
      <w:r w:rsidR="001A576F">
        <w:rPr>
          <w:sz w:val="24"/>
          <w:szCs w:val="24"/>
        </w:rPr>
        <w:t xml:space="preserve"> </w:t>
      </w:r>
      <w:r w:rsidR="00F4370E">
        <w:rPr>
          <w:sz w:val="24"/>
          <w:szCs w:val="24"/>
        </w:rPr>
        <w:t xml:space="preserve"> </w:t>
      </w:r>
      <w:r w:rsidR="001A576F">
        <w:rPr>
          <w:sz w:val="24"/>
          <w:szCs w:val="24"/>
        </w:rPr>
        <w:t>The Tariff was permitted to become effective on December 1</w:t>
      </w:r>
      <w:r w:rsidR="00C619EF">
        <w:rPr>
          <w:sz w:val="24"/>
          <w:szCs w:val="24"/>
        </w:rPr>
        <w:t>6</w:t>
      </w:r>
      <w:r w:rsidR="001A576F">
        <w:rPr>
          <w:sz w:val="24"/>
          <w:szCs w:val="24"/>
        </w:rPr>
        <w:t>, 2010.  Exhibit</w:t>
      </w:r>
      <w:r w:rsidR="00C619EF">
        <w:rPr>
          <w:sz w:val="24"/>
          <w:szCs w:val="24"/>
        </w:rPr>
        <w:t>s</w:t>
      </w:r>
      <w:r w:rsidR="001A576F">
        <w:rPr>
          <w:sz w:val="24"/>
          <w:szCs w:val="24"/>
        </w:rPr>
        <w:t xml:space="preserve"> </w:t>
      </w:r>
      <w:r w:rsidR="00C619EF">
        <w:rPr>
          <w:sz w:val="24"/>
          <w:szCs w:val="24"/>
        </w:rPr>
        <w:t>1 and 2</w:t>
      </w:r>
      <w:r w:rsidR="001A576F">
        <w:rPr>
          <w:sz w:val="24"/>
          <w:szCs w:val="24"/>
        </w:rPr>
        <w:t xml:space="preserve">.  </w:t>
      </w:r>
    </w:p>
    <w:p w:rsidR="004B0935" w:rsidRPr="00C92252" w:rsidRDefault="004B0935" w:rsidP="004B0935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C92252">
        <w:rPr>
          <w:spacing w:val="-3"/>
          <w:sz w:val="24"/>
          <w:szCs w:val="24"/>
        </w:rPr>
        <w:t xml:space="preserve">  </w:t>
      </w:r>
    </w:p>
    <w:p w:rsidR="00DC62A5" w:rsidRDefault="004B0935" w:rsidP="001875A8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C92252">
        <w:rPr>
          <w:spacing w:val="-3"/>
          <w:sz w:val="24"/>
          <w:szCs w:val="24"/>
        </w:rPr>
        <w:tab/>
      </w:r>
      <w:r w:rsidRPr="00C92252">
        <w:rPr>
          <w:spacing w:val="-3"/>
          <w:sz w:val="24"/>
          <w:szCs w:val="24"/>
        </w:rPr>
        <w:tab/>
      </w:r>
      <w:r w:rsidR="001A576F">
        <w:rPr>
          <w:spacing w:val="-3"/>
          <w:sz w:val="24"/>
          <w:szCs w:val="24"/>
        </w:rPr>
        <w:t>M</w:t>
      </w:r>
      <w:r w:rsidR="00C619EF">
        <w:rPr>
          <w:spacing w:val="-3"/>
          <w:sz w:val="24"/>
          <w:szCs w:val="24"/>
        </w:rPr>
        <w:t>r</w:t>
      </w:r>
      <w:r w:rsidR="001A576F">
        <w:rPr>
          <w:spacing w:val="-3"/>
          <w:sz w:val="24"/>
          <w:szCs w:val="24"/>
        </w:rPr>
        <w:t xml:space="preserve">. </w:t>
      </w:r>
      <w:r w:rsidR="00C619EF">
        <w:rPr>
          <w:spacing w:val="-3"/>
          <w:sz w:val="24"/>
          <w:szCs w:val="24"/>
        </w:rPr>
        <w:t xml:space="preserve">Alloway </w:t>
      </w:r>
      <w:r w:rsidR="001A576F">
        <w:rPr>
          <w:spacing w:val="-3"/>
          <w:sz w:val="24"/>
          <w:szCs w:val="24"/>
        </w:rPr>
        <w:t>did not present any facts or circumstances</w:t>
      </w:r>
      <w:r w:rsidR="00D109B8">
        <w:rPr>
          <w:spacing w:val="-3"/>
          <w:sz w:val="24"/>
          <w:szCs w:val="24"/>
        </w:rPr>
        <w:t xml:space="preserve"> to warrant a finding that the t</w:t>
      </w:r>
      <w:r w:rsidR="001A576F">
        <w:rPr>
          <w:spacing w:val="-3"/>
          <w:sz w:val="24"/>
          <w:szCs w:val="24"/>
        </w:rPr>
        <w:t xml:space="preserve">ariff provisions have become unreasonable </w:t>
      </w:r>
      <w:r w:rsidR="000405A3">
        <w:rPr>
          <w:spacing w:val="-3"/>
          <w:sz w:val="24"/>
          <w:szCs w:val="24"/>
        </w:rPr>
        <w:t xml:space="preserve">since the Commission approved the Tariff on </w:t>
      </w:r>
      <w:r w:rsidR="00C619EF">
        <w:rPr>
          <w:spacing w:val="-3"/>
          <w:sz w:val="24"/>
          <w:szCs w:val="24"/>
        </w:rPr>
        <w:t>December 16, 2010.</w:t>
      </w:r>
      <w:r w:rsidR="000405A3">
        <w:rPr>
          <w:spacing w:val="-3"/>
          <w:sz w:val="24"/>
          <w:szCs w:val="24"/>
        </w:rPr>
        <w:t xml:space="preserve">  </w:t>
      </w:r>
      <w:r w:rsidR="006630EB">
        <w:rPr>
          <w:spacing w:val="-3"/>
          <w:sz w:val="24"/>
          <w:szCs w:val="24"/>
        </w:rPr>
        <w:t>Mr. Alloway feels his unmetered flat rate is unfair, because as a single member household, he is paying the same rate a</w:t>
      </w:r>
      <w:r w:rsidR="00CF7973">
        <w:rPr>
          <w:spacing w:val="-3"/>
          <w:sz w:val="24"/>
          <w:szCs w:val="24"/>
        </w:rPr>
        <w:t>s a</w:t>
      </w:r>
      <w:r w:rsidR="006630EB">
        <w:rPr>
          <w:spacing w:val="-3"/>
          <w:sz w:val="24"/>
          <w:szCs w:val="24"/>
        </w:rPr>
        <w:t xml:space="preserve"> multi-member, unmetered household.</w:t>
      </w:r>
      <w:r w:rsidR="000F1516">
        <w:rPr>
          <w:spacing w:val="-3"/>
          <w:sz w:val="24"/>
          <w:szCs w:val="24"/>
        </w:rPr>
        <w:t xml:space="preserve"> </w:t>
      </w:r>
      <w:r w:rsidR="006630EB">
        <w:rPr>
          <w:spacing w:val="-3"/>
          <w:sz w:val="24"/>
          <w:szCs w:val="24"/>
        </w:rPr>
        <w:t xml:space="preserve"> Without any supporting data, Mr. Alloway assumes a single-member household uses less wastewater </w:t>
      </w:r>
      <w:r w:rsidR="00976DBA">
        <w:rPr>
          <w:spacing w:val="-3"/>
          <w:sz w:val="24"/>
          <w:szCs w:val="24"/>
        </w:rPr>
        <w:t xml:space="preserve">services than a multi-member household.  Tr. 14-15. </w:t>
      </w:r>
      <w:r w:rsidR="00CF7973">
        <w:rPr>
          <w:spacing w:val="-3"/>
          <w:sz w:val="24"/>
          <w:szCs w:val="24"/>
        </w:rPr>
        <w:t xml:space="preserve"> </w:t>
      </w:r>
      <w:r w:rsidR="00976DBA">
        <w:rPr>
          <w:spacing w:val="-3"/>
          <w:sz w:val="24"/>
          <w:szCs w:val="24"/>
        </w:rPr>
        <w:t>His assumption does not consider other variables such as the size of the house, the number of visitors or guests</w:t>
      </w:r>
      <w:r w:rsidR="00976DBA" w:rsidRPr="00976DBA">
        <w:rPr>
          <w:spacing w:val="-3"/>
          <w:sz w:val="24"/>
          <w:szCs w:val="24"/>
        </w:rPr>
        <w:t xml:space="preserve"> </w:t>
      </w:r>
      <w:r w:rsidR="00CF7973">
        <w:rPr>
          <w:spacing w:val="-3"/>
          <w:sz w:val="24"/>
          <w:szCs w:val="24"/>
        </w:rPr>
        <w:t xml:space="preserve">using wastewater service in a household in addition to the occupant(s) </w:t>
      </w:r>
      <w:r w:rsidR="00976DBA">
        <w:rPr>
          <w:spacing w:val="-3"/>
          <w:sz w:val="24"/>
          <w:szCs w:val="24"/>
        </w:rPr>
        <w:t>at any specific time or the changing number of occupants</w:t>
      </w:r>
      <w:r w:rsidR="00CF7973">
        <w:rPr>
          <w:spacing w:val="-3"/>
          <w:sz w:val="24"/>
          <w:szCs w:val="24"/>
        </w:rPr>
        <w:t xml:space="preserve"> over a period of time</w:t>
      </w:r>
      <w:r w:rsidR="00976DBA">
        <w:rPr>
          <w:spacing w:val="-3"/>
          <w:sz w:val="24"/>
          <w:szCs w:val="24"/>
        </w:rPr>
        <w:t xml:space="preserve">. </w:t>
      </w:r>
      <w:r w:rsidR="000F1516">
        <w:rPr>
          <w:spacing w:val="-3"/>
          <w:sz w:val="24"/>
          <w:szCs w:val="24"/>
        </w:rPr>
        <w:t xml:space="preserve"> </w:t>
      </w:r>
      <w:r w:rsidR="00976DBA">
        <w:rPr>
          <w:spacing w:val="-3"/>
          <w:sz w:val="24"/>
          <w:szCs w:val="24"/>
        </w:rPr>
        <w:t>A single-member household could increase and a multi-member household could decrease.  Requiring the Company to charge unmetered households based upon the number of occupants would become an unwield</w:t>
      </w:r>
      <w:r w:rsidR="00EB16F9">
        <w:rPr>
          <w:spacing w:val="-3"/>
          <w:sz w:val="24"/>
          <w:szCs w:val="24"/>
        </w:rPr>
        <w:t>y process.</w:t>
      </w:r>
    </w:p>
    <w:p w:rsidR="00DC62A5" w:rsidRDefault="00DC62A5" w:rsidP="001875A8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EB16F9" w:rsidRDefault="00DC62A5" w:rsidP="001875A8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EB16F9">
        <w:rPr>
          <w:spacing w:val="-3"/>
          <w:sz w:val="24"/>
          <w:szCs w:val="24"/>
        </w:rPr>
        <w:t>More importantly, there is a statutory prohibition as to charging the same class of customers</w:t>
      </w:r>
      <w:r w:rsidR="00187990">
        <w:rPr>
          <w:spacing w:val="-3"/>
          <w:sz w:val="24"/>
          <w:szCs w:val="24"/>
        </w:rPr>
        <w:t xml:space="preserve"> differently.</w:t>
      </w:r>
      <w:r>
        <w:rPr>
          <w:spacing w:val="-3"/>
          <w:sz w:val="24"/>
          <w:szCs w:val="24"/>
        </w:rPr>
        <w:t xml:space="preserve">  </w:t>
      </w:r>
      <w:r w:rsidR="00EB16F9">
        <w:rPr>
          <w:spacing w:val="-3"/>
          <w:sz w:val="24"/>
          <w:szCs w:val="24"/>
        </w:rPr>
        <w:tab/>
        <w:t>PAWC’s Manager Cox</w:t>
      </w:r>
      <w:r w:rsidR="00187990">
        <w:rPr>
          <w:spacing w:val="-3"/>
          <w:sz w:val="24"/>
          <w:szCs w:val="24"/>
        </w:rPr>
        <w:t xml:space="preserve"> explained</w:t>
      </w:r>
      <w:r w:rsidR="00EB16F9">
        <w:rPr>
          <w:spacing w:val="-3"/>
          <w:sz w:val="24"/>
          <w:szCs w:val="24"/>
        </w:rPr>
        <w:t>:</w:t>
      </w:r>
    </w:p>
    <w:p w:rsidR="00EB16F9" w:rsidRDefault="00EB16F9" w:rsidP="00EB16F9">
      <w:pPr>
        <w:autoSpaceDE w:val="0"/>
        <w:autoSpaceDN w:val="0"/>
        <w:ind w:right="1080" w:firstLine="135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:rsidR="00187990" w:rsidRDefault="00EB16F9" w:rsidP="00EB16F9">
      <w:pPr>
        <w:autoSpaceDE w:val="0"/>
        <w:autoSpaceDN w:val="0"/>
        <w:ind w:left="1440" w:right="108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The la</w:t>
      </w:r>
      <w:r w:rsidR="00187990">
        <w:rPr>
          <w:spacing w:val="-3"/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requires us to treat everyone the same and not discriminate in our service.  </w:t>
      </w:r>
      <w:r w:rsidR="00187990">
        <w:rPr>
          <w:spacing w:val="-3"/>
          <w:sz w:val="24"/>
          <w:szCs w:val="24"/>
        </w:rPr>
        <w:t>The Public Utility Code prohibits discriminat</w:t>
      </w:r>
      <w:r w:rsidR="003B50AA">
        <w:rPr>
          <w:spacing w:val="-3"/>
          <w:sz w:val="24"/>
          <w:szCs w:val="24"/>
        </w:rPr>
        <w:t>ion</w:t>
      </w:r>
      <w:r w:rsidR="00187990">
        <w:rPr>
          <w:spacing w:val="-3"/>
          <w:sz w:val="24"/>
          <w:szCs w:val="24"/>
        </w:rPr>
        <w:t xml:space="preserve"> in rates.  I think its Section 1303</w:t>
      </w:r>
      <w:r w:rsidR="00187990">
        <w:rPr>
          <w:rStyle w:val="FootnoteReference"/>
          <w:spacing w:val="-3"/>
          <w:sz w:val="24"/>
          <w:szCs w:val="24"/>
        </w:rPr>
        <w:footnoteReference w:id="2"/>
      </w:r>
      <w:r w:rsidR="00187990">
        <w:rPr>
          <w:spacing w:val="-3"/>
          <w:sz w:val="24"/>
          <w:szCs w:val="24"/>
        </w:rPr>
        <w:t xml:space="preserve"> requires public utilities to adhere to their tariffs and prohibits charging any customers a higher or lower rate than is set forth in the utility’s tariff.</w:t>
      </w:r>
    </w:p>
    <w:p w:rsidR="003B50AA" w:rsidRDefault="003B50AA" w:rsidP="00EB16F9">
      <w:pPr>
        <w:autoSpaceDE w:val="0"/>
        <w:autoSpaceDN w:val="0"/>
        <w:ind w:left="1440" w:right="1080"/>
        <w:rPr>
          <w:spacing w:val="-3"/>
          <w:sz w:val="24"/>
          <w:szCs w:val="24"/>
        </w:rPr>
      </w:pPr>
    </w:p>
    <w:p w:rsidR="003B50AA" w:rsidRDefault="003B50AA" w:rsidP="003B50AA">
      <w:pPr>
        <w:autoSpaceDE w:val="0"/>
        <w:autoSpaceDN w:val="0"/>
        <w:spacing w:line="360" w:lineRule="auto"/>
        <w:ind w:left="1440" w:right="1080" w:hanging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Tr. 26.</w:t>
      </w:r>
    </w:p>
    <w:p w:rsidR="00EB16F9" w:rsidRDefault="00187990" w:rsidP="003B50AA">
      <w:pPr>
        <w:autoSpaceDE w:val="0"/>
        <w:autoSpaceDN w:val="0"/>
        <w:spacing w:line="360" w:lineRule="auto"/>
        <w:ind w:left="1440" w:right="108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</w:p>
    <w:p w:rsidR="006C16D1" w:rsidRDefault="00DC62A5" w:rsidP="003B50AA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In summary, </w:t>
      </w:r>
      <w:r w:rsidR="00A87DBE">
        <w:rPr>
          <w:spacing w:val="-3"/>
          <w:sz w:val="24"/>
          <w:szCs w:val="24"/>
        </w:rPr>
        <w:t>M</w:t>
      </w:r>
      <w:r>
        <w:rPr>
          <w:spacing w:val="-3"/>
          <w:sz w:val="24"/>
          <w:szCs w:val="24"/>
        </w:rPr>
        <w:t>r</w:t>
      </w:r>
      <w:r w:rsidR="00A87DBE">
        <w:rPr>
          <w:spacing w:val="-3"/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Alloway</w:t>
      </w:r>
      <w:r w:rsidR="00A87DBE">
        <w:rPr>
          <w:spacing w:val="-3"/>
          <w:sz w:val="24"/>
          <w:szCs w:val="24"/>
        </w:rPr>
        <w:t xml:space="preserve">’s request for relief is basically a personal request. </w:t>
      </w:r>
      <w:r w:rsidR="005B5C6C">
        <w:rPr>
          <w:spacing w:val="-3"/>
          <w:sz w:val="24"/>
          <w:szCs w:val="24"/>
        </w:rPr>
        <w:t xml:space="preserve"> </w:t>
      </w:r>
      <w:r w:rsidR="000405A3">
        <w:rPr>
          <w:spacing w:val="-3"/>
          <w:sz w:val="24"/>
          <w:szCs w:val="24"/>
        </w:rPr>
        <w:t xml:space="preserve">Without any supporting evidence that </w:t>
      </w:r>
      <w:r>
        <w:rPr>
          <w:spacing w:val="-3"/>
          <w:sz w:val="24"/>
          <w:szCs w:val="24"/>
        </w:rPr>
        <w:t xml:space="preserve">PAWC’s Tariff is </w:t>
      </w:r>
      <w:r w:rsidR="000405A3">
        <w:rPr>
          <w:spacing w:val="-3"/>
          <w:sz w:val="24"/>
          <w:szCs w:val="24"/>
        </w:rPr>
        <w:t>unreasonable</w:t>
      </w:r>
      <w:r w:rsidR="001875A8">
        <w:rPr>
          <w:spacing w:val="-3"/>
          <w:sz w:val="24"/>
          <w:szCs w:val="24"/>
        </w:rPr>
        <w:t>, M</w:t>
      </w:r>
      <w:r>
        <w:rPr>
          <w:spacing w:val="-3"/>
          <w:sz w:val="24"/>
          <w:szCs w:val="24"/>
        </w:rPr>
        <w:t>r</w:t>
      </w:r>
      <w:r w:rsidR="001875A8">
        <w:rPr>
          <w:spacing w:val="-3"/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Alloway’s</w:t>
      </w:r>
      <w:r w:rsidR="001875A8">
        <w:rPr>
          <w:spacing w:val="-3"/>
          <w:sz w:val="24"/>
          <w:szCs w:val="24"/>
        </w:rPr>
        <w:t xml:space="preserve"> </w:t>
      </w:r>
      <w:r w:rsidR="00851135">
        <w:rPr>
          <w:spacing w:val="-3"/>
          <w:sz w:val="24"/>
          <w:szCs w:val="24"/>
        </w:rPr>
        <w:t>c</w:t>
      </w:r>
      <w:r w:rsidR="001875A8">
        <w:rPr>
          <w:spacing w:val="-3"/>
          <w:sz w:val="24"/>
          <w:szCs w:val="24"/>
        </w:rPr>
        <w:t xml:space="preserve">omplaint </w:t>
      </w:r>
      <w:r w:rsidR="001875A8">
        <w:rPr>
          <w:spacing w:val="-3"/>
          <w:sz w:val="24"/>
          <w:szCs w:val="24"/>
        </w:rPr>
        <w:lastRenderedPageBreak/>
        <w:t xml:space="preserve">cannot be sustained.  Therefore the </w:t>
      </w:r>
      <w:r w:rsidR="00851135">
        <w:rPr>
          <w:spacing w:val="-3"/>
          <w:sz w:val="24"/>
          <w:szCs w:val="24"/>
        </w:rPr>
        <w:t>c</w:t>
      </w:r>
      <w:r w:rsidR="001875A8">
        <w:rPr>
          <w:spacing w:val="-3"/>
          <w:sz w:val="24"/>
          <w:szCs w:val="24"/>
        </w:rPr>
        <w:t xml:space="preserve">omplaint must be dismissed for </w:t>
      </w:r>
      <w:r w:rsidR="00851135">
        <w:rPr>
          <w:spacing w:val="-3"/>
          <w:sz w:val="24"/>
          <w:szCs w:val="24"/>
        </w:rPr>
        <w:t>Complainant</w:t>
      </w:r>
      <w:r w:rsidR="00A87DBE">
        <w:rPr>
          <w:spacing w:val="-3"/>
          <w:sz w:val="24"/>
          <w:szCs w:val="24"/>
        </w:rPr>
        <w:t xml:space="preserve">’s </w:t>
      </w:r>
      <w:r w:rsidR="001875A8">
        <w:rPr>
          <w:spacing w:val="-3"/>
          <w:sz w:val="24"/>
          <w:szCs w:val="24"/>
        </w:rPr>
        <w:t>fail</w:t>
      </w:r>
      <w:r w:rsidR="00A87DBE">
        <w:rPr>
          <w:spacing w:val="-3"/>
          <w:sz w:val="24"/>
          <w:szCs w:val="24"/>
        </w:rPr>
        <w:t>ure</w:t>
      </w:r>
      <w:r w:rsidR="001875A8">
        <w:rPr>
          <w:spacing w:val="-3"/>
          <w:sz w:val="24"/>
          <w:szCs w:val="24"/>
        </w:rPr>
        <w:t xml:space="preserve"> to establish </w:t>
      </w:r>
      <w:r w:rsidR="006C16D1" w:rsidRPr="006C16D1">
        <w:rPr>
          <w:spacing w:val="-3"/>
          <w:sz w:val="24"/>
          <w:szCs w:val="24"/>
        </w:rPr>
        <w:t xml:space="preserve">that </w:t>
      </w:r>
      <w:r w:rsidR="00A87DBE">
        <w:rPr>
          <w:spacing w:val="-3"/>
          <w:sz w:val="24"/>
          <w:szCs w:val="24"/>
        </w:rPr>
        <w:t>R</w:t>
      </w:r>
      <w:r w:rsidR="006C16D1" w:rsidRPr="006C16D1">
        <w:rPr>
          <w:spacing w:val="-3"/>
          <w:sz w:val="24"/>
          <w:szCs w:val="24"/>
        </w:rPr>
        <w:t>espondent</w:t>
      </w:r>
      <w:r w:rsidR="00851135">
        <w:rPr>
          <w:spacing w:val="-3"/>
          <w:sz w:val="24"/>
          <w:szCs w:val="24"/>
        </w:rPr>
        <w:t xml:space="preserve">’s Tariff is unreasonable or that PAWC </w:t>
      </w:r>
      <w:r w:rsidR="006C16D1" w:rsidRPr="006C16D1">
        <w:rPr>
          <w:sz w:val="24"/>
          <w:szCs w:val="24"/>
        </w:rPr>
        <w:t>violated any applicable law, regulation or</w:t>
      </w:r>
      <w:r w:rsidR="00A87DBE">
        <w:rPr>
          <w:sz w:val="24"/>
          <w:szCs w:val="24"/>
        </w:rPr>
        <w:t xml:space="preserve"> order of</w:t>
      </w:r>
      <w:r w:rsidR="006C16D1" w:rsidRPr="006C16D1">
        <w:rPr>
          <w:sz w:val="24"/>
          <w:szCs w:val="24"/>
        </w:rPr>
        <w:t xml:space="preserve"> the </w:t>
      </w:r>
      <w:r w:rsidR="00A87DBE">
        <w:rPr>
          <w:sz w:val="24"/>
          <w:szCs w:val="24"/>
        </w:rPr>
        <w:t>Commission.</w:t>
      </w:r>
    </w:p>
    <w:p w:rsidR="00DC62A5" w:rsidRPr="006C16D1" w:rsidRDefault="00DC62A5" w:rsidP="001875A8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6C16D1" w:rsidRPr="006C16D1" w:rsidRDefault="006C16D1" w:rsidP="006C16D1">
      <w:pPr>
        <w:spacing w:line="360" w:lineRule="auto"/>
        <w:jc w:val="center"/>
        <w:rPr>
          <w:sz w:val="24"/>
          <w:szCs w:val="24"/>
        </w:rPr>
      </w:pPr>
      <w:r w:rsidRPr="006C16D1">
        <w:rPr>
          <w:sz w:val="24"/>
          <w:szCs w:val="24"/>
          <w:u w:val="single"/>
        </w:rPr>
        <w:t>CONCLUSIONS OF LAW</w:t>
      </w:r>
    </w:p>
    <w:p w:rsidR="006C16D1" w:rsidRPr="006C16D1" w:rsidRDefault="006C16D1" w:rsidP="006C16D1">
      <w:pPr>
        <w:spacing w:line="360" w:lineRule="auto"/>
        <w:ind w:firstLine="1440"/>
        <w:rPr>
          <w:b/>
          <w:sz w:val="24"/>
          <w:szCs w:val="24"/>
        </w:rPr>
      </w:pPr>
    </w:p>
    <w:p w:rsidR="006C16D1" w:rsidRP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6C16D1">
        <w:rPr>
          <w:spacing w:val="-3"/>
          <w:sz w:val="24"/>
          <w:szCs w:val="24"/>
        </w:rPr>
        <w:t>1.</w:t>
      </w:r>
      <w:r w:rsidRPr="006C16D1">
        <w:rPr>
          <w:spacing w:val="-3"/>
          <w:sz w:val="24"/>
          <w:szCs w:val="24"/>
        </w:rPr>
        <w:tab/>
        <w:t>The Commission has jurisdiction over the parties and the subject matter in this proceeding.</w:t>
      </w:r>
    </w:p>
    <w:p w:rsid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0B070C" w:rsidRDefault="006C16D1" w:rsidP="00F4370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6C16D1">
        <w:rPr>
          <w:spacing w:val="-3"/>
          <w:sz w:val="24"/>
          <w:szCs w:val="24"/>
        </w:rPr>
        <w:t>2.</w:t>
      </w:r>
      <w:r w:rsidRPr="006C16D1">
        <w:rPr>
          <w:spacing w:val="-3"/>
          <w:sz w:val="24"/>
          <w:szCs w:val="24"/>
        </w:rPr>
        <w:tab/>
        <w:t>Pursuant to 66 Pa.</w:t>
      </w:r>
      <w:r w:rsidR="00F4370E">
        <w:rPr>
          <w:spacing w:val="-3"/>
          <w:sz w:val="24"/>
          <w:szCs w:val="24"/>
        </w:rPr>
        <w:t xml:space="preserve"> </w:t>
      </w:r>
      <w:r w:rsidRPr="006C16D1">
        <w:rPr>
          <w:spacing w:val="-3"/>
          <w:sz w:val="24"/>
          <w:szCs w:val="24"/>
        </w:rPr>
        <w:t xml:space="preserve">C.S. §332(a), the burden of proof in this proceeding is </w:t>
      </w:r>
    </w:p>
    <w:p w:rsidR="006C16D1" w:rsidRPr="006C16D1" w:rsidRDefault="006C16D1" w:rsidP="000B070C">
      <w:pPr>
        <w:tabs>
          <w:tab w:val="left" w:pos="-1440"/>
          <w:tab w:val="left" w:pos="-720"/>
        </w:tabs>
        <w:suppressAutoHyphens/>
        <w:spacing w:line="360" w:lineRule="auto"/>
        <w:rPr>
          <w:spacing w:val="-3"/>
          <w:sz w:val="24"/>
          <w:szCs w:val="24"/>
        </w:rPr>
      </w:pPr>
      <w:r w:rsidRPr="006C16D1">
        <w:rPr>
          <w:spacing w:val="-3"/>
          <w:sz w:val="24"/>
          <w:szCs w:val="24"/>
        </w:rPr>
        <w:t xml:space="preserve">upon </w:t>
      </w:r>
      <w:r w:rsidR="00A87DBE">
        <w:rPr>
          <w:spacing w:val="-3"/>
          <w:sz w:val="24"/>
          <w:szCs w:val="24"/>
        </w:rPr>
        <w:t>C</w:t>
      </w:r>
      <w:r w:rsidRPr="006C16D1">
        <w:rPr>
          <w:spacing w:val="-3"/>
          <w:sz w:val="24"/>
          <w:szCs w:val="24"/>
        </w:rPr>
        <w:t>omplainant.</w:t>
      </w:r>
    </w:p>
    <w:p w:rsidR="006C16D1" w:rsidRP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6C16D1" w:rsidRPr="006C16D1" w:rsidRDefault="000B070C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3</w:t>
      </w:r>
      <w:r w:rsidR="006C16D1" w:rsidRPr="006C16D1">
        <w:rPr>
          <w:spacing w:val="-3"/>
          <w:sz w:val="24"/>
          <w:szCs w:val="24"/>
        </w:rPr>
        <w:t>.</w:t>
      </w:r>
      <w:r w:rsidR="006C16D1" w:rsidRPr="006C16D1">
        <w:rPr>
          <w:spacing w:val="-3"/>
          <w:sz w:val="24"/>
          <w:szCs w:val="24"/>
        </w:rPr>
        <w:tab/>
        <w:t>A public utility’s</w:t>
      </w:r>
      <w:r>
        <w:rPr>
          <w:spacing w:val="-3"/>
          <w:sz w:val="24"/>
          <w:szCs w:val="24"/>
        </w:rPr>
        <w:t xml:space="preserve"> t</w:t>
      </w:r>
      <w:r w:rsidR="006C16D1" w:rsidRPr="006C16D1">
        <w:rPr>
          <w:spacing w:val="-3"/>
          <w:sz w:val="24"/>
          <w:szCs w:val="24"/>
        </w:rPr>
        <w:t xml:space="preserve">ariff provisions approved by the Commission are </w:t>
      </w:r>
      <w:r w:rsidR="006C16D1" w:rsidRPr="006C16D1">
        <w:rPr>
          <w:i/>
          <w:iCs/>
          <w:spacing w:val="-3"/>
          <w:sz w:val="24"/>
          <w:szCs w:val="24"/>
        </w:rPr>
        <w:t xml:space="preserve">prima facie </w:t>
      </w:r>
      <w:r w:rsidR="006C16D1" w:rsidRPr="006C16D1">
        <w:rPr>
          <w:spacing w:val="-3"/>
          <w:sz w:val="24"/>
          <w:szCs w:val="24"/>
        </w:rPr>
        <w:t>reasonable.</w:t>
      </w:r>
    </w:p>
    <w:p w:rsidR="006C16D1" w:rsidRP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6C16D1" w:rsidRDefault="00DC62A5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</w:t>
      </w:r>
      <w:r w:rsidR="006C16D1" w:rsidRPr="006C16D1">
        <w:rPr>
          <w:spacing w:val="-3"/>
          <w:sz w:val="24"/>
          <w:szCs w:val="24"/>
        </w:rPr>
        <w:t>.</w:t>
      </w:r>
      <w:r w:rsidR="006C16D1" w:rsidRPr="006C16D1">
        <w:rPr>
          <w:spacing w:val="-3"/>
          <w:sz w:val="24"/>
          <w:szCs w:val="24"/>
        </w:rPr>
        <w:tab/>
        <w:t>Complainant presented no evidence that</w:t>
      </w:r>
      <w:r w:rsidR="00A87DBE" w:rsidRPr="00A87DBE">
        <w:rPr>
          <w:sz w:val="24"/>
          <w:szCs w:val="24"/>
        </w:rPr>
        <w:t xml:space="preserve"> </w:t>
      </w:r>
      <w:r w:rsidR="00A87DBE">
        <w:rPr>
          <w:sz w:val="24"/>
          <w:szCs w:val="24"/>
        </w:rPr>
        <w:t xml:space="preserve">Respondent’s </w:t>
      </w:r>
      <w:r w:rsidR="00D109B8">
        <w:rPr>
          <w:sz w:val="24"/>
          <w:szCs w:val="24"/>
        </w:rPr>
        <w:t>T</w:t>
      </w:r>
      <w:r w:rsidR="000B070C">
        <w:rPr>
          <w:sz w:val="24"/>
          <w:szCs w:val="24"/>
        </w:rPr>
        <w:t xml:space="preserve">ariff </w:t>
      </w:r>
      <w:r w:rsidR="00A87DBE">
        <w:rPr>
          <w:sz w:val="24"/>
          <w:szCs w:val="24"/>
        </w:rPr>
        <w:t xml:space="preserve">as approved by </w:t>
      </w:r>
      <w:r w:rsidR="00851135">
        <w:rPr>
          <w:sz w:val="24"/>
          <w:szCs w:val="24"/>
        </w:rPr>
        <w:t xml:space="preserve">the </w:t>
      </w:r>
      <w:r w:rsidR="00A87DBE">
        <w:rPr>
          <w:sz w:val="24"/>
          <w:szCs w:val="24"/>
        </w:rPr>
        <w:t>Commission</w:t>
      </w:r>
      <w:r w:rsidR="00851135">
        <w:rPr>
          <w:sz w:val="24"/>
          <w:szCs w:val="24"/>
        </w:rPr>
        <w:t>’s</w:t>
      </w:r>
      <w:r w:rsidR="00A87DBE">
        <w:rPr>
          <w:sz w:val="24"/>
          <w:szCs w:val="24"/>
        </w:rPr>
        <w:t xml:space="preserve"> Order entered on </w:t>
      </w:r>
      <w:r>
        <w:rPr>
          <w:sz w:val="24"/>
          <w:szCs w:val="24"/>
        </w:rPr>
        <w:t>December 16</w:t>
      </w:r>
      <w:r w:rsidR="00A87DBE">
        <w:rPr>
          <w:sz w:val="24"/>
          <w:szCs w:val="24"/>
        </w:rPr>
        <w:t>, 2010 a</w:t>
      </w:r>
      <w:r w:rsidR="00F4370E">
        <w:rPr>
          <w:sz w:val="24"/>
          <w:szCs w:val="24"/>
        </w:rPr>
        <w:t>t</w:t>
      </w:r>
      <w:r w:rsidR="00A87DBE">
        <w:rPr>
          <w:sz w:val="24"/>
          <w:szCs w:val="24"/>
        </w:rPr>
        <w:t xml:space="preserve"> Docket No. R</w:t>
      </w:r>
      <w:r w:rsidR="0096068A">
        <w:rPr>
          <w:sz w:val="24"/>
          <w:szCs w:val="24"/>
        </w:rPr>
        <w:t>-</w:t>
      </w:r>
      <w:r w:rsidR="00A87DBE">
        <w:rPr>
          <w:sz w:val="24"/>
          <w:szCs w:val="24"/>
        </w:rPr>
        <w:t>2010-216</w:t>
      </w:r>
      <w:r>
        <w:rPr>
          <w:sz w:val="24"/>
          <w:szCs w:val="24"/>
        </w:rPr>
        <w:t>6212</w:t>
      </w:r>
      <w:r w:rsidR="006C16D1" w:rsidRPr="006C16D1">
        <w:rPr>
          <w:spacing w:val="-3"/>
          <w:sz w:val="24"/>
          <w:szCs w:val="24"/>
        </w:rPr>
        <w:t xml:space="preserve"> </w:t>
      </w:r>
      <w:r w:rsidR="000B070C">
        <w:rPr>
          <w:spacing w:val="-3"/>
          <w:sz w:val="24"/>
          <w:szCs w:val="24"/>
        </w:rPr>
        <w:t>i</w:t>
      </w:r>
      <w:r w:rsidR="006C16D1" w:rsidRPr="006C16D1">
        <w:rPr>
          <w:spacing w:val="-3"/>
          <w:sz w:val="24"/>
          <w:szCs w:val="24"/>
        </w:rPr>
        <w:t>s unreasonable.</w:t>
      </w:r>
    </w:p>
    <w:p w:rsidR="000B070C" w:rsidRDefault="000B070C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6C16D1" w:rsidRPr="006C16D1" w:rsidRDefault="00DC62A5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5</w:t>
      </w:r>
      <w:r w:rsidR="006C16D1" w:rsidRPr="006C16D1">
        <w:rPr>
          <w:spacing w:val="-3"/>
          <w:sz w:val="24"/>
          <w:szCs w:val="24"/>
        </w:rPr>
        <w:t>.</w:t>
      </w:r>
      <w:r w:rsidR="006C16D1" w:rsidRPr="006C16D1">
        <w:rPr>
          <w:spacing w:val="-3"/>
          <w:sz w:val="24"/>
          <w:szCs w:val="24"/>
        </w:rPr>
        <w:tab/>
        <w:t xml:space="preserve">Complainant failed to bear </w:t>
      </w:r>
      <w:r w:rsidR="000B070C">
        <w:rPr>
          <w:spacing w:val="-3"/>
          <w:sz w:val="24"/>
          <w:szCs w:val="24"/>
        </w:rPr>
        <w:t>h</w:t>
      </w:r>
      <w:r>
        <w:rPr>
          <w:spacing w:val="-3"/>
          <w:sz w:val="24"/>
          <w:szCs w:val="24"/>
        </w:rPr>
        <w:t>is</w:t>
      </w:r>
      <w:r w:rsidR="006C16D1" w:rsidRPr="006C16D1">
        <w:rPr>
          <w:spacing w:val="-3"/>
          <w:sz w:val="24"/>
          <w:szCs w:val="24"/>
        </w:rPr>
        <w:t xml:space="preserve"> burden of proof that </w:t>
      </w:r>
      <w:r w:rsidR="000B070C">
        <w:rPr>
          <w:spacing w:val="-3"/>
          <w:sz w:val="24"/>
          <w:szCs w:val="24"/>
        </w:rPr>
        <w:t>R</w:t>
      </w:r>
      <w:r w:rsidR="006C16D1" w:rsidRPr="006C16D1">
        <w:rPr>
          <w:spacing w:val="-3"/>
          <w:sz w:val="24"/>
          <w:szCs w:val="24"/>
        </w:rPr>
        <w:t xml:space="preserve">espondent </w:t>
      </w:r>
      <w:r w:rsidR="006C16D1" w:rsidRPr="006C16D1">
        <w:rPr>
          <w:sz w:val="24"/>
          <w:szCs w:val="24"/>
        </w:rPr>
        <w:t>violated any applicable law, regulation or</w:t>
      </w:r>
      <w:r w:rsidR="000B070C">
        <w:rPr>
          <w:sz w:val="24"/>
          <w:szCs w:val="24"/>
        </w:rPr>
        <w:t xml:space="preserve"> order of</w:t>
      </w:r>
      <w:r w:rsidR="006C16D1" w:rsidRPr="006C16D1">
        <w:rPr>
          <w:sz w:val="24"/>
          <w:szCs w:val="24"/>
        </w:rPr>
        <w:t xml:space="preserve"> the Commission</w:t>
      </w:r>
      <w:r w:rsidR="006C16D1" w:rsidRPr="006C16D1">
        <w:rPr>
          <w:spacing w:val="-3"/>
          <w:sz w:val="24"/>
          <w:szCs w:val="24"/>
        </w:rPr>
        <w:t>.</w:t>
      </w:r>
    </w:p>
    <w:p w:rsidR="0056758F" w:rsidRDefault="0056758F" w:rsidP="006C16D1">
      <w:pPr>
        <w:tabs>
          <w:tab w:val="left" w:pos="-1440"/>
          <w:tab w:val="left" w:pos="-720"/>
        </w:tabs>
        <w:suppressAutoHyphens/>
        <w:spacing w:line="360" w:lineRule="auto"/>
        <w:jc w:val="center"/>
        <w:rPr>
          <w:spacing w:val="-3"/>
          <w:sz w:val="24"/>
          <w:szCs w:val="24"/>
        </w:rPr>
      </w:pPr>
    </w:p>
    <w:p w:rsidR="00E9230E" w:rsidRDefault="00E9230E">
      <w:pPr>
        <w:rPr>
          <w:sz w:val="24"/>
          <w:szCs w:val="24"/>
          <w:u w:val="single"/>
        </w:rPr>
      </w:pPr>
    </w:p>
    <w:p w:rsidR="000F1516" w:rsidRDefault="000F151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6C16D1" w:rsidRP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jc w:val="center"/>
        <w:rPr>
          <w:sz w:val="24"/>
          <w:szCs w:val="24"/>
          <w:u w:val="single"/>
        </w:rPr>
      </w:pPr>
      <w:r w:rsidRPr="006C16D1">
        <w:rPr>
          <w:sz w:val="24"/>
          <w:szCs w:val="24"/>
          <w:u w:val="single"/>
        </w:rPr>
        <w:lastRenderedPageBreak/>
        <w:t>ORDER</w:t>
      </w:r>
    </w:p>
    <w:p w:rsidR="006C16D1" w:rsidRPr="006C16D1" w:rsidRDefault="006C16D1" w:rsidP="006C16D1">
      <w:pPr>
        <w:spacing w:line="360" w:lineRule="auto"/>
        <w:jc w:val="center"/>
        <w:rPr>
          <w:sz w:val="24"/>
          <w:szCs w:val="24"/>
        </w:rPr>
      </w:pPr>
    </w:p>
    <w:p w:rsidR="006C16D1" w:rsidRPr="006C16D1" w:rsidRDefault="006C16D1" w:rsidP="006C16D1">
      <w:pPr>
        <w:spacing w:line="360" w:lineRule="auto"/>
        <w:jc w:val="center"/>
        <w:rPr>
          <w:sz w:val="24"/>
          <w:szCs w:val="24"/>
          <w:u w:val="single"/>
        </w:rPr>
      </w:pPr>
    </w:p>
    <w:p w:rsidR="006C16D1" w:rsidRPr="006C16D1" w:rsidRDefault="006C16D1" w:rsidP="006C16D1">
      <w:pPr>
        <w:spacing w:line="360" w:lineRule="auto"/>
        <w:ind w:firstLine="1440"/>
        <w:rPr>
          <w:sz w:val="24"/>
          <w:szCs w:val="24"/>
        </w:rPr>
      </w:pPr>
      <w:r w:rsidRPr="006C16D1">
        <w:rPr>
          <w:sz w:val="24"/>
          <w:szCs w:val="24"/>
        </w:rPr>
        <w:t>THEREFORE,</w:t>
      </w:r>
    </w:p>
    <w:p w:rsidR="006C16D1" w:rsidRPr="006C16D1" w:rsidRDefault="006C16D1" w:rsidP="006C16D1">
      <w:pPr>
        <w:spacing w:line="360" w:lineRule="auto"/>
        <w:ind w:firstLine="1440"/>
        <w:rPr>
          <w:sz w:val="24"/>
          <w:szCs w:val="24"/>
        </w:rPr>
      </w:pPr>
    </w:p>
    <w:p w:rsidR="006C16D1" w:rsidRPr="006C16D1" w:rsidRDefault="006C16D1" w:rsidP="00DD5B52">
      <w:pPr>
        <w:spacing w:line="360" w:lineRule="auto"/>
        <w:ind w:firstLine="1440"/>
        <w:rPr>
          <w:sz w:val="24"/>
          <w:szCs w:val="24"/>
        </w:rPr>
      </w:pPr>
      <w:r w:rsidRPr="006C16D1">
        <w:rPr>
          <w:sz w:val="24"/>
          <w:szCs w:val="24"/>
        </w:rPr>
        <w:t>IT IS ORDERED:</w:t>
      </w:r>
    </w:p>
    <w:p w:rsidR="006C16D1" w:rsidRPr="006C16D1" w:rsidRDefault="006C16D1" w:rsidP="006C16D1">
      <w:pPr>
        <w:spacing w:line="360" w:lineRule="auto"/>
        <w:ind w:firstLine="1440"/>
        <w:rPr>
          <w:sz w:val="24"/>
          <w:szCs w:val="24"/>
        </w:rPr>
      </w:pPr>
    </w:p>
    <w:p w:rsidR="006C16D1" w:rsidRP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6C16D1">
        <w:rPr>
          <w:spacing w:val="-3"/>
          <w:sz w:val="24"/>
          <w:szCs w:val="24"/>
        </w:rPr>
        <w:t>1.</w:t>
      </w:r>
      <w:r w:rsidRPr="006C16D1">
        <w:rPr>
          <w:spacing w:val="-3"/>
          <w:sz w:val="24"/>
          <w:szCs w:val="24"/>
        </w:rPr>
        <w:tab/>
        <w:t xml:space="preserve">That the Complaint of </w:t>
      </w:r>
      <w:r w:rsidR="003B50AA">
        <w:rPr>
          <w:spacing w:val="-3"/>
          <w:sz w:val="24"/>
          <w:szCs w:val="24"/>
        </w:rPr>
        <w:t xml:space="preserve">S. </w:t>
      </w:r>
      <w:r w:rsidR="00DC62A5">
        <w:rPr>
          <w:spacing w:val="-3"/>
          <w:sz w:val="24"/>
          <w:szCs w:val="24"/>
        </w:rPr>
        <w:t xml:space="preserve">Stockton Alloway v. </w:t>
      </w:r>
      <w:r w:rsidR="00565D02">
        <w:rPr>
          <w:spacing w:val="-3"/>
          <w:sz w:val="24"/>
          <w:szCs w:val="24"/>
        </w:rPr>
        <w:t>Pennsylvania-American</w:t>
      </w:r>
      <w:r w:rsidR="00DC62A5">
        <w:rPr>
          <w:spacing w:val="-3"/>
          <w:sz w:val="24"/>
          <w:szCs w:val="24"/>
        </w:rPr>
        <w:t xml:space="preserve"> Water Company </w:t>
      </w:r>
      <w:r w:rsidR="00470A6C">
        <w:rPr>
          <w:spacing w:val="-3"/>
          <w:sz w:val="24"/>
          <w:szCs w:val="24"/>
        </w:rPr>
        <w:t xml:space="preserve">at </w:t>
      </w:r>
      <w:r w:rsidRPr="006C16D1">
        <w:rPr>
          <w:spacing w:val="-3"/>
          <w:sz w:val="24"/>
          <w:szCs w:val="24"/>
        </w:rPr>
        <w:t>Docket Number C-</w:t>
      </w:r>
      <w:r w:rsidR="00DD5B52">
        <w:rPr>
          <w:spacing w:val="-3"/>
          <w:sz w:val="24"/>
          <w:szCs w:val="24"/>
        </w:rPr>
        <w:t>2</w:t>
      </w:r>
      <w:r w:rsidR="00470A6C">
        <w:rPr>
          <w:spacing w:val="-3"/>
          <w:sz w:val="24"/>
          <w:szCs w:val="24"/>
        </w:rPr>
        <w:t>01</w:t>
      </w:r>
      <w:r w:rsidR="00DC62A5">
        <w:rPr>
          <w:spacing w:val="-3"/>
          <w:sz w:val="24"/>
          <w:szCs w:val="24"/>
        </w:rPr>
        <w:t>2</w:t>
      </w:r>
      <w:r w:rsidR="00470A6C">
        <w:rPr>
          <w:spacing w:val="-3"/>
          <w:sz w:val="24"/>
          <w:szCs w:val="24"/>
        </w:rPr>
        <w:t>-22</w:t>
      </w:r>
      <w:r w:rsidR="00DC62A5">
        <w:rPr>
          <w:spacing w:val="-3"/>
          <w:sz w:val="24"/>
          <w:szCs w:val="24"/>
        </w:rPr>
        <w:t>88383</w:t>
      </w:r>
      <w:r w:rsidRPr="006C16D1">
        <w:rPr>
          <w:spacing w:val="-3"/>
          <w:sz w:val="24"/>
          <w:szCs w:val="24"/>
        </w:rPr>
        <w:t xml:space="preserve"> is dismissed</w:t>
      </w:r>
      <w:r w:rsidR="00DD5B52">
        <w:rPr>
          <w:spacing w:val="-3"/>
          <w:sz w:val="24"/>
          <w:szCs w:val="24"/>
        </w:rPr>
        <w:t xml:space="preserve"> for Complainant’s failure to carry h</w:t>
      </w:r>
      <w:r w:rsidR="00DC62A5">
        <w:rPr>
          <w:spacing w:val="-3"/>
          <w:sz w:val="24"/>
          <w:szCs w:val="24"/>
        </w:rPr>
        <w:t>is</w:t>
      </w:r>
      <w:r w:rsidR="00DD5B52">
        <w:rPr>
          <w:spacing w:val="-3"/>
          <w:sz w:val="24"/>
          <w:szCs w:val="24"/>
        </w:rPr>
        <w:t xml:space="preserve"> burden of proof.</w:t>
      </w:r>
    </w:p>
    <w:p w:rsidR="006C16D1" w:rsidRDefault="006C16D1" w:rsidP="006C16D1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:rsidR="00DD5B52" w:rsidRDefault="00DD5B52" w:rsidP="0050538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6758F" w:rsidRPr="00DD5B52">
        <w:rPr>
          <w:sz w:val="24"/>
          <w:szCs w:val="24"/>
        </w:rPr>
        <w:t>That the Secretary’s Burea</w:t>
      </w:r>
      <w:r>
        <w:rPr>
          <w:sz w:val="24"/>
          <w:szCs w:val="24"/>
        </w:rPr>
        <w:t>u shall</w:t>
      </w:r>
      <w:r w:rsidR="0056758F" w:rsidRPr="00DD5B52">
        <w:rPr>
          <w:sz w:val="24"/>
          <w:szCs w:val="24"/>
        </w:rPr>
        <w:t xml:space="preserve"> mark Docket No. </w:t>
      </w:r>
      <w:r w:rsidR="0056758F" w:rsidRPr="00DD5B52">
        <w:rPr>
          <w:sz w:val="24"/>
        </w:rPr>
        <w:t>C-</w:t>
      </w:r>
      <w:r w:rsidR="00DC62A5">
        <w:rPr>
          <w:spacing w:val="-3"/>
          <w:sz w:val="24"/>
          <w:szCs w:val="24"/>
        </w:rPr>
        <w:t>2012-2288383</w:t>
      </w:r>
      <w:r w:rsidR="00DC62A5" w:rsidRPr="006C16D1">
        <w:rPr>
          <w:spacing w:val="-3"/>
          <w:sz w:val="24"/>
          <w:szCs w:val="24"/>
        </w:rPr>
        <w:t xml:space="preserve"> </w:t>
      </w:r>
      <w:r w:rsidR="0056758F" w:rsidRPr="00DD5B52">
        <w:rPr>
          <w:sz w:val="24"/>
          <w:szCs w:val="24"/>
        </w:rPr>
        <w:t>closed.</w:t>
      </w:r>
    </w:p>
    <w:p w:rsidR="00DD5B52" w:rsidRDefault="00DD5B52" w:rsidP="0056758F">
      <w:pPr>
        <w:spacing w:line="360" w:lineRule="auto"/>
        <w:rPr>
          <w:sz w:val="24"/>
          <w:szCs w:val="24"/>
        </w:rPr>
      </w:pPr>
    </w:p>
    <w:p w:rsidR="00DD5B52" w:rsidRDefault="00DC62A5" w:rsidP="0056758F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1342A0" wp14:editId="0AEFF7B4">
            <wp:simplePos x="0" y="0"/>
            <wp:positionH relativeFrom="column">
              <wp:posOffset>2752725</wp:posOffset>
            </wp:positionH>
            <wp:positionV relativeFrom="paragraph">
              <wp:posOffset>211455</wp:posOffset>
            </wp:positionV>
            <wp:extent cx="2533650" cy="1047750"/>
            <wp:effectExtent l="0" t="0" r="0" b="0"/>
            <wp:wrapNone/>
            <wp:docPr id="1" name="Picture 0" descr="CAJ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AJ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B52" w:rsidRDefault="00DD5B52" w:rsidP="0056758F">
      <w:pPr>
        <w:spacing w:line="360" w:lineRule="auto"/>
        <w:rPr>
          <w:sz w:val="24"/>
          <w:szCs w:val="24"/>
        </w:rPr>
      </w:pPr>
    </w:p>
    <w:p w:rsidR="0056758F" w:rsidRPr="00DD5B52" w:rsidRDefault="0056758F" w:rsidP="005675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Dated:  </w:t>
      </w:r>
      <w:r w:rsidR="00DC62A5" w:rsidRPr="00DC62A5">
        <w:rPr>
          <w:sz w:val="24"/>
          <w:szCs w:val="24"/>
          <w:u w:val="single"/>
        </w:rPr>
        <w:t>June 29</w:t>
      </w:r>
      <w:r w:rsidRPr="004D522D">
        <w:rPr>
          <w:sz w:val="24"/>
          <w:szCs w:val="24"/>
          <w:u w:val="single"/>
        </w:rPr>
        <w:t>,</w:t>
      </w:r>
      <w:r w:rsidRPr="00F437D8">
        <w:rPr>
          <w:sz w:val="24"/>
          <w:szCs w:val="24"/>
          <w:u w:val="single"/>
        </w:rPr>
        <w:t xml:space="preserve"> 201</w:t>
      </w:r>
      <w:r>
        <w:rPr>
          <w:sz w:val="24"/>
          <w:szCs w:val="24"/>
          <w:u w:val="single"/>
        </w:rPr>
        <w:t>2</w:t>
      </w:r>
      <w:r w:rsidR="00DD5B52">
        <w:rPr>
          <w:sz w:val="24"/>
          <w:szCs w:val="24"/>
        </w:rPr>
        <w:tab/>
      </w:r>
      <w:r w:rsidR="00DD5B52">
        <w:rPr>
          <w:sz w:val="24"/>
          <w:szCs w:val="24"/>
        </w:rPr>
        <w:tab/>
      </w:r>
      <w:r w:rsidR="00DD5B52">
        <w:rPr>
          <w:sz w:val="24"/>
          <w:szCs w:val="24"/>
        </w:rPr>
        <w:tab/>
      </w:r>
      <w:r w:rsidR="00DD5B52">
        <w:rPr>
          <w:sz w:val="24"/>
          <w:szCs w:val="24"/>
        </w:rPr>
        <w:tab/>
      </w:r>
    </w:p>
    <w:p w:rsidR="00DD5B52" w:rsidRDefault="00DD5B52" w:rsidP="0056758F">
      <w:pPr>
        <w:spacing w:line="360" w:lineRule="auto"/>
        <w:rPr>
          <w:sz w:val="24"/>
          <w:szCs w:val="24"/>
          <w:u w:val="single"/>
        </w:rPr>
      </w:pPr>
    </w:p>
    <w:p w:rsidR="00DD5B52" w:rsidRDefault="00DD5B52" w:rsidP="0056758F">
      <w:pPr>
        <w:spacing w:line="360" w:lineRule="auto"/>
        <w:rPr>
          <w:sz w:val="24"/>
          <w:szCs w:val="24"/>
          <w:u w:val="single"/>
        </w:rPr>
      </w:pPr>
    </w:p>
    <w:p w:rsidR="00DD5B52" w:rsidRDefault="00DD5B52" w:rsidP="0056758F">
      <w:pPr>
        <w:spacing w:line="360" w:lineRule="auto"/>
        <w:rPr>
          <w:sz w:val="24"/>
          <w:szCs w:val="24"/>
          <w:u w:val="single"/>
        </w:rPr>
      </w:pPr>
    </w:p>
    <w:sectPr w:rsidR="00DD5B52" w:rsidSect="0000132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41" w:rsidRDefault="00AD7141" w:rsidP="00192971">
      <w:r>
        <w:separator/>
      </w:r>
    </w:p>
  </w:endnote>
  <w:endnote w:type="continuationSeparator" w:id="0">
    <w:p w:rsidR="00AD7141" w:rsidRDefault="00AD7141" w:rsidP="001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43" w:rsidRDefault="00D93343" w:rsidP="001929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93343" w:rsidRDefault="00D93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867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323" w:rsidRDefault="00001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A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93343" w:rsidRDefault="00D93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41" w:rsidRDefault="00AD7141" w:rsidP="00192971">
      <w:r>
        <w:separator/>
      </w:r>
    </w:p>
  </w:footnote>
  <w:footnote w:type="continuationSeparator" w:id="0">
    <w:p w:rsidR="00AD7141" w:rsidRDefault="00AD7141" w:rsidP="00192971">
      <w:r>
        <w:continuationSeparator/>
      </w:r>
    </w:p>
  </w:footnote>
  <w:footnote w:id="1">
    <w:p w:rsidR="00202C3D" w:rsidRPr="00202C3D" w:rsidRDefault="00202C3D" w:rsidP="00202C3D">
      <w:pPr>
        <w:pStyle w:val="FootnoteText"/>
        <w:rPr>
          <w:rFonts w:ascii="CG Times" w:hAnsi="CG Times" w:cs="CG Times"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  <w:t>As the result of a Commission reorganization in 2011, the</w:t>
      </w:r>
      <w:r w:rsidRPr="00202C3D">
        <w:rPr>
          <w:rFonts w:ascii="CG Times" w:hAnsi="CG Times" w:cs="CG Times"/>
        </w:rPr>
        <w:t xml:space="preserve"> Office of Trial Staff</w:t>
      </w:r>
      <w:r>
        <w:rPr>
          <w:rFonts w:ascii="CG Times" w:hAnsi="CG Times" w:cs="CG Times"/>
        </w:rPr>
        <w:t xml:space="preserve"> is now a part of the Bureau of Investigation and Enforcement</w:t>
      </w:r>
      <w:r w:rsidRPr="00202C3D">
        <w:rPr>
          <w:rFonts w:ascii="CG Times" w:hAnsi="CG Times" w:cs="CG Times"/>
        </w:rPr>
        <w:t>.</w:t>
      </w:r>
    </w:p>
    <w:p w:rsidR="00202C3D" w:rsidRDefault="00202C3D">
      <w:pPr>
        <w:pStyle w:val="FootnoteText"/>
      </w:pPr>
    </w:p>
  </w:footnote>
  <w:footnote w:id="2">
    <w:p w:rsidR="00187990" w:rsidRDefault="00187990">
      <w:pPr>
        <w:pStyle w:val="FootnoteText"/>
      </w:pPr>
      <w:r>
        <w:tab/>
      </w:r>
      <w:r>
        <w:rPr>
          <w:rStyle w:val="FootnoteReference"/>
        </w:rPr>
        <w:footnoteRef/>
      </w:r>
      <w:r>
        <w:tab/>
        <w:t>Section 1303 provides:</w:t>
      </w:r>
    </w:p>
    <w:p w:rsidR="00187990" w:rsidRDefault="00187990">
      <w:pPr>
        <w:pStyle w:val="FootnoteText"/>
      </w:pPr>
    </w:p>
    <w:p w:rsidR="00187990" w:rsidRDefault="00187990" w:rsidP="00187990">
      <w:pPr>
        <w:pStyle w:val="FootnoteText"/>
        <w:ind w:left="2160" w:right="1080"/>
      </w:pPr>
      <w:r>
        <w:t>No public utility shall, directly or indirectly, by any devi</w:t>
      </w:r>
      <w:r w:rsidR="003B50AA">
        <w:t>c</w:t>
      </w:r>
      <w:r>
        <w:t xml:space="preserve">e whatsoever, or in anywise, </w:t>
      </w:r>
      <w:r w:rsidR="00DC62A5">
        <w:t>d</w:t>
      </w:r>
      <w:r>
        <w:t>emand or receive from any person, corporation, o</w:t>
      </w:r>
      <w:r w:rsidR="000F1516">
        <w:t>r</w:t>
      </w:r>
      <w:r>
        <w:t xml:space="preserve"> municipal corporation a greater or less rate for any service rendered or to be rendered by such public utility than that specified </w:t>
      </w:r>
      <w:r w:rsidR="00DC62A5">
        <w:t>i</w:t>
      </w:r>
      <w:r>
        <w:t>n</w:t>
      </w:r>
      <w:r w:rsidR="00DC62A5">
        <w:t xml:space="preserve"> </w:t>
      </w:r>
      <w:r>
        <w:t>the tariffs of such public utility applicable thereto.</w:t>
      </w:r>
    </w:p>
    <w:p w:rsidR="00187990" w:rsidRDefault="00187990">
      <w:pPr>
        <w:pStyle w:val="FootnoteText"/>
      </w:pPr>
    </w:p>
    <w:p w:rsidR="00187990" w:rsidRDefault="00187990">
      <w:pPr>
        <w:pStyle w:val="FootnoteText"/>
      </w:pPr>
      <w:r>
        <w:t>66 Pa. C.S. §1303.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56196"/>
    <w:multiLevelType w:val="hybridMultilevel"/>
    <w:tmpl w:val="50F2E2F4"/>
    <w:lvl w:ilvl="0" w:tplc="7D5822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D02457"/>
    <w:multiLevelType w:val="hybridMultilevel"/>
    <w:tmpl w:val="D1D8D418"/>
    <w:lvl w:ilvl="0" w:tplc="F510FF38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7D472CC"/>
    <w:multiLevelType w:val="hybridMultilevel"/>
    <w:tmpl w:val="43265F3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819E0"/>
    <w:multiLevelType w:val="hybridMultilevel"/>
    <w:tmpl w:val="DECE2262"/>
    <w:lvl w:ilvl="0" w:tplc="CC86BD2C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59803BB5"/>
    <w:multiLevelType w:val="hybridMultilevel"/>
    <w:tmpl w:val="557CD59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E3"/>
    <w:rsid w:val="00001323"/>
    <w:rsid w:val="00006B96"/>
    <w:rsid w:val="00011469"/>
    <w:rsid w:val="00022F61"/>
    <w:rsid w:val="000405A3"/>
    <w:rsid w:val="00063D0F"/>
    <w:rsid w:val="00076325"/>
    <w:rsid w:val="00085340"/>
    <w:rsid w:val="00087429"/>
    <w:rsid w:val="000A08A1"/>
    <w:rsid w:val="000A2316"/>
    <w:rsid w:val="000A2BA4"/>
    <w:rsid w:val="000B070C"/>
    <w:rsid w:val="000F1516"/>
    <w:rsid w:val="00122A62"/>
    <w:rsid w:val="001326BE"/>
    <w:rsid w:val="001335CD"/>
    <w:rsid w:val="00141D6F"/>
    <w:rsid w:val="001452F0"/>
    <w:rsid w:val="001759FE"/>
    <w:rsid w:val="001875A8"/>
    <w:rsid w:val="00187990"/>
    <w:rsid w:val="0019103E"/>
    <w:rsid w:val="00192971"/>
    <w:rsid w:val="001A576F"/>
    <w:rsid w:val="001B30D4"/>
    <w:rsid w:val="001C1EEF"/>
    <w:rsid w:val="001D5F2E"/>
    <w:rsid w:val="001F1C55"/>
    <w:rsid w:val="00202C3D"/>
    <w:rsid w:val="0020572E"/>
    <w:rsid w:val="00210EA4"/>
    <w:rsid w:val="002134F1"/>
    <w:rsid w:val="00217012"/>
    <w:rsid w:val="0022130A"/>
    <w:rsid w:val="00240DC3"/>
    <w:rsid w:val="00242B84"/>
    <w:rsid w:val="00251A6F"/>
    <w:rsid w:val="002849DA"/>
    <w:rsid w:val="00290F1E"/>
    <w:rsid w:val="002A03FF"/>
    <w:rsid w:val="002A1E77"/>
    <w:rsid w:val="002A728B"/>
    <w:rsid w:val="002B3A2F"/>
    <w:rsid w:val="002B76AA"/>
    <w:rsid w:val="002C0109"/>
    <w:rsid w:val="002C0D2B"/>
    <w:rsid w:val="002D0CB9"/>
    <w:rsid w:val="002D15FD"/>
    <w:rsid w:val="002D36A0"/>
    <w:rsid w:val="002E0F62"/>
    <w:rsid w:val="002E4A8C"/>
    <w:rsid w:val="002F3D9D"/>
    <w:rsid w:val="00311047"/>
    <w:rsid w:val="00313B05"/>
    <w:rsid w:val="00320183"/>
    <w:rsid w:val="003265C3"/>
    <w:rsid w:val="003476FF"/>
    <w:rsid w:val="00347F37"/>
    <w:rsid w:val="00347F3D"/>
    <w:rsid w:val="003633BC"/>
    <w:rsid w:val="00376610"/>
    <w:rsid w:val="00390FC2"/>
    <w:rsid w:val="003B2C49"/>
    <w:rsid w:val="003B50AA"/>
    <w:rsid w:val="003C3D45"/>
    <w:rsid w:val="003D53AE"/>
    <w:rsid w:val="003E1E9C"/>
    <w:rsid w:val="003F52B2"/>
    <w:rsid w:val="00420ED2"/>
    <w:rsid w:val="00425663"/>
    <w:rsid w:val="00426AA9"/>
    <w:rsid w:val="00434E4A"/>
    <w:rsid w:val="00442C2D"/>
    <w:rsid w:val="00445BBF"/>
    <w:rsid w:val="0045783B"/>
    <w:rsid w:val="00462D5D"/>
    <w:rsid w:val="00470A6C"/>
    <w:rsid w:val="00470B6E"/>
    <w:rsid w:val="0047533B"/>
    <w:rsid w:val="004805F4"/>
    <w:rsid w:val="0048599E"/>
    <w:rsid w:val="004B0935"/>
    <w:rsid w:val="004B7D4B"/>
    <w:rsid w:val="004C5AB0"/>
    <w:rsid w:val="004C66B3"/>
    <w:rsid w:val="004D522D"/>
    <w:rsid w:val="004E51EA"/>
    <w:rsid w:val="004F24CA"/>
    <w:rsid w:val="00505387"/>
    <w:rsid w:val="00521B7D"/>
    <w:rsid w:val="00523533"/>
    <w:rsid w:val="00536423"/>
    <w:rsid w:val="00543565"/>
    <w:rsid w:val="00565D02"/>
    <w:rsid w:val="0056758F"/>
    <w:rsid w:val="00570469"/>
    <w:rsid w:val="00583917"/>
    <w:rsid w:val="005B2610"/>
    <w:rsid w:val="005B5C6C"/>
    <w:rsid w:val="005E4BA5"/>
    <w:rsid w:val="005E57FE"/>
    <w:rsid w:val="005F568B"/>
    <w:rsid w:val="006130EA"/>
    <w:rsid w:val="006227B7"/>
    <w:rsid w:val="00627F91"/>
    <w:rsid w:val="00633A4D"/>
    <w:rsid w:val="00635CFC"/>
    <w:rsid w:val="00644566"/>
    <w:rsid w:val="006630EB"/>
    <w:rsid w:val="006669F3"/>
    <w:rsid w:val="0069117E"/>
    <w:rsid w:val="00692541"/>
    <w:rsid w:val="00695352"/>
    <w:rsid w:val="00696390"/>
    <w:rsid w:val="006972E3"/>
    <w:rsid w:val="006A437F"/>
    <w:rsid w:val="006C16D1"/>
    <w:rsid w:val="006C2036"/>
    <w:rsid w:val="006E4830"/>
    <w:rsid w:val="00727B56"/>
    <w:rsid w:val="00733B0F"/>
    <w:rsid w:val="00737014"/>
    <w:rsid w:val="007449BB"/>
    <w:rsid w:val="007464FE"/>
    <w:rsid w:val="007604FB"/>
    <w:rsid w:val="00762F52"/>
    <w:rsid w:val="00774502"/>
    <w:rsid w:val="00780308"/>
    <w:rsid w:val="007805B4"/>
    <w:rsid w:val="007B4D65"/>
    <w:rsid w:val="007B6F4F"/>
    <w:rsid w:val="007C072C"/>
    <w:rsid w:val="007C0B0D"/>
    <w:rsid w:val="007C267D"/>
    <w:rsid w:val="007C668D"/>
    <w:rsid w:val="007C679A"/>
    <w:rsid w:val="007D43C7"/>
    <w:rsid w:val="007D6B71"/>
    <w:rsid w:val="007E58EE"/>
    <w:rsid w:val="00821A08"/>
    <w:rsid w:val="00837B4B"/>
    <w:rsid w:val="00847EB9"/>
    <w:rsid w:val="00851135"/>
    <w:rsid w:val="00883537"/>
    <w:rsid w:val="00885B20"/>
    <w:rsid w:val="0089595E"/>
    <w:rsid w:val="008B186B"/>
    <w:rsid w:val="008C6228"/>
    <w:rsid w:val="008F0FBE"/>
    <w:rsid w:val="009145CF"/>
    <w:rsid w:val="0093007D"/>
    <w:rsid w:val="00932324"/>
    <w:rsid w:val="00933D51"/>
    <w:rsid w:val="00933E34"/>
    <w:rsid w:val="0096068A"/>
    <w:rsid w:val="00976DBA"/>
    <w:rsid w:val="009A4159"/>
    <w:rsid w:val="009A6084"/>
    <w:rsid w:val="009B7783"/>
    <w:rsid w:val="009D4C48"/>
    <w:rsid w:val="009D6510"/>
    <w:rsid w:val="009E43FB"/>
    <w:rsid w:val="009F251C"/>
    <w:rsid w:val="009F5BEC"/>
    <w:rsid w:val="009F5C8E"/>
    <w:rsid w:val="00A344CD"/>
    <w:rsid w:val="00A34C43"/>
    <w:rsid w:val="00A3657F"/>
    <w:rsid w:val="00A55988"/>
    <w:rsid w:val="00A7401F"/>
    <w:rsid w:val="00A80E7A"/>
    <w:rsid w:val="00A83E82"/>
    <w:rsid w:val="00A87DBE"/>
    <w:rsid w:val="00A96B22"/>
    <w:rsid w:val="00AA76DA"/>
    <w:rsid w:val="00AB3AF6"/>
    <w:rsid w:val="00AB61E6"/>
    <w:rsid w:val="00AD18F3"/>
    <w:rsid w:val="00AD22F4"/>
    <w:rsid w:val="00AD6141"/>
    <w:rsid w:val="00AD6B5E"/>
    <w:rsid w:val="00AD7141"/>
    <w:rsid w:val="00AD7AB7"/>
    <w:rsid w:val="00AE3EBA"/>
    <w:rsid w:val="00AE54FE"/>
    <w:rsid w:val="00B05A74"/>
    <w:rsid w:val="00B3557D"/>
    <w:rsid w:val="00B83229"/>
    <w:rsid w:val="00B97401"/>
    <w:rsid w:val="00BD1247"/>
    <w:rsid w:val="00BE3BEF"/>
    <w:rsid w:val="00BF7353"/>
    <w:rsid w:val="00C015DC"/>
    <w:rsid w:val="00C33654"/>
    <w:rsid w:val="00C3732D"/>
    <w:rsid w:val="00C512B4"/>
    <w:rsid w:val="00C619EF"/>
    <w:rsid w:val="00C62AA2"/>
    <w:rsid w:val="00C77914"/>
    <w:rsid w:val="00C8046B"/>
    <w:rsid w:val="00C84FEF"/>
    <w:rsid w:val="00C875BF"/>
    <w:rsid w:val="00C92252"/>
    <w:rsid w:val="00CA58AE"/>
    <w:rsid w:val="00CA7173"/>
    <w:rsid w:val="00CC274D"/>
    <w:rsid w:val="00CE0594"/>
    <w:rsid w:val="00CE4FCF"/>
    <w:rsid w:val="00CF7033"/>
    <w:rsid w:val="00CF7973"/>
    <w:rsid w:val="00D00BD9"/>
    <w:rsid w:val="00D109B8"/>
    <w:rsid w:val="00D17115"/>
    <w:rsid w:val="00D174D3"/>
    <w:rsid w:val="00D31050"/>
    <w:rsid w:val="00D32F54"/>
    <w:rsid w:val="00D43287"/>
    <w:rsid w:val="00D575AE"/>
    <w:rsid w:val="00D60485"/>
    <w:rsid w:val="00D633BC"/>
    <w:rsid w:val="00D66C10"/>
    <w:rsid w:val="00D758AD"/>
    <w:rsid w:val="00D76B86"/>
    <w:rsid w:val="00D77A0D"/>
    <w:rsid w:val="00D802EE"/>
    <w:rsid w:val="00D87905"/>
    <w:rsid w:val="00D93343"/>
    <w:rsid w:val="00DA2331"/>
    <w:rsid w:val="00DB1199"/>
    <w:rsid w:val="00DC62A5"/>
    <w:rsid w:val="00DD5B52"/>
    <w:rsid w:val="00DD7FEC"/>
    <w:rsid w:val="00DE35AF"/>
    <w:rsid w:val="00DF699B"/>
    <w:rsid w:val="00E02170"/>
    <w:rsid w:val="00E2105B"/>
    <w:rsid w:val="00E4079A"/>
    <w:rsid w:val="00E44FF8"/>
    <w:rsid w:val="00E7075A"/>
    <w:rsid w:val="00E75295"/>
    <w:rsid w:val="00E820D6"/>
    <w:rsid w:val="00E90E21"/>
    <w:rsid w:val="00E9230E"/>
    <w:rsid w:val="00E93E6E"/>
    <w:rsid w:val="00EA130F"/>
    <w:rsid w:val="00EA3EED"/>
    <w:rsid w:val="00EB143F"/>
    <w:rsid w:val="00EB16F9"/>
    <w:rsid w:val="00EC6E46"/>
    <w:rsid w:val="00EE0BE3"/>
    <w:rsid w:val="00EF10F2"/>
    <w:rsid w:val="00EF3B34"/>
    <w:rsid w:val="00F427FF"/>
    <w:rsid w:val="00F4370E"/>
    <w:rsid w:val="00F437D8"/>
    <w:rsid w:val="00F53F9F"/>
    <w:rsid w:val="00F652EE"/>
    <w:rsid w:val="00F670EB"/>
    <w:rsid w:val="00F758F7"/>
    <w:rsid w:val="00F768BE"/>
    <w:rsid w:val="00F9418B"/>
    <w:rsid w:val="00FA60CC"/>
    <w:rsid w:val="00FB6878"/>
    <w:rsid w:val="00FC7713"/>
    <w:rsid w:val="00FD4F53"/>
    <w:rsid w:val="00FE0DA9"/>
    <w:rsid w:val="00FE5314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E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72E3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6972E3"/>
    <w:rPr>
      <w:rFonts w:eastAsia="Times New Roman" w:cs="Times New Roman"/>
      <w:b/>
      <w:szCs w:val="20"/>
    </w:rPr>
  </w:style>
  <w:style w:type="paragraph" w:customStyle="1" w:styleId="ParaTab1">
    <w:name w:val="ParaTab 1"/>
    <w:rsid w:val="00D633B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8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2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971"/>
    <w:rPr>
      <w:rFonts w:eastAsia="Times New Roman"/>
    </w:rPr>
  </w:style>
  <w:style w:type="character" w:styleId="PageNumber">
    <w:name w:val="page number"/>
    <w:basedOn w:val="DefaultParagraphFont"/>
    <w:rsid w:val="00192971"/>
  </w:style>
  <w:style w:type="paragraph" w:styleId="FootnoteText">
    <w:name w:val="footnote text"/>
    <w:basedOn w:val="Normal"/>
    <w:link w:val="FootnoteTextChar"/>
    <w:semiHidden/>
    <w:rsid w:val="00192971"/>
  </w:style>
  <w:style w:type="character" w:customStyle="1" w:styleId="FootnoteTextChar">
    <w:name w:val="Footnote Text Char"/>
    <w:basedOn w:val="DefaultParagraphFont"/>
    <w:link w:val="FootnoteText"/>
    <w:semiHidden/>
    <w:rsid w:val="00192971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1929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1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323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E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72E3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6972E3"/>
    <w:rPr>
      <w:rFonts w:eastAsia="Times New Roman" w:cs="Times New Roman"/>
      <w:b/>
      <w:szCs w:val="20"/>
    </w:rPr>
  </w:style>
  <w:style w:type="paragraph" w:customStyle="1" w:styleId="ParaTab1">
    <w:name w:val="ParaTab 1"/>
    <w:rsid w:val="00D633B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8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2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971"/>
    <w:rPr>
      <w:rFonts w:eastAsia="Times New Roman"/>
    </w:rPr>
  </w:style>
  <w:style w:type="character" w:styleId="PageNumber">
    <w:name w:val="page number"/>
    <w:basedOn w:val="DefaultParagraphFont"/>
    <w:rsid w:val="00192971"/>
  </w:style>
  <w:style w:type="paragraph" w:styleId="FootnoteText">
    <w:name w:val="footnote text"/>
    <w:basedOn w:val="Normal"/>
    <w:link w:val="FootnoteTextChar"/>
    <w:semiHidden/>
    <w:rsid w:val="00192971"/>
  </w:style>
  <w:style w:type="character" w:customStyle="1" w:styleId="FootnoteTextChar">
    <w:name w:val="Footnote Text Char"/>
    <w:basedOn w:val="DefaultParagraphFont"/>
    <w:link w:val="FootnoteText"/>
    <w:semiHidden/>
    <w:rsid w:val="00192971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1929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1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32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BD75-281E-4C95-A4F8-16ACC1D8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cojohnson</dc:creator>
  <cp:lastModifiedBy>sandra elizabeth oldynski</cp:lastModifiedBy>
  <cp:revision>2</cp:revision>
  <cp:lastPrinted>2012-03-21T13:10:00Z</cp:lastPrinted>
  <dcterms:created xsi:type="dcterms:W3CDTF">2012-07-09T19:23:00Z</dcterms:created>
  <dcterms:modified xsi:type="dcterms:W3CDTF">2012-07-09T19:23:00Z</dcterms:modified>
</cp:coreProperties>
</file>