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8D" w:rsidRPr="005441F7" w:rsidRDefault="0082408D" w:rsidP="005441F7">
      <w:pPr>
        <w:pStyle w:val="Title"/>
        <w:rPr>
          <w:rFonts w:ascii="Times New Roman" w:hAnsi="Times New Roman"/>
          <w:szCs w:val="24"/>
        </w:rPr>
      </w:pPr>
      <w:r w:rsidRPr="005441F7">
        <w:rPr>
          <w:rFonts w:ascii="Times New Roman" w:hAnsi="Times New Roman"/>
          <w:szCs w:val="24"/>
        </w:rPr>
        <w:t>BEFORE THE</w:t>
      </w:r>
    </w:p>
    <w:p w:rsidR="0082408D" w:rsidRPr="005441F7" w:rsidRDefault="0082408D" w:rsidP="005441F7">
      <w:pPr>
        <w:pStyle w:val="Subtitle"/>
        <w:rPr>
          <w:rFonts w:ascii="Times New Roman" w:hAnsi="Times New Roman"/>
          <w:szCs w:val="24"/>
        </w:rPr>
      </w:pPr>
      <w:r w:rsidRPr="005441F7">
        <w:rPr>
          <w:rFonts w:ascii="Times New Roman" w:hAnsi="Times New Roman"/>
          <w:szCs w:val="24"/>
        </w:rPr>
        <w:t>PENNSYLVANIA PUBLIC UTILITY COMMISSION</w:t>
      </w:r>
    </w:p>
    <w:p w:rsidR="0082408D" w:rsidRPr="005441F7" w:rsidRDefault="0082408D" w:rsidP="005441F7">
      <w:pPr>
        <w:jc w:val="both"/>
        <w:rPr>
          <w:sz w:val="24"/>
          <w:szCs w:val="24"/>
        </w:rPr>
      </w:pPr>
    </w:p>
    <w:p w:rsidR="0082408D" w:rsidRDefault="0082408D" w:rsidP="005441F7">
      <w:pPr>
        <w:jc w:val="both"/>
        <w:rPr>
          <w:sz w:val="24"/>
          <w:szCs w:val="24"/>
        </w:rPr>
      </w:pPr>
    </w:p>
    <w:p w:rsidR="005441F7" w:rsidRPr="005441F7" w:rsidRDefault="005441F7" w:rsidP="005441F7">
      <w:pPr>
        <w:jc w:val="both"/>
        <w:rPr>
          <w:sz w:val="24"/>
          <w:szCs w:val="24"/>
        </w:rPr>
      </w:pPr>
    </w:p>
    <w:p w:rsidR="006555D7" w:rsidRPr="005441F7" w:rsidRDefault="00DC06F9" w:rsidP="005441F7">
      <w:pPr>
        <w:jc w:val="both"/>
        <w:rPr>
          <w:sz w:val="24"/>
          <w:szCs w:val="24"/>
        </w:rPr>
      </w:pPr>
      <w:r>
        <w:rPr>
          <w:sz w:val="24"/>
          <w:szCs w:val="24"/>
        </w:rPr>
        <w:t>Judith Jones</w:t>
      </w:r>
      <w:r>
        <w:rPr>
          <w:sz w:val="24"/>
          <w:szCs w:val="24"/>
        </w:rPr>
        <w:tab/>
      </w:r>
      <w:r w:rsidR="007042D6" w:rsidRPr="005441F7">
        <w:rPr>
          <w:sz w:val="24"/>
          <w:szCs w:val="24"/>
        </w:rPr>
        <w:tab/>
      </w:r>
      <w:r w:rsidR="007042D6" w:rsidRPr="005441F7">
        <w:rPr>
          <w:sz w:val="24"/>
          <w:szCs w:val="24"/>
        </w:rPr>
        <w:tab/>
      </w:r>
      <w:r w:rsidR="007042D6" w:rsidRPr="005441F7">
        <w:rPr>
          <w:sz w:val="24"/>
          <w:szCs w:val="24"/>
        </w:rPr>
        <w:tab/>
      </w:r>
      <w:r w:rsidR="007042D6" w:rsidRPr="005441F7">
        <w:rPr>
          <w:sz w:val="24"/>
          <w:szCs w:val="24"/>
        </w:rPr>
        <w:tab/>
      </w:r>
      <w:r w:rsidR="007042D6" w:rsidRPr="005441F7">
        <w:rPr>
          <w:sz w:val="24"/>
          <w:szCs w:val="24"/>
        </w:rPr>
        <w:tab/>
        <w:t>:</w:t>
      </w:r>
    </w:p>
    <w:p w:rsidR="0082408D" w:rsidRPr="005441F7" w:rsidRDefault="006555D7" w:rsidP="005441F7">
      <w:pPr>
        <w:jc w:val="both"/>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t>:</w:t>
      </w:r>
    </w:p>
    <w:p w:rsidR="0082408D" w:rsidRPr="005441F7" w:rsidRDefault="0082408D" w:rsidP="005441F7">
      <w:pPr>
        <w:jc w:val="both"/>
        <w:rPr>
          <w:sz w:val="24"/>
          <w:szCs w:val="24"/>
        </w:rPr>
      </w:pPr>
      <w:r w:rsidRPr="005441F7">
        <w:rPr>
          <w:sz w:val="24"/>
          <w:szCs w:val="24"/>
        </w:rPr>
        <w:tab/>
        <w:t>v.</w:t>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t>:</w:t>
      </w:r>
      <w:r w:rsidR="006555D7" w:rsidRPr="005441F7">
        <w:rPr>
          <w:sz w:val="24"/>
          <w:szCs w:val="24"/>
        </w:rPr>
        <w:tab/>
      </w:r>
      <w:r w:rsidR="006555D7" w:rsidRPr="005441F7">
        <w:rPr>
          <w:sz w:val="24"/>
          <w:szCs w:val="24"/>
        </w:rPr>
        <w:tab/>
      </w:r>
      <w:r w:rsidR="00D75245">
        <w:rPr>
          <w:sz w:val="24"/>
          <w:szCs w:val="24"/>
        </w:rPr>
        <w:tab/>
      </w:r>
      <w:r w:rsidR="001048D8" w:rsidRPr="005441F7">
        <w:rPr>
          <w:sz w:val="24"/>
          <w:szCs w:val="24"/>
        </w:rPr>
        <w:t>F-2011-22</w:t>
      </w:r>
      <w:r w:rsidR="00DC06F9">
        <w:rPr>
          <w:sz w:val="24"/>
          <w:szCs w:val="24"/>
        </w:rPr>
        <w:t>62603</w:t>
      </w:r>
    </w:p>
    <w:p w:rsidR="0082408D" w:rsidRPr="005441F7" w:rsidRDefault="0082408D" w:rsidP="005441F7">
      <w:pPr>
        <w:ind w:firstLine="720"/>
        <w:jc w:val="both"/>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t>:</w:t>
      </w:r>
    </w:p>
    <w:p w:rsidR="0082408D" w:rsidRPr="005441F7" w:rsidRDefault="00A5151A" w:rsidP="005441F7">
      <w:pPr>
        <w:jc w:val="both"/>
        <w:rPr>
          <w:sz w:val="24"/>
          <w:szCs w:val="24"/>
        </w:rPr>
      </w:pPr>
      <w:r>
        <w:rPr>
          <w:sz w:val="24"/>
          <w:szCs w:val="24"/>
        </w:rPr>
        <w:t>Philadelphia Gas Works</w:t>
      </w:r>
      <w:r>
        <w:rPr>
          <w:sz w:val="24"/>
          <w:szCs w:val="24"/>
        </w:rPr>
        <w:tab/>
      </w:r>
      <w:r w:rsidR="0082408D" w:rsidRPr="005441F7">
        <w:rPr>
          <w:sz w:val="24"/>
          <w:szCs w:val="24"/>
        </w:rPr>
        <w:tab/>
      </w:r>
      <w:r w:rsidR="0082408D" w:rsidRPr="005441F7">
        <w:rPr>
          <w:sz w:val="24"/>
          <w:szCs w:val="24"/>
        </w:rPr>
        <w:tab/>
      </w:r>
      <w:r w:rsidR="0082408D" w:rsidRPr="005441F7">
        <w:rPr>
          <w:sz w:val="24"/>
          <w:szCs w:val="24"/>
        </w:rPr>
        <w:tab/>
        <w:t>:</w:t>
      </w:r>
    </w:p>
    <w:p w:rsidR="0082408D" w:rsidRPr="005441F7" w:rsidRDefault="0082408D" w:rsidP="005441F7">
      <w:pPr>
        <w:jc w:val="both"/>
        <w:rPr>
          <w:sz w:val="24"/>
          <w:szCs w:val="24"/>
        </w:rPr>
      </w:pPr>
      <w:bookmarkStart w:id="0" w:name="_GoBack"/>
      <w:bookmarkEnd w:id="0"/>
    </w:p>
    <w:p w:rsidR="0082408D" w:rsidRPr="005441F7" w:rsidRDefault="0082408D" w:rsidP="005441F7">
      <w:pPr>
        <w:jc w:val="both"/>
        <w:rPr>
          <w:sz w:val="24"/>
          <w:szCs w:val="24"/>
        </w:rPr>
      </w:pPr>
    </w:p>
    <w:p w:rsidR="006555D7" w:rsidRPr="005441F7" w:rsidRDefault="006555D7" w:rsidP="005441F7">
      <w:pPr>
        <w:jc w:val="both"/>
        <w:rPr>
          <w:sz w:val="24"/>
          <w:szCs w:val="24"/>
        </w:rPr>
      </w:pPr>
    </w:p>
    <w:p w:rsidR="0082408D" w:rsidRPr="005441F7" w:rsidRDefault="0082408D" w:rsidP="005441F7">
      <w:pPr>
        <w:pStyle w:val="Heading1"/>
        <w:rPr>
          <w:rFonts w:ascii="Times New Roman" w:hAnsi="Times New Roman"/>
          <w:szCs w:val="24"/>
        </w:rPr>
      </w:pPr>
      <w:r w:rsidRPr="005441F7">
        <w:rPr>
          <w:rFonts w:ascii="Times New Roman" w:hAnsi="Times New Roman"/>
          <w:szCs w:val="24"/>
        </w:rPr>
        <w:t>INITIAL DECISION</w:t>
      </w:r>
    </w:p>
    <w:p w:rsidR="0082408D" w:rsidRPr="005441F7" w:rsidRDefault="0082408D" w:rsidP="005441F7">
      <w:pPr>
        <w:jc w:val="center"/>
        <w:rPr>
          <w:b/>
          <w:sz w:val="24"/>
          <w:szCs w:val="24"/>
        </w:rPr>
      </w:pPr>
    </w:p>
    <w:p w:rsidR="0082408D" w:rsidRPr="005441F7" w:rsidRDefault="0082408D" w:rsidP="005441F7">
      <w:pPr>
        <w:jc w:val="center"/>
        <w:rPr>
          <w:b/>
          <w:sz w:val="24"/>
          <w:szCs w:val="24"/>
        </w:rPr>
      </w:pPr>
    </w:p>
    <w:p w:rsidR="0082408D" w:rsidRPr="005441F7" w:rsidRDefault="0082408D" w:rsidP="005441F7">
      <w:pPr>
        <w:pStyle w:val="Heading2"/>
        <w:rPr>
          <w:rFonts w:ascii="Times New Roman" w:hAnsi="Times New Roman"/>
          <w:b w:val="0"/>
          <w:szCs w:val="24"/>
        </w:rPr>
      </w:pPr>
      <w:r w:rsidRPr="005441F7">
        <w:rPr>
          <w:rFonts w:ascii="Times New Roman" w:hAnsi="Times New Roman"/>
          <w:b w:val="0"/>
          <w:szCs w:val="24"/>
        </w:rPr>
        <w:t>Before</w:t>
      </w:r>
    </w:p>
    <w:p w:rsidR="0082408D" w:rsidRPr="005441F7" w:rsidRDefault="0079457E" w:rsidP="005441F7">
      <w:pPr>
        <w:jc w:val="center"/>
        <w:rPr>
          <w:sz w:val="24"/>
          <w:szCs w:val="24"/>
        </w:rPr>
      </w:pPr>
      <w:r w:rsidRPr="005441F7">
        <w:rPr>
          <w:sz w:val="24"/>
          <w:szCs w:val="24"/>
        </w:rPr>
        <w:t>Dennis J. Buckley</w:t>
      </w:r>
    </w:p>
    <w:p w:rsidR="0082408D" w:rsidRPr="005441F7" w:rsidRDefault="0082408D" w:rsidP="005441F7">
      <w:pPr>
        <w:jc w:val="center"/>
        <w:rPr>
          <w:sz w:val="24"/>
          <w:szCs w:val="24"/>
        </w:rPr>
      </w:pPr>
      <w:r w:rsidRPr="005441F7">
        <w:rPr>
          <w:sz w:val="24"/>
          <w:szCs w:val="24"/>
        </w:rPr>
        <w:t>Administrative Law Judge</w:t>
      </w:r>
    </w:p>
    <w:p w:rsidR="0082408D" w:rsidRPr="005441F7" w:rsidRDefault="0082408D" w:rsidP="005441F7">
      <w:pPr>
        <w:jc w:val="center"/>
        <w:rPr>
          <w:b/>
          <w:sz w:val="24"/>
          <w:szCs w:val="24"/>
        </w:rPr>
      </w:pPr>
    </w:p>
    <w:p w:rsidR="0082408D" w:rsidRPr="005441F7" w:rsidRDefault="0082408D" w:rsidP="005441F7">
      <w:pPr>
        <w:jc w:val="center"/>
        <w:rPr>
          <w:b/>
          <w:sz w:val="24"/>
          <w:szCs w:val="24"/>
        </w:rPr>
      </w:pPr>
    </w:p>
    <w:p w:rsidR="0082408D" w:rsidRPr="005441F7" w:rsidRDefault="0082408D" w:rsidP="005441F7">
      <w:pPr>
        <w:pStyle w:val="Heading1"/>
        <w:tabs>
          <w:tab w:val="left" w:pos="1980"/>
        </w:tabs>
        <w:rPr>
          <w:rFonts w:ascii="Times New Roman" w:hAnsi="Times New Roman"/>
          <w:b w:val="0"/>
          <w:szCs w:val="24"/>
        </w:rPr>
      </w:pPr>
      <w:r w:rsidRPr="005441F7">
        <w:rPr>
          <w:rFonts w:ascii="Times New Roman" w:hAnsi="Times New Roman"/>
          <w:b w:val="0"/>
          <w:szCs w:val="24"/>
        </w:rPr>
        <w:t>HISTORY OF THE PROCEEDING</w:t>
      </w:r>
    </w:p>
    <w:p w:rsidR="0082408D" w:rsidRDefault="0082408D" w:rsidP="005441F7">
      <w:pPr>
        <w:rPr>
          <w:sz w:val="24"/>
          <w:szCs w:val="24"/>
        </w:rPr>
      </w:pPr>
    </w:p>
    <w:p w:rsidR="005441F7" w:rsidRPr="005441F7" w:rsidRDefault="005441F7" w:rsidP="005441F7">
      <w:pPr>
        <w:rPr>
          <w:sz w:val="24"/>
          <w:szCs w:val="24"/>
        </w:rPr>
      </w:pPr>
    </w:p>
    <w:p w:rsidR="00361A4C" w:rsidRDefault="00D332C3"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 xml:space="preserve">On </w:t>
      </w:r>
      <w:r w:rsidR="00DC06F9">
        <w:rPr>
          <w:rFonts w:ascii="Times New Roman" w:hAnsi="Times New Roman"/>
          <w:szCs w:val="24"/>
        </w:rPr>
        <w:t>September 6</w:t>
      </w:r>
      <w:r w:rsidR="00361A4C" w:rsidRPr="005441F7">
        <w:rPr>
          <w:rFonts w:ascii="Times New Roman" w:hAnsi="Times New Roman"/>
          <w:szCs w:val="24"/>
        </w:rPr>
        <w:t xml:space="preserve">, 2011, </w:t>
      </w:r>
      <w:r w:rsidR="00DC06F9">
        <w:rPr>
          <w:rFonts w:ascii="Times New Roman" w:hAnsi="Times New Roman"/>
          <w:szCs w:val="24"/>
        </w:rPr>
        <w:t>Judith Jones</w:t>
      </w:r>
      <w:r w:rsidR="00361A4C" w:rsidRPr="005441F7">
        <w:rPr>
          <w:rFonts w:ascii="Times New Roman" w:hAnsi="Times New Roman"/>
          <w:szCs w:val="24"/>
        </w:rPr>
        <w:t xml:space="preserve"> (</w:t>
      </w:r>
      <w:r w:rsidRPr="005441F7">
        <w:rPr>
          <w:rFonts w:ascii="Times New Roman" w:hAnsi="Times New Roman"/>
          <w:szCs w:val="24"/>
        </w:rPr>
        <w:t xml:space="preserve">Complainant) filed a </w:t>
      </w:r>
      <w:r w:rsidR="000750BE" w:rsidRPr="005441F7">
        <w:rPr>
          <w:rFonts w:ascii="Times New Roman" w:hAnsi="Times New Roman"/>
          <w:szCs w:val="24"/>
        </w:rPr>
        <w:t>formal C</w:t>
      </w:r>
      <w:r w:rsidRPr="005441F7">
        <w:rPr>
          <w:rFonts w:ascii="Times New Roman" w:hAnsi="Times New Roman"/>
          <w:szCs w:val="24"/>
        </w:rPr>
        <w:t xml:space="preserve">omplaint with the Pennsylvania Public Utility Commission (Commission) against </w:t>
      </w:r>
      <w:r w:rsidR="00A5151A">
        <w:rPr>
          <w:rFonts w:ascii="Times New Roman" w:hAnsi="Times New Roman"/>
          <w:szCs w:val="24"/>
        </w:rPr>
        <w:t xml:space="preserve">Philadelphia Gas Works </w:t>
      </w:r>
      <w:r w:rsidR="00361A4C" w:rsidRPr="005441F7">
        <w:rPr>
          <w:rFonts w:ascii="Times New Roman" w:hAnsi="Times New Roman"/>
          <w:szCs w:val="24"/>
        </w:rPr>
        <w:t>(P</w:t>
      </w:r>
      <w:r w:rsidR="00A5151A">
        <w:rPr>
          <w:rFonts w:ascii="Times New Roman" w:hAnsi="Times New Roman"/>
          <w:szCs w:val="24"/>
        </w:rPr>
        <w:t xml:space="preserve">GW </w:t>
      </w:r>
      <w:r w:rsidR="00361A4C" w:rsidRPr="005441F7">
        <w:rPr>
          <w:rFonts w:ascii="Times New Roman" w:hAnsi="Times New Roman"/>
          <w:szCs w:val="24"/>
        </w:rPr>
        <w:t xml:space="preserve">or Respondent) </w:t>
      </w:r>
      <w:r w:rsidRPr="005441F7">
        <w:rPr>
          <w:rFonts w:ascii="Times New Roman" w:hAnsi="Times New Roman"/>
          <w:szCs w:val="24"/>
        </w:rPr>
        <w:t>alleging</w:t>
      </w:r>
      <w:r w:rsidR="00361A4C" w:rsidRPr="005441F7">
        <w:rPr>
          <w:rFonts w:ascii="Times New Roman" w:hAnsi="Times New Roman"/>
          <w:szCs w:val="24"/>
        </w:rPr>
        <w:t xml:space="preserve"> that the Complainant </w:t>
      </w:r>
      <w:r w:rsidR="00A5151A">
        <w:rPr>
          <w:rFonts w:ascii="Times New Roman" w:hAnsi="Times New Roman"/>
          <w:szCs w:val="24"/>
        </w:rPr>
        <w:t>did not receive a 72 hour notice before her natural gas service was shut off on July 12, 2011, but that she needs natural gas service for her family.  Complainant asked for a payment arrangement.</w:t>
      </w:r>
      <w:r w:rsidR="00361A4C" w:rsidRPr="005441F7">
        <w:rPr>
          <w:rStyle w:val="FootnoteReference"/>
          <w:rFonts w:ascii="Times New Roman" w:hAnsi="Times New Roman"/>
          <w:szCs w:val="24"/>
        </w:rPr>
        <w:footnoteReference w:id="1"/>
      </w:r>
      <w:r w:rsidR="00361A4C" w:rsidRPr="005441F7">
        <w:rPr>
          <w:rFonts w:ascii="Times New Roman" w:hAnsi="Times New Roman"/>
          <w:szCs w:val="24"/>
        </w:rPr>
        <w:t xml:space="preserve">  </w:t>
      </w:r>
    </w:p>
    <w:p w:rsidR="00A5151A" w:rsidRPr="005441F7" w:rsidRDefault="00A5151A" w:rsidP="005441F7">
      <w:pPr>
        <w:pStyle w:val="BodyText"/>
        <w:tabs>
          <w:tab w:val="clear" w:pos="1980"/>
          <w:tab w:val="left" w:pos="0"/>
        </w:tabs>
        <w:spacing w:line="360" w:lineRule="auto"/>
        <w:jc w:val="left"/>
        <w:rPr>
          <w:rFonts w:ascii="Times New Roman" w:hAnsi="Times New Roman"/>
          <w:szCs w:val="24"/>
        </w:rPr>
      </w:pPr>
    </w:p>
    <w:p w:rsidR="00361A4C" w:rsidRPr="005441F7" w:rsidRDefault="00D332C3"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 xml:space="preserve">On </w:t>
      </w:r>
      <w:r w:rsidR="00A5151A">
        <w:rPr>
          <w:rFonts w:ascii="Times New Roman" w:hAnsi="Times New Roman"/>
          <w:szCs w:val="24"/>
        </w:rPr>
        <w:t>September 15</w:t>
      </w:r>
      <w:r w:rsidR="00361A4C" w:rsidRPr="005441F7">
        <w:rPr>
          <w:rFonts w:ascii="Times New Roman" w:hAnsi="Times New Roman"/>
          <w:szCs w:val="24"/>
        </w:rPr>
        <w:t>, 2011, the Secretary of the Commission served a copy of the Complaint on P</w:t>
      </w:r>
      <w:r w:rsidR="00A5151A">
        <w:rPr>
          <w:rFonts w:ascii="Times New Roman" w:hAnsi="Times New Roman"/>
          <w:szCs w:val="24"/>
        </w:rPr>
        <w:t>GW</w:t>
      </w:r>
      <w:r w:rsidR="00361A4C" w:rsidRPr="005441F7">
        <w:rPr>
          <w:rFonts w:ascii="Times New Roman" w:hAnsi="Times New Roman"/>
          <w:szCs w:val="24"/>
        </w:rPr>
        <w:t>.</w:t>
      </w:r>
    </w:p>
    <w:p w:rsidR="006F0BBB" w:rsidRDefault="006F0BBB" w:rsidP="005441F7">
      <w:pPr>
        <w:pStyle w:val="BodyText"/>
        <w:tabs>
          <w:tab w:val="clear" w:pos="1980"/>
          <w:tab w:val="left" w:pos="0"/>
        </w:tabs>
        <w:spacing w:line="360" w:lineRule="auto"/>
        <w:jc w:val="left"/>
        <w:rPr>
          <w:rFonts w:ascii="Times New Roman" w:hAnsi="Times New Roman"/>
          <w:szCs w:val="24"/>
        </w:rPr>
      </w:pPr>
    </w:p>
    <w:p w:rsidR="00A5151A" w:rsidRDefault="006F0BBB" w:rsidP="005441F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sidR="00361A4C" w:rsidRPr="005441F7">
        <w:rPr>
          <w:rFonts w:ascii="Times New Roman" w:hAnsi="Times New Roman"/>
          <w:szCs w:val="24"/>
        </w:rPr>
        <w:tab/>
        <w:t xml:space="preserve">On </w:t>
      </w:r>
      <w:r w:rsidR="00A5151A">
        <w:rPr>
          <w:rFonts w:ascii="Times New Roman" w:hAnsi="Times New Roman"/>
          <w:szCs w:val="24"/>
        </w:rPr>
        <w:t>October 5</w:t>
      </w:r>
      <w:r w:rsidR="00361A4C" w:rsidRPr="005441F7">
        <w:rPr>
          <w:rFonts w:ascii="Times New Roman" w:hAnsi="Times New Roman"/>
          <w:szCs w:val="24"/>
        </w:rPr>
        <w:t>, 2011, P</w:t>
      </w:r>
      <w:r w:rsidR="00A5151A">
        <w:rPr>
          <w:rFonts w:ascii="Times New Roman" w:hAnsi="Times New Roman"/>
          <w:szCs w:val="24"/>
        </w:rPr>
        <w:t>GW</w:t>
      </w:r>
      <w:r w:rsidR="00361A4C" w:rsidRPr="005441F7">
        <w:rPr>
          <w:rFonts w:ascii="Times New Roman" w:hAnsi="Times New Roman"/>
          <w:szCs w:val="24"/>
        </w:rPr>
        <w:t xml:space="preserve"> filed </w:t>
      </w:r>
      <w:r w:rsidR="00D332C3" w:rsidRPr="005441F7">
        <w:rPr>
          <w:rFonts w:ascii="Times New Roman" w:hAnsi="Times New Roman"/>
          <w:szCs w:val="24"/>
        </w:rPr>
        <w:t>an Answer</w:t>
      </w:r>
      <w:r w:rsidR="00A05536" w:rsidRPr="005441F7">
        <w:rPr>
          <w:rFonts w:ascii="Times New Roman" w:hAnsi="Times New Roman"/>
          <w:szCs w:val="24"/>
        </w:rPr>
        <w:t xml:space="preserve"> </w:t>
      </w:r>
      <w:r w:rsidR="00F766E3" w:rsidRPr="005441F7">
        <w:rPr>
          <w:rFonts w:ascii="Times New Roman" w:hAnsi="Times New Roman"/>
          <w:szCs w:val="24"/>
        </w:rPr>
        <w:t>in which P</w:t>
      </w:r>
      <w:r w:rsidR="00A5151A">
        <w:rPr>
          <w:rFonts w:ascii="Times New Roman" w:hAnsi="Times New Roman"/>
          <w:szCs w:val="24"/>
        </w:rPr>
        <w:t>GW admitted that it terminated natural gas service to the Complainant on July 12, 2011, but denied failing to provide a shut off notice to the Complainant.</w:t>
      </w:r>
      <w:r w:rsidR="00BF551D">
        <w:rPr>
          <w:rFonts w:ascii="Times New Roman" w:hAnsi="Times New Roman"/>
          <w:szCs w:val="24"/>
        </w:rPr>
        <w:t xml:space="preserve">  </w:t>
      </w:r>
      <w:r w:rsidR="00A5151A">
        <w:rPr>
          <w:rFonts w:ascii="Times New Roman" w:hAnsi="Times New Roman"/>
          <w:szCs w:val="24"/>
        </w:rPr>
        <w:t xml:space="preserve">PGW denied that the Complainant was entitled to a </w:t>
      </w:r>
      <w:r w:rsidR="00A5151A">
        <w:rPr>
          <w:rFonts w:ascii="Times New Roman" w:hAnsi="Times New Roman"/>
          <w:szCs w:val="24"/>
        </w:rPr>
        <w:lastRenderedPageBreak/>
        <w:t xml:space="preserve">payment arrangement as the Complainant had accrued a total of $4,786.26 in arrearages and had defaulted on multiple payment arrangements.  </w:t>
      </w:r>
    </w:p>
    <w:p w:rsidR="00D75245" w:rsidRDefault="00D75245" w:rsidP="005441F7">
      <w:pPr>
        <w:pStyle w:val="BodyText"/>
        <w:tabs>
          <w:tab w:val="clear" w:pos="1980"/>
          <w:tab w:val="left" w:pos="0"/>
        </w:tabs>
        <w:spacing w:line="360" w:lineRule="auto"/>
        <w:jc w:val="left"/>
        <w:rPr>
          <w:rFonts w:ascii="Times New Roman" w:hAnsi="Times New Roman"/>
          <w:szCs w:val="24"/>
        </w:rPr>
      </w:pPr>
    </w:p>
    <w:p w:rsidR="0047781B" w:rsidRDefault="00C30822"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07029C" w:rsidRPr="005441F7">
        <w:rPr>
          <w:rFonts w:ascii="Times New Roman" w:hAnsi="Times New Roman"/>
          <w:szCs w:val="24"/>
        </w:rPr>
        <w:t xml:space="preserve">On </w:t>
      </w:r>
      <w:r w:rsidR="00A5151A">
        <w:rPr>
          <w:rFonts w:ascii="Times New Roman" w:hAnsi="Times New Roman"/>
          <w:szCs w:val="24"/>
        </w:rPr>
        <w:t xml:space="preserve">January 13, 2012, </w:t>
      </w:r>
      <w:r w:rsidR="0007029C" w:rsidRPr="005441F7">
        <w:rPr>
          <w:rFonts w:ascii="Times New Roman" w:hAnsi="Times New Roman"/>
          <w:szCs w:val="24"/>
        </w:rPr>
        <w:t xml:space="preserve">the parties were advised </w:t>
      </w:r>
      <w:r w:rsidR="00450055" w:rsidRPr="005441F7">
        <w:rPr>
          <w:rFonts w:ascii="Times New Roman" w:hAnsi="Times New Roman"/>
          <w:szCs w:val="24"/>
        </w:rPr>
        <w:t xml:space="preserve">by the Office of Administrative Law Judge (OALJ) </w:t>
      </w:r>
      <w:r w:rsidR="0007029C" w:rsidRPr="005441F7">
        <w:rPr>
          <w:rFonts w:ascii="Times New Roman" w:hAnsi="Times New Roman"/>
          <w:szCs w:val="24"/>
        </w:rPr>
        <w:t xml:space="preserve">that a </w:t>
      </w:r>
      <w:r w:rsidR="00A5151A">
        <w:rPr>
          <w:rFonts w:ascii="Times New Roman" w:hAnsi="Times New Roman"/>
          <w:szCs w:val="24"/>
        </w:rPr>
        <w:t xml:space="preserve">telephonic </w:t>
      </w:r>
      <w:r w:rsidR="0007029C" w:rsidRPr="005441F7">
        <w:rPr>
          <w:rFonts w:ascii="Times New Roman" w:hAnsi="Times New Roman"/>
          <w:szCs w:val="24"/>
        </w:rPr>
        <w:t xml:space="preserve">hearing had been scheduled for </w:t>
      </w:r>
      <w:r w:rsidR="0047781B">
        <w:rPr>
          <w:rFonts w:ascii="Times New Roman" w:hAnsi="Times New Roman"/>
          <w:szCs w:val="24"/>
        </w:rPr>
        <w:t xml:space="preserve">April 3, 2012, with Special Agent Tiffany A. Hunt presiding, originating from the Commission’s offices </w:t>
      </w:r>
      <w:r w:rsidR="0007029C" w:rsidRPr="005441F7">
        <w:rPr>
          <w:rFonts w:ascii="Times New Roman" w:hAnsi="Times New Roman"/>
          <w:szCs w:val="24"/>
        </w:rPr>
        <w:t xml:space="preserve">in </w:t>
      </w:r>
      <w:r w:rsidR="00F766E3" w:rsidRPr="005441F7">
        <w:rPr>
          <w:rFonts w:ascii="Times New Roman" w:hAnsi="Times New Roman"/>
          <w:szCs w:val="24"/>
        </w:rPr>
        <w:t>Harrisburg</w:t>
      </w:r>
      <w:r w:rsidR="0007029C" w:rsidRPr="005441F7">
        <w:rPr>
          <w:rFonts w:ascii="Times New Roman" w:hAnsi="Times New Roman"/>
          <w:szCs w:val="24"/>
        </w:rPr>
        <w:t>, Pennsylvania.</w:t>
      </w:r>
    </w:p>
    <w:p w:rsidR="0047781B" w:rsidRDefault="0047781B" w:rsidP="005441F7">
      <w:pPr>
        <w:pStyle w:val="BodyText"/>
        <w:tabs>
          <w:tab w:val="clear" w:pos="1980"/>
          <w:tab w:val="left" w:pos="0"/>
        </w:tabs>
        <w:spacing w:line="360" w:lineRule="auto"/>
        <w:jc w:val="left"/>
        <w:rPr>
          <w:rFonts w:ascii="Times New Roman" w:hAnsi="Times New Roman"/>
          <w:szCs w:val="24"/>
        </w:rPr>
      </w:pPr>
    </w:p>
    <w:p w:rsidR="0007029C" w:rsidRPr="005441F7" w:rsidRDefault="0047781B" w:rsidP="005441F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On January 26, 2012, the OALJ issued a Judge Change Notice re-assigning this case to me.</w:t>
      </w:r>
      <w:r w:rsidR="0007029C" w:rsidRPr="005441F7">
        <w:rPr>
          <w:rFonts w:ascii="Times New Roman" w:hAnsi="Times New Roman"/>
          <w:szCs w:val="24"/>
        </w:rPr>
        <w:t xml:space="preserve">  </w:t>
      </w:r>
    </w:p>
    <w:p w:rsidR="00F4455B" w:rsidRPr="005441F7" w:rsidRDefault="00F4455B" w:rsidP="005441F7">
      <w:pPr>
        <w:pStyle w:val="BodyText"/>
        <w:tabs>
          <w:tab w:val="clear" w:pos="1980"/>
          <w:tab w:val="left" w:pos="0"/>
        </w:tabs>
        <w:spacing w:line="360" w:lineRule="auto"/>
        <w:jc w:val="left"/>
        <w:rPr>
          <w:rFonts w:ascii="Times New Roman" w:hAnsi="Times New Roman"/>
          <w:szCs w:val="24"/>
        </w:rPr>
      </w:pPr>
    </w:p>
    <w:p w:rsidR="00F766E3" w:rsidRDefault="00F4455B" w:rsidP="005441F7">
      <w:pPr>
        <w:spacing w:line="360" w:lineRule="auto"/>
        <w:rPr>
          <w:sz w:val="24"/>
          <w:szCs w:val="24"/>
        </w:rPr>
      </w:pPr>
      <w:r w:rsidRPr="005441F7">
        <w:rPr>
          <w:sz w:val="24"/>
          <w:szCs w:val="24"/>
        </w:rPr>
        <w:tab/>
      </w:r>
      <w:r w:rsidRPr="005441F7">
        <w:rPr>
          <w:sz w:val="24"/>
          <w:szCs w:val="24"/>
        </w:rPr>
        <w:tab/>
        <w:t xml:space="preserve">On </w:t>
      </w:r>
      <w:r w:rsidR="0047781B">
        <w:rPr>
          <w:sz w:val="24"/>
          <w:szCs w:val="24"/>
        </w:rPr>
        <w:t xml:space="preserve">March </w:t>
      </w:r>
      <w:r w:rsidR="00F766E3" w:rsidRPr="005441F7">
        <w:rPr>
          <w:sz w:val="24"/>
          <w:szCs w:val="24"/>
        </w:rPr>
        <w:t>1, 201</w:t>
      </w:r>
      <w:r w:rsidR="0047781B">
        <w:rPr>
          <w:sz w:val="24"/>
          <w:szCs w:val="24"/>
        </w:rPr>
        <w:t>2</w:t>
      </w:r>
      <w:r w:rsidR="00F766E3" w:rsidRPr="005441F7">
        <w:rPr>
          <w:sz w:val="24"/>
          <w:szCs w:val="24"/>
        </w:rPr>
        <w:t>, I</w:t>
      </w:r>
      <w:r w:rsidRPr="005441F7">
        <w:rPr>
          <w:sz w:val="24"/>
          <w:szCs w:val="24"/>
        </w:rPr>
        <w:t xml:space="preserve"> issued a prehearing Order in this case setting forth the usual instructions to the parties including the requirements of attendance at hearings</w:t>
      </w:r>
      <w:r w:rsidR="00822DAC" w:rsidRPr="005441F7">
        <w:rPr>
          <w:sz w:val="24"/>
          <w:szCs w:val="24"/>
        </w:rPr>
        <w:t>, the fact that the burden of proof is on the Complainant, and the procedure for requesting continuances.</w:t>
      </w:r>
    </w:p>
    <w:p w:rsidR="00DE332C" w:rsidRDefault="00DE332C" w:rsidP="005441F7">
      <w:pPr>
        <w:spacing w:line="360" w:lineRule="auto"/>
        <w:rPr>
          <w:sz w:val="24"/>
          <w:szCs w:val="24"/>
        </w:rPr>
      </w:pPr>
    </w:p>
    <w:p w:rsidR="00DE332C" w:rsidRPr="005441F7" w:rsidRDefault="00DE332C" w:rsidP="005441F7">
      <w:pPr>
        <w:spacing w:line="360" w:lineRule="auto"/>
        <w:rPr>
          <w:sz w:val="24"/>
          <w:szCs w:val="24"/>
        </w:rPr>
      </w:pPr>
      <w:r>
        <w:rPr>
          <w:sz w:val="24"/>
          <w:szCs w:val="24"/>
        </w:rPr>
        <w:tab/>
      </w:r>
      <w:r>
        <w:rPr>
          <w:sz w:val="24"/>
          <w:szCs w:val="24"/>
        </w:rPr>
        <w:tab/>
        <w:t>I received no indication that either the Hearing notice or the Prehearing Order had been returned by the United States Postal Service.</w:t>
      </w:r>
    </w:p>
    <w:p w:rsidR="00F766E3" w:rsidRPr="005441F7" w:rsidRDefault="00F766E3" w:rsidP="005441F7">
      <w:pPr>
        <w:spacing w:line="360" w:lineRule="auto"/>
        <w:rPr>
          <w:sz w:val="24"/>
          <w:szCs w:val="24"/>
        </w:rPr>
      </w:pPr>
    </w:p>
    <w:p w:rsidR="0018248B" w:rsidRPr="005441F7" w:rsidRDefault="00F766E3" w:rsidP="005441F7">
      <w:pPr>
        <w:spacing w:line="360" w:lineRule="auto"/>
        <w:rPr>
          <w:sz w:val="24"/>
          <w:szCs w:val="24"/>
        </w:rPr>
      </w:pPr>
      <w:r w:rsidRPr="005441F7">
        <w:rPr>
          <w:sz w:val="24"/>
          <w:szCs w:val="24"/>
        </w:rPr>
        <w:tab/>
      </w:r>
      <w:r w:rsidRPr="005441F7">
        <w:rPr>
          <w:sz w:val="24"/>
          <w:szCs w:val="24"/>
        </w:rPr>
        <w:tab/>
      </w:r>
      <w:r w:rsidR="00FC1256" w:rsidRPr="005441F7">
        <w:rPr>
          <w:sz w:val="24"/>
          <w:szCs w:val="24"/>
        </w:rPr>
        <w:t xml:space="preserve">On </w:t>
      </w:r>
      <w:r w:rsidR="0047781B">
        <w:rPr>
          <w:sz w:val="24"/>
          <w:szCs w:val="24"/>
        </w:rPr>
        <w:t>March 27, 2012</w:t>
      </w:r>
      <w:r w:rsidR="00FC1256" w:rsidRPr="005441F7">
        <w:rPr>
          <w:sz w:val="24"/>
          <w:szCs w:val="24"/>
        </w:rPr>
        <w:t>, I received P</w:t>
      </w:r>
      <w:r w:rsidR="0047781B">
        <w:rPr>
          <w:sz w:val="24"/>
          <w:szCs w:val="24"/>
        </w:rPr>
        <w:t>GW</w:t>
      </w:r>
      <w:r w:rsidR="00FC1256" w:rsidRPr="005441F7">
        <w:rPr>
          <w:sz w:val="24"/>
          <w:szCs w:val="24"/>
        </w:rPr>
        <w:t>’s proposed hearing exhibits.</w:t>
      </w:r>
      <w:r w:rsidR="0047781B">
        <w:rPr>
          <w:sz w:val="24"/>
          <w:szCs w:val="24"/>
        </w:rPr>
        <w:t xml:space="preserve">  No prehearing exhibits were served by the Complainant</w:t>
      </w:r>
    </w:p>
    <w:p w:rsidR="0018248B" w:rsidRPr="005441F7" w:rsidRDefault="0018248B" w:rsidP="005441F7">
      <w:pPr>
        <w:spacing w:line="360" w:lineRule="auto"/>
        <w:rPr>
          <w:sz w:val="24"/>
          <w:szCs w:val="24"/>
        </w:rPr>
      </w:pPr>
    </w:p>
    <w:p w:rsidR="00D75245" w:rsidRDefault="0018248B" w:rsidP="005441F7">
      <w:pPr>
        <w:spacing w:line="360" w:lineRule="auto"/>
        <w:rPr>
          <w:sz w:val="24"/>
          <w:szCs w:val="24"/>
        </w:rPr>
      </w:pPr>
      <w:r w:rsidRPr="005441F7">
        <w:rPr>
          <w:sz w:val="24"/>
          <w:szCs w:val="24"/>
        </w:rPr>
        <w:tab/>
      </w:r>
      <w:r w:rsidRPr="005441F7">
        <w:rPr>
          <w:sz w:val="24"/>
          <w:szCs w:val="24"/>
        </w:rPr>
        <w:tab/>
        <w:t xml:space="preserve">On </w:t>
      </w:r>
      <w:r w:rsidR="0047781B">
        <w:rPr>
          <w:sz w:val="24"/>
          <w:szCs w:val="24"/>
        </w:rPr>
        <w:t>April 3</w:t>
      </w:r>
      <w:r w:rsidRPr="005441F7">
        <w:rPr>
          <w:sz w:val="24"/>
          <w:szCs w:val="24"/>
        </w:rPr>
        <w:t>, 201</w:t>
      </w:r>
      <w:r w:rsidR="0047781B">
        <w:rPr>
          <w:sz w:val="24"/>
          <w:szCs w:val="24"/>
        </w:rPr>
        <w:t>2</w:t>
      </w:r>
      <w:r w:rsidRPr="005441F7">
        <w:rPr>
          <w:sz w:val="24"/>
          <w:szCs w:val="24"/>
        </w:rPr>
        <w:t>, the hearing in this case convened in Hearing Room 2 of the Commission’s Harrisburg Office.</w:t>
      </w:r>
      <w:r w:rsidR="00FC1256" w:rsidRPr="005441F7">
        <w:rPr>
          <w:sz w:val="24"/>
          <w:szCs w:val="24"/>
        </w:rPr>
        <w:t xml:space="preserve">  </w:t>
      </w:r>
      <w:r w:rsidR="00927CEE" w:rsidRPr="005441F7">
        <w:rPr>
          <w:sz w:val="24"/>
          <w:szCs w:val="24"/>
        </w:rPr>
        <w:t xml:space="preserve">The Complainant did not appear, and despite efforts at the time of the hearing to contact the Complainant by telephone at the </w:t>
      </w:r>
      <w:r w:rsidR="0047781B">
        <w:rPr>
          <w:sz w:val="24"/>
          <w:szCs w:val="24"/>
        </w:rPr>
        <w:t xml:space="preserve">contact </w:t>
      </w:r>
      <w:r w:rsidR="00927CEE" w:rsidRPr="005441F7">
        <w:rPr>
          <w:sz w:val="24"/>
          <w:szCs w:val="24"/>
        </w:rPr>
        <w:t xml:space="preserve">number available for her, the Complainant did not answer.  </w:t>
      </w:r>
      <w:r w:rsidRPr="005441F7">
        <w:rPr>
          <w:sz w:val="24"/>
          <w:szCs w:val="24"/>
        </w:rPr>
        <w:t>P</w:t>
      </w:r>
      <w:r w:rsidR="000572A0">
        <w:rPr>
          <w:sz w:val="24"/>
          <w:szCs w:val="24"/>
        </w:rPr>
        <w:t>GW</w:t>
      </w:r>
      <w:r w:rsidRPr="005441F7">
        <w:rPr>
          <w:sz w:val="24"/>
          <w:szCs w:val="24"/>
        </w:rPr>
        <w:t xml:space="preserve"> was represented by counsel, </w:t>
      </w:r>
      <w:r w:rsidR="000572A0">
        <w:rPr>
          <w:sz w:val="24"/>
          <w:szCs w:val="24"/>
        </w:rPr>
        <w:t>Gregory J. Stunder</w:t>
      </w:r>
      <w:r w:rsidRPr="005441F7">
        <w:rPr>
          <w:sz w:val="24"/>
          <w:szCs w:val="24"/>
        </w:rPr>
        <w:t>, Esquire.  P</w:t>
      </w:r>
      <w:r w:rsidR="000572A0">
        <w:rPr>
          <w:sz w:val="24"/>
          <w:szCs w:val="24"/>
        </w:rPr>
        <w:t>GW</w:t>
      </w:r>
      <w:r w:rsidRPr="005441F7">
        <w:rPr>
          <w:sz w:val="24"/>
          <w:szCs w:val="24"/>
        </w:rPr>
        <w:t xml:space="preserve"> presented the testimony of one witness, </w:t>
      </w:r>
      <w:r w:rsidR="000572A0">
        <w:rPr>
          <w:sz w:val="24"/>
          <w:szCs w:val="24"/>
        </w:rPr>
        <w:t>Linda Pereira</w:t>
      </w:r>
      <w:r w:rsidRPr="005441F7">
        <w:rPr>
          <w:sz w:val="24"/>
          <w:szCs w:val="24"/>
        </w:rPr>
        <w:t xml:space="preserve">, a </w:t>
      </w:r>
      <w:r w:rsidR="000572A0">
        <w:rPr>
          <w:sz w:val="24"/>
          <w:szCs w:val="24"/>
        </w:rPr>
        <w:t>Senior Customer Review Officer</w:t>
      </w:r>
      <w:r w:rsidRPr="005441F7">
        <w:rPr>
          <w:sz w:val="24"/>
          <w:szCs w:val="24"/>
        </w:rPr>
        <w:t xml:space="preserve"> employed by P</w:t>
      </w:r>
      <w:r w:rsidR="000572A0">
        <w:rPr>
          <w:sz w:val="24"/>
          <w:szCs w:val="24"/>
        </w:rPr>
        <w:t>GW</w:t>
      </w:r>
      <w:r w:rsidRPr="005441F7">
        <w:rPr>
          <w:sz w:val="24"/>
          <w:szCs w:val="24"/>
        </w:rPr>
        <w:t>.</w:t>
      </w:r>
      <w:r w:rsidR="00B61821" w:rsidRPr="005441F7">
        <w:rPr>
          <w:sz w:val="24"/>
          <w:szCs w:val="24"/>
        </w:rPr>
        <w:t xml:space="preserve">  P</w:t>
      </w:r>
      <w:r w:rsidR="000572A0">
        <w:rPr>
          <w:sz w:val="24"/>
          <w:szCs w:val="24"/>
        </w:rPr>
        <w:t>GW</w:t>
      </w:r>
      <w:r w:rsidR="00B61821" w:rsidRPr="005441F7">
        <w:rPr>
          <w:sz w:val="24"/>
          <w:szCs w:val="24"/>
        </w:rPr>
        <w:t xml:space="preserve"> presented </w:t>
      </w:r>
      <w:r w:rsidR="000572A0">
        <w:rPr>
          <w:sz w:val="24"/>
          <w:szCs w:val="24"/>
        </w:rPr>
        <w:t xml:space="preserve">one </w:t>
      </w:r>
      <w:r w:rsidR="00B61821" w:rsidRPr="005441F7">
        <w:rPr>
          <w:sz w:val="24"/>
          <w:szCs w:val="24"/>
        </w:rPr>
        <w:t>exhibit</w:t>
      </w:r>
      <w:r w:rsidR="000572A0">
        <w:rPr>
          <w:sz w:val="24"/>
          <w:szCs w:val="24"/>
        </w:rPr>
        <w:t xml:space="preserve"> that was received into evidence,</w:t>
      </w:r>
      <w:r w:rsidR="00B61821" w:rsidRPr="005441F7">
        <w:rPr>
          <w:sz w:val="24"/>
          <w:szCs w:val="24"/>
        </w:rPr>
        <w:t xml:space="preserve"> P</w:t>
      </w:r>
      <w:r w:rsidR="000572A0">
        <w:rPr>
          <w:sz w:val="24"/>
          <w:szCs w:val="24"/>
        </w:rPr>
        <w:t xml:space="preserve">GW </w:t>
      </w:r>
      <w:r w:rsidR="00B61821" w:rsidRPr="005441F7">
        <w:rPr>
          <w:sz w:val="24"/>
          <w:szCs w:val="24"/>
        </w:rPr>
        <w:t xml:space="preserve">Exhibit </w:t>
      </w:r>
      <w:r w:rsidR="000572A0">
        <w:rPr>
          <w:sz w:val="24"/>
          <w:szCs w:val="24"/>
        </w:rPr>
        <w:t xml:space="preserve">3 (pages one and two), a shut off notice that was sent to the Complainant on or around May 23, 2011.  At the conclusion of the Respondent’s case, counsel moved to dismiss the Complaint for failure to prosecute.  </w:t>
      </w:r>
      <w:r w:rsidR="0082408D" w:rsidRPr="005441F7">
        <w:rPr>
          <w:sz w:val="24"/>
          <w:szCs w:val="24"/>
        </w:rPr>
        <w:t>The record in this case consists of a</w:t>
      </w:r>
      <w:r w:rsidR="000572A0">
        <w:rPr>
          <w:sz w:val="24"/>
          <w:szCs w:val="24"/>
        </w:rPr>
        <w:t xml:space="preserve"> nineteen</w:t>
      </w:r>
      <w:r w:rsidR="00E30BFE" w:rsidRPr="005441F7">
        <w:rPr>
          <w:sz w:val="24"/>
          <w:szCs w:val="24"/>
        </w:rPr>
        <w:t xml:space="preserve"> page transcript </w:t>
      </w:r>
    </w:p>
    <w:p w:rsidR="00D75245" w:rsidRDefault="00D75245">
      <w:pPr>
        <w:rPr>
          <w:sz w:val="24"/>
          <w:szCs w:val="24"/>
        </w:rPr>
      </w:pPr>
      <w:r>
        <w:rPr>
          <w:sz w:val="24"/>
          <w:szCs w:val="24"/>
        </w:rPr>
        <w:br w:type="page"/>
      </w:r>
    </w:p>
    <w:p w:rsidR="0082408D" w:rsidRPr="005441F7" w:rsidRDefault="00E30BFE" w:rsidP="005441F7">
      <w:pPr>
        <w:spacing w:line="360" w:lineRule="auto"/>
        <w:rPr>
          <w:sz w:val="24"/>
          <w:szCs w:val="24"/>
        </w:rPr>
      </w:pPr>
      <w:proofErr w:type="gramStart"/>
      <w:r w:rsidRPr="005441F7">
        <w:rPr>
          <w:sz w:val="24"/>
          <w:szCs w:val="24"/>
        </w:rPr>
        <w:t>of</w:t>
      </w:r>
      <w:proofErr w:type="gramEnd"/>
      <w:r w:rsidRPr="005441F7">
        <w:rPr>
          <w:sz w:val="24"/>
          <w:szCs w:val="24"/>
        </w:rPr>
        <w:t xml:space="preserve"> the hearing of </w:t>
      </w:r>
      <w:r w:rsidR="000572A0">
        <w:rPr>
          <w:sz w:val="24"/>
          <w:szCs w:val="24"/>
        </w:rPr>
        <w:t>April 3</w:t>
      </w:r>
      <w:r w:rsidR="00B61821" w:rsidRPr="005441F7">
        <w:rPr>
          <w:sz w:val="24"/>
          <w:szCs w:val="24"/>
        </w:rPr>
        <w:t>, 201</w:t>
      </w:r>
      <w:r w:rsidR="000572A0">
        <w:rPr>
          <w:sz w:val="24"/>
          <w:szCs w:val="24"/>
        </w:rPr>
        <w:t>2</w:t>
      </w:r>
      <w:r w:rsidR="00B61821" w:rsidRPr="005441F7">
        <w:rPr>
          <w:sz w:val="24"/>
          <w:szCs w:val="24"/>
        </w:rPr>
        <w:t xml:space="preserve"> and P</w:t>
      </w:r>
      <w:r w:rsidR="000572A0">
        <w:rPr>
          <w:sz w:val="24"/>
          <w:szCs w:val="24"/>
        </w:rPr>
        <w:t xml:space="preserve">GW </w:t>
      </w:r>
      <w:r w:rsidR="00B61821" w:rsidRPr="005441F7">
        <w:rPr>
          <w:sz w:val="24"/>
          <w:szCs w:val="24"/>
        </w:rPr>
        <w:t>Exhibit</w:t>
      </w:r>
      <w:r w:rsidR="000572A0">
        <w:rPr>
          <w:sz w:val="24"/>
          <w:szCs w:val="24"/>
        </w:rPr>
        <w:t xml:space="preserve"> 3, pages one and two.</w:t>
      </w:r>
      <w:r w:rsidR="0082408D" w:rsidRPr="005441F7">
        <w:rPr>
          <w:sz w:val="24"/>
          <w:szCs w:val="24"/>
        </w:rPr>
        <w:t xml:space="preserve">  The record closed </w:t>
      </w:r>
      <w:r w:rsidR="00C613A8" w:rsidRPr="005441F7">
        <w:rPr>
          <w:sz w:val="24"/>
          <w:szCs w:val="24"/>
        </w:rPr>
        <w:t>on</w:t>
      </w:r>
      <w:r w:rsidR="0082408D" w:rsidRPr="005441F7">
        <w:rPr>
          <w:sz w:val="24"/>
          <w:szCs w:val="24"/>
        </w:rPr>
        <w:t xml:space="preserve"> </w:t>
      </w:r>
      <w:r w:rsidR="000572A0">
        <w:rPr>
          <w:sz w:val="24"/>
          <w:szCs w:val="24"/>
        </w:rPr>
        <w:t>April 12, 2012 with the receipt of the hearing transcript.</w:t>
      </w:r>
      <w:r w:rsidR="00207D13" w:rsidRPr="005441F7">
        <w:rPr>
          <w:sz w:val="24"/>
          <w:szCs w:val="24"/>
        </w:rPr>
        <w:t xml:space="preserve">  According to the records of the Commission, no further filings have been made by either of the parties in this case.  </w:t>
      </w:r>
    </w:p>
    <w:p w:rsidR="0082408D" w:rsidRPr="005441F7" w:rsidRDefault="0082408D" w:rsidP="005441F7">
      <w:pPr>
        <w:spacing w:line="360" w:lineRule="auto"/>
        <w:rPr>
          <w:sz w:val="24"/>
          <w:szCs w:val="24"/>
        </w:rPr>
      </w:pPr>
    </w:p>
    <w:p w:rsidR="0082408D" w:rsidRPr="005441F7" w:rsidRDefault="0082408D" w:rsidP="005441F7">
      <w:pPr>
        <w:pStyle w:val="Heading1"/>
        <w:tabs>
          <w:tab w:val="left" w:pos="1980"/>
        </w:tabs>
        <w:spacing w:line="360" w:lineRule="auto"/>
        <w:rPr>
          <w:rFonts w:ascii="Times New Roman" w:hAnsi="Times New Roman"/>
          <w:b w:val="0"/>
          <w:szCs w:val="24"/>
        </w:rPr>
      </w:pPr>
      <w:r w:rsidRPr="005441F7">
        <w:rPr>
          <w:rFonts w:ascii="Times New Roman" w:hAnsi="Times New Roman"/>
          <w:b w:val="0"/>
          <w:szCs w:val="24"/>
        </w:rPr>
        <w:t>FINDINGS OF FACT</w:t>
      </w:r>
    </w:p>
    <w:p w:rsidR="0082408D" w:rsidRPr="005441F7" w:rsidRDefault="0082408D" w:rsidP="008F604F">
      <w:pPr>
        <w:spacing w:line="360" w:lineRule="auto"/>
        <w:rPr>
          <w:sz w:val="24"/>
          <w:szCs w:val="24"/>
        </w:rPr>
      </w:pPr>
    </w:p>
    <w:p w:rsidR="00EF16DD" w:rsidRPr="005441F7" w:rsidRDefault="0082408D"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1.</w:t>
      </w:r>
      <w:r w:rsidRPr="005441F7">
        <w:rPr>
          <w:rFonts w:ascii="Times New Roman" w:hAnsi="Times New Roman"/>
          <w:szCs w:val="24"/>
        </w:rPr>
        <w:tab/>
        <w:t xml:space="preserve">The Complainant is </w:t>
      </w:r>
      <w:r w:rsidR="000572A0">
        <w:rPr>
          <w:rFonts w:ascii="Times New Roman" w:hAnsi="Times New Roman"/>
          <w:szCs w:val="24"/>
        </w:rPr>
        <w:t>Judith Jones</w:t>
      </w:r>
      <w:r w:rsidRPr="005441F7">
        <w:rPr>
          <w:rFonts w:ascii="Times New Roman" w:hAnsi="Times New Roman"/>
          <w:szCs w:val="24"/>
        </w:rPr>
        <w:t xml:space="preserve">, </w:t>
      </w:r>
      <w:r w:rsidR="000572A0">
        <w:rPr>
          <w:rFonts w:ascii="Times New Roman" w:hAnsi="Times New Roman"/>
          <w:szCs w:val="24"/>
        </w:rPr>
        <w:t>404 North 53</w:t>
      </w:r>
      <w:r w:rsidR="000572A0" w:rsidRPr="000572A0">
        <w:rPr>
          <w:rFonts w:ascii="Times New Roman" w:hAnsi="Times New Roman"/>
          <w:szCs w:val="24"/>
          <w:vertAlign w:val="superscript"/>
        </w:rPr>
        <w:t>rd</w:t>
      </w:r>
      <w:r w:rsidR="000572A0">
        <w:rPr>
          <w:rFonts w:ascii="Times New Roman" w:hAnsi="Times New Roman"/>
          <w:szCs w:val="24"/>
        </w:rPr>
        <w:t xml:space="preserve"> Street, Philadelphia, Penn</w:t>
      </w:r>
      <w:r w:rsidR="00927CEE" w:rsidRPr="005441F7">
        <w:rPr>
          <w:rFonts w:ascii="Times New Roman" w:hAnsi="Times New Roman"/>
          <w:szCs w:val="24"/>
        </w:rPr>
        <w:t>sylvania</w:t>
      </w:r>
      <w:r w:rsidR="0093282B" w:rsidRPr="005441F7">
        <w:rPr>
          <w:rFonts w:ascii="Times New Roman" w:hAnsi="Times New Roman"/>
          <w:szCs w:val="24"/>
        </w:rPr>
        <w:t>.</w:t>
      </w:r>
      <w:r w:rsidR="004C1709" w:rsidRPr="005441F7">
        <w:rPr>
          <w:rFonts w:ascii="Times New Roman" w:hAnsi="Times New Roman"/>
          <w:szCs w:val="24"/>
        </w:rPr>
        <w:t xml:space="preserve">  </w:t>
      </w:r>
      <w:proofErr w:type="gramStart"/>
      <w:r w:rsidR="004C1709" w:rsidRPr="005441F7">
        <w:rPr>
          <w:rFonts w:ascii="Times New Roman" w:hAnsi="Times New Roman"/>
          <w:szCs w:val="24"/>
        </w:rPr>
        <w:t>Complaint at ¶ 1</w:t>
      </w:r>
      <w:r w:rsidR="00927CEE" w:rsidRPr="005441F7">
        <w:rPr>
          <w:rFonts w:ascii="Times New Roman" w:hAnsi="Times New Roman"/>
          <w:szCs w:val="24"/>
        </w:rPr>
        <w:t>.</w:t>
      </w:r>
      <w:proofErr w:type="gramEnd"/>
    </w:p>
    <w:p w:rsidR="00CB2743" w:rsidRPr="005441F7" w:rsidRDefault="00CB2743" w:rsidP="005441F7">
      <w:pPr>
        <w:pStyle w:val="BodyText"/>
        <w:tabs>
          <w:tab w:val="clear" w:pos="1980"/>
          <w:tab w:val="left" w:pos="0"/>
        </w:tabs>
        <w:spacing w:line="360" w:lineRule="auto"/>
        <w:jc w:val="left"/>
        <w:rPr>
          <w:rFonts w:ascii="Times New Roman" w:hAnsi="Times New Roman"/>
          <w:szCs w:val="24"/>
        </w:rPr>
      </w:pPr>
    </w:p>
    <w:p w:rsidR="0082408D" w:rsidRPr="005441F7" w:rsidRDefault="00CB2743"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2.</w:t>
      </w:r>
      <w:r w:rsidRPr="005441F7">
        <w:rPr>
          <w:rFonts w:ascii="Times New Roman" w:hAnsi="Times New Roman"/>
          <w:szCs w:val="24"/>
        </w:rPr>
        <w:tab/>
      </w:r>
      <w:r w:rsidR="0082408D" w:rsidRPr="005441F7">
        <w:rPr>
          <w:rFonts w:ascii="Times New Roman" w:hAnsi="Times New Roman"/>
          <w:szCs w:val="24"/>
        </w:rPr>
        <w:t xml:space="preserve">The Respondent is </w:t>
      </w:r>
      <w:r w:rsidR="000572A0">
        <w:rPr>
          <w:rFonts w:ascii="Times New Roman" w:hAnsi="Times New Roman"/>
          <w:szCs w:val="24"/>
        </w:rPr>
        <w:t>Philadelphia Gas Works</w:t>
      </w:r>
      <w:r w:rsidR="00927CEE" w:rsidRPr="005441F7">
        <w:rPr>
          <w:rFonts w:ascii="Times New Roman" w:hAnsi="Times New Roman"/>
          <w:szCs w:val="24"/>
        </w:rPr>
        <w:t xml:space="preserve">, a Commission jurisdictional </w:t>
      </w:r>
      <w:r w:rsidR="000572A0">
        <w:rPr>
          <w:rFonts w:ascii="Times New Roman" w:hAnsi="Times New Roman"/>
          <w:szCs w:val="24"/>
        </w:rPr>
        <w:t xml:space="preserve">natural gas distribution </w:t>
      </w:r>
      <w:r w:rsidR="00927CEE" w:rsidRPr="005441F7">
        <w:rPr>
          <w:rFonts w:ascii="Times New Roman" w:hAnsi="Times New Roman"/>
          <w:szCs w:val="24"/>
        </w:rPr>
        <w:t>company</w:t>
      </w:r>
      <w:r w:rsidR="0082408D" w:rsidRPr="005441F7">
        <w:rPr>
          <w:rFonts w:ascii="Times New Roman" w:hAnsi="Times New Roman"/>
          <w:szCs w:val="24"/>
        </w:rPr>
        <w:t>.</w:t>
      </w:r>
    </w:p>
    <w:p w:rsidR="0082408D" w:rsidRPr="005441F7" w:rsidRDefault="0082408D" w:rsidP="005441F7">
      <w:pPr>
        <w:pStyle w:val="BodyText"/>
        <w:tabs>
          <w:tab w:val="clear" w:pos="1980"/>
        </w:tabs>
        <w:spacing w:line="360" w:lineRule="auto"/>
        <w:jc w:val="left"/>
        <w:rPr>
          <w:rFonts w:ascii="Times New Roman" w:hAnsi="Times New Roman"/>
          <w:szCs w:val="24"/>
        </w:rPr>
      </w:pPr>
    </w:p>
    <w:p w:rsidR="00A649DB" w:rsidRPr="005441F7" w:rsidRDefault="000158A4"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927CEE" w:rsidRPr="005441F7">
        <w:rPr>
          <w:rFonts w:ascii="Times New Roman" w:hAnsi="Times New Roman"/>
          <w:szCs w:val="24"/>
        </w:rPr>
        <w:t>3</w:t>
      </w:r>
      <w:r w:rsidR="0082408D" w:rsidRPr="005441F7">
        <w:rPr>
          <w:rFonts w:ascii="Times New Roman" w:hAnsi="Times New Roman"/>
          <w:szCs w:val="24"/>
        </w:rPr>
        <w:t>.</w:t>
      </w:r>
      <w:r w:rsidR="0082408D" w:rsidRPr="005441F7">
        <w:rPr>
          <w:rFonts w:ascii="Times New Roman" w:hAnsi="Times New Roman"/>
          <w:szCs w:val="24"/>
        </w:rPr>
        <w:tab/>
      </w:r>
      <w:r w:rsidR="00A649DB" w:rsidRPr="005441F7">
        <w:rPr>
          <w:rFonts w:ascii="Times New Roman" w:hAnsi="Times New Roman"/>
          <w:szCs w:val="24"/>
        </w:rPr>
        <w:t xml:space="preserve">On </w:t>
      </w:r>
      <w:r w:rsidR="000572A0">
        <w:rPr>
          <w:rFonts w:ascii="Times New Roman" w:hAnsi="Times New Roman"/>
          <w:szCs w:val="24"/>
        </w:rPr>
        <w:t xml:space="preserve">or around </w:t>
      </w:r>
      <w:r w:rsidR="00897E4B">
        <w:rPr>
          <w:rFonts w:ascii="Times New Roman" w:hAnsi="Times New Roman"/>
          <w:szCs w:val="24"/>
        </w:rPr>
        <w:t>M</w:t>
      </w:r>
      <w:r w:rsidR="000572A0">
        <w:rPr>
          <w:rFonts w:ascii="Times New Roman" w:hAnsi="Times New Roman"/>
          <w:szCs w:val="24"/>
        </w:rPr>
        <w:t>ay 23, 2011, PGW issued a shut off notice to the Complainant as the result of Complai</w:t>
      </w:r>
      <w:r w:rsidR="00897E4B">
        <w:rPr>
          <w:rFonts w:ascii="Times New Roman" w:hAnsi="Times New Roman"/>
          <w:szCs w:val="24"/>
        </w:rPr>
        <w:t>n</w:t>
      </w:r>
      <w:r w:rsidR="000572A0">
        <w:rPr>
          <w:rFonts w:ascii="Times New Roman" w:hAnsi="Times New Roman"/>
          <w:szCs w:val="24"/>
        </w:rPr>
        <w:t>ant’s past due bill</w:t>
      </w:r>
      <w:r w:rsidR="00A649DB" w:rsidRPr="005441F7">
        <w:rPr>
          <w:rFonts w:ascii="Times New Roman" w:hAnsi="Times New Roman"/>
          <w:szCs w:val="24"/>
        </w:rPr>
        <w:t xml:space="preserve">.  </w:t>
      </w:r>
      <w:proofErr w:type="gramStart"/>
      <w:r w:rsidR="00897E4B">
        <w:rPr>
          <w:rFonts w:ascii="Times New Roman" w:hAnsi="Times New Roman"/>
          <w:szCs w:val="24"/>
        </w:rPr>
        <w:t>PGW Exhibit 3.</w:t>
      </w:r>
      <w:proofErr w:type="gramEnd"/>
    </w:p>
    <w:p w:rsidR="00A649DB" w:rsidRPr="005441F7" w:rsidRDefault="00A649DB" w:rsidP="005441F7">
      <w:pPr>
        <w:pStyle w:val="BodyText"/>
        <w:tabs>
          <w:tab w:val="clear" w:pos="1980"/>
        </w:tabs>
        <w:spacing w:line="360" w:lineRule="auto"/>
        <w:jc w:val="left"/>
        <w:rPr>
          <w:rFonts w:ascii="Times New Roman" w:hAnsi="Times New Roman"/>
          <w:szCs w:val="24"/>
        </w:rPr>
      </w:pPr>
    </w:p>
    <w:p w:rsidR="00752A44" w:rsidRPr="005441F7" w:rsidRDefault="00A649DB"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BF551D">
        <w:rPr>
          <w:rFonts w:ascii="Times New Roman" w:hAnsi="Times New Roman"/>
          <w:szCs w:val="24"/>
        </w:rPr>
        <w:t>4</w:t>
      </w:r>
      <w:r w:rsidRPr="005441F7">
        <w:rPr>
          <w:rFonts w:ascii="Times New Roman" w:hAnsi="Times New Roman"/>
          <w:szCs w:val="24"/>
        </w:rPr>
        <w:t>.</w:t>
      </w:r>
      <w:r w:rsidRPr="005441F7">
        <w:rPr>
          <w:rFonts w:ascii="Times New Roman" w:hAnsi="Times New Roman"/>
          <w:szCs w:val="24"/>
        </w:rPr>
        <w:tab/>
      </w:r>
      <w:proofErr w:type="gramStart"/>
      <w:r w:rsidR="00843A44" w:rsidRPr="005441F7">
        <w:rPr>
          <w:rFonts w:ascii="Times New Roman" w:hAnsi="Times New Roman"/>
          <w:szCs w:val="24"/>
        </w:rPr>
        <w:t>As</w:t>
      </w:r>
      <w:proofErr w:type="gramEnd"/>
      <w:r w:rsidR="00843A44" w:rsidRPr="005441F7">
        <w:rPr>
          <w:rFonts w:ascii="Times New Roman" w:hAnsi="Times New Roman"/>
          <w:szCs w:val="24"/>
        </w:rPr>
        <w:t xml:space="preserve"> of the </w:t>
      </w:r>
      <w:r w:rsidR="00897E4B">
        <w:rPr>
          <w:rFonts w:ascii="Times New Roman" w:hAnsi="Times New Roman"/>
          <w:szCs w:val="24"/>
        </w:rPr>
        <w:t>April 3, 2012</w:t>
      </w:r>
      <w:r w:rsidR="00843A44" w:rsidRPr="005441F7">
        <w:rPr>
          <w:rFonts w:ascii="Times New Roman" w:hAnsi="Times New Roman"/>
          <w:szCs w:val="24"/>
        </w:rPr>
        <w:t xml:space="preserve"> hearing in this matter, Complainant owed P</w:t>
      </w:r>
      <w:r w:rsidR="00897E4B">
        <w:rPr>
          <w:rFonts w:ascii="Times New Roman" w:hAnsi="Times New Roman"/>
          <w:szCs w:val="24"/>
        </w:rPr>
        <w:t>GW</w:t>
      </w:r>
      <w:r w:rsidR="00927CEE" w:rsidRPr="005441F7">
        <w:rPr>
          <w:rFonts w:ascii="Times New Roman" w:hAnsi="Times New Roman"/>
          <w:szCs w:val="24"/>
        </w:rPr>
        <w:t xml:space="preserve"> $</w:t>
      </w:r>
      <w:r w:rsidR="00897E4B">
        <w:rPr>
          <w:rFonts w:ascii="Times New Roman" w:hAnsi="Times New Roman"/>
          <w:szCs w:val="24"/>
        </w:rPr>
        <w:t>4,786.26</w:t>
      </w:r>
      <w:r w:rsidR="00843A44" w:rsidRPr="005441F7">
        <w:rPr>
          <w:rFonts w:ascii="Times New Roman" w:hAnsi="Times New Roman"/>
          <w:szCs w:val="24"/>
        </w:rPr>
        <w:t xml:space="preserve"> for </w:t>
      </w:r>
      <w:r w:rsidR="00897E4B">
        <w:rPr>
          <w:rFonts w:ascii="Times New Roman" w:hAnsi="Times New Roman"/>
          <w:szCs w:val="24"/>
        </w:rPr>
        <w:t xml:space="preserve">natural gas </w:t>
      </w:r>
      <w:r w:rsidR="00843A44" w:rsidRPr="005441F7">
        <w:rPr>
          <w:rFonts w:ascii="Times New Roman" w:hAnsi="Times New Roman"/>
          <w:szCs w:val="24"/>
        </w:rPr>
        <w:t>electric service</w:t>
      </w:r>
      <w:r w:rsidR="00927CEE" w:rsidRPr="005441F7">
        <w:rPr>
          <w:rFonts w:ascii="Times New Roman" w:hAnsi="Times New Roman"/>
          <w:szCs w:val="24"/>
        </w:rPr>
        <w:t xml:space="preserve"> at her service address</w:t>
      </w:r>
      <w:r w:rsidR="00843A44" w:rsidRPr="005441F7">
        <w:rPr>
          <w:rFonts w:ascii="Times New Roman" w:hAnsi="Times New Roman"/>
          <w:szCs w:val="24"/>
        </w:rPr>
        <w:t xml:space="preserve">. </w:t>
      </w:r>
      <w:r w:rsidR="00897E4B">
        <w:rPr>
          <w:rFonts w:ascii="Times New Roman" w:hAnsi="Times New Roman"/>
          <w:szCs w:val="24"/>
        </w:rPr>
        <w:t xml:space="preserve"> </w:t>
      </w:r>
      <w:proofErr w:type="gramStart"/>
      <w:r w:rsidR="00927CEE" w:rsidRPr="005441F7">
        <w:rPr>
          <w:rFonts w:ascii="Times New Roman" w:hAnsi="Times New Roman"/>
          <w:szCs w:val="24"/>
        </w:rPr>
        <w:t xml:space="preserve">N.T. </w:t>
      </w:r>
      <w:r w:rsidR="00843A44" w:rsidRPr="005441F7">
        <w:rPr>
          <w:rFonts w:ascii="Times New Roman" w:hAnsi="Times New Roman"/>
          <w:szCs w:val="24"/>
        </w:rPr>
        <w:t xml:space="preserve">at </w:t>
      </w:r>
      <w:r w:rsidR="00897E4B">
        <w:rPr>
          <w:rFonts w:ascii="Times New Roman" w:hAnsi="Times New Roman"/>
          <w:szCs w:val="24"/>
        </w:rPr>
        <w:t>14</w:t>
      </w:r>
      <w:r w:rsidR="007106CE" w:rsidRPr="005441F7">
        <w:rPr>
          <w:rFonts w:ascii="Times New Roman" w:hAnsi="Times New Roman"/>
          <w:szCs w:val="24"/>
        </w:rPr>
        <w:t>.</w:t>
      </w:r>
      <w:proofErr w:type="gramEnd"/>
    </w:p>
    <w:p w:rsidR="00956EAF" w:rsidRPr="005441F7" w:rsidRDefault="00956EAF" w:rsidP="005441F7">
      <w:pPr>
        <w:pStyle w:val="BodyText"/>
        <w:tabs>
          <w:tab w:val="clear" w:pos="1980"/>
        </w:tabs>
        <w:spacing w:line="360" w:lineRule="auto"/>
        <w:jc w:val="left"/>
        <w:rPr>
          <w:rFonts w:ascii="Times New Roman" w:hAnsi="Times New Roman"/>
          <w:szCs w:val="24"/>
        </w:rPr>
      </w:pPr>
    </w:p>
    <w:p w:rsidR="00E30BFE" w:rsidRPr="005441F7" w:rsidRDefault="00CB2743"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BF551D">
        <w:rPr>
          <w:rFonts w:ascii="Times New Roman" w:hAnsi="Times New Roman"/>
          <w:szCs w:val="24"/>
        </w:rPr>
        <w:t>5</w:t>
      </w:r>
      <w:r w:rsidR="00956EAF" w:rsidRPr="005441F7">
        <w:rPr>
          <w:rFonts w:ascii="Times New Roman" w:hAnsi="Times New Roman"/>
          <w:szCs w:val="24"/>
        </w:rPr>
        <w:t>.</w:t>
      </w:r>
      <w:r w:rsidR="00956EAF" w:rsidRPr="005441F7">
        <w:rPr>
          <w:rFonts w:ascii="Times New Roman" w:hAnsi="Times New Roman"/>
          <w:szCs w:val="24"/>
        </w:rPr>
        <w:tab/>
        <w:t>The Complainant was afforded notice and an opportunity to be heard in this matter</w:t>
      </w:r>
      <w:r w:rsidR="00927CEE" w:rsidRPr="005441F7">
        <w:rPr>
          <w:rFonts w:ascii="Times New Roman" w:hAnsi="Times New Roman"/>
          <w:szCs w:val="24"/>
        </w:rPr>
        <w:t>.</w:t>
      </w:r>
      <w:r w:rsidR="00DE332C">
        <w:rPr>
          <w:rFonts w:ascii="Times New Roman" w:hAnsi="Times New Roman"/>
          <w:szCs w:val="24"/>
        </w:rPr>
        <w:t xml:space="preserve">  The Hearing Notice and Prehearing Order were mailed to the Complainant and were not returned to the Commission by the United States Postal Service.</w:t>
      </w:r>
    </w:p>
    <w:p w:rsidR="00927CEE" w:rsidRPr="005441F7" w:rsidRDefault="00927CEE" w:rsidP="005441F7">
      <w:pPr>
        <w:pStyle w:val="BodyText"/>
        <w:tabs>
          <w:tab w:val="clear" w:pos="1980"/>
        </w:tabs>
        <w:spacing w:line="360" w:lineRule="auto"/>
        <w:jc w:val="left"/>
        <w:rPr>
          <w:rFonts w:ascii="Times New Roman" w:hAnsi="Times New Roman"/>
          <w:szCs w:val="24"/>
        </w:rPr>
      </w:pPr>
    </w:p>
    <w:p w:rsidR="00E30BFE" w:rsidRPr="005441F7" w:rsidRDefault="00CB2743"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BF551D">
        <w:rPr>
          <w:rFonts w:ascii="Times New Roman" w:hAnsi="Times New Roman"/>
          <w:szCs w:val="24"/>
        </w:rPr>
        <w:t>6</w:t>
      </w:r>
      <w:r w:rsidR="00E30BFE" w:rsidRPr="005441F7">
        <w:rPr>
          <w:rFonts w:ascii="Times New Roman" w:hAnsi="Times New Roman"/>
          <w:szCs w:val="24"/>
        </w:rPr>
        <w:t>.</w:t>
      </w:r>
      <w:r w:rsidR="00E30BFE" w:rsidRPr="005441F7">
        <w:rPr>
          <w:rFonts w:ascii="Times New Roman" w:hAnsi="Times New Roman"/>
          <w:szCs w:val="24"/>
        </w:rPr>
        <w:tab/>
        <w:t xml:space="preserve">The Complainant failed to appear at the hearing of </w:t>
      </w:r>
      <w:r w:rsidR="00897E4B">
        <w:rPr>
          <w:rFonts w:ascii="Times New Roman" w:hAnsi="Times New Roman"/>
          <w:szCs w:val="24"/>
        </w:rPr>
        <w:t>April 3, 2012,</w:t>
      </w:r>
      <w:r w:rsidR="00927CEE" w:rsidRPr="005441F7">
        <w:rPr>
          <w:rFonts w:ascii="Times New Roman" w:hAnsi="Times New Roman"/>
          <w:szCs w:val="24"/>
        </w:rPr>
        <w:t xml:space="preserve"> or to respond to any of the telephone calls</w:t>
      </w:r>
      <w:r w:rsidR="00A649DB" w:rsidRPr="005441F7">
        <w:rPr>
          <w:rFonts w:ascii="Times New Roman" w:hAnsi="Times New Roman"/>
          <w:szCs w:val="24"/>
        </w:rPr>
        <w:t xml:space="preserve"> to her</w:t>
      </w:r>
      <w:r w:rsidR="00927CEE" w:rsidRPr="005441F7">
        <w:rPr>
          <w:rFonts w:ascii="Times New Roman" w:hAnsi="Times New Roman"/>
          <w:szCs w:val="24"/>
        </w:rPr>
        <w:t xml:space="preserve"> initiated by the Presiding Officer on the day of the hearing</w:t>
      </w:r>
      <w:r w:rsidR="00E30BFE" w:rsidRPr="005441F7">
        <w:rPr>
          <w:rFonts w:ascii="Times New Roman" w:hAnsi="Times New Roman"/>
          <w:szCs w:val="24"/>
        </w:rPr>
        <w:t>.</w:t>
      </w:r>
    </w:p>
    <w:p w:rsidR="00093062" w:rsidRPr="005441F7" w:rsidRDefault="00093062" w:rsidP="005441F7">
      <w:pPr>
        <w:pStyle w:val="BodyText"/>
        <w:tabs>
          <w:tab w:val="clear" w:pos="1980"/>
        </w:tabs>
        <w:spacing w:line="360" w:lineRule="auto"/>
        <w:jc w:val="left"/>
        <w:rPr>
          <w:rFonts w:ascii="Times New Roman" w:hAnsi="Times New Roman"/>
          <w:szCs w:val="24"/>
        </w:rPr>
      </w:pPr>
    </w:p>
    <w:p w:rsidR="0082408D" w:rsidRPr="005441F7" w:rsidRDefault="0082408D" w:rsidP="005441F7">
      <w:pPr>
        <w:pStyle w:val="Heading1"/>
        <w:spacing w:line="360" w:lineRule="auto"/>
        <w:rPr>
          <w:rFonts w:ascii="Times New Roman" w:hAnsi="Times New Roman"/>
          <w:b w:val="0"/>
          <w:szCs w:val="24"/>
        </w:rPr>
      </w:pPr>
      <w:r w:rsidRPr="005441F7">
        <w:rPr>
          <w:rFonts w:ascii="Times New Roman" w:hAnsi="Times New Roman"/>
          <w:b w:val="0"/>
          <w:szCs w:val="24"/>
        </w:rPr>
        <w:t>DISCUSSION</w:t>
      </w:r>
    </w:p>
    <w:p w:rsidR="0082408D" w:rsidRPr="005441F7" w:rsidRDefault="0082408D" w:rsidP="005441F7">
      <w:pPr>
        <w:rPr>
          <w:sz w:val="24"/>
          <w:szCs w:val="24"/>
        </w:rPr>
      </w:pPr>
    </w:p>
    <w:p w:rsidR="00DE332C" w:rsidRPr="00DE332C" w:rsidRDefault="0082408D" w:rsidP="00DE332C">
      <w:pPr>
        <w:suppressAutoHyphens/>
        <w:spacing w:line="360" w:lineRule="auto"/>
        <w:rPr>
          <w:iCs/>
          <w:spacing w:val="-3"/>
          <w:sz w:val="24"/>
          <w:szCs w:val="24"/>
        </w:rPr>
      </w:pPr>
      <w:r w:rsidRPr="005441F7">
        <w:rPr>
          <w:sz w:val="24"/>
          <w:szCs w:val="24"/>
        </w:rPr>
        <w:tab/>
      </w:r>
      <w:r w:rsidRPr="005441F7">
        <w:rPr>
          <w:sz w:val="24"/>
          <w:szCs w:val="24"/>
        </w:rPr>
        <w:tab/>
      </w:r>
      <w:r w:rsidR="00716750" w:rsidRPr="005441F7">
        <w:rPr>
          <w:spacing w:val="-3"/>
          <w:sz w:val="24"/>
          <w:szCs w:val="24"/>
        </w:rPr>
        <w:t xml:space="preserve">Administrative agencies, such as the Commission, are required to provide due process to the parties appearing before them.  </w:t>
      </w:r>
      <w:proofErr w:type="gramStart"/>
      <w:r w:rsidR="00716750" w:rsidRPr="005441F7">
        <w:rPr>
          <w:i/>
          <w:spacing w:val="-3"/>
          <w:sz w:val="24"/>
          <w:szCs w:val="24"/>
        </w:rPr>
        <w:t>Schneider v. Pa. P.U.C.</w:t>
      </w:r>
      <w:r w:rsidR="00716750" w:rsidRPr="005441F7">
        <w:rPr>
          <w:spacing w:val="-3"/>
          <w:sz w:val="24"/>
          <w:szCs w:val="24"/>
        </w:rPr>
        <w:t>, 479 A.2d 10 (Pa. Cmwlth. 1984).</w:t>
      </w:r>
      <w:proofErr w:type="gramEnd"/>
      <w:r w:rsidR="00716750" w:rsidRPr="005441F7">
        <w:rPr>
          <w:spacing w:val="-3"/>
          <w:sz w:val="24"/>
          <w:szCs w:val="24"/>
        </w:rPr>
        <w:t xml:space="preserve">  This due process requirement is satisfied, however, when the parties are afforded notice and the opportunity to appear and be heard.  </w:t>
      </w:r>
      <w:r w:rsidR="00716750" w:rsidRPr="005441F7">
        <w:rPr>
          <w:i/>
          <w:iCs/>
          <w:spacing w:val="-3"/>
          <w:sz w:val="24"/>
          <w:szCs w:val="24"/>
        </w:rPr>
        <w:t>Id.</w:t>
      </w:r>
      <w:r w:rsidR="00716750" w:rsidRPr="005441F7">
        <w:rPr>
          <w:iCs/>
          <w:spacing w:val="-3"/>
          <w:sz w:val="24"/>
          <w:szCs w:val="24"/>
        </w:rPr>
        <w:t xml:space="preserve">  </w:t>
      </w:r>
      <w:r w:rsidR="00DE332C" w:rsidRPr="00DE332C">
        <w:rPr>
          <w:iCs/>
          <w:spacing w:val="-3"/>
          <w:sz w:val="24"/>
          <w:szCs w:val="24"/>
        </w:rPr>
        <w:t xml:space="preserve">Notice mailed to a party’s last known address and not returned by the post office is presumed to have been received.  </w:t>
      </w:r>
      <w:proofErr w:type="gramStart"/>
      <w:r w:rsidR="00DE332C" w:rsidRPr="00DE332C">
        <w:rPr>
          <w:i/>
          <w:iCs/>
          <w:spacing w:val="-3"/>
          <w:sz w:val="24"/>
          <w:szCs w:val="24"/>
        </w:rPr>
        <w:t>Chartiers Industrial and Commercial Development Authority v. Allegheny County Board of Property Assessment Appeals and Review</w:t>
      </w:r>
      <w:r w:rsidR="00DE332C" w:rsidRPr="00DE332C">
        <w:rPr>
          <w:iCs/>
          <w:spacing w:val="-3"/>
          <w:sz w:val="24"/>
          <w:szCs w:val="24"/>
        </w:rPr>
        <w:t xml:space="preserve">, 645 A.2d 944 (1994), </w:t>
      </w:r>
      <w:r w:rsidR="00DE332C" w:rsidRPr="00DE332C">
        <w:rPr>
          <w:iCs/>
          <w:spacing w:val="-3"/>
          <w:sz w:val="24"/>
          <w:szCs w:val="24"/>
          <w:u w:val="single"/>
        </w:rPr>
        <w:t>app. denied</w:t>
      </w:r>
      <w:r w:rsidR="00DE332C" w:rsidRPr="00DE332C">
        <w:rPr>
          <w:iCs/>
          <w:spacing w:val="-3"/>
          <w:sz w:val="24"/>
          <w:szCs w:val="24"/>
        </w:rPr>
        <w:t>, 539 Pa. 696, 653 A.2d 1234 (1994).</w:t>
      </w:r>
      <w:proofErr w:type="gramEnd"/>
      <w:r w:rsidR="00DE332C" w:rsidRPr="00DE332C">
        <w:rPr>
          <w:iCs/>
          <w:spacing w:val="-3"/>
          <w:sz w:val="24"/>
          <w:szCs w:val="24"/>
        </w:rPr>
        <w:t xml:space="preserve">  Mere assertion that the document was not received, without corroboration, is insufficient to overcome the presumption of receipt.  </w:t>
      </w:r>
      <w:proofErr w:type="gramStart"/>
      <w:r w:rsidR="00DE332C" w:rsidRPr="00DE332C">
        <w:rPr>
          <w:i/>
          <w:iCs/>
          <w:spacing w:val="-3"/>
          <w:sz w:val="24"/>
          <w:szCs w:val="24"/>
        </w:rPr>
        <w:t>Donegal Mutual Ins. Co. v. Insurance Dept.</w:t>
      </w:r>
      <w:r w:rsidR="00DE332C" w:rsidRPr="00DE332C">
        <w:rPr>
          <w:iCs/>
          <w:spacing w:val="-3"/>
          <w:sz w:val="24"/>
          <w:szCs w:val="24"/>
        </w:rPr>
        <w:t xml:space="preserve">, 719 A.2d 825 (1998); </w:t>
      </w:r>
      <w:proofErr w:type="spellStart"/>
      <w:r w:rsidR="00DE332C" w:rsidRPr="00DE332C">
        <w:rPr>
          <w:i/>
          <w:iCs/>
          <w:spacing w:val="-3"/>
          <w:sz w:val="24"/>
          <w:szCs w:val="24"/>
        </w:rPr>
        <w:t>Geise</w:t>
      </w:r>
      <w:proofErr w:type="spellEnd"/>
      <w:r w:rsidR="00DE332C" w:rsidRPr="00DE332C">
        <w:rPr>
          <w:i/>
          <w:iCs/>
          <w:spacing w:val="-3"/>
          <w:sz w:val="24"/>
          <w:szCs w:val="24"/>
        </w:rPr>
        <w:t xml:space="preserve"> v. Nationwide Life and Annuity Co.</w:t>
      </w:r>
      <w:r w:rsidR="00DE332C" w:rsidRPr="00DE332C">
        <w:rPr>
          <w:iCs/>
          <w:spacing w:val="-3"/>
          <w:sz w:val="24"/>
          <w:szCs w:val="24"/>
        </w:rPr>
        <w:t>, 939 A.2d 409 (2007).</w:t>
      </w:r>
      <w:proofErr w:type="gramEnd"/>
      <w:r w:rsidR="00DE332C" w:rsidRPr="00DE332C">
        <w:rPr>
          <w:iCs/>
          <w:spacing w:val="-3"/>
          <w:sz w:val="24"/>
          <w:szCs w:val="24"/>
        </w:rPr>
        <w:t xml:space="preserve">  The Telephone Hearing Notice and Prehearing Order were mailed to the Complainant at the address listed on the Complaint and these documents have not been returned to the Commission by the post office.  Therefore, Complainant is deemed to have received these documents and had sufficient notice of the day, date and time of the scheduled hearing.  </w:t>
      </w:r>
    </w:p>
    <w:p w:rsidR="00DE332C" w:rsidRDefault="00DE332C" w:rsidP="005441F7">
      <w:pPr>
        <w:suppressAutoHyphens/>
        <w:spacing w:line="360" w:lineRule="auto"/>
        <w:rPr>
          <w:iCs/>
          <w:spacing w:val="-3"/>
          <w:sz w:val="24"/>
          <w:szCs w:val="24"/>
        </w:rPr>
      </w:pPr>
    </w:p>
    <w:p w:rsidR="00716750" w:rsidRPr="005441F7" w:rsidRDefault="00DE332C" w:rsidP="005441F7">
      <w:pPr>
        <w:suppressAutoHyphens/>
        <w:spacing w:line="360" w:lineRule="auto"/>
        <w:rPr>
          <w:iCs/>
          <w:spacing w:val="-3"/>
          <w:sz w:val="24"/>
          <w:szCs w:val="24"/>
        </w:rPr>
      </w:pPr>
      <w:r>
        <w:rPr>
          <w:iCs/>
          <w:spacing w:val="-3"/>
          <w:sz w:val="24"/>
          <w:szCs w:val="24"/>
        </w:rPr>
        <w:tab/>
      </w:r>
      <w:r>
        <w:rPr>
          <w:iCs/>
          <w:spacing w:val="-3"/>
          <w:sz w:val="24"/>
          <w:szCs w:val="24"/>
        </w:rPr>
        <w:tab/>
      </w:r>
      <w:r w:rsidR="00716750" w:rsidRPr="005441F7">
        <w:rPr>
          <w:iCs/>
          <w:spacing w:val="-3"/>
          <w:sz w:val="24"/>
          <w:szCs w:val="24"/>
        </w:rPr>
        <w:t>In this formal Complaint proceeding, Complainant has</w:t>
      </w:r>
      <w:r w:rsidR="00927CEE" w:rsidRPr="005441F7">
        <w:rPr>
          <w:iCs/>
          <w:spacing w:val="-3"/>
          <w:sz w:val="24"/>
          <w:szCs w:val="24"/>
        </w:rPr>
        <w:t xml:space="preserve"> disputed financial responsibility for electric service in her name during the period of her incarceration</w:t>
      </w:r>
      <w:r w:rsidR="00716750" w:rsidRPr="005441F7">
        <w:rPr>
          <w:iCs/>
          <w:spacing w:val="-3"/>
          <w:sz w:val="24"/>
          <w:szCs w:val="24"/>
        </w:rPr>
        <w:t xml:space="preserve">.  As the party seeking affirmative relief from the Commission, the burden of proof rests on the Complainant.  </w:t>
      </w:r>
      <w:proofErr w:type="gramStart"/>
      <w:r w:rsidR="00716750" w:rsidRPr="005441F7">
        <w:rPr>
          <w:iCs/>
          <w:spacing w:val="-3"/>
          <w:sz w:val="24"/>
          <w:szCs w:val="24"/>
        </w:rPr>
        <w:t>66 Pa.C.S.</w:t>
      </w:r>
      <w:proofErr w:type="gramEnd"/>
      <w:r w:rsidR="00716750" w:rsidRPr="005441F7">
        <w:rPr>
          <w:iCs/>
          <w:spacing w:val="-3"/>
          <w:sz w:val="24"/>
          <w:szCs w:val="24"/>
        </w:rPr>
        <w:t xml:space="preserve"> § 332(a).  "Burden of proof" means a duty to establish one's case by a preponderance of the evidence, which requires that the evidence be more convincing by even the smallest degree, than the evidence presented by the other side.  </w:t>
      </w:r>
      <w:proofErr w:type="gramStart"/>
      <w:r w:rsidR="00716750" w:rsidRPr="005441F7">
        <w:rPr>
          <w:i/>
          <w:iCs/>
          <w:spacing w:val="-3"/>
          <w:sz w:val="24"/>
          <w:szCs w:val="24"/>
        </w:rPr>
        <w:t>Se-Ling Hosiery, Inc. v. Margulies</w:t>
      </w:r>
      <w:r w:rsidR="00716750" w:rsidRPr="005441F7">
        <w:rPr>
          <w:iCs/>
          <w:spacing w:val="-3"/>
          <w:sz w:val="24"/>
          <w:szCs w:val="24"/>
        </w:rPr>
        <w:t>, 364 Pa. 45, 70 A.2d 854 (1950).</w:t>
      </w:r>
      <w:proofErr w:type="gramEnd"/>
      <w:r w:rsidR="00716750" w:rsidRPr="005441F7">
        <w:rPr>
          <w:iCs/>
          <w:spacing w:val="-3"/>
          <w:sz w:val="24"/>
          <w:szCs w:val="24"/>
        </w:rPr>
        <w:t xml:space="preserve">  To satisfy the burden of proof against a utility, the Complainant must show that the utility is responsible or accountable for the problem described in the Complaint, </w:t>
      </w:r>
      <w:r w:rsidR="00716750" w:rsidRPr="005441F7">
        <w:rPr>
          <w:i/>
          <w:iCs/>
          <w:spacing w:val="-3"/>
          <w:sz w:val="24"/>
          <w:szCs w:val="24"/>
        </w:rPr>
        <w:t>Feinstein v. Philadelphia Suburban Water Company</w:t>
      </w:r>
      <w:r w:rsidR="00716750" w:rsidRPr="005441F7">
        <w:rPr>
          <w:iCs/>
          <w:spacing w:val="-3"/>
          <w:sz w:val="24"/>
          <w:szCs w:val="24"/>
        </w:rPr>
        <w:t xml:space="preserve">, 50 Pa. P.U.C. 300 (1976), or that the utility has violated either its duty under the Public Utility Code or the orders or regulations of the Commission. </w:t>
      </w:r>
      <w:proofErr w:type="gramStart"/>
      <w:r w:rsidR="00716750" w:rsidRPr="005441F7">
        <w:rPr>
          <w:iCs/>
          <w:spacing w:val="-3"/>
          <w:sz w:val="24"/>
          <w:szCs w:val="24"/>
        </w:rPr>
        <w:t>66 Pa. C.S. § 701.</w:t>
      </w:r>
      <w:proofErr w:type="gramEnd"/>
    </w:p>
    <w:p w:rsidR="00F04306" w:rsidRPr="005441F7" w:rsidRDefault="00F04306" w:rsidP="005441F7">
      <w:pPr>
        <w:pStyle w:val="BodyText"/>
        <w:tabs>
          <w:tab w:val="clear" w:pos="1980"/>
          <w:tab w:val="left" w:pos="0"/>
        </w:tabs>
        <w:spacing w:line="360" w:lineRule="auto"/>
        <w:jc w:val="left"/>
        <w:rPr>
          <w:rFonts w:ascii="Times New Roman" w:hAnsi="Times New Roman"/>
          <w:szCs w:val="24"/>
        </w:rPr>
      </w:pPr>
    </w:p>
    <w:p w:rsidR="00897E4B" w:rsidRDefault="00F04306" w:rsidP="005441F7">
      <w:pPr>
        <w:pStyle w:val="BodyText"/>
        <w:tabs>
          <w:tab w:val="clear" w:pos="1980"/>
          <w:tab w:val="left" w:pos="0"/>
        </w:tabs>
        <w:spacing w:line="360" w:lineRule="auto"/>
        <w:jc w:val="left"/>
        <w:rPr>
          <w:rFonts w:ascii="Times New Roman" w:hAnsi="Times New Roman"/>
          <w:spacing w:val="-3"/>
          <w:szCs w:val="24"/>
        </w:rPr>
      </w:pPr>
      <w:r w:rsidRPr="005441F7">
        <w:rPr>
          <w:rFonts w:ascii="Times New Roman" w:hAnsi="Times New Roman"/>
          <w:szCs w:val="24"/>
        </w:rPr>
        <w:tab/>
      </w:r>
      <w:r w:rsidRPr="005441F7">
        <w:rPr>
          <w:rFonts w:ascii="Times New Roman" w:hAnsi="Times New Roman"/>
          <w:szCs w:val="24"/>
        </w:rPr>
        <w:tab/>
      </w:r>
      <w:r w:rsidR="00836D0A" w:rsidRPr="005441F7">
        <w:rPr>
          <w:rFonts w:ascii="Times New Roman" w:hAnsi="Times New Roman"/>
          <w:spacing w:val="-3"/>
          <w:szCs w:val="24"/>
        </w:rPr>
        <w:t xml:space="preserve">In this proceeding, Complainant bears the burden of proving by substantial evidence that she is entitled to relief.  </w:t>
      </w:r>
      <w:proofErr w:type="gramStart"/>
      <w:r w:rsidR="00836D0A" w:rsidRPr="005441F7">
        <w:rPr>
          <w:rFonts w:ascii="Times New Roman" w:hAnsi="Times New Roman"/>
          <w:spacing w:val="-3"/>
          <w:szCs w:val="24"/>
        </w:rPr>
        <w:t>66 Pa. C.S. § 332(a).</w:t>
      </w:r>
      <w:proofErr w:type="gramEnd"/>
      <w:r w:rsidR="00836D0A" w:rsidRPr="005441F7">
        <w:rPr>
          <w:rFonts w:ascii="Times New Roman" w:hAnsi="Times New Roman"/>
          <w:spacing w:val="-3"/>
          <w:szCs w:val="24"/>
        </w:rPr>
        <w:t xml:space="preserve">  </w:t>
      </w:r>
    </w:p>
    <w:p w:rsidR="00897E4B" w:rsidRDefault="00897E4B" w:rsidP="005441F7">
      <w:pPr>
        <w:pStyle w:val="BodyText"/>
        <w:tabs>
          <w:tab w:val="clear" w:pos="1980"/>
          <w:tab w:val="left" w:pos="0"/>
        </w:tabs>
        <w:spacing w:line="360" w:lineRule="auto"/>
        <w:jc w:val="left"/>
        <w:rPr>
          <w:rFonts w:ascii="Times New Roman" w:hAnsi="Times New Roman"/>
          <w:spacing w:val="-3"/>
          <w:szCs w:val="24"/>
        </w:rPr>
      </w:pPr>
    </w:p>
    <w:p w:rsidR="00897E4B" w:rsidRDefault="00897E4B" w:rsidP="005441F7">
      <w:pPr>
        <w:pStyle w:val="BodyText"/>
        <w:tabs>
          <w:tab w:val="clear" w:pos="1980"/>
          <w:tab w:val="left" w:pos="0"/>
        </w:tabs>
        <w:spacing w:line="360" w:lineRule="auto"/>
        <w:jc w:val="left"/>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On the date and time of the hearing, I twice attempted to call the Complainant at her home telephone number, as listed on her Complaint, but both times rea</w:t>
      </w:r>
      <w:r w:rsidR="00D75245">
        <w:rPr>
          <w:rFonts w:ascii="Times New Roman" w:hAnsi="Times New Roman"/>
          <w:spacing w:val="-3"/>
          <w:szCs w:val="24"/>
        </w:rPr>
        <w:t>ched instead a telefax tone.  I </w:t>
      </w:r>
      <w:r>
        <w:rPr>
          <w:rFonts w:ascii="Times New Roman" w:hAnsi="Times New Roman"/>
          <w:spacing w:val="-3"/>
          <w:szCs w:val="24"/>
        </w:rPr>
        <w:t xml:space="preserve">next tried to reach the Complainant at her work telephone number.  While a person contacted at Complainant’s work did state that </w:t>
      </w:r>
      <w:r w:rsidR="00915573">
        <w:rPr>
          <w:rFonts w:ascii="Times New Roman" w:hAnsi="Times New Roman"/>
          <w:spacing w:val="-3"/>
          <w:szCs w:val="24"/>
        </w:rPr>
        <w:t xml:space="preserve">Complainant </w:t>
      </w:r>
      <w:r>
        <w:rPr>
          <w:rFonts w:ascii="Times New Roman" w:hAnsi="Times New Roman"/>
          <w:spacing w:val="-3"/>
          <w:szCs w:val="24"/>
        </w:rPr>
        <w:t>is employed there</w:t>
      </w:r>
      <w:r w:rsidR="00915573">
        <w:rPr>
          <w:rFonts w:ascii="Times New Roman" w:hAnsi="Times New Roman"/>
          <w:spacing w:val="-3"/>
          <w:szCs w:val="24"/>
        </w:rPr>
        <w:t xml:space="preserve"> and was at work that day</w:t>
      </w:r>
      <w:r>
        <w:rPr>
          <w:rFonts w:ascii="Times New Roman" w:hAnsi="Times New Roman"/>
          <w:spacing w:val="-3"/>
          <w:szCs w:val="24"/>
        </w:rPr>
        <w:t>, the Complainant could not be located to take my call.</w:t>
      </w:r>
    </w:p>
    <w:p w:rsidR="00915573" w:rsidRDefault="00915573" w:rsidP="005441F7">
      <w:pPr>
        <w:pStyle w:val="BodyText"/>
        <w:tabs>
          <w:tab w:val="clear" w:pos="1980"/>
          <w:tab w:val="left" w:pos="0"/>
        </w:tabs>
        <w:spacing w:line="360" w:lineRule="auto"/>
        <w:jc w:val="left"/>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 xml:space="preserve">PGW presented the testimony of one witness, </w:t>
      </w:r>
      <w:r w:rsidRPr="00915573">
        <w:rPr>
          <w:rFonts w:ascii="Times New Roman" w:hAnsi="Times New Roman"/>
          <w:spacing w:val="-3"/>
          <w:szCs w:val="24"/>
        </w:rPr>
        <w:t>Linda Pereira, a Senior Customer Review Officer employed by PGW.</w:t>
      </w:r>
      <w:r>
        <w:rPr>
          <w:rFonts w:ascii="Times New Roman" w:hAnsi="Times New Roman"/>
          <w:spacing w:val="-3"/>
          <w:szCs w:val="24"/>
        </w:rPr>
        <w:t xml:space="preserve">  Ms. Pereira testified that the Complainant had been served with a</w:t>
      </w:r>
      <w:r w:rsidR="00E961C2">
        <w:rPr>
          <w:rFonts w:ascii="Times New Roman" w:hAnsi="Times New Roman"/>
          <w:spacing w:val="-3"/>
          <w:szCs w:val="24"/>
        </w:rPr>
        <w:t xml:space="preserve"> termination notice by PGW on May 23, 2011.  </w:t>
      </w:r>
      <w:proofErr w:type="gramStart"/>
      <w:r w:rsidR="00E961C2">
        <w:rPr>
          <w:rFonts w:ascii="Times New Roman" w:hAnsi="Times New Roman"/>
          <w:spacing w:val="-3"/>
          <w:szCs w:val="24"/>
        </w:rPr>
        <w:t>N.T.</w:t>
      </w:r>
      <w:proofErr w:type="gramEnd"/>
      <w:r w:rsidR="00E961C2">
        <w:rPr>
          <w:rFonts w:ascii="Times New Roman" w:hAnsi="Times New Roman"/>
          <w:spacing w:val="-3"/>
          <w:szCs w:val="24"/>
        </w:rPr>
        <w:t xml:space="preserve">  17.  According to Ms. Pereira, the Complainant has had 31 broken payment arrangements with PGW.  </w:t>
      </w:r>
      <w:proofErr w:type="gramStart"/>
      <w:r w:rsidR="00E961C2">
        <w:rPr>
          <w:rFonts w:ascii="Times New Roman" w:hAnsi="Times New Roman"/>
          <w:spacing w:val="-3"/>
          <w:szCs w:val="24"/>
        </w:rPr>
        <w:t>N.T. at 14.</w:t>
      </w:r>
      <w:proofErr w:type="gramEnd"/>
      <w:r w:rsidR="00E961C2">
        <w:rPr>
          <w:rFonts w:ascii="Times New Roman" w:hAnsi="Times New Roman"/>
          <w:spacing w:val="-3"/>
          <w:szCs w:val="24"/>
        </w:rPr>
        <w:t xml:space="preserve">  At the conclusion of Ms. Pereira’s testimony, counsel for PGW made a Motion to Dismiss the Complaint with prejudice for failure to prosecute, which Motion I took under advisement.</w:t>
      </w:r>
    </w:p>
    <w:p w:rsidR="00897E4B" w:rsidRDefault="00897E4B" w:rsidP="005441F7">
      <w:pPr>
        <w:pStyle w:val="BodyText"/>
        <w:tabs>
          <w:tab w:val="clear" w:pos="1980"/>
          <w:tab w:val="left" w:pos="0"/>
        </w:tabs>
        <w:spacing w:line="360" w:lineRule="auto"/>
        <w:jc w:val="left"/>
        <w:rPr>
          <w:rFonts w:ascii="Times New Roman" w:hAnsi="Times New Roman"/>
          <w:spacing w:val="-3"/>
          <w:szCs w:val="24"/>
        </w:rPr>
      </w:pPr>
    </w:p>
    <w:p w:rsidR="0082408D" w:rsidRPr="005441F7" w:rsidRDefault="00897E4B" w:rsidP="005441F7">
      <w:pPr>
        <w:pStyle w:val="BodyText"/>
        <w:tabs>
          <w:tab w:val="clear" w:pos="1980"/>
          <w:tab w:val="left" w:pos="0"/>
        </w:tabs>
        <w:spacing w:line="360" w:lineRule="auto"/>
        <w:jc w:val="left"/>
        <w:rPr>
          <w:rFonts w:ascii="Times New Roman" w:hAnsi="Times New Roman"/>
          <w:szCs w:val="24"/>
        </w:rPr>
      </w:pPr>
      <w:r>
        <w:rPr>
          <w:rFonts w:ascii="Times New Roman" w:hAnsi="Times New Roman"/>
          <w:spacing w:val="-3"/>
          <w:szCs w:val="24"/>
        </w:rPr>
        <w:tab/>
      </w:r>
      <w:r>
        <w:rPr>
          <w:rFonts w:ascii="Times New Roman" w:hAnsi="Times New Roman"/>
          <w:spacing w:val="-3"/>
          <w:szCs w:val="24"/>
        </w:rPr>
        <w:tab/>
      </w:r>
      <w:r w:rsidR="00836D0A" w:rsidRPr="005441F7">
        <w:rPr>
          <w:rFonts w:ascii="Times New Roman" w:hAnsi="Times New Roman"/>
          <w:spacing w:val="-3"/>
          <w:szCs w:val="24"/>
        </w:rPr>
        <w:t>By failing to appear and present any evidence in support of her Complaint, C</w:t>
      </w:r>
      <w:r>
        <w:rPr>
          <w:rFonts w:ascii="Times New Roman" w:hAnsi="Times New Roman"/>
          <w:spacing w:val="-3"/>
          <w:szCs w:val="24"/>
        </w:rPr>
        <w:t>omplainant has failed to meet her</w:t>
      </w:r>
      <w:r w:rsidR="00836D0A" w:rsidRPr="005441F7">
        <w:rPr>
          <w:rFonts w:ascii="Times New Roman" w:hAnsi="Times New Roman"/>
          <w:spacing w:val="-3"/>
          <w:szCs w:val="24"/>
        </w:rPr>
        <w:t xml:space="preserve"> burden.  Thus, the Complaint must be </w:t>
      </w:r>
      <w:r w:rsidR="00836D0A" w:rsidRPr="005441F7">
        <w:rPr>
          <w:rFonts w:ascii="Times New Roman" w:hAnsi="Times New Roman"/>
          <w:bCs/>
          <w:spacing w:val="-3"/>
          <w:szCs w:val="24"/>
        </w:rPr>
        <w:t>dismissed with prejudice.</w:t>
      </w:r>
      <w:r w:rsidR="00836D0A" w:rsidRPr="005441F7">
        <w:rPr>
          <w:rFonts w:ascii="Times New Roman" w:hAnsi="Times New Roman"/>
          <w:spacing w:val="-3"/>
          <w:szCs w:val="24"/>
        </w:rPr>
        <w:t xml:space="preserve">  </w:t>
      </w:r>
      <w:r w:rsidR="00836D0A" w:rsidRPr="005441F7">
        <w:rPr>
          <w:rFonts w:ascii="Times New Roman" w:hAnsi="Times New Roman"/>
          <w:i/>
          <w:spacing w:val="-3"/>
          <w:szCs w:val="24"/>
        </w:rPr>
        <w:t>Jefferson v. UGI Utilities, Inc.</w:t>
      </w:r>
      <w:r w:rsidR="005441F7">
        <w:rPr>
          <w:rFonts w:ascii="Times New Roman" w:hAnsi="Times New Roman"/>
          <w:spacing w:val="-3"/>
          <w:szCs w:val="24"/>
        </w:rPr>
        <w:t xml:space="preserve">, Docket No. </w:t>
      </w:r>
      <w:proofErr w:type="gramStart"/>
      <w:r w:rsidR="005441F7">
        <w:rPr>
          <w:rFonts w:ascii="Times New Roman" w:hAnsi="Times New Roman"/>
          <w:spacing w:val="-3"/>
          <w:szCs w:val="24"/>
        </w:rPr>
        <w:t>Z</w:t>
      </w:r>
      <w:r w:rsidR="005441F7">
        <w:rPr>
          <w:rFonts w:ascii="Times New Roman" w:hAnsi="Times New Roman"/>
          <w:spacing w:val="-3"/>
          <w:szCs w:val="24"/>
        </w:rPr>
        <w:noBreakHyphen/>
      </w:r>
      <w:r w:rsidR="00836D0A" w:rsidRPr="005441F7">
        <w:rPr>
          <w:rFonts w:ascii="Times New Roman" w:hAnsi="Times New Roman"/>
          <w:spacing w:val="-3"/>
          <w:szCs w:val="24"/>
        </w:rPr>
        <w:t>00269892 (Order entered December 26, 1995).</w:t>
      </w:r>
      <w:proofErr w:type="gramEnd"/>
      <w:r w:rsidR="00836D0A" w:rsidRPr="005441F7">
        <w:rPr>
          <w:rFonts w:ascii="Times New Roman" w:hAnsi="Times New Roman"/>
          <w:spacing w:val="-3"/>
          <w:szCs w:val="24"/>
        </w:rPr>
        <w:t xml:space="preserve">  Accordingly, the merits of the Complaint will not be addressed.  </w:t>
      </w:r>
      <w:proofErr w:type="gramStart"/>
      <w:r w:rsidR="00836D0A" w:rsidRPr="005441F7">
        <w:rPr>
          <w:rFonts w:ascii="Times New Roman" w:hAnsi="Times New Roman"/>
          <w:i/>
          <w:spacing w:val="-3"/>
          <w:szCs w:val="24"/>
        </w:rPr>
        <w:t>Jones v.</w:t>
      </w:r>
      <w:proofErr w:type="gramEnd"/>
      <w:r w:rsidR="00836D0A" w:rsidRPr="005441F7">
        <w:rPr>
          <w:rFonts w:ascii="Times New Roman" w:hAnsi="Times New Roman"/>
          <w:i/>
          <w:spacing w:val="-3"/>
          <w:szCs w:val="24"/>
        </w:rPr>
        <w:t xml:space="preserve"> The Peoples Natural Gas Company, d/b/a Dominion Peoples</w:t>
      </w:r>
      <w:r w:rsidR="005441F7">
        <w:rPr>
          <w:rFonts w:ascii="Times New Roman" w:hAnsi="Times New Roman"/>
          <w:spacing w:val="-3"/>
          <w:szCs w:val="24"/>
        </w:rPr>
        <w:t>, Docket No. C</w:t>
      </w:r>
      <w:r w:rsidR="005441F7">
        <w:rPr>
          <w:rFonts w:ascii="Times New Roman" w:hAnsi="Times New Roman"/>
          <w:spacing w:val="-3"/>
          <w:szCs w:val="24"/>
        </w:rPr>
        <w:noBreakHyphen/>
      </w:r>
      <w:r w:rsidR="00836D0A" w:rsidRPr="005441F7">
        <w:rPr>
          <w:rFonts w:ascii="Times New Roman" w:hAnsi="Times New Roman"/>
          <w:spacing w:val="-3"/>
          <w:szCs w:val="24"/>
        </w:rPr>
        <w:t xml:space="preserve">20054885 (Order entered February 14, 2006); and </w:t>
      </w:r>
      <w:r w:rsidR="00836D0A" w:rsidRPr="005441F7">
        <w:rPr>
          <w:rFonts w:ascii="Times New Roman" w:hAnsi="Times New Roman"/>
          <w:i/>
          <w:spacing w:val="-3"/>
          <w:szCs w:val="24"/>
        </w:rPr>
        <w:t>Mya Lau v. PPL Electric Utilities Corp.</w:t>
      </w:r>
      <w:r w:rsidR="00836D0A" w:rsidRPr="005441F7">
        <w:rPr>
          <w:rFonts w:ascii="Times New Roman" w:hAnsi="Times New Roman"/>
          <w:spacing w:val="-3"/>
          <w:szCs w:val="24"/>
        </w:rPr>
        <w:t>, Docket No. F-01816882 (Order entered October 19, 2005).</w:t>
      </w:r>
      <w:r w:rsidR="00836D0A" w:rsidRPr="005441F7">
        <w:rPr>
          <w:rFonts w:ascii="Times New Roman" w:hAnsi="Times New Roman"/>
          <w:spacing w:val="-3"/>
          <w:szCs w:val="24"/>
        </w:rPr>
        <w:br/>
      </w:r>
    </w:p>
    <w:p w:rsidR="0082408D" w:rsidRPr="005441F7" w:rsidRDefault="0082408D" w:rsidP="005441F7">
      <w:pPr>
        <w:pStyle w:val="Heading1"/>
        <w:spacing w:line="360" w:lineRule="auto"/>
        <w:rPr>
          <w:rFonts w:ascii="Times New Roman" w:hAnsi="Times New Roman"/>
          <w:b w:val="0"/>
          <w:szCs w:val="24"/>
        </w:rPr>
      </w:pPr>
      <w:r w:rsidRPr="005441F7">
        <w:rPr>
          <w:rFonts w:ascii="Times New Roman" w:hAnsi="Times New Roman"/>
          <w:b w:val="0"/>
          <w:szCs w:val="24"/>
        </w:rPr>
        <w:t>CONCLUSIONS OF LAW</w:t>
      </w:r>
    </w:p>
    <w:p w:rsidR="0082408D" w:rsidRPr="005441F7" w:rsidRDefault="0082408D" w:rsidP="00D75245">
      <w:pPr>
        <w:spacing w:line="360" w:lineRule="auto"/>
        <w:rPr>
          <w:sz w:val="24"/>
          <w:szCs w:val="24"/>
        </w:rPr>
      </w:pPr>
    </w:p>
    <w:p w:rsidR="0082408D" w:rsidRPr="005441F7" w:rsidRDefault="0082408D" w:rsidP="005441F7">
      <w:pPr>
        <w:pStyle w:val="Heading1"/>
        <w:spacing w:line="360" w:lineRule="auto"/>
        <w:ind w:firstLine="1526"/>
        <w:jc w:val="left"/>
        <w:rPr>
          <w:rFonts w:ascii="Times New Roman" w:hAnsi="Times New Roman"/>
          <w:b w:val="0"/>
          <w:szCs w:val="24"/>
          <w:u w:val="none"/>
        </w:rPr>
      </w:pPr>
      <w:r w:rsidRPr="005441F7">
        <w:rPr>
          <w:rFonts w:ascii="Times New Roman" w:hAnsi="Times New Roman"/>
          <w:b w:val="0"/>
          <w:szCs w:val="24"/>
          <w:u w:val="none"/>
        </w:rPr>
        <w:t>1.</w:t>
      </w:r>
      <w:r w:rsidRPr="005441F7">
        <w:rPr>
          <w:rFonts w:ascii="Times New Roman" w:hAnsi="Times New Roman"/>
          <w:b w:val="0"/>
          <w:szCs w:val="24"/>
          <w:u w:val="none"/>
        </w:rPr>
        <w:tab/>
        <w:t>The Commission has jurisdiction over the parties and subject matter in this proceeding.</w:t>
      </w:r>
      <w:r w:rsidR="00A649DB" w:rsidRPr="005441F7">
        <w:rPr>
          <w:rFonts w:ascii="Times New Roman" w:hAnsi="Times New Roman"/>
          <w:b w:val="0"/>
          <w:szCs w:val="24"/>
          <w:u w:val="none"/>
        </w:rPr>
        <w:t xml:space="preserve">  </w:t>
      </w:r>
      <w:proofErr w:type="gramStart"/>
      <w:r w:rsidR="00A649DB" w:rsidRPr="005441F7">
        <w:rPr>
          <w:rFonts w:ascii="Times New Roman" w:hAnsi="Times New Roman"/>
          <w:b w:val="0"/>
          <w:szCs w:val="24"/>
          <w:u w:val="none"/>
        </w:rPr>
        <w:t>66 Pa. C.S. § 701.</w:t>
      </w:r>
      <w:proofErr w:type="gramEnd"/>
    </w:p>
    <w:p w:rsidR="0082408D" w:rsidRPr="005441F7" w:rsidRDefault="0082408D" w:rsidP="005441F7">
      <w:pPr>
        <w:pStyle w:val="BodyText"/>
        <w:tabs>
          <w:tab w:val="clear" w:pos="1980"/>
        </w:tabs>
        <w:spacing w:line="360" w:lineRule="auto"/>
        <w:jc w:val="left"/>
        <w:rPr>
          <w:rFonts w:ascii="Times New Roman" w:hAnsi="Times New Roman"/>
          <w:szCs w:val="24"/>
        </w:rPr>
      </w:pPr>
    </w:p>
    <w:p w:rsidR="0082408D" w:rsidRDefault="0082408D"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2.</w:t>
      </w:r>
      <w:r w:rsidRPr="005441F7">
        <w:rPr>
          <w:rFonts w:ascii="Times New Roman" w:hAnsi="Times New Roman"/>
          <w:szCs w:val="24"/>
        </w:rPr>
        <w:tab/>
        <w:t>The Complainant has the burden of proof in this matter pursuant to 66 Pa.C.S. §</w:t>
      </w:r>
      <w:r w:rsidR="0072127A" w:rsidRPr="005441F7">
        <w:rPr>
          <w:rFonts w:ascii="Times New Roman" w:hAnsi="Times New Roman"/>
          <w:szCs w:val="24"/>
        </w:rPr>
        <w:t xml:space="preserve"> </w:t>
      </w:r>
      <w:r w:rsidRPr="005441F7">
        <w:rPr>
          <w:rFonts w:ascii="Times New Roman" w:hAnsi="Times New Roman"/>
          <w:szCs w:val="24"/>
        </w:rPr>
        <w:t>332(a).</w:t>
      </w:r>
    </w:p>
    <w:p w:rsidR="00DE332C" w:rsidRDefault="00DE332C" w:rsidP="005441F7">
      <w:pPr>
        <w:pStyle w:val="BodyText"/>
        <w:tabs>
          <w:tab w:val="clear" w:pos="1980"/>
        </w:tabs>
        <w:spacing w:line="360" w:lineRule="auto"/>
        <w:jc w:val="left"/>
        <w:rPr>
          <w:rFonts w:ascii="Times New Roman" w:hAnsi="Times New Roman"/>
          <w:szCs w:val="24"/>
        </w:rPr>
      </w:pPr>
    </w:p>
    <w:p w:rsidR="00DE332C" w:rsidRPr="005441F7" w:rsidRDefault="00DE332C" w:rsidP="005441F7">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r>
      <w:r w:rsidRPr="00DE332C">
        <w:rPr>
          <w:rFonts w:ascii="Times New Roman" w:hAnsi="Times New Roman"/>
          <w:iCs/>
          <w:szCs w:val="24"/>
        </w:rPr>
        <w:t xml:space="preserve">Notice mailed to a party’s last known address and not returned by the post office is presumed to have been received.  </w:t>
      </w:r>
      <w:proofErr w:type="gramStart"/>
      <w:r w:rsidRPr="00DE332C">
        <w:rPr>
          <w:rFonts w:ascii="Times New Roman" w:hAnsi="Times New Roman"/>
          <w:i/>
          <w:iCs/>
          <w:szCs w:val="24"/>
        </w:rPr>
        <w:t>Chartiers Industrial and Commercial Development Authority v. Allegheny County Board of Property Assessment Appeals and Review</w:t>
      </w:r>
      <w:r w:rsidRPr="00DE332C">
        <w:rPr>
          <w:rFonts w:ascii="Times New Roman" w:hAnsi="Times New Roman"/>
          <w:iCs/>
          <w:szCs w:val="24"/>
        </w:rPr>
        <w:t xml:space="preserve">, 645 A.2d 944 (1994), </w:t>
      </w:r>
      <w:r w:rsidRPr="00DE332C">
        <w:rPr>
          <w:rFonts w:ascii="Times New Roman" w:hAnsi="Times New Roman"/>
          <w:iCs/>
          <w:szCs w:val="24"/>
          <w:u w:val="single"/>
        </w:rPr>
        <w:t>app. denied</w:t>
      </w:r>
      <w:r w:rsidRPr="00DE332C">
        <w:rPr>
          <w:rFonts w:ascii="Times New Roman" w:hAnsi="Times New Roman"/>
          <w:iCs/>
          <w:szCs w:val="24"/>
        </w:rPr>
        <w:t>, 539 Pa. 696, 653 A.2d 1234 (1994).</w:t>
      </w:r>
      <w:proofErr w:type="gramEnd"/>
      <w:r w:rsidRPr="00DE332C">
        <w:rPr>
          <w:rFonts w:ascii="Times New Roman" w:hAnsi="Times New Roman"/>
          <w:iCs/>
          <w:szCs w:val="24"/>
        </w:rPr>
        <w:t xml:space="preserve">  </w:t>
      </w:r>
    </w:p>
    <w:p w:rsidR="00903C85" w:rsidRPr="005441F7" w:rsidRDefault="00903C85" w:rsidP="005441F7">
      <w:pPr>
        <w:pStyle w:val="BodyText"/>
        <w:tabs>
          <w:tab w:val="clear" w:pos="1980"/>
        </w:tabs>
        <w:spacing w:line="360" w:lineRule="auto"/>
        <w:jc w:val="left"/>
        <w:rPr>
          <w:rFonts w:ascii="Times New Roman" w:hAnsi="Times New Roman"/>
          <w:szCs w:val="24"/>
        </w:rPr>
      </w:pPr>
    </w:p>
    <w:p w:rsidR="00903C85" w:rsidRPr="005441F7" w:rsidRDefault="00903C85"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DE332C">
        <w:rPr>
          <w:rFonts w:ascii="Times New Roman" w:hAnsi="Times New Roman"/>
          <w:szCs w:val="24"/>
        </w:rPr>
        <w:t>4</w:t>
      </w:r>
      <w:r w:rsidRPr="005441F7">
        <w:rPr>
          <w:rFonts w:ascii="Times New Roman" w:hAnsi="Times New Roman"/>
          <w:szCs w:val="24"/>
        </w:rPr>
        <w:t>.</w:t>
      </w:r>
      <w:r w:rsidRPr="005441F7">
        <w:rPr>
          <w:rFonts w:ascii="Times New Roman" w:hAnsi="Times New Roman"/>
          <w:szCs w:val="24"/>
        </w:rPr>
        <w:tab/>
        <w:t xml:space="preserve">The due process rights of Complainant have been fully protected in this proceeding.  </w:t>
      </w:r>
      <w:r w:rsidRPr="005441F7">
        <w:rPr>
          <w:rFonts w:ascii="Times New Roman" w:hAnsi="Times New Roman"/>
          <w:i/>
          <w:szCs w:val="24"/>
        </w:rPr>
        <w:t>Sentner v. Bell Telephone Company of Pennsylvania</w:t>
      </w:r>
      <w:r w:rsidRPr="005441F7">
        <w:rPr>
          <w:rFonts w:ascii="Times New Roman" w:hAnsi="Times New Roman"/>
          <w:szCs w:val="24"/>
        </w:rPr>
        <w:t xml:space="preserve">, Docket No. </w:t>
      </w:r>
      <w:proofErr w:type="gramStart"/>
      <w:r w:rsidRPr="005441F7">
        <w:rPr>
          <w:rFonts w:ascii="Times New Roman" w:hAnsi="Times New Roman"/>
          <w:szCs w:val="24"/>
        </w:rPr>
        <w:t>F-00161106 (Order entered October 25, 1993); and 52 Pa. Code § 5.245(a).</w:t>
      </w:r>
      <w:proofErr w:type="gramEnd"/>
    </w:p>
    <w:p w:rsidR="009F3C36" w:rsidRDefault="002E4E15" w:rsidP="005441F7">
      <w:pPr>
        <w:spacing w:line="360" w:lineRule="auto"/>
        <w:rPr>
          <w:sz w:val="24"/>
          <w:szCs w:val="24"/>
        </w:rPr>
      </w:pPr>
      <w:r w:rsidRPr="005441F7">
        <w:rPr>
          <w:sz w:val="24"/>
          <w:szCs w:val="24"/>
        </w:rPr>
        <w:tab/>
      </w:r>
      <w:r w:rsidRPr="005441F7">
        <w:rPr>
          <w:sz w:val="24"/>
          <w:szCs w:val="24"/>
        </w:rPr>
        <w:tab/>
      </w:r>
      <w:r w:rsidR="00DE332C">
        <w:rPr>
          <w:sz w:val="24"/>
          <w:szCs w:val="24"/>
        </w:rPr>
        <w:t>5</w:t>
      </w:r>
      <w:r w:rsidR="000A7743" w:rsidRPr="005441F7">
        <w:rPr>
          <w:sz w:val="24"/>
          <w:szCs w:val="24"/>
        </w:rPr>
        <w:t>.</w:t>
      </w:r>
      <w:r w:rsidR="000A7743" w:rsidRPr="005441F7">
        <w:rPr>
          <w:sz w:val="24"/>
          <w:szCs w:val="24"/>
        </w:rPr>
        <w:tab/>
        <w:t xml:space="preserve">By failing to appear and to present any evidence in support of her Complaint, Complainant has failed to meet her burden.  Thus, the Complaint must be </w:t>
      </w:r>
      <w:r w:rsidR="000A7743" w:rsidRPr="005441F7">
        <w:rPr>
          <w:bCs/>
          <w:sz w:val="24"/>
          <w:szCs w:val="24"/>
        </w:rPr>
        <w:t>dismissed with prejudice.</w:t>
      </w:r>
      <w:r w:rsidR="000A7743" w:rsidRPr="005441F7">
        <w:rPr>
          <w:sz w:val="24"/>
          <w:szCs w:val="24"/>
        </w:rPr>
        <w:t xml:space="preserve">  </w:t>
      </w:r>
      <w:r w:rsidR="000A7743" w:rsidRPr="005441F7">
        <w:rPr>
          <w:i/>
          <w:sz w:val="24"/>
          <w:szCs w:val="24"/>
        </w:rPr>
        <w:t>Jefferson v. UGI Utilities, Inc.</w:t>
      </w:r>
      <w:r w:rsidR="000A7743" w:rsidRPr="005441F7">
        <w:rPr>
          <w:sz w:val="24"/>
          <w:szCs w:val="24"/>
        </w:rPr>
        <w:t xml:space="preserve">, Docket No. </w:t>
      </w:r>
      <w:proofErr w:type="gramStart"/>
      <w:r w:rsidR="000A7743" w:rsidRPr="005441F7">
        <w:rPr>
          <w:sz w:val="24"/>
          <w:szCs w:val="24"/>
        </w:rPr>
        <w:t>Z-00269892 (Order entered December 26, 1995).</w:t>
      </w:r>
      <w:proofErr w:type="gramEnd"/>
    </w:p>
    <w:p w:rsidR="00DE332C" w:rsidRDefault="00DE332C" w:rsidP="005441F7">
      <w:pPr>
        <w:spacing w:line="360" w:lineRule="auto"/>
        <w:rPr>
          <w:sz w:val="24"/>
          <w:szCs w:val="24"/>
        </w:rPr>
      </w:pPr>
    </w:p>
    <w:p w:rsidR="00F145FF" w:rsidRPr="005441F7" w:rsidRDefault="00F145FF" w:rsidP="005441F7">
      <w:pPr>
        <w:spacing w:line="360" w:lineRule="auto"/>
        <w:rPr>
          <w:sz w:val="24"/>
          <w:szCs w:val="24"/>
        </w:rPr>
      </w:pPr>
    </w:p>
    <w:p w:rsidR="0082408D" w:rsidRPr="005441F7" w:rsidRDefault="00A649DB" w:rsidP="005441F7">
      <w:pPr>
        <w:pStyle w:val="Heading3"/>
        <w:rPr>
          <w:b w:val="0"/>
          <w:sz w:val="24"/>
          <w:szCs w:val="24"/>
        </w:rPr>
      </w:pPr>
      <w:r w:rsidRPr="005441F7">
        <w:rPr>
          <w:b w:val="0"/>
          <w:sz w:val="24"/>
          <w:szCs w:val="24"/>
        </w:rPr>
        <w:t>OR</w:t>
      </w:r>
      <w:r w:rsidR="0082408D" w:rsidRPr="005441F7">
        <w:rPr>
          <w:b w:val="0"/>
          <w:sz w:val="24"/>
          <w:szCs w:val="24"/>
        </w:rPr>
        <w:t>DER</w:t>
      </w:r>
    </w:p>
    <w:p w:rsidR="005441F7" w:rsidRPr="005441F7" w:rsidRDefault="005441F7" w:rsidP="005441F7">
      <w:pPr>
        <w:spacing w:line="360" w:lineRule="auto"/>
        <w:rPr>
          <w:sz w:val="24"/>
          <w:szCs w:val="24"/>
        </w:rPr>
      </w:pPr>
    </w:p>
    <w:p w:rsidR="0082408D" w:rsidRPr="005441F7" w:rsidRDefault="0082408D" w:rsidP="005441F7">
      <w:pPr>
        <w:spacing w:line="360" w:lineRule="auto"/>
        <w:rPr>
          <w:sz w:val="24"/>
          <w:szCs w:val="24"/>
        </w:rPr>
      </w:pPr>
      <w:r w:rsidRPr="005441F7">
        <w:rPr>
          <w:sz w:val="24"/>
          <w:szCs w:val="24"/>
        </w:rPr>
        <w:tab/>
      </w:r>
      <w:r w:rsidRPr="005441F7">
        <w:rPr>
          <w:sz w:val="24"/>
          <w:szCs w:val="24"/>
        </w:rPr>
        <w:tab/>
        <w:t>THEREFORE,</w:t>
      </w:r>
    </w:p>
    <w:p w:rsidR="00771D09" w:rsidRPr="005441F7" w:rsidRDefault="00771D09" w:rsidP="005441F7">
      <w:pPr>
        <w:spacing w:line="360" w:lineRule="auto"/>
        <w:rPr>
          <w:sz w:val="24"/>
          <w:szCs w:val="24"/>
        </w:rPr>
      </w:pPr>
    </w:p>
    <w:p w:rsidR="0082408D" w:rsidRPr="005441F7" w:rsidRDefault="0082408D" w:rsidP="005441F7">
      <w:pPr>
        <w:spacing w:line="360" w:lineRule="auto"/>
        <w:rPr>
          <w:sz w:val="24"/>
          <w:szCs w:val="24"/>
        </w:rPr>
      </w:pPr>
      <w:r w:rsidRPr="005441F7">
        <w:rPr>
          <w:sz w:val="24"/>
          <w:szCs w:val="24"/>
        </w:rPr>
        <w:tab/>
      </w:r>
      <w:r w:rsidRPr="005441F7">
        <w:rPr>
          <w:sz w:val="24"/>
          <w:szCs w:val="24"/>
        </w:rPr>
        <w:tab/>
        <w:t>IT IS ORDERED:</w:t>
      </w:r>
    </w:p>
    <w:p w:rsidR="00771D09" w:rsidRPr="005441F7" w:rsidRDefault="00771D09" w:rsidP="005441F7">
      <w:pPr>
        <w:spacing w:line="360" w:lineRule="auto"/>
        <w:rPr>
          <w:sz w:val="24"/>
          <w:szCs w:val="24"/>
        </w:rPr>
      </w:pPr>
    </w:p>
    <w:p w:rsidR="00903C85" w:rsidRDefault="00ED2ABA" w:rsidP="005441F7">
      <w:pPr>
        <w:spacing w:line="360" w:lineRule="auto"/>
        <w:rPr>
          <w:sz w:val="24"/>
          <w:szCs w:val="24"/>
        </w:rPr>
      </w:pPr>
      <w:r w:rsidRPr="005441F7">
        <w:rPr>
          <w:sz w:val="24"/>
          <w:szCs w:val="24"/>
        </w:rPr>
        <w:tab/>
      </w:r>
      <w:r w:rsidRPr="005441F7">
        <w:rPr>
          <w:sz w:val="24"/>
          <w:szCs w:val="24"/>
        </w:rPr>
        <w:tab/>
        <w:t>1.</w:t>
      </w:r>
      <w:r w:rsidRPr="005441F7">
        <w:rPr>
          <w:sz w:val="24"/>
          <w:szCs w:val="24"/>
        </w:rPr>
        <w:tab/>
        <w:t>That the C</w:t>
      </w:r>
      <w:r w:rsidR="0082408D" w:rsidRPr="005441F7">
        <w:rPr>
          <w:sz w:val="24"/>
          <w:szCs w:val="24"/>
        </w:rPr>
        <w:t xml:space="preserve">omplaint filed by </w:t>
      </w:r>
      <w:r w:rsidR="00897E4B">
        <w:rPr>
          <w:sz w:val="24"/>
          <w:szCs w:val="24"/>
        </w:rPr>
        <w:t>Judith Jones</w:t>
      </w:r>
      <w:r w:rsidR="0082408D" w:rsidRPr="005441F7">
        <w:rPr>
          <w:sz w:val="24"/>
          <w:szCs w:val="24"/>
        </w:rPr>
        <w:t xml:space="preserve"> against the P</w:t>
      </w:r>
      <w:r w:rsidR="00897E4B">
        <w:rPr>
          <w:sz w:val="24"/>
          <w:szCs w:val="24"/>
        </w:rPr>
        <w:t>hiladelphia Gas Works</w:t>
      </w:r>
      <w:r w:rsidR="0082408D" w:rsidRPr="005441F7">
        <w:rPr>
          <w:sz w:val="24"/>
          <w:szCs w:val="24"/>
        </w:rPr>
        <w:t xml:space="preserve"> at Docket </w:t>
      </w:r>
      <w:r w:rsidR="00A649DB" w:rsidRPr="005441F7">
        <w:rPr>
          <w:sz w:val="24"/>
          <w:szCs w:val="24"/>
        </w:rPr>
        <w:t>F</w:t>
      </w:r>
      <w:r w:rsidR="00B611D2" w:rsidRPr="005441F7">
        <w:rPr>
          <w:sz w:val="24"/>
          <w:szCs w:val="24"/>
        </w:rPr>
        <w:t>-2</w:t>
      </w:r>
      <w:r w:rsidR="00A649DB" w:rsidRPr="005441F7">
        <w:rPr>
          <w:sz w:val="24"/>
          <w:szCs w:val="24"/>
        </w:rPr>
        <w:t>011</w:t>
      </w:r>
      <w:r w:rsidR="00B611D2" w:rsidRPr="005441F7">
        <w:rPr>
          <w:sz w:val="24"/>
          <w:szCs w:val="24"/>
        </w:rPr>
        <w:t>-</w:t>
      </w:r>
      <w:r w:rsidR="00A649DB" w:rsidRPr="005441F7">
        <w:rPr>
          <w:sz w:val="24"/>
          <w:szCs w:val="24"/>
        </w:rPr>
        <w:t>22</w:t>
      </w:r>
      <w:r w:rsidR="00897E4B">
        <w:rPr>
          <w:sz w:val="24"/>
          <w:szCs w:val="24"/>
        </w:rPr>
        <w:t>62603</w:t>
      </w:r>
      <w:r w:rsidR="0082408D" w:rsidRPr="005441F7">
        <w:rPr>
          <w:sz w:val="24"/>
          <w:szCs w:val="24"/>
        </w:rPr>
        <w:t xml:space="preserve"> is dismissed</w:t>
      </w:r>
      <w:r w:rsidR="00B611D2" w:rsidRPr="005441F7">
        <w:rPr>
          <w:sz w:val="24"/>
          <w:szCs w:val="24"/>
        </w:rPr>
        <w:t xml:space="preserve"> with prejudice</w:t>
      </w:r>
      <w:r w:rsidR="00903C85" w:rsidRPr="005441F7">
        <w:rPr>
          <w:sz w:val="24"/>
          <w:szCs w:val="24"/>
        </w:rPr>
        <w:t>.</w:t>
      </w:r>
    </w:p>
    <w:p w:rsidR="006F0BBB" w:rsidRPr="005441F7" w:rsidRDefault="006F0BBB" w:rsidP="005441F7">
      <w:pPr>
        <w:spacing w:line="360" w:lineRule="auto"/>
        <w:rPr>
          <w:sz w:val="24"/>
          <w:szCs w:val="24"/>
        </w:rPr>
      </w:pPr>
    </w:p>
    <w:p w:rsidR="0082408D" w:rsidRPr="005441F7" w:rsidRDefault="00903C85" w:rsidP="005441F7">
      <w:pPr>
        <w:spacing w:line="360" w:lineRule="auto"/>
        <w:rPr>
          <w:sz w:val="24"/>
          <w:szCs w:val="24"/>
        </w:rPr>
      </w:pPr>
      <w:r w:rsidRPr="005441F7">
        <w:rPr>
          <w:sz w:val="24"/>
          <w:szCs w:val="24"/>
        </w:rPr>
        <w:tab/>
      </w:r>
      <w:r w:rsidRPr="005441F7">
        <w:rPr>
          <w:sz w:val="24"/>
          <w:szCs w:val="24"/>
        </w:rPr>
        <w:tab/>
        <w:t>2.</w:t>
      </w:r>
      <w:r w:rsidRPr="005441F7">
        <w:rPr>
          <w:sz w:val="24"/>
          <w:szCs w:val="24"/>
        </w:rPr>
        <w:tab/>
        <w:t xml:space="preserve">That </w:t>
      </w:r>
      <w:r w:rsidR="0082408D" w:rsidRPr="005441F7">
        <w:rPr>
          <w:sz w:val="24"/>
          <w:szCs w:val="24"/>
        </w:rPr>
        <w:t>this case is marked closed.</w:t>
      </w:r>
    </w:p>
    <w:p w:rsidR="00771D09" w:rsidRPr="005441F7" w:rsidRDefault="00771D09" w:rsidP="005441F7">
      <w:pPr>
        <w:rPr>
          <w:sz w:val="24"/>
          <w:szCs w:val="24"/>
        </w:rPr>
      </w:pPr>
    </w:p>
    <w:p w:rsidR="00771D09" w:rsidRDefault="00771D09" w:rsidP="005441F7">
      <w:pPr>
        <w:rPr>
          <w:sz w:val="24"/>
          <w:szCs w:val="24"/>
        </w:rPr>
      </w:pPr>
    </w:p>
    <w:p w:rsidR="00D75245" w:rsidRPr="005441F7" w:rsidRDefault="00D75245" w:rsidP="005441F7">
      <w:pPr>
        <w:rPr>
          <w:sz w:val="24"/>
          <w:szCs w:val="24"/>
        </w:rPr>
      </w:pPr>
    </w:p>
    <w:p w:rsidR="0082408D" w:rsidRPr="005441F7" w:rsidRDefault="0082408D" w:rsidP="005441F7">
      <w:pPr>
        <w:rPr>
          <w:sz w:val="24"/>
          <w:szCs w:val="24"/>
        </w:rPr>
      </w:pPr>
      <w:r w:rsidRPr="005441F7">
        <w:rPr>
          <w:sz w:val="24"/>
          <w:szCs w:val="24"/>
        </w:rPr>
        <w:t>Date:</w:t>
      </w:r>
      <w:r w:rsidRPr="005441F7">
        <w:rPr>
          <w:sz w:val="24"/>
          <w:szCs w:val="24"/>
        </w:rPr>
        <w:tab/>
      </w:r>
      <w:r w:rsidR="00897E4B">
        <w:rPr>
          <w:sz w:val="24"/>
          <w:szCs w:val="24"/>
          <w:u w:val="single"/>
        </w:rPr>
        <w:t>May 15, 2012</w:t>
      </w:r>
      <w:r w:rsidR="00EF16DD" w:rsidRPr="005441F7">
        <w:rPr>
          <w:sz w:val="24"/>
          <w:szCs w:val="24"/>
        </w:rPr>
        <w:tab/>
      </w:r>
      <w:r w:rsidR="0090088F">
        <w:rPr>
          <w:sz w:val="24"/>
          <w:szCs w:val="24"/>
        </w:rPr>
        <w:tab/>
      </w:r>
      <w:r w:rsidRPr="005441F7">
        <w:rPr>
          <w:sz w:val="24"/>
          <w:szCs w:val="24"/>
        </w:rPr>
        <w:tab/>
      </w:r>
      <w:r w:rsidRPr="005441F7">
        <w:rPr>
          <w:sz w:val="24"/>
          <w:szCs w:val="24"/>
        </w:rPr>
        <w:tab/>
      </w:r>
      <w:r w:rsidRPr="005441F7">
        <w:rPr>
          <w:sz w:val="24"/>
          <w:szCs w:val="24"/>
        </w:rPr>
        <w:tab/>
        <w:t>___________________________</w:t>
      </w:r>
    </w:p>
    <w:p w:rsidR="0082408D" w:rsidRPr="005441F7" w:rsidRDefault="0082408D" w:rsidP="005441F7">
      <w:pPr>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00B611D2" w:rsidRPr="005441F7">
        <w:rPr>
          <w:sz w:val="24"/>
          <w:szCs w:val="24"/>
        </w:rPr>
        <w:t>Dennis J. Buckley</w:t>
      </w:r>
    </w:p>
    <w:p w:rsidR="0082408D" w:rsidRPr="005441F7" w:rsidRDefault="0082408D" w:rsidP="00BF551D">
      <w:pPr>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005441F7">
        <w:rPr>
          <w:sz w:val="24"/>
          <w:szCs w:val="24"/>
        </w:rPr>
        <w:tab/>
      </w:r>
      <w:r w:rsidRPr="005441F7">
        <w:rPr>
          <w:sz w:val="24"/>
          <w:szCs w:val="24"/>
        </w:rPr>
        <w:t>Administrative Law Judge</w:t>
      </w:r>
    </w:p>
    <w:sectPr w:rsidR="0082408D" w:rsidRPr="005441F7" w:rsidSect="00D75245">
      <w:footerReference w:type="even" r:id="rId9"/>
      <w:footerReference w:type="default" r:id="rId10"/>
      <w:pgSz w:w="12240" w:h="15840" w:code="1"/>
      <w:pgMar w:top="1440" w:right="1440" w:bottom="1440" w:left="1440" w:header="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67" w:rsidRDefault="00B87867">
      <w:r>
        <w:separator/>
      </w:r>
    </w:p>
  </w:endnote>
  <w:endnote w:type="continuationSeparator" w:id="0">
    <w:p w:rsidR="00B87867" w:rsidRDefault="00B8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907283">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0E4653">
      <w:rPr>
        <w:rStyle w:val="PageNumber"/>
        <w:noProof/>
      </w:rPr>
      <w:t>16</w:t>
    </w:r>
    <w:r>
      <w:rPr>
        <w:rStyle w:val="PageNumber"/>
      </w:rPr>
      <w:fldChar w:fldCharType="end"/>
    </w:r>
  </w:p>
  <w:p w:rsidR="000E4653" w:rsidRDefault="000E4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506281"/>
      <w:docPartObj>
        <w:docPartGallery w:val="Page Numbers (Bottom of Page)"/>
        <w:docPartUnique/>
      </w:docPartObj>
    </w:sdtPr>
    <w:sdtEndPr>
      <w:rPr>
        <w:noProof/>
        <w:sz w:val="20"/>
      </w:rPr>
    </w:sdtEndPr>
    <w:sdtContent>
      <w:p w:rsidR="000E4653" w:rsidRPr="00BF551D" w:rsidRDefault="00BF551D" w:rsidP="00BF551D">
        <w:pPr>
          <w:pStyle w:val="Footer"/>
          <w:tabs>
            <w:tab w:val="clear" w:pos="4320"/>
            <w:tab w:val="clear" w:pos="8640"/>
          </w:tabs>
          <w:jc w:val="center"/>
          <w:rPr>
            <w:sz w:val="20"/>
          </w:rPr>
        </w:pPr>
        <w:r w:rsidRPr="00BF551D">
          <w:rPr>
            <w:sz w:val="20"/>
          </w:rPr>
          <w:fldChar w:fldCharType="begin"/>
        </w:r>
        <w:r w:rsidRPr="00BF551D">
          <w:rPr>
            <w:sz w:val="20"/>
          </w:rPr>
          <w:instrText xml:space="preserve"> PAGE   \* MERGEFORMAT </w:instrText>
        </w:r>
        <w:r w:rsidRPr="00BF551D">
          <w:rPr>
            <w:sz w:val="20"/>
          </w:rPr>
          <w:fldChar w:fldCharType="separate"/>
        </w:r>
        <w:r w:rsidR="00D75245">
          <w:rPr>
            <w:noProof/>
            <w:sz w:val="20"/>
          </w:rPr>
          <w:t>6</w:t>
        </w:r>
        <w:r w:rsidRPr="00BF551D">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67" w:rsidRDefault="00B87867">
      <w:r>
        <w:separator/>
      </w:r>
    </w:p>
  </w:footnote>
  <w:footnote w:type="continuationSeparator" w:id="0">
    <w:p w:rsidR="00B87867" w:rsidRDefault="00B87867">
      <w:r>
        <w:continuationSeparator/>
      </w:r>
    </w:p>
  </w:footnote>
  <w:footnote w:id="1">
    <w:p w:rsidR="00361A4C" w:rsidRDefault="00361A4C">
      <w:pPr>
        <w:pStyle w:val="FootnoteText"/>
      </w:pPr>
      <w:r>
        <w:rPr>
          <w:rStyle w:val="FootnoteReference"/>
        </w:rPr>
        <w:footnoteRef/>
      </w:r>
      <w:r>
        <w:t xml:space="preserve"> </w:t>
      </w:r>
      <w:r>
        <w:tab/>
        <w:t>The formal Complaint is a timely appeal from a decision by the Commission’s Bureau of Consumer Services (BCS) at BCS C</w:t>
      </w:r>
      <w:r w:rsidR="00FC1256">
        <w:t>ase</w:t>
      </w:r>
      <w:r>
        <w:t xml:space="preserve"> No. 2</w:t>
      </w:r>
      <w:r w:rsidR="00A5151A">
        <w:t>857487</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2B"/>
    <w:rsid w:val="00014DF4"/>
    <w:rsid w:val="000158A4"/>
    <w:rsid w:val="00023F14"/>
    <w:rsid w:val="000373FF"/>
    <w:rsid w:val="0004189B"/>
    <w:rsid w:val="00053167"/>
    <w:rsid w:val="000572A0"/>
    <w:rsid w:val="0007029C"/>
    <w:rsid w:val="000750BE"/>
    <w:rsid w:val="0007652A"/>
    <w:rsid w:val="00081163"/>
    <w:rsid w:val="00093062"/>
    <w:rsid w:val="000A2141"/>
    <w:rsid w:val="000A7743"/>
    <w:rsid w:val="000B179D"/>
    <w:rsid w:val="000B39DD"/>
    <w:rsid w:val="000B7C7A"/>
    <w:rsid w:val="000C6474"/>
    <w:rsid w:val="000D5187"/>
    <w:rsid w:val="000E4653"/>
    <w:rsid w:val="000F3B48"/>
    <w:rsid w:val="001048D8"/>
    <w:rsid w:val="001177E2"/>
    <w:rsid w:val="0012199B"/>
    <w:rsid w:val="00123CBF"/>
    <w:rsid w:val="00124C90"/>
    <w:rsid w:val="00134A36"/>
    <w:rsid w:val="0014704D"/>
    <w:rsid w:val="0014740F"/>
    <w:rsid w:val="00147FD8"/>
    <w:rsid w:val="00162A9F"/>
    <w:rsid w:val="00164299"/>
    <w:rsid w:val="00165845"/>
    <w:rsid w:val="00173854"/>
    <w:rsid w:val="001764FD"/>
    <w:rsid w:val="00177F46"/>
    <w:rsid w:val="0018248B"/>
    <w:rsid w:val="001853E8"/>
    <w:rsid w:val="001939A4"/>
    <w:rsid w:val="001A151F"/>
    <w:rsid w:val="001B3B27"/>
    <w:rsid w:val="001C08A6"/>
    <w:rsid w:val="001D6387"/>
    <w:rsid w:val="001D748B"/>
    <w:rsid w:val="001E646A"/>
    <w:rsid w:val="001F0CFE"/>
    <w:rsid w:val="00203E9B"/>
    <w:rsid w:val="00206515"/>
    <w:rsid w:val="00207D13"/>
    <w:rsid w:val="00210D0E"/>
    <w:rsid w:val="002303C5"/>
    <w:rsid w:val="00230547"/>
    <w:rsid w:val="00251BFC"/>
    <w:rsid w:val="0025628A"/>
    <w:rsid w:val="00264CA7"/>
    <w:rsid w:val="002717E4"/>
    <w:rsid w:val="00280BE6"/>
    <w:rsid w:val="00281B73"/>
    <w:rsid w:val="0028256C"/>
    <w:rsid w:val="0029037E"/>
    <w:rsid w:val="00290441"/>
    <w:rsid w:val="00292DB8"/>
    <w:rsid w:val="002B3D02"/>
    <w:rsid w:val="002C1BC7"/>
    <w:rsid w:val="002C6EA9"/>
    <w:rsid w:val="002E15DC"/>
    <w:rsid w:val="002E4E15"/>
    <w:rsid w:val="002E53B7"/>
    <w:rsid w:val="002F25CF"/>
    <w:rsid w:val="003039F1"/>
    <w:rsid w:val="003165F9"/>
    <w:rsid w:val="00321F70"/>
    <w:rsid w:val="00323856"/>
    <w:rsid w:val="00327DAC"/>
    <w:rsid w:val="003359A4"/>
    <w:rsid w:val="00347776"/>
    <w:rsid w:val="00354863"/>
    <w:rsid w:val="00356EC0"/>
    <w:rsid w:val="00361A4C"/>
    <w:rsid w:val="0036302B"/>
    <w:rsid w:val="0037737A"/>
    <w:rsid w:val="003818C4"/>
    <w:rsid w:val="00391689"/>
    <w:rsid w:val="00393596"/>
    <w:rsid w:val="003A2526"/>
    <w:rsid w:val="003A28D5"/>
    <w:rsid w:val="003A4DBC"/>
    <w:rsid w:val="003B4F36"/>
    <w:rsid w:val="003C1FA5"/>
    <w:rsid w:val="003C6B1C"/>
    <w:rsid w:val="003E310E"/>
    <w:rsid w:val="00407ED2"/>
    <w:rsid w:val="0041603F"/>
    <w:rsid w:val="0041735C"/>
    <w:rsid w:val="00434AA0"/>
    <w:rsid w:val="00443511"/>
    <w:rsid w:val="0044552C"/>
    <w:rsid w:val="00450055"/>
    <w:rsid w:val="00460639"/>
    <w:rsid w:val="0047781B"/>
    <w:rsid w:val="00477873"/>
    <w:rsid w:val="00481849"/>
    <w:rsid w:val="00485B4E"/>
    <w:rsid w:val="00486D2B"/>
    <w:rsid w:val="004923E8"/>
    <w:rsid w:val="00494CA4"/>
    <w:rsid w:val="00496B9E"/>
    <w:rsid w:val="004B2EFD"/>
    <w:rsid w:val="004C169D"/>
    <w:rsid w:val="004C1709"/>
    <w:rsid w:val="004D43ED"/>
    <w:rsid w:val="004F2B91"/>
    <w:rsid w:val="004F35E2"/>
    <w:rsid w:val="004F74A8"/>
    <w:rsid w:val="004F7592"/>
    <w:rsid w:val="00502BFE"/>
    <w:rsid w:val="005077BA"/>
    <w:rsid w:val="0052376C"/>
    <w:rsid w:val="0052423F"/>
    <w:rsid w:val="00534D2B"/>
    <w:rsid w:val="00543676"/>
    <w:rsid w:val="005441F7"/>
    <w:rsid w:val="00550ADA"/>
    <w:rsid w:val="005527AE"/>
    <w:rsid w:val="00563CF3"/>
    <w:rsid w:val="00573ECB"/>
    <w:rsid w:val="00577D29"/>
    <w:rsid w:val="005832E0"/>
    <w:rsid w:val="00583EC9"/>
    <w:rsid w:val="00593264"/>
    <w:rsid w:val="00594328"/>
    <w:rsid w:val="0059456D"/>
    <w:rsid w:val="005B4689"/>
    <w:rsid w:val="005C3F66"/>
    <w:rsid w:val="005D14BB"/>
    <w:rsid w:val="005E0C64"/>
    <w:rsid w:val="005E788C"/>
    <w:rsid w:val="005F59DD"/>
    <w:rsid w:val="006019D2"/>
    <w:rsid w:val="00606884"/>
    <w:rsid w:val="00617A57"/>
    <w:rsid w:val="0062755E"/>
    <w:rsid w:val="00630649"/>
    <w:rsid w:val="00631196"/>
    <w:rsid w:val="00631BC7"/>
    <w:rsid w:val="00635F70"/>
    <w:rsid w:val="00645F97"/>
    <w:rsid w:val="006533DF"/>
    <w:rsid w:val="006555D7"/>
    <w:rsid w:val="00655AC9"/>
    <w:rsid w:val="0067397D"/>
    <w:rsid w:val="006776D8"/>
    <w:rsid w:val="006A63A1"/>
    <w:rsid w:val="006A7017"/>
    <w:rsid w:val="006A7959"/>
    <w:rsid w:val="006C4639"/>
    <w:rsid w:val="006C5843"/>
    <w:rsid w:val="006D2D80"/>
    <w:rsid w:val="006E0DEA"/>
    <w:rsid w:val="006E4968"/>
    <w:rsid w:val="006F0BBB"/>
    <w:rsid w:val="006F7D46"/>
    <w:rsid w:val="00703D60"/>
    <w:rsid w:val="007042D6"/>
    <w:rsid w:val="007106CE"/>
    <w:rsid w:val="00716750"/>
    <w:rsid w:val="0072127A"/>
    <w:rsid w:val="00722F5F"/>
    <w:rsid w:val="007469AD"/>
    <w:rsid w:val="00747881"/>
    <w:rsid w:val="00752A44"/>
    <w:rsid w:val="00754A33"/>
    <w:rsid w:val="00755391"/>
    <w:rsid w:val="00755F79"/>
    <w:rsid w:val="007603AC"/>
    <w:rsid w:val="00760E44"/>
    <w:rsid w:val="00771BF0"/>
    <w:rsid w:val="00771D09"/>
    <w:rsid w:val="007741DF"/>
    <w:rsid w:val="00784168"/>
    <w:rsid w:val="0079457E"/>
    <w:rsid w:val="0079607F"/>
    <w:rsid w:val="007A14D7"/>
    <w:rsid w:val="007A3193"/>
    <w:rsid w:val="007C5D41"/>
    <w:rsid w:val="007D0439"/>
    <w:rsid w:val="007F00EC"/>
    <w:rsid w:val="007F0232"/>
    <w:rsid w:val="00812978"/>
    <w:rsid w:val="00822C55"/>
    <w:rsid w:val="00822DAC"/>
    <w:rsid w:val="0082408D"/>
    <w:rsid w:val="008277B7"/>
    <w:rsid w:val="00830427"/>
    <w:rsid w:val="00836D0A"/>
    <w:rsid w:val="00843A44"/>
    <w:rsid w:val="00847F5A"/>
    <w:rsid w:val="0085304D"/>
    <w:rsid w:val="0087495E"/>
    <w:rsid w:val="00876CB0"/>
    <w:rsid w:val="00890E80"/>
    <w:rsid w:val="00897E4B"/>
    <w:rsid w:val="008B76D1"/>
    <w:rsid w:val="008C1B10"/>
    <w:rsid w:val="008C62F6"/>
    <w:rsid w:val="008C7FB3"/>
    <w:rsid w:val="008D2DA4"/>
    <w:rsid w:val="008D3F07"/>
    <w:rsid w:val="008E3DA5"/>
    <w:rsid w:val="008E3DC9"/>
    <w:rsid w:val="008F23B8"/>
    <w:rsid w:val="008F313B"/>
    <w:rsid w:val="008F4C62"/>
    <w:rsid w:val="008F604F"/>
    <w:rsid w:val="0090088F"/>
    <w:rsid w:val="00901177"/>
    <w:rsid w:val="00903C85"/>
    <w:rsid w:val="00907283"/>
    <w:rsid w:val="00915573"/>
    <w:rsid w:val="00920847"/>
    <w:rsid w:val="00927CEE"/>
    <w:rsid w:val="0093282B"/>
    <w:rsid w:val="009367D0"/>
    <w:rsid w:val="00956EAF"/>
    <w:rsid w:val="00972E01"/>
    <w:rsid w:val="0097488E"/>
    <w:rsid w:val="00984496"/>
    <w:rsid w:val="009879C8"/>
    <w:rsid w:val="009A1731"/>
    <w:rsid w:val="009A3478"/>
    <w:rsid w:val="009B5BB7"/>
    <w:rsid w:val="009C0D8A"/>
    <w:rsid w:val="009C0EFE"/>
    <w:rsid w:val="009D4F0F"/>
    <w:rsid w:val="009E1325"/>
    <w:rsid w:val="009F3C36"/>
    <w:rsid w:val="00A05536"/>
    <w:rsid w:val="00A05818"/>
    <w:rsid w:val="00A07A40"/>
    <w:rsid w:val="00A4430A"/>
    <w:rsid w:val="00A472F8"/>
    <w:rsid w:val="00A477E8"/>
    <w:rsid w:val="00A5151A"/>
    <w:rsid w:val="00A649DB"/>
    <w:rsid w:val="00A65138"/>
    <w:rsid w:val="00A82046"/>
    <w:rsid w:val="00A93B73"/>
    <w:rsid w:val="00AB011D"/>
    <w:rsid w:val="00AB2329"/>
    <w:rsid w:val="00AB361B"/>
    <w:rsid w:val="00AC26C0"/>
    <w:rsid w:val="00AD1448"/>
    <w:rsid w:val="00B0179C"/>
    <w:rsid w:val="00B05B3B"/>
    <w:rsid w:val="00B0677F"/>
    <w:rsid w:val="00B1219D"/>
    <w:rsid w:val="00B15D1B"/>
    <w:rsid w:val="00B2471F"/>
    <w:rsid w:val="00B515FE"/>
    <w:rsid w:val="00B611D2"/>
    <w:rsid w:val="00B61821"/>
    <w:rsid w:val="00B6402D"/>
    <w:rsid w:val="00B657BB"/>
    <w:rsid w:val="00B66943"/>
    <w:rsid w:val="00B750B7"/>
    <w:rsid w:val="00B858E5"/>
    <w:rsid w:val="00B87867"/>
    <w:rsid w:val="00BA2CF2"/>
    <w:rsid w:val="00BA62D4"/>
    <w:rsid w:val="00BC5E9E"/>
    <w:rsid w:val="00BD099E"/>
    <w:rsid w:val="00BD75E3"/>
    <w:rsid w:val="00BE1584"/>
    <w:rsid w:val="00BF551D"/>
    <w:rsid w:val="00BF60DB"/>
    <w:rsid w:val="00C02220"/>
    <w:rsid w:val="00C04D91"/>
    <w:rsid w:val="00C20167"/>
    <w:rsid w:val="00C27904"/>
    <w:rsid w:val="00C30822"/>
    <w:rsid w:val="00C531C5"/>
    <w:rsid w:val="00C53246"/>
    <w:rsid w:val="00C613A8"/>
    <w:rsid w:val="00C6262B"/>
    <w:rsid w:val="00C6617C"/>
    <w:rsid w:val="00C66277"/>
    <w:rsid w:val="00C838F0"/>
    <w:rsid w:val="00C971B6"/>
    <w:rsid w:val="00C97DEB"/>
    <w:rsid w:val="00CA0A01"/>
    <w:rsid w:val="00CA60CB"/>
    <w:rsid w:val="00CA70FF"/>
    <w:rsid w:val="00CB2743"/>
    <w:rsid w:val="00CB5D93"/>
    <w:rsid w:val="00CC335A"/>
    <w:rsid w:val="00CE0084"/>
    <w:rsid w:val="00CE34D8"/>
    <w:rsid w:val="00CF6462"/>
    <w:rsid w:val="00CF7119"/>
    <w:rsid w:val="00D26E67"/>
    <w:rsid w:val="00D31EBB"/>
    <w:rsid w:val="00D332C3"/>
    <w:rsid w:val="00D45E8D"/>
    <w:rsid w:val="00D517DB"/>
    <w:rsid w:val="00D5188D"/>
    <w:rsid w:val="00D544A1"/>
    <w:rsid w:val="00D70734"/>
    <w:rsid w:val="00D75245"/>
    <w:rsid w:val="00D77603"/>
    <w:rsid w:val="00D812B6"/>
    <w:rsid w:val="00D9018C"/>
    <w:rsid w:val="00DB1651"/>
    <w:rsid w:val="00DB1A2D"/>
    <w:rsid w:val="00DC06F9"/>
    <w:rsid w:val="00DC0C93"/>
    <w:rsid w:val="00DC38F0"/>
    <w:rsid w:val="00DD6972"/>
    <w:rsid w:val="00DE09B8"/>
    <w:rsid w:val="00DE3072"/>
    <w:rsid w:val="00DE332C"/>
    <w:rsid w:val="00DF24CD"/>
    <w:rsid w:val="00DF536C"/>
    <w:rsid w:val="00DF7D2E"/>
    <w:rsid w:val="00E2402B"/>
    <w:rsid w:val="00E25179"/>
    <w:rsid w:val="00E26861"/>
    <w:rsid w:val="00E30BFE"/>
    <w:rsid w:val="00E3203B"/>
    <w:rsid w:val="00E6753E"/>
    <w:rsid w:val="00E70CFD"/>
    <w:rsid w:val="00E95D89"/>
    <w:rsid w:val="00E961C2"/>
    <w:rsid w:val="00EA6FFB"/>
    <w:rsid w:val="00EC162F"/>
    <w:rsid w:val="00EC760C"/>
    <w:rsid w:val="00ED2ABA"/>
    <w:rsid w:val="00ED5B21"/>
    <w:rsid w:val="00EF16DD"/>
    <w:rsid w:val="00EF2D23"/>
    <w:rsid w:val="00F04306"/>
    <w:rsid w:val="00F04B19"/>
    <w:rsid w:val="00F05B4E"/>
    <w:rsid w:val="00F145FF"/>
    <w:rsid w:val="00F16FD6"/>
    <w:rsid w:val="00F24339"/>
    <w:rsid w:val="00F25E5C"/>
    <w:rsid w:val="00F27C3F"/>
    <w:rsid w:val="00F36644"/>
    <w:rsid w:val="00F40D85"/>
    <w:rsid w:val="00F4455B"/>
    <w:rsid w:val="00F6072B"/>
    <w:rsid w:val="00F61F07"/>
    <w:rsid w:val="00F6622F"/>
    <w:rsid w:val="00F71869"/>
    <w:rsid w:val="00F72A12"/>
    <w:rsid w:val="00F766E3"/>
    <w:rsid w:val="00F8286F"/>
    <w:rsid w:val="00F83836"/>
    <w:rsid w:val="00F8455B"/>
    <w:rsid w:val="00F85220"/>
    <w:rsid w:val="00F91F30"/>
    <w:rsid w:val="00FB66D5"/>
    <w:rsid w:val="00FC1256"/>
    <w:rsid w:val="00FC1C24"/>
    <w:rsid w:val="00FC6B35"/>
    <w:rsid w:val="00FC7F8D"/>
    <w:rsid w:val="00FD0B7E"/>
    <w:rsid w:val="00FE7F1F"/>
    <w:rsid w:val="00FF0751"/>
    <w:rsid w:val="00FF4C6E"/>
    <w:rsid w:val="00F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link w:val="FooterChar"/>
    <w:uiPriority w:val="99"/>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paragraph" w:styleId="BalloonText">
    <w:name w:val="Balloon Text"/>
    <w:basedOn w:val="Normal"/>
    <w:link w:val="BalloonTextChar"/>
    <w:rsid w:val="00347776"/>
    <w:rPr>
      <w:rFonts w:ascii="Tahoma" w:hAnsi="Tahoma" w:cs="Tahoma"/>
      <w:sz w:val="16"/>
      <w:szCs w:val="16"/>
    </w:rPr>
  </w:style>
  <w:style w:type="character" w:customStyle="1" w:styleId="BalloonTextChar">
    <w:name w:val="Balloon Text Char"/>
    <w:basedOn w:val="DefaultParagraphFont"/>
    <w:link w:val="BalloonText"/>
    <w:rsid w:val="00347776"/>
    <w:rPr>
      <w:rFonts w:ascii="Tahoma" w:hAnsi="Tahoma" w:cs="Tahoma"/>
      <w:sz w:val="16"/>
      <w:szCs w:val="16"/>
    </w:rPr>
  </w:style>
  <w:style w:type="paragraph" w:styleId="Header">
    <w:name w:val="header"/>
    <w:basedOn w:val="Normal"/>
    <w:link w:val="HeaderChar"/>
    <w:rsid w:val="00347776"/>
    <w:pPr>
      <w:tabs>
        <w:tab w:val="center" w:pos="4680"/>
        <w:tab w:val="right" w:pos="9360"/>
      </w:tabs>
    </w:pPr>
  </w:style>
  <w:style w:type="character" w:customStyle="1" w:styleId="HeaderChar">
    <w:name w:val="Header Char"/>
    <w:basedOn w:val="DefaultParagraphFont"/>
    <w:link w:val="Header"/>
    <w:rsid w:val="00347776"/>
    <w:rPr>
      <w:sz w:val="26"/>
    </w:rPr>
  </w:style>
  <w:style w:type="character" w:customStyle="1" w:styleId="FooterChar">
    <w:name w:val="Footer Char"/>
    <w:basedOn w:val="DefaultParagraphFont"/>
    <w:link w:val="Footer"/>
    <w:uiPriority w:val="99"/>
    <w:rsid w:val="00BF551D"/>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link w:val="FooterChar"/>
    <w:uiPriority w:val="99"/>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paragraph" w:styleId="BalloonText">
    <w:name w:val="Balloon Text"/>
    <w:basedOn w:val="Normal"/>
    <w:link w:val="BalloonTextChar"/>
    <w:rsid w:val="00347776"/>
    <w:rPr>
      <w:rFonts w:ascii="Tahoma" w:hAnsi="Tahoma" w:cs="Tahoma"/>
      <w:sz w:val="16"/>
      <w:szCs w:val="16"/>
    </w:rPr>
  </w:style>
  <w:style w:type="character" w:customStyle="1" w:styleId="BalloonTextChar">
    <w:name w:val="Balloon Text Char"/>
    <w:basedOn w:val="DefaultParagraphFont"/>
    <w:link w:val="BalloonText"/>
    <w:rsid w:val="00347776"/>
    <w:rPr>
      <w:rFonts w:ascii="Tahoma" w:hAnsi="Tahoma" w:cs="Tahoma"/>
      <w:sz w:val="16"/>
      <w:szCs w:val="16"/>
    </w:rPr>
  </w:style>
  <w:style w:type="paragraph" w:styleId="Header">
    <w:name w:val="header"/>
    <w:basedOn w:val="Normal"/>
    <w:link w:val="HeaderChar"/>
    <w:rsid w:val="00347776"/>
    <w:pPr>
      <w:tabs>
        <w:tab w:val="center" w:pos="4680"/>
        <w:tab w:val="right" w:pos="9360"/>
      </w:tabs>
    </w:pPr>
  </w:style>
  <w:style w:type="character" w:customStyle="1" w:styleId="HeaderChar">
    <w:name w:val="Header Char"/>
    <w:basedOn w:val="DefaultParagraphFont"/>
    <w:link w:val="Header"/>
    <w:rsid w:val="00347776"/>
    <w:rPr>
      <w:sz w:val="26"/>
    </w:rPr>
  </w:style>
  <w:style w:type="character" w:customStyle="1" w:styleId="FooterChar">
    <w:name w:val="Footer Char"/>
    <w:basedOn w:val="DefaultParagraphFont"/>
    <w:link w:val="Footer"/>
    <w:uiPriority w:val="99"/>
    <w:rsid w:val="00BF551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E17CB-0184-4D90-B718-6DBA67B9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shoffner</cp:lastModifiedBy>
  <cp:revision>3</cp:revision>
  <cp:lastPrinted>2012-07-13T18:25:00Z</cp:lastPrinted>
  <dcterms:created xsi:type="dcterms:W3CDTF">2012-05-17T16:05:00Z</dcterms:created>
  <dcterms:modified xsi:type="dcterms:W3CDTF">2012-07-13T18:25:00Z</dcterms:modified>
</cp:coreProperties>
</file>