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FF4B8D" w:rsidRDefault="004D733D" w:rsidP="006D365F">
      <w:pPr>
        <w:jc w:val="center"/>
        <w:rPr>
          <w:b/>
          <w:bCs/>
        </w:rPr>
      </w:pPr>
      <w:r w:rsidRPr="00FF4B8D">
        <w:rPr>
          <w:b/>
          <w:bCs/>
        </w:rPr>
        <w:t>BEFORE THE</w:t>
      </w:r>
    </w:p>
    <w:p w:rsidR="004D733D" w:rsidRPr="00FF4B8D" w:rsidRDefault="004D733D" w:rsidP="006D365F">
      <w:pPr>
        <w:jc w:val="center"/>
        <w:rPr>
          <w:b/>
          <w:bCs/>
        </w:rPr>
      </w:pPr>
      <w:r w:rsidRPr="00FF4B8D">
        <w:rPr>
          <w:b/>
          <w:bCs/>
        </w:rPr>
        <w:t>PENNSYLVANIA PUBLIC UTILITY COMMISSION</w:t>
      </w:r>
    </w:p>
    <w:p w:rsidR="004D733D" w:rsidRPr="00FF4B8D" w:rsidRDefault="004D733D" w:rsidP="006D365F">
      <w:pPr>
        <w:jc w:val="center"/>
        <w:rPr>
          <w:b/>
          <w:bCs/>
        </w:rPr>
      </w:pPr>
    </w:p>
    <w:p w:rsidR="004D733D" w:rsidRPr="00FF4B8D" w:rsidRDefault="004D733D" w:rsidP="006D365F">
      <w:pPr>
        <w:jc w:val="center"/>
        <w:rPr>
          <w:b/>
          <w:bCs/>
        </w:rPr>
      </w:pPr>
    </w:p>
    <w:p w:rsidR="004D733D" w:rsidRPr="00FF4B8D" w:rsidRDefault="004D733D" w:rsidP="006D365F">
      <w:pPr>
        <w:jc w:val="center"/>
        <w:rPr>
          <w:b/>
          <w:bCs/>
        </w:rPr>
      </w:pPr>
    </w:p>
    <w:p w:rsidR="004D733D" w:rsidRPr="00FF4B8D" w:rsidRDefault="004D733D" w:rsidP="006D365F">
      <w:r w:rsidRPr="00FF4B8D">
        <w:t>Barry Stewart, Sr.</w:t>
      </w:r>
      <w:r w:rsidRPr="00FF4B8D">
        <w:tab/>
      </w:r>
      <w:r w:rsidRPr="00FF4B8D">
        <w:tab/>
      </w:r>
      <w:r w:rsidRPr="00FF4B8D">
        <w:tab/>
      </w:r>
      <w:r w:rsidRPr="00FF4B8D">
        <w:tab/>
      </w:r>
      <w:r w:rsidRPr="00FF4B8D">
        <w:tab/>
        <w:t>:</w:t>
      </w:r>
    </w:p>
    <w:p w:rsidR="004D733D" w:rsidRPr="00FF4B8D" w:rsidRDefault="004D733D" w:rsidP="006D365F">
      <w:r w:rsidRPr="00FF4B8D">
        <w:tab/>
      </w:r>
      <w:r w:rsidRPr="00FF4B8D">
        <w:tab/>
      </w:r>
      <w:r w:rsidRPr="00FF4B8D">
        <w:tab/>
      </w:r>
      <w:r w:rsidRPr="00FF4B8D">
        <w:tab/>
      </w:r>
      <w:r w:rsidRPr="00FF4B8D">
        <w:tab/>
      </w:r>
      <w:r w:rsidRPr="00FF4B8D">
        <w:tab/>
      </w:r>
      <w:r w:rsidRPr="00FF4B8D">
        <w:tab/>
        <w:t>:</w:t>
      </w:r>
    </w:p>
    <w:p w:rsidR="004D733D" w:rsidRPr="00FF4B8D" w:rsidRDefault="004D733D" w:rsidP="006D365F">
      <w:r w:rsidRPr="00FF4B8D">
        <w:tab/>
        <w:t>v.</w:t>
      </w:r>
      <w:r w:rsidRPr="00FF4B8D">
        <w:tab/>
      </w:r>
      <w:r w:rsidRPr="00FF4B8D">
        <w:tab/>
      </w:r>
      <w:r w:rsidRPr="00FF4B8D">
        <w:tab/>
      </w:r>
      <w:r w:rsidRPr="00FF4B8D">
        <w:tab/>
      </w:r>
      <w:r w:rsidRPr="00FF4B8D">
        <w:tab/>
      </w:r>
      <w:r w:rsidRPr="00FF4B8D">
        <w:tab/>
        <w:t>:</w:t>
      </w:r>
      <w:r w:rsidRPr="00FF4B8D">
        <w:tab/>
      </w:r>
      <w:r w:rsidRPr="00FF4B8D">
        <w:tab/>
      </w:r>
      <w:r w:rsidR="00862EA2">
        <w:tab/>
      </w:r>
      <w:r w:rsidRPr="00FF4B8D">
        <w:t>F-2011-2259777</w:t>
      </w:r>
    </w:p>
    <w:p w:rsidR="004D733D" w:rsidRPr="00FF4B8D" w:rsidRDefault="004D733D" w:rsidP="006D365F">
      <w:r w:rsidRPr="00FF4B8D">
        <w:tab/>
      </w:r>
      <w:r w:rsidRPr="00FF4B8D">
        <w:tab/>
      </w:r>
      <w:r w:rsidRPr="00FF4B8D">
        <w:tab/>
      </w:r>
      <w:r w:rsidRPr="00FF4B8D">
        <w:tab/>
      </w:r>
      <w:r w:rsidRPr="00FF4B8D">
        <w:tab/>
      </w:r>
      <w:r w:rsidRPr="00FF4B8D">
        <w:tab/>
      </w:r>
      <w:r w:rsidRPr="00FF4B8D">
        <w:tab/>
        <w:t>:</w:t>
      </w:r>
    </w:p>
    <w:p w:rsidR="004D733D" w:rsidRPr="00FF4B8D" w:rsidRDefault="004D733D" w:rsidP="006D365F">
      <w:r w:rsidRPr="00FF4B8D">
        <w:t>PECO Energy Company</w:t>
      </w:r>
      <w:r w:rsidRPr="00FF4B8D">
        <w:tab/>
      </w:r>
      <w:r w:rsidRPr="00FF4B8D">
        <w:tab/>
      </w:r>
      <w:r w:rsidRPr="00FF4B8D">
        <w:tab/>
      </w:r>
      <w:r w:rsidRPr="00FF4B8D">
        <w:tab/>
        <w:t>:</w:t>
      </w:r>
    </w:p>
    <w:p w:rsidR="004D733D" w:rsidRPr="00FF4B8D" w:rsidRDefault="004D733D" w:rsidP="006D365F">
      <w:pPr>
        <w:tabs>
          <w:tab w:val="left" w:pos="1076"/>
        </w:tabs>
      </w:pPr>
    </w:p>
    <w:p w:rsidR="004D733D" w:rsidRPr="00FF4B8D" w:rsidRDefault="004D733D" w:rsidP="006D365F">
      <w:pPr>
        <w:tabs>
          <w:tab w:val="left" w:pos="1076"/>
        </w:tabs>
      </w:pPr>
    </w:p>
    <w:p w:rsidR="004D733D" w:rsidRPr="00FF4B8D" w:rsidRDefault="004D733D" w:rsidP="006D365F">
      <w:pPr>
        <w:tabs>
          <w:tab w:val="left" w:pos="1076"/>
        </w:tabs>
      </w:pPr>
    </w:p>
    <w:p w:rsidR="004D733D" w:rsidRPr="00FF4B8D" w:rsidRDefault="004D733D" w:rsidP="006D365F">
      <w:pPr>
        <w:jc w:val="center"/>
      </w:pPr>
      <w:r w:rsidRPr="00FF4B8D">
        <w:rPr>
          <w:b/>
          <w:bCs/>
          <w:u w:val="single"/>
        </w:rPr>
        <w:t>INITIAL DECISION</w:t>
      </w:r>
    </w:p>
    <w:p w:rsidR="004D733D" w:rsidRPr="00FF4B8D" w:rsidRDefault="004D733D" w:rsidP="006D365F">
      <w:pPr>
        <w:jc w:val="center"/>
      </w:pPr>
    </w:p>
    <w:p w:rsidR="004D733D" w:rsidRPr="00FF4B8D" w:rsidRDefault="004D733D" w:rsidP="006D365F">
      <w:pPr>
        <w:jc w:val="center"/>
      </w:pPr>
    </w:p>
    <w:p w:rsidR="004D733D" w:rsidRPr="00FF4B8D" w:rsidRDefault="004D733D" w:rsidP="006D365F">
      <w:pPr>
        <w:jc w:val="center"/>
      </w:pPr>
      <w:r w:rsidRPr="00FF4B8D">
        <w:t>Before</w:t>
      </w:r>
    </w:p>
    <w:p w:rsidR="004D733D" w:rsidRPr="00FF4B8D" w:rsidRDefault="004D733D" w:rsidP="006D365F">
      <w:pPr>
        <w:jc w:val="center"/>
      </w:pPr>
      <w:r w:rsidRPr="00FF4B8D">
        <w:t>Tiffany A. Hunt</w:t>
      </w:r>
    </w:p>
    <w:p w:rsidR="004D733D" w:rsidRPr="00FF4B8D" w:rsidRDefault="004D733D" w:rsidP="006D365F">
      <w:pPr>
        <w:jc w:val="center"/>
      </w:pPr>
      <w:r w:rsidRPr="00FF4B8D">
        <w:t>Special Agent</w:t>
      </w:r>
    </w:p>
    <w:p w:rsidR="004D733D" w:rsidRPr="00FF4B8D" w:rsidRDefault="004D733D" w:rsidP="006D365F">
      <w:pPr>
        <w:jc w:val="center"/>
      </w:pPr>
    </w:p>
    <w:p w:rsidR="004D733D" w:rsidRPr="00FF4B8D" w:rsidRDefault="004D733D" w:rsidP="006D365F">
      <w:pPr>
        <w:jc w:val="center"/>
      </w:pPr>
    </w:p>
    <w:p w:rsidR="004D733D" w:rsidRPr="00FF4B8D" w:rsidRDefault="004D733D" w:rsidP="006D365F">
      <w:pPr>
        <w:jc w:val="center"/>
      </w:pPr>
      <w:r w:rsidRPr="00FF4B8D">
        <w:rPr>
          <w:u w:val="single"/>
        </w:rPr>
        <w:t>HISTORY OF THE PROCEEDING</w:t>
      </w:r>
    </w:p>
    <w:p w:rsidR="004D733D" w:rsidRPr="00FF4B8D" w:rsidRDefault="004D733D" w:rsidP="006D365F">
      <w:pPr>
        <w:jc w:val="center"/>
      </w:pPr>
    </w:p>
    <w:p w:rsidR="004D733D" w:rsidRPr="00FF4B8D" w:rsidRDefault="004D733D" w:rsidP="006D365F"/>
    <w:p w:rsidR="004D733D" w:rsidRPr="00FF4B8D" w:rsidRDefault="004D733D" w:rsidP="006D365F">
      <w:pPr>
        <w:tabs>
          <w:tab w:val="num" w:pos="2160"/>
        </w:tabs>
        <w:spacing w:line="360" w:lineRule="auto"/>
        <w:ind w:firstLine="1440"/>
      </w:pPr>
      <w:r w:rsidRPr="00FF4B8D">
        <w:t xml:space="preserve">On August 23, 2011, Barry Stewart, Sr. (Mr. Stewart or Complainant) filed a formal Complaint (Complaint) with the Pennsylvania Public Utility Commission (Commission) </w:t>
      </w:r>
      <w:proofErr w:type="gramStart"/>
      <w:r w:rsidRPr="00FF4B8D">
        <w:t>against</w:t>
      </w:r>
      <w:proofErr w:type="gramEnd"/>
      <w:r w:rsidRPr="00FF4B8D">
        <w:t xml:space="preserve"> PECO Energy Company (PECO or Respondent) in which he alleged that </w:t>
      </w:r>
      <w:r w:rsidR="00183014" w:rsidRPr="00FF4B8D">
        <w:t>PECO should not hold him</w:t>
      </w:r>
      <w:r w:rsidRPr="00FF4B8D">
        <w:t xml:space="preserve"> responsible for the balances accrued by his wife and son</w:t>
      </w:r>
      <w:r w:rsidR="00183014" w:rsidRPr="00FF4B8D">
        <w:t xml:space="preserve"> at 511 Municipal Drive, Thorndale, PA 19372 (Service Address)</w:t>
      </w:r>
      <w:r w:rsidRPr="00FF4B8D">
        <w:t xml:space="preserve">.  </w:t>
      </w:r>
      <w:proofErr w:type="gramStart"/>
      <w:r w:rsidRPr="00FF4B8D">
        <w:t>Complaint ¶ 4B.</w:t>
      </w:r>
      <w:proofErr w:type="gramEnd"/>
      <w:r w:rsidRPr="00FF4B8D">
        <w:t xml:space="preserve">  As relief, Mr. Stewart requested </w:t>
      </w:r>
      <w:r w:rsidR="000F7109" w:rsidRPr="00FF4B8D">
        <w:t>a new account</w:t>
      </w:r>
      <w:r w:rsidR="00615E02" w:rsidRPr="00FF4B8D">
        <w:t xml:space="preserve"> </w:t>
      </w:r>
      <w:r w:rsidRPr="00FF4B8D">
        <w:t xml:space="preserve">and a payment agreement.  </w:t>
      </w:r>
      <w:proofErr w:type="gramStart"/>
      <w:r w:rsidRPr="00FF4B8D">
        <w:t>Complaint ¶ 4A, 5.</w:t>
      </w:r>
      <w:proofErr w:type="gramEnd"/>
      <w:r w:rsidRPr="00FF4B8D">
        <w:t xml:space="preserve">  The Complaint is a timely appeal of the decision issued, on July 15, 2011, by the Commission’s Bureau of Consumer Services (BCS) at BCS Case No. 2823028.</w:t>
      </w:r>
      <w:r w:rsidR="00974EFF" w:rsidRPr="00FF4B8D">
        <w:t xml:space="preserve">  In BCS Case No. 2823028, BCS advised Complainant that he was responsible for the outstanding balance at the Service Address and dismissed the informal complaint.</w:t>
      </w:r>
      <w:r w:rsidRPr="00FF4B8D">
        <w:t xml:space="preserve">  </w:t>
      </w:r>
    </w:p>
    <w:p w:rsidR="004D733D" w:rsidRPr="00FF4B8D" w:rsidRDefault="004D733D" w:rsidP="006D365F">
      <w:pPr>
        <w:tabs>
          <w:tab w:val="num" w:pos="2160"/>
        </w:tabs>
        <w:spacing w:line="360" w:lineRule="auto"/>
      </w:pPr>
    </w:p>
    <w:p w:rsidR="004D733D" w:rsidRPr="00FF4B8D" w:rsidRDefault="004D733D" w:rsidP="006D365F">
      <w:pPr>
        <w:tabs>
          <w:tab w:val="num" w:pos="2160"/>
        </w:tabs>
        <w:spacing w:line="360" w:lineRule="auto"/>
        <w:ind w:firstLine="1440"/>
      </w:pPr>
      <w:r w:rsidRPr="00FF4B8D">
        <w:t>On September 19, 2011, PECO filed an Answer (Answer)</w:t>
      </w:r>
      <w:r w:rsidR="0067641B" w:rsidRPr="00FF4B8D">
        <w:t xml:space="preserve"> to the Complaint</w:t>
      </w:r>
      <w:r w:rsidRPr="00FF4B8D">
        <w:t xml:space="preserve">.  In its Answer, PECO denied that it improperly charged Mr. Stewart for service provided under accounts in the names of his wife and son.  Answer ¶ 4.  PECO also denied that </w:t>
      </w:r>
      <w:r w:rsidR="00A71861" w:rsidRPr="00FF4B8D">
        <w:t>Mr. Stewart’s application was improperly denied</w:t>
      </w:r>
      <w:r w:rsidRPr="00FF4B8D">
        <w:t>.  Answer ¶ 4.</w:t>
      </w:r>
    </w:p>
    <w:p w:rsidR="004D733D" w:rsidRPr="00FF4B8D" w:rsidRDefault="004D733D" w:rsidP="006D365F">
      <w:pPr>
        <w:spacing w:line="360" w:lineRule="auto"/>
        <w:ind w:firstLine="1440"/>
      </w:pPr>
      <w:r w:rsidRPr="00FF4B8D">
        <w:lastRenderedPageBreak/>
        <w:t xml:space="preserve">A Telephone Hearing Notice dated January 9, 2012, advised the parties that an initial telephonic hearing was scheduled for Tuesday, March 27, 2012, at 10:00 a.m.  The case was assigned to me, pursuant to 52 Pa. Code § 56.174. </w:t>
      </w:r>
    </w:p>
    <w:p w:rsidR="004D733D" w:rsidRPr="00FF4B8D" w:rsidRDefault="004D733D" w:rsidP="006D365F">
      <w:pPr>
        <w:spacing w:line="360" w:lineRule="auto"/>
      </w:pPr>
    </w:p>
    <w:p w:rsidR="004D733D" w:rsidRPr="00FF4B8D" w:rsidRDefault="004D733D" w:rsidP="006D365F">
      <w:pPr>
        <w:spacing w:line="360" w:lineRule="auto"/>
      </w:pPr>
      <w:r w:rsidRPr="00FF4B8D">
        <w:tab/>
      </w:r>
      <w:r w:rsidRPr="00FF4B8D">
        <w:tab/>
        <w:t xml:space="preserve">A Prehearing Order dated January 10, 2012, advised the parties of the date and time of the scheduled hearing, and informed them of the procedures applicable to this proceeding which included the submission of documents prior to the hearing.  </w:t>
      </w:r>
    </w:p>
    <w:p w:rsidR="004D733D" w:rsidRPr="00FF4B8D" w:rsidRDefault="004D733D" w:rsidP="006D365F">
      <w:pPr>
        <w:spacing w:line="360" w:lineRule="auto"/>
      </w:pPr>
    </w:p>
    <w:p w:rsidR="004D733D" w:rsidRPr="00FF4B8D" w:rsidRDefault="004D733D" w:rsidP="006D365F">
      <w:pPr>
        <w:spacing w:line="360" w:lineRule="auto"/>
      </w:pPr>
      <w:r w:rsidRPr="00FF4B8D">
        <w:tab/>
      </w:r>
      <w:r w:rsidRPr="00FF4B8D">
        <w:tab/>
        <w:t>In accordance with the provisions of the Prehearing Order, PECO submitted eight (8) proposed exhibits for possible use at the hearing.</w:t>
      </w:r>
    </w:p>
    <w:p w:rsidR="004D733D" w:rsidRPr="00FF4B8D" w:rsidRDefault="004D733D" w:rsidP="006D365F">
      <w:pPr>
        <w:tabs>
          <w:tab w:val="num" w:pos="2160"/>
        </w:tabs>
        <w:spacing w:line="360" w:lineRule="auto"/>
        <w:ind w:firstLine="1440"/>
      </w:pPr>
    </w:p>
    <w:p w:rsidR="004D733D" w:rsidRPr="00FF4B8D" w:rsidRDefault="004D733D" w:rsidP="006D365F">
      <w:pPr>
        <w:spacing w:line="360" w:lineRule="auto"/>
        <w:ind w:firstLine="1440"/>
      </w:pPr>
      <w:r w:rsidRPr="00FF4B8D">
        <w:t>The initial telephonic hearing convened as scheduled on Tuesday, March 27, 2012, at 10:00 a.m.</w:t>
      </w:r>
      <w:r w:rsidRPr="00FF4B8D">
        <w:rPr>
          <w:rStyle w:val="FootnoteReference"/>
        </w:rPr>
        <w:footnoteReference w:id="1"/>
      </w:r>
      <w:r w:rsidRPr="00FF4B8D">
        <w:t xml:space="preserve">  Mr. Stewart appeared </w:t>
      </w:r>
      <w:r w:rsidRPr="00FF4B8D">
        <w:rPr>
          <w:i/>
          <w:iCs/>
        </w:rPr>
        <w:t>pro se</w:t>
      </w:r>
      <w:r w:rsidRPr="00FF4B8D">
        <w:t xml:space="preserve"> and testified on his own behalf.  Dana </w:t>
      </w:r>
      <w:proofErr w:type="spellStart"/>
      <w:r w:rsidRPr="00FF4B8D">
        <w:t>Pirone</w:t>
      </w:r>
      <w:proofErr w:type="spellEnd"/>
      <w:r w:rsidRPr="00FF4B8D">
        <w:t xml:space="preserve"> </w:t>
      </w:r>
      <w:proofErr w:type="spellStart"/>
      <w:r w:rsidRPr="00FF4B8D">
        <w:t>Carosella</w:t>
      </w:r>
      <w:proofErr w:type="spellEnd"/>
      <w:r w:rsidRPr="00FF4B8D">
        <w:t>, Esq., counsel for Respondent, presented the tes</w:t>
      </w:r>
      <w:r w:rsidR="00862EA2">
        <w:t>timony of one (1) witness, Dana </w:t>
      </w:r>
      <w:r w:rsidRPr="00FF4B8D">
        <w:t xml:space="preserve">McCollum, a Regulatory Assessor for Respondent, and sponsored eight (8) exhibits.  All eight (8) exhibits were admitted into the record.  </w:t>
      </w:r>
    </w:p>
    <w:p w:rsidR="004D733D" w:rsidRPr="00FF4B8D" w:rsidRDefault="004D733D" w:rsidP="006D365F">
      <w:pPr>
        <w:spacing w:line="360" w:lineRule="auto"/>
        <w:ind w:firstLine="1440"/>
      </w:pPr>
    </w:p>
    <w:p w:rsidR="004D733D" w:rsidRPr="00FF4B8D" w:rsidRDefault="004D733D" w:rsidP="006D365F">
      <w:pPr>
        <w:tabs>
          <w:tab w:val="num" w:pos="2160"/>
        </w:tabs>
        <w:spacing w:line="360" w:lineRule="auto"/>
        <w:ind w:firstLine="1440"/>
      </w:pPr>
      <w:r w:rsidRPr="00FF4B8D">
        <w:t>During the hearing, Mr. Stewart indicated that he sent his proposed exhibit to PECO and did not retain a copy.  As a courtesy to Mr. Stewart, PECO’s counsel provided a copy of the exhibit to the undersigned, along with PECO’s objection to the same.</w:t>
      </w:r>
      <w:r w:rsidR="00CC6A91">
        <w:t xml:space="preserve">  Mr. Stewart’s exhibit will </w:t>
      </w:r>
      <w:r w:rsidR="00B00E71">
        <w:t>not be admitted into the record because it constitutes inadmissible hearsay.</w:t>
      </w:r>
      <w:r w:rsidRPr="00FF4B8D">
        <w:t xml:space="preserve">  </w:t>
      </w:r>
    </w:p>
    <w:p w:rsidR="004D733D" w:rsidRPr="00FF4B8D" w:rsidRDefault="004D733D" w:rsidP="006D365F">
      <w:pPr>
        <w:tabs>
          <w:tab w:val="num" w:pos="2160"/>
        </w:tabs>
        <w:spacing w:line="360" w:lineRule="auto"/>
        <w:ind w:firstLine="1440"/>
      </w:pPr>
    </w:p>
    <w:p w:rsidR="004D733D" w:rsidRPr="00FF4B8D" w:rsidRDefault="004D733D" w:rsidP="006D365F">
      <w:pPr>
        <w:spacing w:line="360" w:lineRule="auto"/>
        <w:ind w:firstLine="1440"/>
      </w:pPr>
      <w:r w:rsidRPr="00FF4B8D">
        <w:t>The record closed on March 27, 2012.</w:t>
      </w:r>
    </w:p>
    <w:p w:rsidR="004D733D" w:rsidRPr="00FF4B8D" w:rsidRDefault="004D733D" w:rsidP="006D365F">
      <w:pPr>
        <w:tabs>
          <w:tab w:val="num" w:pos="2160"/>
        </w:tabs>
        <w:spacing w:line="360" w:lineRule="auto"/>
      </w:pPr>
    </w:p>
    <w:p w:rsidR="004D733D" w:rsidRPr="00FF4B8D" w:rsidRDefault="004D733D" w:rsidP="006D365F">
      <w:pPr>
        <w:spacing w:line="360" w:lineRule="auto"/>
        <w:jc w:val="center"/>
        <w:rPr>
          <w:u w:val="single"/>
        </w:rPr>
      </w:pPr>
      <w:r w:rsidRPr="00FF4B8D">
        <w:rPr>
          <w:u w:val="single"/>
        </w:rPr>
        <w:t>FINDINGS OF FACT</w:t>
      </w:r>
    </w:p>
    <w:p w:rsidR="004D733D" w:rsidRPr="00FF4B8D" w:rsidRDefault="004D733D" w:rsidP="006D365F">
      <w:pPr>
        <w:spacing w:line="360" w:lineRule="auto"/>
        <w:jc w:val="center"/>
      </w:pPr>
    </w:p>
    <w:p w:rsidR="004D733D" w:rsidRPr="00FF4B8D" w:rsidRDefault="004D733D" w:rsidP="006D365F">
      <w:pPr>
        <w:pStyle w:val="ListParagraph"/>
        <w:numPr>
          <w:ilvl w:val="0"/>
          <w:numId w:val="1"/>
        </w:numPr>
        <w:spacing w:line="360" w:lineRule="auto"/>
        <w:ind w:left="0" w:firstLine="1440"/>
      </w:pPr>
      <w:r w:rsidRPr="00FF4B8D">
        <w:t xml:space="preserve">The Complainant is Barry Stewart, Sr., who applied for </w:t>
      </w:r>
      <w:r w:rsidR="00974EFF" w:rsidRPr="00FF4B8D">
        <w:t xml:space="preserve">a new account, </w:t>
      </w:r>
      <w:r w:rsidR="00CC6A91">
        <w:t>in</w:t>
      </w:r>
      <w:r w:rsidR="00974EFF" w:rsidRPr="00FF4B8D">
        <w:t xml:space="preserve"> his name, for </w:t>
      </w:r>
      <w:r w:rsidRPr="00FF4B8D">
        <w:t>electric and gas utility service from Respondent at 511 Municipal Drive, Thorndale, PA 19372 (Service Address).</w:t>
      </w:r>
    </w:p>
    <w:p w:rsidR="004D733D" w:rsidRPr="00FF4B8D" w:rsidRDefault="004D733D" w:rsidP="006D365F">
      <w:pPr>
        <w:pStyle w:val="ListParagraph"/>
        <w:spacing w:line="360" w:lineRule="auto"/>
        <w:ind w:left="0"/>
      </w:pPr>
    </w:p>
    <w:p w:rsidR="004D733D" w:rsidRPr="00FF4B8D" w:rsidRDefault="004D733D" w:rsidP="006D365F">
      <w:pPr>
        <w:pStyle w:val="ListParagraph"/>
        <w:numPr>
          <w:ilvl w:val="0"/>
          <w:numId w:val="1"/>
        </w:numPr>
        <w:spacing w:line="360" w:lineRule="auto"/>
        <w:ind w:left="0" w:firstLine="1440"/>
      </w:pPr>
      <w:r w:rsidRPr="00FF4B8D">
        <w:t>The Respondent is PECO Energy Company.</w:t>
      </w:r>
    </w:p>
    <w:p w:rsidR="004D733D" w:rsidRPr="00FF4B8D" w:rsidRDefault="004D733D" w:rsidP="002C7961">
      <w:pPr>
        <w:pStyle w:val="ListParagraph"/>
      </w:pPr>
    </w:p>
    <w:p w:rsidR="00607CAF" w:rsidRPr="00FF4B8D" w:rsidRDefault="004D733D" w:rsidP="00607CAF">
      <w:pPr>
        <w:pStyle w:val="ListParagraph"/>
        <w:numPr>
          <w:ilvl w:val="0"/>
          <w:numId w:val="1"/>
        </w:numPr>
        <w:spacing w:line="360" w:lineRule="auto"/>
        <w:ind w:left="0" w:firstLine="1440"/>
      </w:pPr>
      <w:r w:rsidRPr="00FF4B8D">
        <w:t>On April 27, 2011, Mr. Stewart filed an informal complaint</w:t>
      </w:r>
      <w:r w:rsidR="00607CAF" w:rsidRPr="00FF4B8D">
        <w:t xml:space="preserve"> with the Commission at BCS Case No. 2823028</w:t>
      </w:r>
      <w:r w:rsidRPr="00FF4B8D">
        <w:t>.  On July 15, 2011, BCS advised Mr. Stewart that he was responsible for the outstanding balance at the Service Address and dismissed the informal complaint.  PECO Exhibit 7.</w:t>
      </w:r>
    </w:p>
    <w:p w:rsidR="00607CAF" w:rsidRPr="00FF4B8D" w:rsidRDefault="00607CAF" w:rsidP="00607CAF">
      <w:pPr>
        <w:spacing w:line="360" w:lineRule="auto"/>
      </w:pPr>
    </w:p>
    <w:p w:rsidR="004D733D" w:rsidRPr="00FF4B8D" w:rsidRDefault="004D733D" w:rsidP="006D365F">
      <w:pPr>
        <w:pStyle w:val="ListParagraph"/>
        <w:numPr>
          <w:ilvl w:val="0"/>
          <w:numId w:val="1"/>
        </w:numPr>
        <w:spacing w:line="360" w:lineRule="auto"/>
        <w:ind w:left="0" w:firstLine="1440"/>
      </w:pPr>
      <w:r w:rsidRPr="00FF4B8D">
        <w:t xml:space="preserve">On August 23, 2011, Mr. Stewart filed a formal Complaint with the Commission in which he alleged </w:t>
      </w:r>
      <w:r w:rsidR="0067641B" w:rsidRPr="00FF4B8D">
        <w:t xml:space="preserve">that PECO should not hold him responsible for the balances accrued by his wife and son at </w:t>
      </w:r>
      <w:r w:rsidR="00F50EAC" w:rsidRPr="00FF4B8D">
        <w:t>the Service Address</w:t>
      </w:r>
      <w:r w:rsidR="0067641B" w:rsidRPr="00FF4B8D">
        <w:t>.  Complaint ¶ 4B.  As relief, Mr. Stewart requested a new account and a payment agreement.  Complaint ¶ 4A, 5.</w:t>
      </w:r>
    </w:p>
    <w:p w:rsidR="004D733D" w:rsidRPr="00FF4B8D" w:rsidRDefault="004D733D" w:rsidP="002A1728">
      <w:pPr>
        <w:spacing w:line="360" w:lineRule="auto"/>
      </w:pPr>
    </w:p>
    <w:p w:rsidR="004D733D" w:rsidRPr="00FF4B8D" w:rsidRDefault="004D733D" w:rsidP="006D365F">
      <w:pPr>
        <w:pStyle w:val="ListParagraph"/>
        <w:numPr>
          <w:ilvl w:val="0"/>
          <w:numId w:val="1"/>
        </w:numPr>
        <w:spacing w:line="360" w:lineRule="auto"/>
        <w:ind w:left="0" w:firstLine="1440"/>
      </w:pPr>
      <w:r w:rsidRPr="00FF4B8D">
        <w:t xml:space="preserve">On September 19, 2011, PECO filed an Answer to the Complaint.  </w:t>
      </w:r>
    </w:p>
    <w:p w:rsidR="004D733D" w:rsidRPr="00FF4B8D" w:rsidRDefault="004D733D" w:rsidP="006D365F">
      <w:pPr>
        <w:pStyle w:val="ListParagraph"/>
        <w:spacing w:line="360" w:lineRule="auto"/>
        <w:ind w:left="0"/>
      </w:pPr>
    </w:p>
    <w:p w:rsidR="004D733D" w:rsidRPr="00FF4B8D" w:rsidRDefault="004D733D" w:rsidP="006D365F">
      <w:pPr>
        <w:pStyle w:val="ListParagraph"/>
        <w:numPr>
          <w:ilvl w:val="0"/>
          <w:numId w:val="1"/>
        </w:numPr>
        <w:spacing w:line="360" w:lineRule="auto"/>
        <w:ind w:left="0" w:firstLine="1440"/>
      </w:pPr>
      <w:r w:rsidRPr="00FF4B8D">
        <w:t>The Complainant lives at the Service Address with his four (4) year old grandson.</w:t>
      </w:r>
    </w:p>
    <w:p w:rsidR="004D733D" w:rsidRPr="00FF4B8D" w:rsidRDefault="004D733D" w:rsidP="006D365F">
      <w:pPr>
        <w:pStyle w:val="ListParagraph"/>
        <w:spacing w:line="360" w:lineRule="auto"/>
        <w:ind w:left="0"/>
      </w:pPr>
    </w:p>
    <w:p w:rsidR="004D733D" w:rsidRPr="00FF4B8D" w:rsidRDefault="004D733D" w:rsidP="006D365F">
      <w:pPr>
        <w:pStyle w:val="ListParagraph"/>
        <w:numPr>
          <w:ilvl w:val="0"/>
          <w:numId w:val="1"/>
        </w:numPr>
        <w:spacing w:line="360" w:lineRule="auto"/>
        <w:ind w:left="0" w:firstLine="1440"/>
      </w:pPr>
      <w:r w:rsidRPr="00FF4B8D">
        <w:t>The Complainant works full-time (37.5 hours per week) at $11.34 per hour.  The Complainant also works fifteen (15) to sixteen (16) hours of overtime per month at $19.00 per hour.</w:t>
      </w:r>
    </w:p>
    <w:p w:rsidR="004D733D" w:rsidRPr="00FF4B8D" w:rsidRDefault="004D733D" w:rsidP="00383471">
      <w:pPr>
        <w:pStyle w:val="ListParagraph"/>
      </w:pPr>
    </w:p>
    <w:p w:rsidR="004D733D" w:rsidRPr="00FF4B8D" w:rsidRDefault="004D733D" w:rsidP="006D365F">
      <w:pPr>
        <w:pStyle w:val="ListParagraph"/>
        <w:numPr>
          <w:ilvl w:val="0"/>
          <w:numId w:val="1"/>
        </w:numPr>
        <w:spacing w:line="360" w:lineRule="auto"/>
        <w:ind w:left="0" w:firstLine="1440"/>
      </w:pPr>
      <w:r w:rsidRPr="00FF4B8D">
        <w:t xml:space="preserve">The Complainant receives $1,200.00 per month from a </w:t>
      </w:r>
      <w:r w:rsidR="00860EDE" w:rsidRPr="00FF4B8D">
        <w:t>retirement</w:t>
      </w:r>
      <w:r w:rsidRPr="00FF4B8D">
        <w:t xml:space="preserve"> fund.</w:t>
      </w:r>
    </w:p>
    <w:p w:rsidR="004D733D" w:rsidRPr="00FF4B8D" w:rsidRDefault="004D733D" w:rsidP="00383471">
      <w:pPr>
        <w:pStyle w:val="ListParagraph"/>
      </w:pPr>
    </w:p>
    <w:p w:rsidR="004D733D" w:rsidRDefault="004D733D" w:rsidP="00891E79">
      <w:pPr>
        <w:pStyle w:val="ListParagraph"/>
        <w:numPr>
          <w:ilvl w:val="0"/>
          <w:numId w:val="1"/>
        </w:numPr>
        <w:spacing w:line="360" w:lineRule="auto"/>
        <w:ind w:left="0" w:firstLine="1440"/>
      </w:pPr>
      <w:r w:rsidRPr="00FF4B8D">
        <w:t>The Complainant’s annual household income is approximately $39,933.00-$40,161.00</w:t>
      </w:r>
      <w:r w:rsidR="00EB746C" w:rsidRPr="00FF4B8D">
        <w:t>.</w:t>
      </w:r>
      <w:r w:rsidRPr="00FF4B8D">
        <w:t xml:space="preserve"> </w:t>
      </w:r>
    </w:p>
    <w:p w:rsidR="00FF4B8D" w:rsidRPr="00FF4B8D" w:rsidRDefault="00FF4B8D" w:rsidP="00FF4B8D">
      <w:pPr>
        <w:spacing w:line="360" w:lineRule="auto"/>
      </w:pPr>
    </w:p>
    <w:p w:rsidR="004D733D" w:rsidRPr="00FF4B8D" w:rsidRDefault="004D733D" w:rsidP="00891E79">
      <w:pPr>
        <w:pStyle w:val="ListParagraph"/>
        <w:numPr>
          <w:ilvl w:val="0"/>
          <w:numId w:val="1"/>
        </w:numPr>
        <w:spacing w:line="360" w:lineRule="auto"/>
        <w:ind w:left="0" w:firstLine="1440"/>
      </w:pPr>
      <w:r w:rsidRPr="00FF4B8D">
        <w:t xml:space="preserve">The deed for the Service Address, dated July 8, 1983, lists Mr. Stewart and his wife, Brenda Stewart, as owners.  PECO Exhibit 3.  </w:t>
      </w:r>
    </w:p>
    <w:p w:rsidR="004D733D" w:rsidRPr="00FF4B8D" w:rsidRDefault="004D733D" w:rsidP="00F76C66">
      <w:pPr>
        <w:pStyle w:val="ListParagraph"/>
      </w:pPr>
    </w:p>
    <w:p w:rsidR="004D733D" w:rsidRPr="00FF4B8D" w:rsidRDefault="004D733D" w:rsidP="00891E79">
      <w:pPr>
        <w:pStyle w:val="ListParagraph"/>
        <w:numPr>
          <w:ilvl w:val="0"/>
          <w:numId w:val="1"/>
        </w:numPr>
        <w:spacing w:line="360" w:lineRule="auto"/>
        <w:ind w:left="0" w:firstLine="1440"/>
      </w:pPr>
      <w:r w:rsidRPr="00FF4B8D">
        <w:t>Mr. Stewart’s state identification card, issued April 17, 2008, lists the Service Address as his address.  PECO Exhibit 2.</w:t>
      </w:r>
    </w:p>
    <w:p w:rsidR="004D733D" w:rsidRPr="00FF4B8D" w:rsidRDefault="004D733D" w:rsidP="00F76C66">
      <w:pPr>
        <w:pStyle w:val="ListParagraph"/>
      </w:pPr>
    </w:p>
    <w:p w:rsidR="004D733D" w:rsidRPr="00FF4B8D" w:rsidRDefault="004D733D" w:rsidP="00C26851">
      <w:pPr>
        <w:pStyle w:val="ListParagraph"/>
        <w:numPr>
          <w:ilvl w:val="0"/>
          <w:numId w:val="1"/>
        </w:numPr>
        <w:spacing w:line="360" w:lineRule="auto"/>
        <w:ind w:left="0" w:firstLine="1440"/>
      </w:pPr>
      <w:r w:rsidRPr="00FF4B8D">
        <w:t>From May 2003 until September 2005, Mr. Stewart had an account with Respondent at the Service Address.  The outstanding balance from this account was referred to a collection agency.  Answer ¶ 4.</w:t>
      </w:r>
    </w:p>
    <w:p w:rsidR="004D733D" w:rsidRPr="00FF4B8D" w:rsidRDefault="004D733D" w:rsidP="00C26851">
      <w:pPr>
        <w:pStyle w:val="ListParagraph"/>
      </w:pPr>
    </w:p>
    <w:p w:rsidR="004D733D" w:rsidRPr="00FF4B8D" w:rsidRDefault="004D733D" w:rsidP="00C26851">
      <w:pPr>
        <w:pStyle w:val="ListParagraph"/>
        <w:numPr>
          <w:ilvl w:val="0"/>
          <w:numId w:val="1"/>
        </w:numPr>
        <w:spacing w:line="360" w:lineRule="auto"/>
        <w:ind w:left="0" w:firstLine="1440"/>
      </w:pPr>
      <w:r w:rsidRPr="00FF4B8D">
        <w:t>From January 11, 2006 until December 4, 2006, Brenda Stewart had an account with Respondent at the Service Address.  On December 5, 2006, PECO issued a final bill of $1,671.94 on this account.  Answer ¶ 4.</w:t>
      </w:r>
    </w:p>
    <w:p w:rsidR="004D733D" w:rsidRPr="00FF4B8D" w:rsidRDefault="004D733D" w:rsidP="009370F3">
      <w:pPr>
        <w:pStyle w:val="ListParagraph"/>
      </w:pPr>
    </w:p>
    <w:p w:rsidR="004D733D" w:rsidRPr="00FF4B8D" w:rsidRDefault="004D733D" w:rsidP="00C26851">
      <w:pPr>
        <w:pStyle w:val="ListParagraph"/>
        <w:numPr>
          <w:ilvl w:val="0"/>
          <w:numId w:val="1"/>
        </w:numPr>
        <w:spacing w:line="360" w:lineRule="auto"/>
        <w:ind w:left="0" w:firstLine="1440"/>
      </w:pPr>
      <w:r w:rsidRPr="00FF4B8D">
        <w:t xml:space="preserve"> Since December 4, 2006, Mr. Stewart’s son, Barry Stewart, Jr., has had an account with Respondent at the Service Address.  On March 31, 2009, Respondent added Brenda Stewart to the account as primary ratepayer, re-classifying Barry Stewart, Jr. as secondary ratepayer.  Answer ¶ 4.</w:t>
      </w:r>
    </w:p>
    <w:p w:rsidR="004D733D" w:rsidRPr="00FF4B8D" w:rsidRDefault="004D733D" w:rsidP="003414EA">
      <w:pPr>
        <w:pStyle w:val="ListParagraph"/>
        <w:spacing w:line="360" w:lineRule="auto"/>
        <w:ind w:left="0"/>
      </w:pPr>
    </w:p>
    <w:p w:rsidR="004D733D" w:rsidRPr="00FF4B8D" w:rsidRDefault="004D733D" w:rsidP="00C26851">
      <w:pPr>
        <w:pStyle w:val="ListParagraph"/>
        <w:numPr>
          <w:ilvl w:val="0"/>
          <w:numId w:val="1"/>
        </w:numPr>
        <w:spacing w:line="360" w:lineRule="auto"/>
        <w:ind w:left="0" w:firstLine="1440"/>
      </w:pPr>
      <w:r w:rsidRPr="00FF4B8D">
        <w:t>In 2002</w:t>
      </w:r>
      <w:r w:rsidR="009F286D" w:rsidRPr="00FF4B8D">
        <w:t xml:space="preserve">, the Commission issued a payment agreement to Brenda Stewart at BCS Case No. 1121155.  In </w:t>
      </w:r>
      <w:r w:rsidRPr="00FF4B8D">
        <w:t xml:space="preserve">2004, the Commission issued </w:t>
      </w:r>
      <w:r w:rsidR="009F286D" w:rsidRPr="00FF4B8D">
        <w:t>a payment agreement</w:t>
      </w:r>
      <w:r w:rsidRPr="00FF4B8D">
        <w:t xml:space="preserve"> </w:t>
      </w:r>
      <w:r w:rsidR="009F286D" w:rsidRPr="00FF4B8D">
        <w:t>to Barry Stewart</w:t>
      </w:r>
      <w:r w:rsidR="003C2817">
        <w:t>, Sr.</w:t>
      </w:r>
      <w:r w:rsidRPr="00FF4B8D">
        <w:t xml:space="preserve"> at BCS Case </w:t>
      </w:r>
      <w:r w:rsidR="009F286D" w:rsidRPr="00FF4B8D">
        <w:t xml:space="preserve">No. </w:t>
      </w:r>
      <w:r w:rsidRPr="00FF4B8D">
        <w:t>1719077</w:t>
      </w:r>
      <w:r w:rsidR="009F286D" w:rsidRPr="00FF4B8D">
        <w:t>.  Both Brenda Stewart and Barry Stewart</w:t>
      </w:r>
      <w:r w:rsidR="00D51654">
        <w:t>, Sr.</w:t>
      </w:r>
      <w:r w:rsidR="009F286D" w:rsidRPr="00FF4B8D">
        <w:t xml:space="preserve"> defaulted on their payment agreements</w:t>
      </w:r>
      <w:r w:rsidRPr="00FF4B8D">
        <w:t>.  PECO Exhibit 6.</w:t>
      </w:r>
    </w:p>
    <w:p w:rsidR="004D733D" w:rsidRPr="00FF4B8D" w:rsidRDefault="004D733D" w:rsidP="00A77DA1">
      <w:pPr>
        <w:pStyle w:val="ListParagraph"/>
        <w:spacing w:line="360" w:lineRule="auto"/>
        <w:ind w:left="0"/>
      </w:pPr>
    </w:p>
    <w:p w:rsidR="004D733D" w:rsidRPr="00FF4B8D" w:rsidRDefault="004D733D" w:rsidP="00C26851">
      <w:pPr>
        <w:pStyle w:val="ListParagraph"/>
        <w:numPr>
          <w:ilvl w:val="0"/>
          <w:numId w:val="1"/>
        </w:numPr>
        <w:spacing w:line="360" w:lineRule="auto"/>
        <w:ind w:left="0" w:firstLine="1440"/>
      </w:pPr>
      <w:r w:rsidRPr="00FF4B8D">
        <w:t xml:space="preserve">From 2000 to 2010, PECO issued ten (10) payment agreements </w:t>
      </w:r>
      <w:r w:rsidR="00156A78" w:rsidRPr="00FF4B8D">
        <w:t>to the ratepayers of record for the Service Address</w:t>
      </w:r>
      <w:r w:rsidRPr="00FF4B8D">
        <w:t xml:space="preserve">.  Eight (8) of these were not kept.  Two (2) were renegotiated.  PECO Exhibit 6. </w:t>
      </w:r>
    </w:p>
    <w:p w:rsidR="004D733D" w:rsidRPr="00FF4B8D" w:rsidRDefault="004D733D" w:rsidP="00DD5B29">
      <w:pPr>
        <w:pStyle w:val="ListParagraph"/>
      </w:pPr>
    </w:p>
    <w:p w:rsidR="004D733D" w:rsidRPr="00FF4B8D" w:rsidRDefault="004D733D" w:rsidP="00DD5B29">
      <w:pPr>
        <w:pStyle w:val="ListParagraph"/>
        <w:numPr>
          <w:ilvl w:val="0"/>
          <w:numId w:val="1"/>
        </w:numPr>
        <w:spacing w:line="360" w:lineRule="auto"/>
        <w:ind w:left="0" w:firstLine="1440"/>
      </w:pPr>
      <w:r w:rsidRPr="00FF4B8D">
        <w:t>PECO has not received regular payments on the account.  In 2011, three (3) payments were made on the account.  As of the day of the hearing, one (1) payment had been made on the account in 2012.  PECO Exhibit 5.</w:t>
      </w:r>
    </w:p>
    <w:p w:rsidR="004D733D" w:rsidRPr="00FF4B8D" w:rsidRDefault="004D733D" w:rsidP="002C7961">
      <w:pPr>
        <w:spacing w:line="360" w:lineRule="auto"/>
      </w:pPr>
    </w:p>
    <w:p w:rsidR="004D733D" w:rsidRPr="00FF4B8D" w:rsidRDefault="004D733D" w:rsidP="00DD5B29">
      <w:pPr>
        <w:pStyle w:val="ListParagraph"/>
        <w:numPr>
          <w:ilvl w:val="0"/>
          <w:numId w:val="1"/>
        </w:numPr>
        <w:spacing w:line="360" w:lineRule="auto"/>
        <w:ind w:left="0" w:firstLine="1440"/>
      </w:pPr>
      <w:r w:rsidRPr="00FF4B8D">
        <w:t>As of the day of the hearing, Respondent was providing electric and gas service to the Service Address under the account in the names of Brenda Stewart and Barry Stewart, Jr.</w:t>
      </w:r>
    </w:p>
    <w:p w:rsidR="004D733D" w:rsidRPr="00FF4B8D" w:rsidRDefault="004D733D" w:rsidP="002A1728">
      <w:pPr>
        <w:pStyle w:val="ListParagraph"/>
        <w:spacing w:line="360" w:lineRule="auto"/>
        <w:ind w:left="1440"/>
      </w:pPr>
    </w:p>
    <w:p w:rsidR="004D733D" w:rsidRPr="00FF4B8D" w:rsidRDefault="004D733D" w:rsidP="00DD5B29">
      <w:pPr>
        <w:pStyle w:val="ListParagraph"/>
        <w:numPr>
          <w:ilvl w:val="0"/>
          <w:numId w:val="1"/>
        </w:numPr>
        <w:spacing w:line="360" w:lineRule="auto"/>
        <w:ind w:left="0" w:firstLine="1440"/>
      </w:pPr>
      <w:r w:rsidRPr="00FF4B8D">
        <w:t>As of the day of the hearing, the account balance at the Service Address was $11,692.92.  PECO Exhibit 1.</w:t>
      </w:r>
    </w:p>
    <w:p w:rsidR="004D733D" w:rsidRPr="00FF4B8D" w:rsidRDefault="004D733D" w:rsidP="006D365F">
      <w:pPr>
        <w:spacing w:line="360" w:lineRule="auto"/>
        <w:jc w:val="center"/>
        <w:rPr>
          <w:u w:val="single"/>
        </w:rPr>
      </w:pPr>
      <w:r w:rsidRPr="00FF4B8D">
        <w:rPr>
          <w:u w:val="single"/>
        </w:rPr>
        <w:t>DISCUSSION</w:t>
      </w:r>
    </w:p>
    <w:p w:rsidR="004D733D" w:rsidRPr="00FF4B8D" w:rsidRDefault="004D733D" w:rsidP="006D365F">
      <w:pPr>
        <w:spacing w:line="360" w:lineRule="auto"/>
      </w:pPr>
    </w:p>
    <w:p w:rsidR="00F20438" w:rsidRPr="00FF4B8D" w:rsidRDefault="00F20438" w:rsidP="006D365F">
      <w:pPr>
        <w:spacing w:line="360" w:lineRule="auto"/>
      </w:pPr>
      <w:r w:rsidRPr="00FF4B8D">
        <w:tab/>
      </w:r>
      <w:r w:rsidRPr="00FF4B8D">
        <w:tab/>
        <w:t xml:space="preserve">The Complainant in this proceeding has the burden of proof to show that Respondent is responsible or accountable for the problem described in the Complaint.  </w:t>
      </w:r>
      <w:proofErr w:type="gramStart"/>
      <w:r w:rsidRPr="00FF4B8D">
        <w:t xml:space="preserve">66 Pa. C.S. § 332(a); </w:t>
      </w:r>
      <w:r w:rsidRPr="00FF4B8D">
        <w:rPr>
          <w:u w:val="single"/>
        </w:rPr>
        <w:t>Patterson v. Bell Telephone Co. of Pa.</w:t>
      </w:r>
      <w:r w:rsidRPr="00FF4B8D">
        <w:t xml:space="preserve">, 72 Pa. PUC 196 (1990); </w:t>
      </w:r>
      <w:r w:rsidRPr="00FF4B8D">
        <w:rPr>
          <w:u w:val="single"/>
        </w:rPr>
        <w:t>Feinstein v. Philadelphia Suburban Water Co.</w:t>
      </w:r>
      <w:r w:rsidRPr="00FF4B8D">
        <w:t>, 50 Pa. PUC 300 (1976).</w:t>
      </w:r>
      <w:proofErr w:type="gramEnd"/>
      <w:r w:rsidRPr="00FF4B8D">
        <w:t xml:space="preserve">    This must be shown by a preponderance of the evidence, that is, by presenting evidence more convincing, by even the smallest amount, than that presented by the other party.  </w:t>
      </w:r>
      <w:proofErr w:type="gramStart"/>
      <w:r w:rsidRPr="00FF4B8D">
        <w:rPr>
          <w:u w:val="single"/>
        </w:rPr>
        <w:t xml:space="preserve">Samuel J. </w:t>
      </w:r>
      <w:proofErr w:type="spellStart"/>
      <w:r w:rsidRPr="00FF4B8D">
        <w:rPr>
          <w:u w:val="single"/>
        </w:rPr>
        <w:t>Lansberry</w:t>
      </w:r>
      <w:proofErr w:type="spellEnd"/>
      <w:r w:rsidRPr="00FF4B8D">
        <w:rPr>
          <w:u w:val="single"/>
        </w:rPr>
        <w:t>, Inc. v. Pa. Public Utility Comm.</w:t>
      </w:r>
      <w:r w:rsidRPr="00FF4B8D">
        <w:t xml:space="preserve">, 578 A.2d 600 (Pa. Cmwlth. 1990), </w:t>
      </w:r>
      <w:r w:rsidRPr="00FF4B8D">
        <w:rPr>
          <w:u w:val="single"/>
        </w:rPr>
        <w:t>alloc.</w:t>
      </w:r>
      <w:proofErr w:type="gramEnd"/>
      <w:r w:rsidRPr="00FF4B8D">
        <w:rPr>
          <w:u w:val="single"/>
        </w:rPr>
        <w:t xml:space="preserve"> </w:t>
      </w:r>
      <w:proofErr w:type="gramStart"/>
      <w:r w:rsidRPr="00FF4B8D">
        <w:rPr>
          <w:u w:val="single"/>
        </w:rPr>
        <w:t>den.</w:t>
      </w:r>
      <w:r w:rsidRPr="00FF4B8D">
        <w:t xml:space="preserve">, 602 A.2d 863 (Pa. 1992); </w:t>
      </w:r>
      <w:r w:rsidRPr="00FF4B8D">
        <w:rPr>
          <w:u w:val="single"/>
        </w:rPr>
        <w:t xml:space="preserve">Se-Ling Hosiery v. </w:t>
      </w:r>
      <w:r w:rsidRPr="00FF4B8D">
        <w:rPr>
          <w:spacing w:val="-3"/>
          <w:u w:val="single"/>
        </w:rPr>
        <w:t>Margulies</w:t>
      </w:r>
      <w:r w:rsidRPr="00FF4B8D">
        <w:t>, 70 A.2d 854 (Pa. 1950).</w:t>
      </w:r>
      <w:proofErr w:type="gramEnd"/>
      <w:r w:rsidRPr="00FF4B8D">
        <w:t xml:space="preserve">  Additionally, any finding of fact necessary to support the Commission’s adjudication must be based upon substantial evidence.  </w:t>
      </w:r>
      <w:proofErr w:type="gramStart"/>
      <w:r w:rsidRPr="00FF4B8D">
        <w:rPr>
          <w:u w:val="single"/>
        </w:rPr>
        <w:t>Mill v. Pa. Public Utility Comm.</w:t>
      </w:r>
      <w:r w:rsidRPr="00FF4B8D">
        <w:t xml:space="preserve">, 447 A.2d 1100 (Pa. Cmwlth. 1982); </w:t>
      </w:r>
      <w:proofErr w:type="spellStart"/>
      <w:r w:rsidRPr="00FF4B8D">
        <w:rPr>
          <w:u w:val="single"/>
        </w:rPr>
        <w:t>Edan</w:t>
      </w:r>
      <w:proofErr w:type="spellEnd"/>
      <w:r w:rsidRPr="00FF4B8D">
        <w:rPr>
          <w:u w:val="single"/>
        </w:rPr>
        <w:t xml:space="preserve"> Transportation Corp. v. Pa. Public Utility Comm.</w:t>
      </w:r>
      <w:r w:rsidRPr="00FF4B8D">
        <w:t>, 623 A.2d 6 (Pa. Cmwlth. 1993); 2 Pa. C.S.A. § 704.</w:t>
      </w:r>
      <w:proofErr w:type="gramEnd"/>
      <w:r w:rsidRPr="00FF4B8D">
        <w:t xml:space="preserve">  More is required than a mere trace of evidence or a suspicion of the existence of a fact sought to be established.  </w:t>
      </w:r>
      <w:proofErr w:type="gramStart"/>
      <w:r w:rsidRPr="00FF4B8D">
        <w:rPr>
          <w:u w:val="single"/>
        </w:rPr>
        <w:t>Norfolk and Western Ry. v. Pa. Public Utility Comm.</w:t>
      </w:r>
      <w:r w:rsidRPr="00FF4B8D">
        <w:t xml:space="preserve">, 413 A.2d 1037 (Pa. 1980); </w:t>
      </w:r>
      <w:r w:rsidRPr="00FF4B8D">
        <w:rPr>
          <w:u w:val="single"/>
        </w:rPr>
        <w:t>Erie Resistor Corp. v. Unemployment Compensation Bd. of Review</w:t>
      </w:r>
      <w:r w:rsidRPr="00FF4B8D">
        <w:t xml:space="preserve">, 166 A.2d 96 (Pa. Super. 1960); </w:t>
      </w:r>
      <w:r w:rsidRPr="00FF4B8D">
        <w:rPr>
          <w:u w:val="single"/>
        </w:rPr>
        <w:t>Murphy v. Dep’t.</w:t>
      </w:r>
      <w:proofErr w:type="gramEnd"/>
      <w:r w:rsidRPr="00FF4B8D">
        <w:rPr>
          <w:u w:val="single"/>
        </w:rPr>
        <w:t xml:space="preserve"> </w:t>
      </w:r>
      <w:proofErr w:type="gramStart"/>
      <w:r w:rsidRPr="00FF4B8D">
        <w:rPr>
          <w:u w:val="single"/>
        </w:rPr>
        <w:t>of</w:t>
      </w:r>
      <w:proofErr w:type="gramEnd"/>
      <w:r w:rsidRPr="00FF4B8D">
        <w:rPr>
          <w:u w:val="single"/>
        </w:rPr>
        <w:t xml:space="preserve"> Public Welfare, White Haven Center</w:t>
      </w:r>
      <w:r w:rsidRPr="00FF4B8D">
        <w:t xml:space="preserve">, 480 A.2d 382 (Pa. Cmwlth. 1984).  </w:t>
      </w:r>
      <w:r w:rsidR="004D733D" w:rsidRPr="00FF4B8D">
        <w:tab/>
      </w:r>
      <w:r w:rsidR="004D733D" w:rsidRPr="00FF4B8D">
        <w:tab/>
      </w:r>
    </w:p>
    <w:p w:rsidR="00F20438" w:rsidRPr="00FF4B8D" w:rsidRDefault="00F20438" w:rsidP="006D365F">
      <w:pPr>
        <w:spacing w:line="360" w:lineRule="auto"/>
      </w:pPr>
    </w:p>
    <w:p w:rsidR="004D733D" w:rsidRPr="00FF4B8D" w:rsidRDefault="00F20438" w:rsidP="00F20438">
      <w:pPr>
        <w:spacing w:line="360" w:lineRule="auto"/>
        <w:ind w:firstLine="1440"/>
      </w:pPr>
      <w:r w:rsidRPr="00FF4B8D">
        <w:t>Here, the Complainant</w:t>
      </w:r>
      <w:r w:rsidR="004D733D" w:rsidRPr="00FF4B8D">
        <w:t xml:space="preserve"> alleged </w:t>
      </w:r>
      <w:r w:rsidR="0044322F" w:rsidRPr="00FF4B8D">
        <w:t>that PECO should not hold him responsible for the balances accrued by his wife and son at the Service Address</w:t>
      </w:r>
      <w:r w:rsidR="001F3CB8" w:rsidRPr="00FF4B8D">
        <w:t xml:space="preserve">.  </w:t>
      </w:r>
      <w:proofErr w:type="gramStart"/>
      <w:r w:rsidR="001F3CB8" w:rsidRPr="00FF4B8D">
        <w:t>Complaint ¶ 4B.</w:t>
      </w:r>
      <w:proofErr w:type="gramEnd"/>
      <w:r w:rsidR="001F3CB8" w:rsidRPr="00FF4B8D">
        <w:t xml:space="preserve">  </w:t>
      </w:r>
      <w:r w:rsidR="0044322F" w:rsidRPr="00FF4B8D">
        <w:t xml:space="preserve">As relief, </w:t>
      </w:r>
      <w:r w:rsidR="00CC6A91">
        <w:t>the Complainant</w:t>
      </w:r>
      <w:r w:rsidR="0044322F" w:rsidRPr="00FF4B8D">
        <w:t xml:space="preserve"> requested a new account and a payment agreement.  </w:t>
      </w:r>
      <w:proofErr w:type="gramStart"/>
      <w:r w:rsidR="0044322F" w:rsidRPr="00FF4B8D">
        <w:t>Complaint ¶ 4A, 5.</w:t>
      </w:r>
      <w:proofErr w:type="gramEnd"/>
      <w:r w:rsidR="00066402" w:rsidRPr="00FF4B8D">
        <w:t xml:space="preserve">  </w:t>
      </w:r>
    </w:p>
    <w:p w:rsidR="00F20438" w:rsidRPr="00FF4B8D" w:rsidRDefault="00F20438" w:rsidP="00F20438">
      <w:pPr>
        <w:spacing w:line="360" w:lineRule="auto"/>
        <w:ind w:firstLine="1440"/>
      </w:pPr>
    </w:p>
    <w:p w:rsidR="00F20438" w:rsidRPr="00FF4B8D" w:rsidRDefault="00F20438" w:rsidP="00F20438">
      <w:pPr>
        <w:spacing w:line="360" w:lineRule="auto"/>
        <w:ind w:firstLine="1440"/>
      </w:pPr>
      <w:r w:rsidRPr="00FF4B8D">
        <w:t xml:space="preserve">Respondent is requiring </w:t>
      </w:r>
      <w:r w:rsidR="00E679A0">
        <w:t>the Complainant to pay the current balance at the Service Address in full</w:t>
      </w:r>
      <w:r w:rsidRPr="00FF4B8D">
        <w:t xml:space="preserve">.  BCS advised the Complainant that he was responsible for the outstanding balance at the Service Address and dismissed </w:t>
      </w:r>
      <w:r w:rsidR="00F622F2">
        <w:t>his</w:t>
      </w:r>
      <w:r w:rsidRPr="00FF4B8D">
        <w:t xml:space="preserve"> informa</w:t>
      </w:r>
      <w:r w:rsidR="006433BA" w:rsidRPr="00FF4B8D">
        <w:t>l complaint.</w:t>
      </w:r>
    </w:p>
    <w:p w:rsidR="006433BA" w:rsidRPr="00FF4B8D" w:rsidRDefault="006433BA" w:rsidP="00F20438">
      <w:pPr>
        <w:spacing w:line="360" w:lineRule="auto"/>
        <w:ind w:firstLine="1440"/>
      </w:pPr>
    </w:p>
    <w:p w:rsidR="006433BA" w:rsidRPr="00FF4B8D" w:rsidRDefault="006433BA" w:rsidP="00F20438">
      <w:pPr>
        <w:spacing w:line="360" w:lineRule="auto"/>
        <w:ind w:firstLine="1440"/>
      </w:pPr>
      <w:r w:rsidRPr="00FF4B8D">
        <w:t xml:space="preserve">As this is a timely appeal of a BCS </w:t>
      </w:r>
      <w:r w:rsidR="007773C6">
        <w:t>informal complaint</w:t>
      </w:r>
      <w:r w:rsidRPr="00FF4B8D">
        <w:t xml:space="preserve">, the Commission has a duty to review the decision that is the subject of such an appeal.  </w:t>
      </w:r>
      <w:r w:rsidR="00E914EB" w:rsidRPr="00E914EB">
        <w:rPr>
          <w:u w:val="single"/>
        </w:rPr>
        <w:t>Ebert v. PPL Gas Utilities Corporation</w:t>
      </w:r>
      <w:r w:rsidR="00E914EB">
        <w:t xml:space="preserve">, Docket No. F-02077784 (Order entered November 17, 2006), </w:t>
      </w:r>
      <w:proofErr w:type="spellStart"/>
      <w:r w:rsidRPr="00E914EB">
        <w:rPr>
          <w:u w:val="single"/>
        </w:rPr>
        <w:t>Kalamets</w:t>
      </w:r>
      <w:proofErr w:type="spellEnd"/>
      <w:r w:rsidRPr="00E914EB">
        <w:rPr>
          <w:u w:val="single"/>
        </w:rPr>
        <w:t xml:space="preserve"> v. Columbia Gas of PA, Inc.</w:t>
      </w:r>
      <w:r w:rsidRPr="00FF4B8D">
        <w:t>, Docket No. Z-01701441 (Order entered October 14, 2005).</w:t>
      </w:r>
      <w:r w:rsidRPr="00FF4B8D">
        <w:tab/>
        <w:t xml:space="preserve">  </w:t>
      </w:r>
    </w:p>
    <w:p w:rsidR="004D733D" w:rsidRPr="00FF4B8D" w:rsidRDefault="004D733D" w:rsidP="006433BA">
      <w:pPr>
        <w:spacing w:line="360" w:lineRule="auto"/>
      </w:pPr>
    </w:p>
    <w:p w:rsidR="0019408A" w:rsidRPr="00FF4B8D" w:rsidRDefault="004D733D" w:rsidP="006D365F">
      <w:pPr>
        <w:spacing w:line="360" w:lineRule="auto"/>
      </w:pPr>
      <w:r w:rsidRPr="00FF4B8D">
        <w:tab/>
      </w:r>
      <w:r w:rsidRPr="00FF4B8D">
        <w:tab/>
        <w:t>The Responsible Utility Customer Protection Act, 66 Pa. C.S. §</w:t>
      </w:r>
      <w:r w:rsidR="006433BA" w:rsidRPr="00FF4B8D">
        <w:t>§</w:t>
      </w:r>
      <w:r w:rsidRPr="00FF4B8D">
        <w:t xml:space="preserve"> 1401</w:t>
      </w:r>
      <w:r w:rsidR="006433BA" w:rsidRPr="00FF4B8D">
        <w:t xml:space="preserve"> – 1418 </w:t>
      </w:r>
      <w:r w:rsidRPr="00FF4B8D">
        <w:t xml:space="preserve">applies to </w:t>
      </w:r>
      <w:r w:rsidR="00D23FB8" w:rsidRPr="00FF4B8D">
        <w:t xml:space="preserve">this proceeding.  </w:t>
      </w:r>
      <w:r w:rsidR="0019408A" w:rsidRPr="00FF4B8D">
        <w:t xml:space="preserve">The Commission has the authority to establish a payment arrangement pursuant to 66 Pa. C.S. § 1405(a), within the strict guidelines set forth in 66 Pa. C.S. § 1405(b).  The statute at 66 Pa. C.S. </w:t>
      </w:r>
      <w:r w:rsidR="00D23FB8" w:rsidRPr="00FF4B8D">
        <w:t>§ 1405(a) states:</w:t>
      </w:r>
    </w:p>
    <w:p w:rsidR="00D23FB8" w:rsidRPr="00FF4B8D" w:rsidRDefault="00D23FB8" w:rsidP="00862EA2">
      <w:pPr>
        <w:spacing w:line="276" w:lineRule="auto"/>
      </w:pPr>
    </w:p>
    <w:p w:rsidR="0019408A" w:rsidRPr="00FF4B8D" w:rsidRDefault="0019408A" w:rsidP="0019408A">
      <w:pPr>
        <w:pStyle w:val="ListParagraph"/>
        <w:numPr>
          <w:ilvl w:val="0"/>
          <w:numId w:val="7"/>
        </w:numPr>
        <w:ind w:left="1440" w:right="1440" w:firstLine="0"/>
      </w:pPr>
      <w:r w:rsidRPr="00FF4B8D">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19408A" w:rsidRPr="00FF4B8D" w:rsidRDefault="0019408A" w:rsidP="00862EA2">
      <w:pPr>
        <w:spacing w:line="360" w:lineRule="auto"/>
        <w:ind w:left="1440"/>
      </w:pPr>
    </w:p>
    <w:p w:rsidR="0019408A" w:rsidRPr="00FF4B8D" w:rsidRDefault="0019408A" w:rsidP="0019408A">
      <w:pPr>
        <w:spacing w:line="360" w:lineRule="auto"/>
        <w:ind w:firstLine="1440"/>
      </w:pPr>
      <w:r w:rsidRPr="00FF4B8D">
        <w:t>The Commission may establish a payment arrangement between a public utility and a customer only within the limits established by 66 Pa. C.S. §§ 1401-1418.  In order to be eligible for a payment arrangement, the C</w:t>
      </w:r>
      <w:r w:rsidR="00DF1A59" w:rsidRPr="00FF4B8D">
        <w:t>omplainant</w:t>
      </w:r>
      <w:r w:rsidRPr="00FF4B8D">
        <w:t xml:space="preserve"> must be a “customer” or “applicant” as defined by 66 Pa. C.S. § 1403.  If the Complainant is not a “customer” or “applicant”, the Commission is not authorized to establish a payment arrangement between him and Respondent.  The statute at 66 Pa. C.S. § 1403 defines a customer as follows:</w:t>
      </w:r>
    </w:p>
    <w:p w:rsidR="0019408A" w:rsidRPr="00FF4B8D" w:rsidRDefault="0019408A" w:rsidP="0019408A">
      <w:pPr>
        <w:spacing w:line="360" w:lineRule="auto"/>
        <w:ind w:firstLine="1440"/>
      </w:pPr>
    </w:p>
    <w:p w:rsidR="0019408A" w:rsidRPr="00FF4B8D" w:rsidRDefault="0019408A" w:rsidP="00D23FB8">
      <w:pPr>
        <w:ind w:left="1440" w:right="1440"/>
      </w:pPr>
      <w:proofErr w:type="gramStart"/>
      <w:r w:rsidRPr="00FF4B8D">
        <w:t>“Customer.”</w:t>
      </w:r>
      <w:proofErr w:type="gramEnd"/>
      <w:r w:rsidRPr="00FF4B8D">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19408A" w:rsidRPr="00FF4B8D" w:rsidRDefault="0019408A" w:rsidP="0019408A">
      <w:pPr>
        <w:spacing w:line="360" w:lineRule="auto"/>
        <w:ind w:firstLine="1440"/>
      </w:pPr>
    </w:p>
    <w:p w:rsidR="0019408A" w:rsidRPr="00FF4B8D" w:rsidRDefault="0019408A" w:rsidP="0019408A">
      <w:pPr>
        <w:spacing w:line="360" w:lineRule="auto"/>
        <w:ind w:firstLine="1440"/>
      </w:pPr>
      <w:r w:rsidRPr="00FF4B8D">
        <w:t xml:space="preserve">In this case, the Complainant is </w:t>
      </w:r>
      <w:r w:rsidR="00DF1A59" w:rsidRPr="00FF4B8D">
        <w:t>an adult occupant</w:t>
      </w:r>
      <w:r w:rsidRPr="00FF4B8D">
        <w:t xml:space="preserve"> whose name appears on the deed of the property for which the residential utility service is requested.</w:t>
      </w:r>
      <w:r w:rsidR="00DF1A59" w:rsidRPr="00FF4B8D">
        <w:t xml:space="preserve">  </w:t>
      </w:r>
      <w:proofErr w:type="gramStart"/>
      <w:r w:rsidR="00DF1A59" w:rsidRPr="00FF4B8D">
        <w:t>PECO Exhibit 3.</w:t>
      </w:r>
      <w:proofErr w:type="gramEnd"/>
      <w:r w:rsidRPr="00FF4B8D">
        <w:t xml:space="preserve">  The Complainant is therefore a customer who may be entitled to a payment arrangement.</w:t>
      </w:r>
    </w:p>
    <w:p w:rsidR="0067501E" w:rsidRPr="00FF4B8D" w:rsidRDefault="0067501E" w:rsidP="0019408A">
      <w:pPr>
        <w:spacing w:line="360" w:lineRule="auto"/>
        <w:ind w:firstLine="1440"/>
      </w:pPr>
    </w:p>
    <w:p w:rsidR="0067501E" w:rsidRPr="00FF4B8D" w:rsidRDefault="0067501E" w:rsidP="0019408A">
      <w:pPr>
        <w:spacing w:line="360" w:lineRule="auto"/>
        <w:ind w:firstLine="1440"/>
      </w:pPr>
      <w:r w:rsidRPr="00FF4B8D">
        <w:t>Although the Complainant is a customer pursuant to 66 Pa. C.S. § 1403, he is not entitled to a new payment arrangement because he failed to comply with the terms of the BCS decision issued August 4, 2004 at BCS Case No. 1719077</w:t>
      </w:r>
      <w:r w:rsidR="00B32437" w:rsidRPr="00FF4B8D">
        <w:rPr>
          <w:rStyle w:val="FootnoteReference"/>
        </w:rPr>
        <w:footnoteReference w:id="2"/>
      </w:r>
      <w:r w:rsidRPr="00FF4B8D">
        <w:t>.  The statute at 66 Pa. C.S. § 1405(d) of the Public Utility Code states:</w:t>
      </w:r>
    </w:p>
    <w:p w:rsidR="0067501E" w:rsidRPr="00FF4B8D" w:rsidRDefault="0067501E" w:rsidP="0067501E">
      <w:pPr>
        <w:ind w:left="1440" w:right="1440"/>
      </w:pPr>
      <w:r w:rsidRPr="00FF4B8D">
        <w:t>(d)</w:t>
      </w:r>
      <w:r w:rsidRPr="00FF4B8D">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67501E" w:rsidRPr="00FF4B8D" w:rsidRDefault="0067501E" w:rsidP="0019408A">
      <w:pPr>
        <w:spacing w:line="360" w:lineRule="auto"/>
        <w:ind w:firstLine="1440"/>
      </w:pPr>
    </w:p>
    <w:p w:rsidR="0067501E" w:rsidRPr="00FF4B8D" w:rsidRDefault="0067501E" w:rsidP="0019408A">
      <w:pPr>
        <w:spacing w:line="360" w:lineRule="auto"/>
        <w:ind w:firstLine="1440"/>
      </w:pPr>
      <w:r w:rsidRPr="00FF4B8D">
        <w:t>The Complainant has failed to make the payme</w:t>
      </w:r>
      <w:r w:rsidR="00B32437" w:rsidRPr="00FF4B8D">
        <w:t>nts ordered by the BCS decision</w:t>
      </w:r>
      <w:r w:rsidRPr="00FF4B8D">
        <w:t xml:space="preserve"> issued August 4, 2004 at BCS Case No. 1719077.  He has, therefore, defau</w:t>
      </w:r>
      <w:r w:rsidR="008221E6" w:rsidRPr="00FF4B8D">
        <w:t>lted on the payment arrangement</w:t>
      </w:r>
      <w:r w:rsidRPr="00FF4B8D">
        <w:t>.  According to 66 Pa. C.S. § 1405(d), the Complainant would be entitled to another payment arrangement only if he had suffered a change in income</w:t>
      </w:r>
      <w:r w:rsidR="00862EA2">
        <w:t>.  The statute at 66 Pa. C.S. § </w:t>
      </w:r>
      <w:r w:rsidRPr="00FF4B8D">
        <w:t>1403 defines a “Change in Income” as follows:</w:t>
      </w:r>
    </w:p>
    <w:p w:rsidR="0067501E" w:rsidRPr="00FF4B8D" w:rsidRDefault="0067501E" w:rsidP="0019408A">
      <w:pPr>
        <w:spacing w:line="360" w:lineRule="auto"/>
        <w:ind w:firstLine="1440"/>
      </w:pPr>
    </w:p>
    <w:p w:rsidR="0067501E" w:rsidRPr="00FF4B8D" w:rsidRDefault="0067501E" w:rsidP="0067501E">
      <w:pPr>
        <w:ind w:left="1440" w:right="1440"/>
      </w:pPr>
      <w:proofErr w:type="gramStart"/>
      <w:r w:rsidRPr="00FF4B8D">
        <w:t>A decrease in household income of 20% or more if the customer’s household income level exceeds 200% of the federal poverty level or a decrease in household income of 10% or more if the customer’s household income level is 200% or less of the Federal poverty level.</w:t>
      </w:r>
      <w:proofErr w:type="gramEnd"/>
    </w:p>
    <w:p w:rsidR="0067501E" w:rsidRPr="00FF4B8D" w:rsidRDefault="0067501E" w:rsidP="0019408A">
      <w:pPr>
        <w:spacing w:line="360" w:lineRule="auto"/>
        <w:ind w:firstLine="1440"/>
      </w:pPr>
    </w:p>
    <w:p w:rsidR="00BC4CBB" w:rsidRPr="00FF4B8D" w:rsidRDefault="002C789E" w:rsidP="00F34E94">
      <w:pPr>
        <w:spacing w:line="360" w:lineRule="auto"/>
        <w:ind w:firstLine="1440"/>
      </w:pPr>
      <w:r w:rsidRPr="00FF4B8D">
        <w:t xml:space="preserve">Here, </w:t>
      </w:r>
      <w:r w:rsidR="00F34E94" w:rsidRPr="00FF4B8D">
        <w:t xml:space="preserve">the Complainant testified that he </w:t>
      </w:r>
      <w:r w:rsidR="00ED504B" w:rsidRPr="00FF4B8D">
        <w:t>lives at th</w:t>
      </w:r>
      <w:r w:rsidR="00650E74" w:rsidRPr="00FF4B8D">
        <w:t>e Service Address with his four (4) year old grandson.</w:t>
      </w:r>
      <w:r w:rsidR="00333619" w:rsidRPr="00FF4B8D">
        <w:rPr>
          <w:rStyle w:val="FootnoteReference"/>
        </w:rPr>
        <w:footnoteReference w:id="3"/>
      </w:r>
      <w:r w:rsidR="00650E74" w:rsidRPr="00FF4B8D">
        <w:t xml:space="preserve">  Mr. Stewart works full time (37.5 hours per week) and earns $11.34 per hour.  Mr. Stewart also works fifteen (15) to sixteen (16) hours of overtime per month, at $19.00 per hour.  Mr. Stewart receives $1,200.00 per month from a </w:t>
      </w:r>
      <w:r w:rsidR="005A58DD" w:rsidRPr="00FF4B8D">
        <w:t>retirement</w:t>
      </w:r>
      <w:r w:rsidR="00650E74" w:rsidRPr="00FF4B8D">
        <w:t xml:space="preserve"> fund.  </w:t>
      </w:r>
      <w:r w:rsidR="00BC4CBB" w:rsidRPr="00FF4B8D">
        <w:t>The Complainant’s current household income of</w:t>
      </w:r>
      <w:r w:rsidR="00650E74" w:rsidRPr="00FF4B8D">
        <w:t xml:space="preserve"> $39,933.00-$40,161.00</w:t>
      </w:r>
      <w:r w:rsidR="00BC4CBB" w:rsidRPr="00FF4B8D">
        <w:t>/year</w:t>
      </w:r>
      <w:r w:rsidR="00650E74" w:rsidRPr="00FF4B8D">
        <w:rPr>
          <w:rStyle w:val="FootnoteReference"/>
        </w:rPr>
        <w:footnoteReference w:id="4"/>
      </w:r>
      <w:r w:rsidR="00BC4CBB" w:rsidRPr="00FF4B8D">
        <w:t xml:space="preserve"> places his family of two (2) between 250</w:t>
      </w:r>
      <w:r w:rsidR="00A70E08" w:rsidRPr="00FF4B8D">
        <w:t>%</w:t>
      </w:r>
      <w:r w:rsidR="00BC4CBB" w:rsidRPr="00FF4B8D">
        <w:t xml:space="preserve"> and 300% of the Federal poverty level.  The Complainant is now a Level 3 income customer.  66 Pa. C.S. § 1405(b</w:t>
      </w:r>
      <w:proofErr w:type="gramStart"/>
      <w:r w:rsidR="00BC4CBB" w:rsidRPr="00FF4B8D">
        <w:t>)(</w:t>
      </w:r>
      <w:proofErr w:type="gramEnd"/>
      <w:r w:rsidR="00BC4CBB" w:rsidRPr="00FF4B8D">
        <w:t>3).</w:t>
      </w:r>
      <w:r w:rsidR="0022763F" w:rsidRPr="00FF4B8D">
        <w:t xml:space="preserve">  </w:t>
      </w:r>
    </w:p>
    <w:p w:rsidR="0022763F" w:rsidRPr="00FF4B8D" w:rsidRDefault="0022763F" w:rsidP="005C6035">
      <w:pPr>
        <w:spacing w:line="360" w:lineRule="auto"/>
      </w:pPr>
    </w:p>
    <w:p w:rsidR="0022763F" w:rsidRPr="00FF4B8D" w:rsidRDefault="0022763F" w:rsidP="005C6035">
      <w:pPr>
        <w:spacing w:line="360" w:lineRule="auto"/>
      </w:pPr>
      <w:r w:rsidRPr="00FF4B8D">
        <w:tab/>
      </w:r>
      <w:r w:rsidRPr="00FF4B8D">
        <w:tab/>
      </w:r>
      <w:r w:rsidR="00636208" w:rsidRPr="00FF4B8D">
        <w:t xml:space="preserve">The </w:t>
      </w:r>
      <w:r w:rsidRPr="00FF4B8D">
        <w:t xml:space="preserve">Complainant’s income </w:t>
      </w:r>
      <w:r w:rsidR="00DF4267" w:rsidRPr="00FF4B8D">
        <w:t>level has increased since the prior Commission-issued payment arrangements, due to greater earnings and a smaller household.</w:t>
      </w:r>
      <w:r w:rsidR="004C05F5" w:rsidRPr="00FF4B8D">
        <w:t xml:space="preserve">  As such, the Commission is without the authority to issue a subsequent payment arrangement on his balance.</w:t>
      </w:r>
    </w:p>
    <w:p w:rsidR="00B32437" w:rsidRPr="00FF4B8D" w:rsidRDefault="00B32437" w:rsidP="00B32437">
      <w:pPr>
        <w:spacing w:line="360" w:lineRule="auto"/>
        <w:ind w:firstLine="1440"/>
      </w:pPr>
      <w:r w:rsidRPr="00FF4B8D">
        <w:t>Alternatively, the Commission may not reinstate a payment arrangement where the customer has defaulted except in limited circumstances.  The statute at 66 Pa. C.S. § 1405(e) states as follows:</w:t>
      </w:r>
    </w:p>
    <w:p w:rsidR="00B32437" w:rsidRPr="00FF4B8D" w:rsidRDefault="00B32437" w:rsidP="00B32437">
      <w:pPr>
        <w:spacing w:line="360" w:lineRule="auto"/>
        <w:ind w:firstLine="1440"/>
      </w:pPr>
    </w:p>
    <w:p w:rsidR="00B32437" w:rsidRPr="00FF4B8D" w:rsidRDefault="00B32437" w:rsidP="00B32437">
      <w:pPr>
        <w:ind w:left="1440" w:right="1440"/>
      </w:pPr>
      <w:r w:rsidRPr="00FF4B8D">
        <w:t xml:space="preserve">(e) </w:t>
      </w:r>
      <w:r w:rsidRPr="00FF4B8D">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p>
    <w:p w:rsidR="00B32437" w:rsidRPr="00FF4B8D" w:rsidRDefault="00B32437" w:rsidP="00B32437">
      <w:pPr>
        <w:spacing w:line="360" w:lineRule="auto"/>
        <w:ind w:firstLine="1440"/>
      </w:pPr>
    </w:p>
    <w:p w:rsidR="00B32437" w:rsidRPr="00FF4B8D" w:rsidRDefault="00B32437" w:rsidP="00B32437">
      <w:pPr>
        <w:spacing w:line="360" w:lineRule="auto"/>
        <w:ind w:firstLine="1440"/>
      </w:pPr>
      <w:r w:rsidRPr="00FF4B8D">
        <w:t>The statute at 66 Pa. C.S. § 1403 defines “Significant change in circumstance” as follows:</w:t>
      </w:r>
    </w:p>
    <w:p w:rsidR="00B32437" w:rsidRPr="00FF4B8D" w:rsidRDefault="00B32437" w:rsidP="00B32437">
      <w:pPr>
        <w:spacing w:line="360" w:lineRule="auto"/>
        <w:ind w:firstLine="1440"/>
      </w:pPr>
    </w:p>
    <w:p w:rsidR="00B32437" w:rsidRPr="00FF4B8D" w:rsidRDefault="00B32437" w:rsidP="00B32437">
      <w:pPr>
        <w:ind w:left="1440" w:right="1440"/>
      </w:pPr>
      <w:proofErr w:type="gramStart"/>
      <w:r w:rsidRPr="00FF4B8D">
        <w:t>“Significant change in circumstance.”</w:t>
      </w:r>
      <w:proofErr w:type="gramEnd"/>
      <w:r w:rsidRPr="00FF4B8D">
        <w:t xml:space="preserve"> Any of the following criteria when verified by the public utility and experienced by customers with household income less than 300% of the Federal poverty level:</w:t>
      </w:r>
    </w:p>
    <w:p w:rsidR="00B32437" w:rsidRPr="00FF4B8D" w:rsidRDefault="00B32437" w:rsidP="00B32437">
      <w:pPr>
        <w:ind w:left="1440" w:right="1440"/>
      </w:pPr>
    </w:p>
    <w:p w:rsidR="00B32437" w:rsidRPr="00FF4B8D" w:rsidRDefault="00B32437" w:rsidP="00B32437">
      <w:pPr>
        <w:pStyle w:val="ListParagraph"/>
        <w:numPr>
          <w:ilvl w:val="0"/>
          <w:numId w:val="8"/>
        </w:numPr>
        <w:ind w:left="2160" w:right="1440" w:hanging="720"/>
      </w:pPr>
      <w:r w:rsidRPr="00FF4B8D">
        <w:t>The onset of a chronic or acute illness resulting in a significant loss in the customer’s household income.</w:t>
      </w:r>
    </w:p>
    <w:p w:rsidR="00B32437" w:rsidRPr="00FF4B8D" w:rsidRDefault="00B32437" w:rsidP="00B32437">
      <w:pPr>
        <w:pStyle w:val="ListParagraph"/>
        <w:ind w:left="2160" w:right="1440"/>
      </w:pPr>
    </w:p>
    <w:p w:rsidR="00B32437" w:rsidRPr="00FF4B8D" w:rsidRDefault="00B32437" w:rsidP="00B32437">
      <w:pPr>
        <w:pStyle w:val="ListParagraph"/>
        <w:numPr>
          <w:ilvl w:val="0"/>
          <w:numId w:val="8"/>
        </w:numPr>
        <w:ind w:left="2160" w:right="1440" w:hanging="720"/>
      </w:pPr>
      <w:r w:rsidRPr="00FF4B8D">
        <w:t>Catastrophic damage to the customer’s residence resulting in a significant net cost to the customer’s household.</w:t>
      </w:r>
    </w:p>
    <w:p w:rsidR="00B32437" w:rsidRPr="00FF4B8D" w:rsidRDefault="00B32437" w:rsidP="00B32437">
      <w:pPr>
        <w:ind w:right="1440"/>
      </w:pPr>
    </w:p>
    <w:p w:rsidR="00B32437" w:rsidRPr="00FF4B8D" w:rsidRDefault="00B32437" w:rsidP="00B32437">
      <w:pPr>
        <w:pStyle w:val="ListParagraph"/>
        <w:numPr>
          <w:ilvl w:val="0"/>
          <w:numId w:val="8"/>
        </w:numPr>
        <w:ind w:left="2160" w:right="1440" w:hanging="720"/>
      </w:pPr>
      <w:r w:rsidRPr="00FF4B8D">
        <w:t>Loss of the customer’s residence.</w:t>
      </w:r>
    </w:p>
    <w:p w:rsidR="00B32437" w:rsidRPr="00FF4B8D" w:rsidRDefault="00B32437" w:rsidP="00B32437">
      <w:pPr>
        <w:ind w:right="1440"/>
      </w:pPr>
    </w:p>
    <w:p w:rsidR="00B32437" w:rsidRPr="00FF4B8D" w:rsidRDefault="00B32437" w:rsidP="00B32437">
      <w:pPr>
        <w:pStyle w:val="ListParagraph"/>
        <w:numPr>
          <w:ilvl w:val="0"/>
          <w:numId w:val="8"/>
        </w:numPr>
        <w:ind w:left="2160" w:right="1440" w:hanging="720"/>
      </w:pPr>
      <w:r w:rsidRPr="00FF4B8D">
        <w:t>Increase in the customer’s number of dependents in the household.</w:t>
      </w:r>
    </w:p>
    <w:p w:rsidR="00B32437" w:rsidRPr="00FF4B8D" w:rsidRDefault="00B32437" w:rsidP="00B32437">
      <w:pPr>
        <w:spacing w:line="360" w:lineRule="auto"/>
      </w:pPr>
    </w:p>
    <w:p w:rsidR="00B32437" w:rsidRPr="00FF4B8D" w:rsidRDefault="00B32437" w:rsidP="00B32437">
      <w:pPr>
        <w:spacing w:line="360" w:lineRule="auto"/>
        <w:ind w:firstLine="1440"/>
      </w:pPr>
      <w:r w:rsidRPr="00FF4B8D">
        <w:t>The Complainant did not testify and the evidence does not reflect that he has experienced a significant change in circumstance, as that phrase is defined and applied in the Public Utility Code.  Therefore, the Commission may not reinstate the BCS payment arrangement at BCS Case No. 1719077.</w:t>
      </w:r>
    </w:p>
    <w:p w:rsidR="005C6035" w:rsidRPr="00FF4B8D" w:rsidRDefault="005C6035" w:rsidP="004C05F5">
      <w:pPr>
        <w:spacing w:line="360" w:lineRule="auto"/>
      </w:pPr>
    </w:p>
    <w:p w:rsidR="00862EA2" w:rsidRDefault="00862EA2">
      <w:r>
        <w:br w:type="page"/>
      </w:r>
    </w:p>
    <w:p w:rsidR="00802B3B" w:rsidRPr="00FF4B8D" w:rsidRDefault="00B32437" w:rsidP="008F67FD">
      <w:pPr>
        <w:spacing w:line="360" w:lineRule="auto"/>
        <w:ind w:firstLine="1440"/>
      </w:pPr>
      <w:r w:rsidRPr="00FF4B8D">
        <w:t>In addition</w:t>
      </w:r>
      <w:r w:rsidR="005C6035" w:rsidRPr="00FF4B8D">
        <w:t>, the Commission will not issue a payment arrangement whe</w:t>
      </w:r>
      <w:r w:rsidRPr="00FF4B8D">
        <w:t>re</w:t>
      </w:r>
      <w:r w:rsidR="005C6035" w:rsidRPr="00FF4B8D">
        <w:t xml:space="preserve"> the record </w:t>
      </w:r>
      <w:r w:rsidRPr="00FF4B8D">
        <w:t>indicates</w:t>
      </w:r>
      <w:r w:rsidR="005C6035" w:rsidRPr="00FF4B8D">
        <w:t xml:space="preserve"> a lack of good faith effort on the part of the customer to pay </w:t>
      </w:r>
      <w:r w:rsidRPr="00FF4B8D">
        <w:t>his or her</w:t>
      </w:r>
      <w:r w:rsidR="005C6035" w:rsidRPr="00FF4B8D">
        <w:t xml:space="preserve"> utility bills</w:t>
      </w:r>
      <w:r w:rsidR="008221E6" w:rsidRPr="00FF4B8D">
        <w:t xml:space="preserve">.  </w:t>
      </w:r>
      <w:r w:rsidR="005C6035" w:rsidRPr="00FF4B8D">
        <w:rPr>
          <w:u w:val="single"/>
        </w:rPr>
        <w:t>George Crawford v. National Fuel Gas Distribution Corporation</w:t>
      </w:r>
      <w:r w:rsidR="005C6035" w:rsidRPr="00FF4B8D">
        <w:t>, Docket No. C-20066348 (Final Or</w:t>
      </w:r>
      <w:r w:rsidR="00331D97" w:rsidRPr="00FF4B8D">
        <w:t>der entered December 6, 2007).</w:t>
      </w:r>
      <w:r w:rsidR="008F7055" w:rsidRPr="00FF4B8D">
        <w:t xml:space="preserve">  </w:t>
      </w:r>
      <w:r w:rsidR="008F67FD" w:rsidRPr="00FF4B8D">
        <w:t xml:space="preserve">The ratepayers of record have not made a good faith effort to pay the electric/gas utility bills at the Service Address.  </w:t>
      </w:r>
      <w:r w:rsidR="008F7055" w:rsidRPr="00FF4B8D">
        <w:t>From May 2003 until September 2005, the Complainant had an account, in his name, with Respondent at the Service Address.  The outstanding balance from this account was referred to a collection agency.  Answer ¶ 4.</w:t>
      </w:r>
      <w:r w:rsidR="008F67FD" w:rsidRPr="00FF4B8D">
        <w:t xml:space="preserve">  </w:t>
      </w:r>
      <w:r w:rsidR="004C05F5" w:rsidRPr="00FF4B8D">
        <w:t>In 2011, only three (3) payments were made on the account.  As of the day of the hearing, one (1) payment had been made on the acc</w:t>
      </w:r>
      <w:r w:rsidR="00BC4CBB" w:rsidRPr="00FF4B8D">
        <w:t>ount in 2012</w:t>
      </w:r>
      <w:r w:rsidR="00FE4FEA" w:rsidRPr="00FF4B8D">
        <w:t xml:space="preserve">.  </w:t>
      </w:r>
      <w:proofErr w:type="gramStart"/>
      <w:r w:rsidR="00FE4FEA" w:rsidRPr="00FF4B8D">
        <w:t>PECO Exhibit 5.</w:t>
      </w:r>
      <w:proofErr w:type="gramEnd"/>
      <w:r w:rsidR="00FE4FEA" w:rsidRPr="00FF4B8D">
        <w:t xml:space="preserve">  </w:t>
      </w:r>
      <w:r w:rsidR="00CD2FCD">
        <w:t>The Complainant</w:t>
      </w:r>
      <w:r w:rsidR="00FE4FEA" w:rsidRPr="00FF4B8D">
        <w:t xml:space="preserve">, his wife, and his son have defaulted on numerous payment agreements, eight (8) issued by </w:t>
      </w:r>
      <w:r w:rsidR="00CD2FCD">
        <w:t>Respondent</w:t>
      </w:r>
      <w:r w:rsidR="00FE4FEA" w:rsidRPr="00FF4B8D">
        <w:t xml:space="preserve"> and two (2) issued by </w:t>
      </w:r>
      <w:r w:rsidR="004C05F5" w:rsidRPr="00FF4B8D">
        <w:t>the Commission.</w:t>
      </w:r>
      <w:r w:rsidR="00961C58" w:rsidRPr="00FF4B8D">
        <w:t xml:space="preserve">  </w:t>
      </w:r>
      <w:proofErr w:type="gramStart"/>
      <w:r w:rsidR="00961C58" w:rsidRPr="00FF4B8D">
        <w:t>PECO Exhibit 6.</w:t>
      </w:r>
      <w:proofErr w:type="gramEnd"/>
      <w:r w:rsidR="00961C58" w:rsidRPr="00FF4B8D">
        <w:t xml:space="preserve">  The unpaid balance as of the date of the hearing was $11,692.92.  </w:t>
      </w:r>
      <w:proofErr w:type="gramStart"/>
      <w:r w:rsidR="00961C58" w:rsidRPr="00FF4B8D">
        <w:t>PECO Exhibit 1.</w:t>
      </w:r>
      <w:proofErr w:type="gramEnd"/>
    </w:p>
    <w:p w:rsidR="00802B3B" w:rsidRPr="00FF4B8D" w:rsidRDefault="00802B3B" w:rsidP="0066145E">
      <w:pPr>
        <w:spacing w:line="360" w:lineRule="auto"/>
        <w:ind w:firstLine="1440"/>
      </w:pPr>
    </w:p>
    <w:p w:rsidR="00BC4CBB" w:rsidRPr="00FF4B8D" w:rsidRDefault="001C4B59" w:rsidP="0066145E">
      <w:pPr>
        <w:spacing w:line="360" w:lineRule="auto"/>
        <w:ind w:firstLine="1440"/>
      </w:pPr>
      <w:r w:rsidRPr="00FF4B8D">
        <w:t>For the foregoing reasons, I conclude the BCS decision at BCS Case No. 2823028 was correct that</w:t>
      </w:r>
      <w:r w:rsidR="00A65674">
        <w:t xml:space="preserve"> the Complainant is responsible for the outstanding balance at the Service Address.  </w:t>
      </w:r>
      <w:r w:rsidR="00F15B59">
        <w:t>Additionally, t</w:t>
      </w:r>
      <w:r w:rsidR="00A65674">
        <w:t xml:space="preserve">he </w:t>
      </w:r>
      <w:r w:rsidRPr="00FF4B8D">
        <w:t>Commission lacks the authority to order a payment agreement in these circumstances.  The full balance is due and payable.</w:t>
      </w:r>
    </w:p>
    <w:p w:rsidR="00BC4CBB" w:rsidRDefault="00BC4CBB" w:rsidP="00130EB8">
      <w:pPr>
        <w:spacing w:line="360" w:lineRule="auto"/>
        <w:rPr>
          <w:u w:val="single"/>
        </w:rPr>
      </w:pPr>
    </w:p>
    <w:p w:rsidR="00862EA2" w:rsidRPr="00FF4B8D" w:rsidRDefault="00862EA2" w:rsidP="00130EB8">
      <w:pPr>
        <w:spacing w:line="360" w:lineRule="auto"/>
        <w:rPr>
          <w:u w:val="single"/>
        </w:rPr>
      </w:pPr>
    </w:p>
    <w:p w:rsidR="00BC4CBB" w:rsidRPr="00FF4B8D" w:rsidRDefault="00BC4CBB" w:rsidP="00BC4CBB">
      <w:pPr>
        <w:spacing w:line="360" w:lineRule="auto"/>
        <w:jc w:val="center"/>
        <w:rPr>
          <w:u w:val="single"/>
        </w:rPr>
      </w:pPr>
      <w:r w:rsidRPr="00FF4B8D">
        <w:rPr>
          <w:u w:val="single"/>
        </w:rPr>
        <w:t>CONCLUSIONS OF LAW</w:t>
      </w:r>
    </w:p>
    <w:p w:rsidR="00BC4CBB" w:rsidRPr="00FF4B8D" w:rsidRDefault="00BC4CBB" w:rsidP="00BC4CBB">
      <w:pPr>
        <w:spacing w:line="360" w:lineRule="auto"/>
        <w:jc w:val="center"/>
        <w:rPr>
          <w:u w:val="single"/>
        </w:rPr>
      </w:pPr>
    </w:p>
    <w:p w:rsidR="00BC4CBB" w:rsidRPr="00FF4B8D" w:rsidRDefault="00BC4CBB" w:rsidP="00BC4CBB">
      <w:pPr>
        <w:numPr>
          <w:ilvl w:val="0"/>
          <w:numId w:val="5"/>
        </w:numPr>
        <w:tabs>
          <w:tab w:val="clear" w:pos="900"/>
          <w:tab w:val="num" w:pos="2160"/>
        </w:tabs>
        <w:spacing w:line="360" w:lineRule="auto"/>
        <w:ind w:left="0" w:firstLine="1440"/>
      </w:pPr>
      <w:r w:rsidRPr="00FF4B8D">
        <w:t>The Commission has jurisdiction over the parties and the subject matter of this proceeding.  66 Pa. C.S.A. §701.</w:t>
      </w:r>
    </w:p>
    <w:p w:rsidR="00BC4CBB" w:rsidRPr="00FF4B8D" w:rsidRDefault="00BC4CBB" w:rsidP="00BC4CBB">
      <w:pPr>
        <w:tabs>
          <w:tab w:val="num" w:pos="2160"/>
        </w:tabs>
        <w:spacing w:line="360" w:lineRule="auto"/>
        <w:ind w:firstLine="1260"/>
      </w:pPr>
    </w:p>
    <w:p w:rsidR="00BC4CBB" w:rsidRPr="00FF4B8D" w:rsidRDefault="00BC4CBB" w:rsidP="00BC4CBB">
      <w:pPr>
        <w:pStyle w:val="FootnoteText"/>
        <w:spacing w:line="360" w:lineRule="auto"/>
        <w:rPr>
          <w:sz w:val="24"/>
          <w:szCs w:val="24"/>
        </w:rPr>
      </w:pPr>
      <w:r w:rsidRPr="00FF4B8D">
        <w:rPr>
          <w:sz w:val="24"/>
          <w:szCs w:val="24"/>
        </w:rPr>
        <w:tab/>
      </w:r>
      <w:r w:rsidRPr="00FF4B8D">
        <w:rPr>
          <w:sz w:val="24"/>
          <w:szCs w:val="24"/>
        </w:rPr>
        <w:tab/>
        <w:t>2.</w:t>
      </w:r>
      <w:r w:rsidRPr="00FF4B8D">
        <w:rPr>
          <w:sz w:val="24"/>
          <w:szCs w:val="24"/>
        </w:rPr>
        <w:tab/>
        <w:t xml:space="preserve">The Complainant had the burden of proof.  </w:t>
      </w:r>
      <w:proofErr w:type="gramStart"/>
      <w:r w:rsidRPr="00FF4B8D">
        <w:rPr>
          <w:sz w:val="24"/>
          <w:szCs w:val="24"/>
        </w:rPr>
        <w:t>66 Pa. C.S.A. § 332(a).</w:t>
      </w:r>
      <w:proofErr w:type="gramEnd"/>
    </w:p>
    <w:p w:rsidR="00BC4CBB" w:rsidRPr="00FF4B8D" w:rsidRDefault="00BC4CBB" w:rsidP="00BC4CBB">
      <w:pPr>
        <w:pStyle w:val="FootnoteText"/>
        <w:spacing w:line="360" w:lineRule="auto"/>
        <w:rPr>
          <w:sz w:val="24"/>
          <w:szCs w:val="24"/>
        </w:rPr>
      </w:pPr>
    </w:p>
    <w:p w:rsidR="00BC4CBB" w:rsidRPr="00FF4B8D" w:rsidRDefault="00BC4CBB" w:rsidP="00BC4CBB">
      <w:pPr>
        <w:spacing w:line="360" w:lineRule="auto"/>
      </w:pPr>
      <w:r w:rsidRPr="00FF4B8D">
        <w:tab/>
      </w:r>
      <w:r w:rsidRPr="00FF4B8D">
        <w:tab/>
        <w:t>3.</w:t>
      </w:r>
      <w:r w:rsidRPr="00FF4B8D">
        <w:tab/>
        <w:t>The Responsible Uti</w:t>
      </w:r>
      <w:bookmarkStart w:id="0" w:name="_GoBack"/>
      <w:bookmarkEnd w:id="0"/>
      <w:r w:rsidRPr="00FF4B8D">
        <w:t xml:space="preserve">lity Customer Protection Act, 66 Pa. C.S.A. § 1401, </w:t>
      </w:r>
      <w:r w:rsidRPr="00FF4B8D">
        <w:rPr>
          <w:i/>
          <w:iCs/>
        </w:rPr>
        <w:t>et seq</w:t>
      </w:r>
      <w:r w:rsidRPr="00FF4B8D">
        <w:t>., applies to this proceeding.</w:t>
      </w:r>
    </w:p>
    <w:p w:rsidR="00BC4CBB" w:rsidRPr="00FF4B8D" w:rsidRDefault="00BC4CBB" w:rsidP="00BC4CBB">
      <w:pPr>
        <w:spacing w:line="360" w:lineRule="auto"/>
        <w:outlineLvl w:val="0"/>
      </w:pPr>
    </w:p>
    <w:p w:rsidR="00BC4CBB" w:rsidRDefault="00BC4CBB" w:rsidP="006D7784">
      <w:pPr>
        <w:spacing w:line="360" w:lineRule="auto"/>
        <w:outlineLvl w:val="0"/>
      </w:pPr>
      <w:r w:rsidRPr="00FF4B8D">
        <w:tab/>
      </w:r>
      <w:r w:rsidRPr="00FF4B8D">
        <w:tab/>
        <w:t>4.</w:t>
      </w:r>
      <w:r w:rsidRPr="00FF4B8D">
        <w:tab/>
        <w:t xml:space="preserve">Pursuant to 66 Pa. C.S. § 1405(d), the Commission is without authority to issue a second or subsequent payment arrangement, absent a change in income, if a customer has defaulted on a previous payment arrangement.  </w:t>
      </w:r>
    </w:p>
    <w:p w:rsidR="00862EA2" w:rsidRPr="00FF4B8D" w:rsidRDefault="00862EA2" w:rsidP="006D7784">
      <w:pPr>
        <w:spacing w:line="360" w:lineRule="auto"/>
        <w:outlineLvl w:val="0"/>
      </w:pPr>
    </w:p>
    <w:p w:rsidR="00BC4CBB" w:rsidRPr="00FF4B8D" w:rsidRDefault="00BC4CBB" w:rsidP="00BC4CBB">
      <w:pPr>
        <w:spacing w:line="360" w:lineRule="auto"/>
        <w:outlineLvl w:val="0"/>
      </w:pPr>
      <w:r w:rsidRPr="00FF4B8D">
        <w:tab/>
      </w:r>
      <w:r w:rsidRPr="00FF4B8D">
        <w:tab/>
      </w:r>
      <w:r w:rsidR="00FF4B8D">
        <w:t>5</w:t>
      </w:r>
      <w:r w:rsidRPr="00FF4B8D">
        <w:t>.</w:t>
      </w:r>
      <w:r w:rsidRPr="00FF4B8D">
        <w:tab/>
        <w:t xml:space="preserve">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Pr="00FF4B8D">
        <w:rPr>
          <w:u w:val="single"/>
        </w:rPr>
        <w:t>George Crawford v. National Fuel Gas Distribution Corporation</w:t>
      </w:r>
      <w:r w:rsidRPr="00FF4B8D">
        <w:t>, Docket No. C-20066348 (Final Order entered December 6, 2007).</w:t>
      </w:r>
    </w:p>
    <w:p w:rsidR="00F5287F" w:rsidRPr="00FF4B8D" w:rsidRDefault="00F5287F" w:rsidP="00BC4CBB">
      <w:pPr>
        <w:spacing w:line="360" w:lineRule="auto"/>
      </w:pPr>
    </w:p>
    <w:p w:rsidR="00BC4CBB" w:rsidRPr="00FF4B8D" w:rsidRDefault="00BC4CBB" w:rsidP="00BC4CBB">
      <w:pPr>
        <w:spacing w:line="360" w:lineRule="auto"/>
        <w:jc w:val="center"/>
      </w:pPr>
      <w:r w:rsidRPr="00FF4B8D">
        <w:rPr>
          <w:u w:val="single"/>
        </w:rPr>
        <w:t>ORDER</w:t>
      </w:r>
    </w:p>
    <w:p w:rsidR="00BC4CBB" w:rsidRPr="00FF4B8D" w:rsidRDefault="00BC4CBB" w:rsidP="00BC4CBB">
      <w:pPr>
        <w:spacing w:line="360" w:lineRule="auto"/>
        <w:jc w:val="center"/>
        <w:outlineLvl w:val="0"/>
        <w:rPr>
          <w:u w:val="single"/>
        </w:rPr>
      </w:pPr>
    </w:p>
    <w:p w:rsidR="00BC4CBB" w:rsidRPr="00FF4B8D" w:rsidRDefault="00BC4CBB" w:rsidP="00BC4CBB">
      <w:pPr>
        <w:tabs>
          <w:tab w:val="num" w:pos="2160"/>
        </w:tabs>
        <w:spacing w:line="360" w:lineRule="auto"/>
        <w:rPr>
          <w:u w:val="single"/>
        </w:rPr>
      </w:pPr>
    </w:p>
    <w:p w:rsidR="00BC4CBB" w:rsidRPr="00FF4B8D" w:rsidRDefault="00BC4CBB" w:rsidP="00BC4CBB">
      <w:pPr>
        <w:tabs>
          <w:tab w:val="num" w:pos="2160"/>
        </w:tabs>
        <w:spacing w:line="360" w:lineRule="auto"/>
        <w:ind w:firstLine="1440"/>
      </w:pPr>
      <w:r w:rsidRPr="00FF4B8D">
        <w:t xml:space="preserve">THEREFORE, </w:t>
      </w:r>
    </w:p>
    <w:p w:rsidR="00BC4CBB" w:rsidRPr="00FF4B8D" w:rsidRDefault="00BC4CBB" w:rsidP="00BC4CBB">
      <w:pPr>
        <w:tabs>
          <w:tab w:val="num" w:pos="2160"/>
        </w:tabs>
        <w:spacing w:line="360" w:lineRule="auto"/>
      </w:pPr>
    </w:p>
    <w:p w:rsidR="00BC4CBB" w:rsidRPr="00FF4B8D" w:rsidRDefault="00BC4CBB" w:rsidP="00BC4CBB">
      <w:pPr>
        <w:tabs>
          <w:tab w:val="num" w:pos="2160"/>
        </w:tabs>
        <w:spacing w:line="360" w:lineRule="auto"/>
        <w:ind w:firstLine="1440"/>
        <w:outlineLvl w:val="0"/>
      </w:pPr>
      <w:r w:rsidRPr="00FF4B8D">
        <w:t>IT IS ORDERED:</w:t>
      </w:r>
    </w:p>
    <w:p w:rsidR="00BC4CBB" w:rsidRPr="00FF4B8D" w:rsidRDefault="00BC4CBB" w:rsidP="00BC4CBB">
      <w:pPr>
        <w:tabs>
          <w:tab w:val="num" w:pos="2160"/>
        </w:tabs>
        <w:spacing w:line="360" w:lineRule="auto"/>
        <w:ind w:firstLine="1440"/>
        <w:outlineLvl w:val="0"/>
      </w:pPr>
    </w:p>
    <w:p w:rsidR="00BC4CBB" w:rsidRPr="00FF4B8D" w:rsidRDefault="00BC4CBB" w:rsidP="00BC4CBB">
      <w:pPr>
        <w:pStyle w:val="ListParagraph"/>
        <w:numPr>
          <w:ilvl w:val="0"/>
          <w:numId w:val="6"/>
        </w:numPr>
        <w:spacing w:line="360" w:lineRule="auto"/>
        <w:ind w:left="0" w:firstLine="1440"/>
        <w:outlineLvl w:val="0"/>
      </w:pPr>
      <w:r w:rsidRPr="00FF4B8D">
        <w:t xml:space="preserve">That the Formal Complaint filed by </w:t>
      </w:r>
      <w:r w:rsidR="00F5287F" w:rsidRPr="00FF4B8D">
        <w:t>Barry Stewart, Sr.</w:t>
      </w:r>
      <w:r w:rsidRPr="00FF4B8D">
        <w:t xml:space="preserve"> against </w:t>
      </w:r>
      <w:r w:rsidR="00F5287F" w:rsidRPr="00FF4B8D">
        <w:t>PECO Energy Company</w:t>
      </w:r>
      <w:r w:rsidRPr="00FF4B8D">
        <w:t xml:space="preserve"> at Docket No. </w:t>
      </w:r>
      <w:r w:rsidR="00F5287F" w:rsidRPr="00FF4B8D">
        <w:t>F-2011-2259777</w:t>
      </w:r>
      <w:r w:rsidRPr="00FF4B8D">
        <w:t xml:space="preserve"> is dismissed.</w:t>
      </w:r>
    </w:p>
    <w:p w:rsidR="00BC4CBB" w:rsidRPr="00FF4B8D" w:rsidRDefault="00BC4CBB" w:rsidP="00BC4CBB">
      <w:pPr>
        <w:pStyle w:val="ListParagraph"/>
        <w:spacing w:line="360" w:lineRule="auto"/>
        <w:ind w:left="0"/>
        <w:outlineLvl w:val="0"/>
      </w:pPr>
    </w:p>
    <w:p w:rsidR="00BC4CBB" w:rsidRPr="00FF4B8D" w:rsidRDefault="00BC4CBB" w:rsidP="00BC4CBB">
      <w:pPr>
        <w:pStyle w:val="ListParagraph"/>
        <w:numPr>
          <w:ilvl w:val="0"/>
          <w:numId w:val="6"/>
        </w:numPr>
        <w:spacing w:line="360" w:lineRule="auto"/>
        <w:ind w:left="0" w:firstLine="1440"/>
        <w:outlineLvl w:val="0"/>
      </w:pPr>
      <w:r w:rsidRPr="00FF4B8D">
        <w:t xml:space="preserve">That the record at Docket No. </w:t>
      </w:r>
      <w:r w:rsidR="00F5287F" w:rsidRPr="00FF4B8D">
        <w:t>F-2011-2259777</w:t>
      </w:r>
      <w:r w:rsidRPr="00FF4B8D">
        <w:t xml:space="preserve"> is marked closed.</w:t>
      </w:r>
    </w:p>
    <w:p w:rsidR="00BC4CBB" w:rsidRPr="00FF4B8D" w:rsidRDefault="00BC4CBB" w:rsidP="00BC4CBB">
      <w:pPr>
        <w:tabs>
          <w:tab w:val="num" w:pos="2160"/>
        </w:tabs>
        <w:spacing w:line="360" w:lineRule="auto"/>
      </w:pPr>
    </w:p>
    <w:p w:rsidR="00BC4CBB" w:rsidRPr="00FF4B8D" w:rsidRDefault="00BC4CBB" w:rsidP="00BC4CBB">
      <w:pPr>
        <w:tabs>
          <w:tab w:val="num" w:pos="2160"/>
          <w:tab w:val="left" w:pos="5048"/>
        </w:tabs>
      </w:pPr>
    </w:p>
    <w:p w:rsidR="00BC4CBB" w:rsidRPr="00FF4B8D" w:rsidRDefault="00BC4CBB" w:rsidP="00BC4CBB">
      <w:pPr>
        <w:tabs>
          <w:tab w:val="num" w:pos="2160"/>
          <w:tab w:val="left" w:pos="5048"/>
        </w:tabs>
      </w:pPr>
    </w:p>
    <w:p w:rsidR="00BC4CBB" w:rsidRPr="00FF4B8D" w:rsidRDefault="00BC4CBB" w:rsidP="00BC4CBB">
      <w:pPr>
        <w:tabs>
          <w:tab w:val="num" w:pos="2160"/>
          <w:tab w:val="left" w:pos="5048"/>
        </w:tabs>
      </w:pPr>
      <w:r w:rsidRPr="00FF4B8D">
        <w:t xml:space="preserve">Date: </w:t>
      </w:r>
      <w:r w:rsidR="009D6B4E" w:rsidRPr="00FF4B8D">
        <w:rPr>
          <w:u w:val="single"/>
        </w:rPr>
        <w:t>June 1</w:t>
      </w:r>
      <w:r w:rsidRPr="00FF4B8D">
        <w:rPr>
          <w:u w:val="single"/>
        </w:rPr>
        <w:t>, 2012</w:t>
      </w:r>
      <w:r w:rsidRPr="00FF4B8D">
        <w:t xml:space="preserve"> </w:t>
      </w:r>
      <w:r w:rsidRPr="00FF4B8D">
        <w:tab/>
      </w:r>
      <w:r w:rsidRPr="00FF4B8D">
        <w:tab/>
      </w:r>
      <w:r w:rsidRPr="00FF4B8D">
        <w:rPr>
          <w:u w:val="single"/>
        </w:rPr>
        <w:tab/>
      </w:r>
      <w:r w:rsidRPr="00FF4B8D">
        <w:rPr>
          <w:u w:val="single"/>
        </w:rPr>
        <w:tab/>
      </w:r>
      <w:r w:rsidRPr="00FF4B8D">
        <w:rPr>
          <w:u w:val="single"/>
        </w:rPr>
        <w:tab/>
      </w:r>
      <w:r w:rsidRPr="00FF4B8D">
        <w:rPr>
          <w:u w:val="single"/>
        </w:rPr>
        <w:tab/>
      </w:r>
      <w:r w:rsidRPr="00FF4B8D">
        <w:rPr>
          <w:u w:val="single"/>
        </w:rPr>
        <w:tab/>
      </w:r>
    </w:p>
    <w:p w:rsidR="00BC4CBB" w:rsidRPr="00FF4B8D" w:rsidRDefault="00BC4CBB" w:rsidP="00BC4CBB">
      <w:pPr>
        <w:tabs>
          <w:tab w:val="num" w:pos="2160"/>
          <w:tab w:val="left" w:pos="5048"/>
        </w:tabs>
      </w:pPr>
      <w:r w:rsidRPr="00FF4B8D">
        <w:tab/>
      </w:r>
      <w:r w:rsidRPr="00FF4B8D">
        <w:tab/>
        <w:t>Tiffany A. Hunt</w:t>
      </w:r>
    </w:p>
    <w:p w:rsidR="004D733D" w:rsidRPr="00FF4B8D" w:rsidRDefault="00BC4CBB" w:rsidP="00BC4CBB">
      <w:pPr>
        <w:spacing w:line="360" w:lineRule="auto"/>
        <w:jc w:val="center"/>
      </w:pPr>
      <w:r w:rsidRPr="00FF4B8D">
        <w:tab/>
      </w:r>
      <w:r w:rsidRPr="00FF4B8D">
        <w:tab/>
      </w:r>
      <w:r w:rsidRPr="00FF4B8D">
        <w:tab/>
        <w:t>Special Agent</w:t>
      </w:r>
    </w:p>
    <w:sectPr w:rsidR="004D733D" w:rsidRPr="00FF4B8D" w:rsidSect="00915BB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593" w:rsidRDefault="00DF2593" w:rsidP="009A46FF">
      <w:r>
        <w:separator/>
      </w:r>
    </w:p>
  </w:endnote>
  <w:endnote w:type="continuationSeparator" w:id="0">
    <w:p w:rsidR="00DF2593" w:rsidRDefault="00DF2593"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63" w:rsidRDefault="00B84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862EA2">
      <w:rPr>
        <w:noProof/>
        <w:sz w:val="20"/>
        <w:szCs w:val="20"/>
      </w:rPr>
      <w:t>9</w:t>
    </w:r>
    <w:r w:rsidRPr="006D365F">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593" w:rsidRDefault="00DF2593" w:rsidP="009A46FF">
      <w:r>
        <w:separator/>
      </w:r>
    </w:p>
  </w:footnote>
  <w:footnote w:type="continuationSeparator" w:id="0">
    <w:p w:rsidR="00DF2593" w:rsidRDefault="00DF2593" w:rsidP="009A46FF">
      <w:r>
        <w:continuationSeparator/>
      </w:r>
    </w:p>
  </w:footnote>
  <w:footnote w:id="1">
    <w:p w:rsidR="004D733D" w:rsidRPr="00CC6A91" w:rsidRDefault="004D733D" w:rsidP="009A46FF">
      <w:pPr>
        <w:pStyle w:val="FootnoteText"/>
      </w:pPr>
      <w:r w:rsidRPr="00CC6A91">
        <w:rPr>
          <w:rStyle w:val="FootnoteReference"/>
        </w:rPr>
        <w:footnoteRef/>
      </w:r>
      <w:r w:rsidRPr="00CC6A91">
        <w:t xml:space="preserve"> </w:t>
      </w:r>
      <w:r w:rsidRPr="00CC6A91">
        <w:tab/>
        <w:t>A tape recording of the hearing was made, no court reporter being present.</w:t>
      </w:r>
    </w:p>
  </w:footnote>
  <w:footnote w:id="2">
    <w:p w:rsidR="00B32437" w:rsidRDefault="00B32437">
      <w:pPr>
        <w:pStyle w:val="FootnoteText"/>
      </w:pPr>
      <w:r>
        <w:rPr>
          <w:rStyle w:val="FootnoteReference"/>
        </w:rPr>
        <w:footnoteRef/>
      </w:r>
      <w:r>
        <w:t xml:space="preserve"> </w:t>
      </w:r>
      <w:r>
        <w:tab/>
        <w:t>Brenda Stewart had a prior Commission-issued payment arrangement in 2002 on which she defaulted.</w:t>
      </w:r>
    </w:p>
    <w:p w:rsidR="00560266" w:rsidRDefault="00560266">
      <w:pPr>
        <w:pStyle w:val="FootnoteText"/>
      </w:pPr>
    </w:p>
  </w:footnote>
  <w:footnote w:id="3">
    <w:p w:rsidR="00333619" w:rsidRDefault="00333619">
      <w:pPr>
        <w:pStyle w:val="FootnoteText"/>
      </w:pPr>
      <w:r>
        <w:rPr>
          <w:rStyle w:val="FootnoteReference"/>
        </w:rPr>
        <w:footnoteRef/>
      </w:r>
      <w:r w:rsidR="00E14031">
        <w:tab/>
        <w:t>M</w:t>
      </w:r>
      <w:r w:rsidR="003A45E9">
        <w:t xml:space="preserve">r. Stewart testified </w:t>
      </w:r>
      <w:r>
        <w:t>his son, Barry Stewart, Jr., has been incarcerated for the past five (5) years.  Mr. Stewart also testifi</w:t>
      </w:r>
      <w:r w:rsidR="003A45E9">
        <w:t xml:space="preserve">ed </w:t>
      </w:r>
      <w:r>
        <w:t>his wife, Brenda Stewart, moved from the Service Address in March 2011.</w:t>
      </w:r>
    </w:p>
    <w:p w:rsidR="00FF4B8D" w:rsidRDefault="00FF4B8D">
      <w:pPr>
        <w:pStyle w:val="FootnoteText"/>
      </w:pPr>
    </w:p>
  </w:footnote>
  <w:footnote w:id="4">
    <w:p w:rsidR="00650E74" w:rsidRPr="004C05F5" w:rsidRDefault="00650E74">
      <w:pPr>
        <w:pStyle w:val="FootnoteText"/>
      </w:pPr>
      <w:r w:rsidRPr="004C05F5">
        <w:rPr>
          <w:rStyle w:val="FootnoteReference"/>
        </w:rPr>
        <w:footnoteRef/>
      </w:r>
      <w:r w:rsidRPr="004C05F5">
        <w:t xml:space="preserve"> </w:t>
      </w:r>
      <w:r w:rsidR="00E14031">
        <w:tab/>
      </w:r>
      <w:r w:rsidRPr="004C05F5">
        <w:t>(37.5 hours/week x $11.34/hour = $425.25/week x 52 weeks/year = $22,113.00/year; 15-16 hours/month x $19.00/hour = $285.00-$304.00/month x 12 months/year = $3,420.00-$3,648.00/year; $1,200.00/month x 12 months/year = $14,400.00).</w:t>
      </w:r>
    </w:p>
    <w:p w:rsidR="004C05F5" w:rsidRDefault="004C05F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63" w:rsidRDefault="00B84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63" w:rsidRDefault="00B84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D63" w:rsidRDefault="00B84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558F8"/>
    <w:rsid w:val="00066402"/>
    <w:rsid w:val="0008793D"/>
    <w:rsid w:val="00090BAF"/>
    <w:rsid w:val="00097E78"/>
    <w:rsid w:val="000A01DE"/>
    <w:rsid w:val="000B1F3C"/>
    <w:rsid w:val="000B27F4"/>
    <w:rsid w:val="000B2BB2"/>
    <w:rsid w:val="000B5CEF"/>
    <w:rsid w:val="000B6190"/>
    <w:rsid w:val="000C623C"/>
    <w:rsid w:val="000E39AE"/>
    <w:rsid w:val="000F7109"/>
    <w:rsid w:val="00100637"/>
    <w:rsid w:val="00105320"/>
    <w:rsid w:val="00110FDC"/>
    <w:rsid w:val="0012210F"/>
    <w:rsid w:val="00122A2E"/>
    <w:rsid w:val="00130EB8"/>
    <w:rsid w:val="001347C7"/>
    <w:rsid w:val="0013536B"/>
    <w:rsid w:val="0013760A"/>
    <w:rsid w:val="00151440"/>
    <w:rsid w:val="00154CB3"/>
    <w:rsid w:val="001567B1"/>
    <w:rsid w:val="00156A78"/>
    <w:rsid w:val="0016012A"/>
    <w:rsid w:val="00163CB2"/>
    <w:rsid w:val="0016642F"/>
    <w:rsid w:val="00166E37"/>
    <w:rsid w:val="00166FDE"/>
    <w:rsid w:val="00172610"/>
    <w:rsid w:val="00183014"/>
    <w:rsid w:val="0019408A"/>
    <w:rsid w:val="001A5AD2"/>
    <w:rsid w:val="001B1B20"/>
    <w:rsid w:val="001B30EA"/>
    <w:rsid w:val="001B34EF"/>
    <w:rsid w:val="001B45A0"/>
    <w:rsid w:val="001B57DC"/>
    <w:rsid w:val="001C4B59"/>
    <w:rsid w:val="001E2481"/>
    <w:rsid w:val="001F2DCC"/>
    <w:rsid w:val="001F3603"/>
    <w:rsid w:val="001F3CB8"/>
    <w:rsid w:val="002147CF"/>
    <w:rsid w:val="002149C9"/>
    <w:rsid w:val="0022763F"/>
    <w:rsid w:val="00233A0F"/>
    <w:rsid w:val="002341EC"/>
    <w:rsid w:val="002458A5"/>
    <w:rsid w:val="0027219C"/>
    <w:rsid w:val="00274D49"/>
    <w:rsid w:val="00276AD4"/>
    <w:rsid w:val="0028057D"/>
    <w:rsid w:val="002A1728"/>
    <w:rsid w:val="002A2ABC"/>
    <w:rsid w:val="002B08FC"/>
    <w:rsid w:val="002B5A30"/>
    <w:rsid w:val="002B7903"/>
    <w:rsid w:val="002C789E"/>
    <w:rsid w:val="002C7961"/>
    <w:rsid w:val="002C7AE1"/>
    <w:rsid w:val="002D1BBD"/>
    <w:rsid w:val="002D303B"/>
    <w:rsid w:val="002F3AC8"/>
    <w:rsid w:val="002F4E51"/>
    <w:rsid w:val="00302D68"/>
    <w:rsid w:val="00322E74"/>
    <w:rsid w:val="00327F56"/>
    <w:rsid w:val="003302C3"/>
    <w:rsid w:val="00331D97"/>
    <w:rsid w:val="00333490"/>
    <w:rsid w:val="00333619"/>
    <w:rsid w:val="003414EA"/>
    <w:rsid w:val="00342E64"/>
    <w:rsid w:val="00346CFB"/>
    <w:rsid w:val="00346EB9"/>
    <w:rsid w:val="00351325"/>
    <w:rsid w:val="00360FDB"/>
    <w:rsid w:val="0036231A"/>
    <w:rsid w:val="003629B6"/>
    <w:rsid w:val="00383471"/>
    <w:rsid w:val="003875F1"/>
    <w:rsid w:val="003A45E9"/>
    <w:rsid w:val="003C2817"/>
    <w:rsid w:val="003D40DB"/>
    <w:rsid w:val="003D4F04"/>
    <w:rsid w:val="003D5A7C"/>
    <w:rsid w:val="003D6CB6"/>
    <w:rsid w:val="003E3884"/>
    <w:rsid w:val="003F0F08"/>
    <w:rsid w:val="003F2C26"/>
    <w:rsid w:val="00400CAC"/>
    <w:rsid w:val="0040663C"/>
    <w:rsid w:val="00406FF6"/>
    <w:rsid w:val="00407582"/>
    <w:rsid w:val="00417F8D"/>
    <w:rsid w:val="004206BD"/>
    <w:rsid w:val="0042298A"/>
    <w:rsid w:val="004242F5"/>
    <w:rsid w:val="004407E1"/>
    <w:rsid w:val="0044322F"/>
    <w:rsid w:val="00443E32"/>
    <w:rsid w:val="00450322"/>
    <w:rsid w:val="00454421"/>
    <w:rsid w:val="00457949"/>
    <w:rsid w:val="00464756"/>
    <w:rsid w:val="00467931"/>
    <w:rsid w:val="00471E0B"/>
    <w:rsid w:val="00473024"/>
    <w:rsid w:val="00474454"/>
    <w:rsid w:val="004849A9"/>
    <w:rsid w:val="004A1923"/>
    <w:rsid w:val="004A4939"/>
    <w:rsid w:val="004B60B4"/>
    <w:rsid w:val="004B6931"/>
    <w:rsid w:val="004B7364"/>
    <w:rsid w:val="004C05F5"/>
    <w:rsid w:val="004C0B58"/>
    <w:rsid w:val="004C2A04"/>
    <w:rsid w:val="004C6DE7"/>
    <w:rsid w:val="004D733D"/>
    <w:rsid w:val="004E1448"/>
    <w:rsid w:val="004E6FDD"/>
    <w:rsid w:val="004E792D"/>
    <w:rsid w:val="00534F42"/>
    <w:rsid w:val="00536552"/>
    <w:rsid w:val="00542320"/>
    <w:rsid w:val="0055111B"/>
    <w:rsid w:val="00560266"/>
    <w:rsid w:val="00570C7C"/>
    <w:rsid w:val="00577F45"/>
    <w:rsid w:val="00582E52"/>
    <w:rsid w:val="005843FA"/>
    <w:rsid w:val="0058571E"/>
    <w:rsid w:val="005963CD"/>
    <w:rsid w:val="005A28B6"/>
    <w:rsid w:val="005A58DD"/>
    <w:rsid w:val="005B48BC"/>
    <w:rsid w:val="005B7784"/>
    <w:rsid w:val="005C0825"/>
    <w:rsid w:val="005C1A6B"/>
    <w:rsid w:val="005C6035"/>
    <w:rsid w:val="005C655F"/>
    <w:rsid w:val="005D514D"/>
    <w:rsid w:val="005E0189"/>
    <w:rsid w:val="005F5CE9"/>
    <w:rsid w:val="00600D9F"/>
    <w:rsid w:val="00606FEC"/>
    <w:rsid w:val="00607CAF"/>
    <w:rsid w:val="00615E02"/>
    <w:rsid w:val="00617F03"/>
    <w:rsid w:val="00620E90"/>
    <w:rsid w:val="00634FF3"/>
    <w:rsid w:val="00636208"/>
    <w:rsid w:val="00636FF3"/>
    <w:rsid w:val="00640C7B"/>
    <w:rsid w:val="00641797"/>
    <w:rsid w:val="006433BA"/>
    <w:rsid w:val="00650E74"/>
    <w:rsid w:val="00656E4C"/>
    <w:rsid w:val="0066145E"/>
    <w:rsid w:val="00667033"/>
    <w:rsid w:val="0067384E"/>
    <w:rsid w:val="00673C90"/>
    <w:rsid w:val="00674497"/>
    <w:rsid w:val="0067501E"/>
    <w:rsid w:val="0067641B"/>
    <w:rsid w:val="00677EBD"/>
    <w:rsid w:val="00680BB3"/>
    <w:rsid w:val="00697270"/>
    <w:rsid w:val="006B4CCF"/>
    <w:rsid w:val="006C5555"/>
    <w:rsid w:val="006D365F"/>
    <w:rsid w:val="006D3AD9"/>
    <w:rsid w:val="006D7784"/>
    <w:rsid w:val="006E3049"/>
    <w:rsid w:val="006E548D"/>
    <w:rsid w:val="006F78EE"/>
    <w:rsid w:val="00703E98"/>
    <w:rsid w:val="007043D0"/>
    <w:rsid w:val="007140EF"/>
    <w:rsid w:val="00727D92"/>
    <w:rsid w:val="007321BC"/>
    <w:rsid w:val="00742744"/>
    <w:rsid w:val="00742B92"/>
    <w:rsid w:val="00745471"/>
    <w:rsid w:val="00752408"/>
    <w:rsid w:val="00753598"/>
    <w:rsid w:val="0075535B"/>
    <w:rsid w:val="00764309"/>
    <w:rsid w:val="007773C6"/>
    <w:rsid w:val="0078142E"/>
    <w:rsid w:val="00781FA9"/>
    <w:rsid w:val="0079458F"/>
    <w:rsid w:val="00797587"/>
    <w:rsid w:val="007A2D78"/>
    <w:rsid w:val="007A64A8"/>
    <w:rsid w:val="007C62C4"/>
    <w:rsid w:val="007C7D1E"/>
    <w:rsid w:val="007D353D"/>
    <w:rsid w:val="007D7263"/>
    <w:rsid w:val="007E06B4"/>
    <w:rsid w:val="007E1086"/>
    <w:rsid w:val="007E2A6D"/>
    <w:rsid w:val="007F738E"/>
    <w:rsid w:val="00802B3B"/>
    <w:rsid w:val="0080527C"/>
    <w:rsid w:val="00807DE9"/>
    <w:rsid w:val="008221E6"/>
    <w:rsid w:val="00827A8B"/>
    <w:rsid w:val="00833DF8"/>
    <w:rsid w:val="00846DD9"/>
    <w:rsid w:val="008520D1"/>
    <w:rsid w:val="00860EDE"/>
    <w:rsid w:val="00861944"/>
    <w:rsid w:val="00861E00"/>
    <w:rsid w:val="00862EA2"/>
    <w:rsid w:val="0086362C"/>
    <w:rsid w:val="008706C8"/>
    <w:rsid w:val="008753CA"/>
    <w:rsid w:val="008771E3"/>
    <w:rsid w:val="00877402"/>
    <w:rsid w:val="0088078B"/>
    <w:rsid w:val="0088377E"/>
    <w:rsid w:val="00890162"/>
    <w:rsid w:val="00890A70"/>
    <w:rsid w:val="00891E79"/>
    <w:rsid w:val="008B333B"/>
    <w:rsid w:val="008B63D2"/>
    <w:rsid w:val="008C55A6"/>
    <w:rsid w:val="008D27A8"/>
    <w:rsid w:val="008D2FC7"/>
    <w:rsid w:val="008E413A"/>
    <w:rsid w:val="008E6B92"/>
    <w:rsid w:val="008F67FD"/>
    <w:rsid w:val="008F7055"/>
    <w:rsid w:val="0090668D"/>
    <w:rsid w:val="00911A87"/>
    <w:rsid w:val="00915BB6"/>
    <w:rsid w:val="009165E0"/>
    <w:rsid w:val="00923CDC"/>
    <w:rsid w:val="00925375"/>
    <w:rsid w:val="00931DEB"/>
    <w:rsid w:val="009370F3"/>
    <w:rsid w:val="009531CC"/>
    <w:rsid w:val="00956175"/>
    <w:rsid w:val="00961C58"/>
    <w:rsid w:val="00962267"/>
    <w:rsid w:val="009668CD"/>
    <w:rsid w:val="00974EFF"/>
    <w:rsid w:val="00976E1D"/>
    <w:rsid w:val="009823D8"/>
    <w:rsid w:val="00985869"/>
    <w:rsid w:val="00987692"/>
    <w:rsid w:val="009A1482"/>
    <w:rsid w:val="009A3595"/>
    <w:rsid w:val="009A46FF"/>
    <w:rsid w:val="009B3269"/>
    <w:rsid w:val="009D6B4E"/>
    <w:rsid w:val="009F0D3C"/>
    <w:rsid w:val="009F286D"/>
    <w:rsid w:val="009F7511"/>
    <w:rsid w:val="00A16116"/>
    <w:rsid w:val="00A3295F"/>
    <w:rsid w:val="00A336FF"/>
    <w:rsid w:val="00A45444"/>
    <w:rsid w:val="00A545E4"/>
    <w:rsid w:val="00A65674"/>
    <w:rsid w:val="00A70E08"/>
    <w:rsid w:val="00A71861"/>
    <w:rsid w:val="00A77AF2"/>
    <w:rsid w:val="00A77DA1"/>
    <w:rsid w:val="00A80B87"/>
    <w:rsid w:val="00A93B92"/>
    <w:rsid w:val="00A97666"/>
    <w:rsid w:val="00AA7DA9"/>
    <w:rsid w:val="00AC290A"/>
    <w:rsid w:val="00AD6585"/>
    <w:rsid w:val="00AE6ABF"/>
    <w:rsid w:val="00AE7666"/>
    <w:rsid w:val="00AF518A"/>
    <w:rsid w:val="00B00E71"/>
    <w:rsid w:val="00B057B0"/>
    <w:rsid w:val="00B0775F"/>
    <w:rsid w:val="00B07DA7"/>
    <w:rsid w:val="00B16538"/>
    <w:rsid w:val="00B25C8B"/>
    <w:rsid w:val="00B25EEE"/>
    <w:rsid w:val="00B311B1"/>
    <w:rsid w:val="00B32437"/>
    <w:rsid w:val="00B3536D"/>
    <w:rsid w:val="00B41298"/>
    <w:rsid w:val="00B4325D"/>
    <w:rsid w:val="00B5167C"/>
    <w:rsid w:val="00B527C3"/>
    <w:rsid w:val="00B52C06"/>
    <w:rsid w:val="00B6255C"/>
    <w:rsid w:val="00B63D0F"/>
    <w:rsid w:val="00B642AD"/>
    <w:rsid w:val="00B677CF"/>
    <w:rsid w:val="00B74DC0"/>
    <w:rsid w:val="00B84D63"/>
    <w:rsid w:val="00B870AF"/>
    <w:rsid w:val="00B95796"/>
    <w:rsid w:val="00BA038C"/>
    <w:rsid w:val="00BA1B1A"/>
    <w:rsid w:val="00BB099A"/>
    <w:rsid w:val="00BB5AD8"/>
    <w:rsid w:val="00BB6A19"/>
    <w:rsid w:val="00BC2AC6"/>
    <w:rsid w:val="00BC32CC"/>
    <w:rsid w:val="00BC4CBB"/>
    <w:rsid w:val="00BC6BDC"/>
    <w:rsid w:val="00BD43A3"/>
    <w:rsid w:val="00BD50FB"/>
    <w:rsid w:val="00BD76AF"/>
    <w:rsid w:val="00C1687D"/>
    <w:rsid w:val="00C16A6C"/>
    <w:rsid w:val="00C26851"/>
    <w:rsid w:val="00C42967"/>
    <w:rsid w:val="00C42BD8"/>
    <w:rsid w:val="00C45536"/>
    <w:rsid w:val="00C52F57"/>
    <w:rsid w:val="00C53086"/>
    <w:rsid w:val="00C63819"/>
    <w:rsid w:val="00C63E64"/>
    <w:rsid w:val="00C96465"/>
    <w:rsid w:val="00C96DF5"/>
    <w:rsid w:val="00CB5925"/>
    <w:rsid w:val="00CB5B10"/>
    <w:rsid w:val="00CB6CB2"/>
    <w:rsid w:val="00CC5EA5"/>
    <w:rsid w:val="00CC6A91"/>
    <w:rsid w:val="00CD179F"/>
    <w:rsid w:val="00CD2FCD"/>
    <w:rsid w:val="00CF4650"/>
    <w:rsid w:val="00D230AF"/>
    <w:rsid w:val="00D23FB8"/>
    <w:rsid w:val="00D25744"/>
    <w:rsid w:val="00D36F6B"/>
    <w:rsid w:val="00D46E75"/>
    <w:rsid w:val="00D51654"/>
    <w:rsid w:val="00D52FA6"/>
    <w:rsid w:val="00D5578E"/>
    <w:rsid w:val="00D6061F"/>
    <w:rsid w:val="00D77665"/>
    <w:rsid w:val="00D84444"/>
    <w:rsid w:val="00D90E63"/>
    <w:rsid w:val="00DC34AC"/>
    <w:rsid w:val="00DC7C9E"/>
    <w:rsid w:val="00DD154D"/>
    <w:rsid w:val="00DD5AE5"/>
    <w:rsid w:val="00DD5B29"/>
    <w:rsid w:val="00DE0002"/>
    <w:rsid w:val="00DE1D09"/>
    <w:rsid w:val="00DF1A59"/>
    <w:rsid w:val="00DF2593"/>
    <w:rsid w:val="00DF4267"/>
    <w:rsid w:val="00DF58ED"/>
    <w:rsid w:val="00E067C0"/>
    <w:rsid w:val="00E07BFB"/>
    <w:rsid w:val="00E12C61"/>
    <w:rsid w:val="00E14031"/>
    <w:rsid w:val="00E2351B"/>
    <w:rsid w:val="00E25C53"/>
    <w:rsid w:val="00E2724A"/>
    <w:rsid w:val="00E3198B"/>
    <w:rsid w:val="00E32FDC"/>
    <w:rsid w:val="00E40A22"/>
    <w:rsid w:val="00E41484"/>
    <w:rsid w:val="00E41D9A"/>
    <w:rsid w:val="00E44F90"/>
    <w:rsid w:val="00E466F1"/>
    <w:rsid w:val="00E46F15"/>
    <w:rsid w:val="00E51058"/>
    <w:rsid w:val="00E53B70"/>
    <w:rsid w:val="00E615F9"/>
    <w:rsid w:val="00E64717"/>
    <w:rsid w:val="00E648AB"/>
    <w:rsid w:val="00E64D4D"/>
    <w:rsid w:val="00E67636"/>
    <w:rsid w:val="00E679A0"/>
    <w:rsid w:val="00E7094A"/>
    <w:rsid w:val="00E70990"/>
    <w:rsid w:val="00E71F50"/>
    <w:rsid w:val="00E81EDD"/>
    <w:rsid w:val="00E844A1"/>
    <w:rsid w:val="00E85C16"/>
    <w:rsid w:val="00E86D7F"/>
    <w:rsid w:val="00E914EB"/>
    <w:rsid w:val="00E961F5"/>
    <w:rsid w:val="00EA7749"/>
    <w:rsid w:val="00EB5E0A"/>
    <w:rsid w:val="00EB746C"/>
    <w:rsid w:val="00EC2330"/>
    <w:rsid w:val="00EC5E0B"/>
    <w:rsid w:val="00EC6F22"/>
    <w:rsid w:val="00ED1A82"/>
    <w:rsid w:val="00ED2A3C"/>
    <w:rsid w:val="00ED504B"/>
    <w:rsid w:val="00ED622D"/>
    <w:rsid w:val="00F037C1"/>
    <w:rsid w:val="00F05C59"/>
    <w:rsid w:val="00F07A8B"/>
    <w:rsid w:val="00F14A94"/>
    <w:rsid w:val="00F15B59"/>
    <w:rsid w:val="00F169A0"/>
    <w:rsid w:val="00F20438"/>
    <w:rsid w:val="00F20761"/>
    <w:rsid w:val="00F21224"/>
    <w:rsid w:val="00F2577B"/>
    <w:rsid w:val="00F2792F"/>
    <w:rsid w:val="00F27A91"/>
    <w:rsid w:val="00F34E94"/>
    <w:rsid w:val="00F421B1"/>
    <w:rsid w:val="00F50EAC"/>
    <w:rsid w:val="00F5287F"/>
    <w:rsid w:val="00F56121"/>
    <w:rsid w:val="00F568F6"/>
    <w:rsid w:val="00F574D7"/>
    <w:rsid w:val="00F622F2"/>
    <w:rsid w:val="00F7249E"/>
    <w:rsid w:val="00F76C66"/>
    <w:rsid w:val="00F76E1D"/>
    <w:rsid w:val="00FB3E32"/>
    <w:rsid w:val="00FC5943"/>
    <w:rsid w:val="00FE2E84"/>
    <w:rsid w:val="00FE4FEA"/>
    <w:rsid w:val="00FE54EA"/>
    <w:rsid w:val="00FF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D10D-12D8-4C32-A11D-7FC64930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shoffner</cp:lastModifiedBy>
  <cp:revision>2</cp:revision>
  <cp:lastPrinted>2012-06-04T18:34:00Z</cp:lastPrinted>
  <dcterms:created xsi:type="dcterms:W3CDTF">2012-07-17T14:06:00Z</dcterms:created>
  <dcterms:modified xsi:type="dcterms:W3CDTF">2012-07-17T14:06:00Z</dcterms:modified>
</cp:coreProperties>
</file>