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BA" w:rsidRDefault="001900BA" w:rsidP="00246849">
      <w:pPr>
        <w:pStyle w:val="Title"/>
        <w:tabs>
          <w:tab w:val="clear" w:pos="360"/>
          <w:tab w:val="left" w:pos="0"/>
        </w:tabs>
      </w:pPr>
      <w:bookmarkStart w:id="0" w:name="_GoBack"/>
      <w:bookmarkEnd w:id="0"/>
      <w:r>
        <w:t>BEFORE THE</w:t>
      </w:r>
    </w:p>
    <w:p w:rsidR="001900BA" w:rsidRDefault="001900BA" w:rsidP="00246849">
      <w:pPr>
        <w:tabs>
          <w:tab w:val="left" w:pos="0"/>
        </w:tabs>
        <w:spacing w:after="0"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1900BA" w:rsidRDefault="001900BA" w:rsidP="00246849">
      <w:pPr>
        <w:tabs>
          <w:tab w:val="left" w:pos="0"/>
        </w:tabs>
        <w:spacing w:after="0" w:line="240" w:lineRule="auto"/>
        <w:jc w:val="both"/>
        <w:rPr>
          <w:b/>
        </w:rPr>
      </w:pPr>
    </w:p>
    <w:p w:rsidR="00246849" w:rsidRDefault="00246849" w:rsidP="00246849">
      <w:pPr>
        <w:tabs>
          <w:tab w:val="left" w:pos="0"/>
        </w:tabs>
        <w:spacing w:after="0" w:line="240" w:lineRule="auto"/>
        <w:jc w:val="both"/>
      </w:pPr>
    </w:p>
    <w:p w:rsidR="00246849" w:rsidRDefault="00246849" w:rsidP="00246849">
      <w:pPr>
        <w:tabs>
          <w:tab w:val="left" w:pos="0"/>
        </w:tabs>
        <w:spacing w:after="0" w:line="240" w:lineRule="auto"/>
        <w:jc w:val="both"/>
      </w:pPr>
    </w:p>
    <w:p w:rsidR="001900BA" w:rsidRDefault="001900BA" w:rsidP="00246849">
      <w:pPr>
        <w:tabs>
          <w:tab w:val="left" w:pos="0"/>
        </w:tabs>
        <w:spacing w:after="0" w:line="240" w:lineRule="auto"/>
        <w:jc w:val="both"/>
        <w:rPr>
          <w:b/>
        </w:rPr>
      </w:pPr>
      <w:r>
        <w:t>Thomas</w:t>
      </w:r>
      <w:r w:rsidR="00CB5562">
        <w:t xml:space="preserve"> V.</w:t>
      </w:r>
      <w:r>
        <w:t xml:space="preserve"> Olup</w:t>
      </w:r>
      <w:r>
        <w:tab/>
      </w:r>
      <w:r>
        <w:tab/>
      </w:r>
      <w:r>
        <w:tab/>
      </w:r>
      <w:r>
        <w:tab/>
      </w:r>
      <w:r>
        <w:tab/>
      </w:r>
      <w:r w:rsidRPr="00560DC5">
        <w:t>:</w:t>
      </w:r>
    </w:p>
    <w:p w:rsidR="001900BA" w:rsidRPr="00560DC5" w:rsidRDefault="001900BA" w:rsidP="00246849">
      <w:pPr>
        <w:tabs>
          <w:tab w:val="left" w:pos="0"/>
        </w:tabs>
        <w:spacing w:after="0" w:line="240" w:lineRule="auto"/>
        <w:jc w:val="both"/>
      </w:pPr>
      <w:r>
        <w:rPr>
          <w:b/>
        </w:rPr>
        <w:tab/>
      </w:r>
      <w:r>
        <w:rPr>
          <w:b/>
        </w:rPr>
        <w:tab/>
      </w:r>
      <w:r>
        <w:rPr>
          <w:b/>
        </w:rPr>
        <w:tab/>
      </w:r>
      <w:r>
        <w:rPr>
          <w:b/>
        </w:rPr>
        <w:tab/>
      </w:r>
      <w:r>
        <w:rPr>
          <w:b/>
        </w:rPr>
        <w:tab/>
      </w:r>
      <w:r>
        <w:rPr>
          <w:b/>
        </w:rPr>
        <w:tab/>
      </w:r>
      <w:r>
        <w:rPr>
          <w:b/>
        </w:rPr>
        <w:tab/>
      </w:r>
      <w:r w:rsidRPr="00560DC5">
        <w:t>:</w:t>
      </w:r>
    </w:p>
    <w:p w:rsidR="001900BA" w:rsidRDefault="001900BA" w:rsidP="00246849">
      <w:pPr>
        <w:tabs>
          <w:tab w:val="left" w:pos="0"/>
        </w:tabs>
        <w:spacing w:after="0" w:line="240" w:lineRule="auto"/>
        <w:jc w:val="both"/>
      </w:pPr>
      <w:r>
        <w:tab/>
        <w:t>v.</w:t>
      </w:r>
      <w:r>
        <w:tab/>
      </w:r>
      <w:r>
        <w:tab/>
      </w:r>
      <w:r>
        <w:tab/>
      </w:r>
      <w:r>
        <w:tab/>
      </w:r>
      <w:r>
        <w:tab/>
      </w:r>
      <w:r>
        <w:tab/>
      </w:r>
      <w:r w:rsidRPr="00560DC5">
        <w:t>:</w:t>
      </w:r>
      <w:r>
        <w:rPr>
          <w:b/>
        </w:rPr>
        <w:tab/>
      </w:r>
      <w:r>
        <w:rPr>
          <w:b/>
        </w:rPr>
        <w:tab/>
      </w:r>
      <w:r>
        <w:t>C-2011-2247941</w:t>
      </w:r>
    </w:p>
    <w:p w:rsidR="001900BA" w:rsidRPr="00560DC5" w:rsidRDefault="001900BA" w:rsidP="00246849">
      <w:pPr>
        <w:tabs>
          <w:tab w:val="left" w:pos="0"/>
        </w:tabs>
        <w:spacing w:after="0" w:line="240" w:lineRule="auto"/>
        <w:jc w:val="both"/>
      </w:pPr>
      <w:r>
        <w:tab/>
      </w:r>
      <w:r>
        <w:tab/>
      </w:r>
      <w:r>
        <w:tab/>
      </w:r>
      <w:r>
        <w:tab/>
      </w:r>
      <w:r>
        <w:tab/>
      </w:r>
      <w:r>
        <w:tab/>
      </w:r>
      <w:r>
        <w:tab/>
      </w:r>
      <w:r w:rsidRPr="00560DC5">
        <w:t>:</w:t>
      </w:r>
    </w:p>
    <w:p w:rsidR="001900BA" w:rsidRDefault="001900BA" w:rsidP="00246849">
      <w:pPr>
        <w:tabs>
          <w:tab w:val="left" w:pos="0"/>
        </w:tabs>
        <w:spacing w:after="0" w:line="240" w:lineRule="auto"/>
        <w:jc w:val="both"/>
      </w:pPr>
      <w:r>
        <w:t>Pennsylvania-American Water Company</w:t>
      </w:r>
      <w:r>
        <w:tab/>
      </w:r>
      <w:r>
        <w:tab/>
      </w:r>
      <w:r w:rsidRPr="00560DC5">
        <w:t>:</w:t>
      </w:r>
    </w:p>
    <w:p w:rsidR="001900BA" w:rsidRDefault="001900BA" w:rsidP="00246849">
      <w:pPr>
        <w:tabs>
          <w:tab w:val="left" w:pos="0"/>
        </w:tabs>
        <w:spacing w:after="0" w:line="240" w:lineRule="auto"/>
        <w:jc w:val="both"/>
      </w:pPr>
    </w:p>
    <w:p w:rsidR="001900BA" w:rsidRDefault="001900BA" w:rsidP="00246849">
      <w:pPr>
        <w:tabs>
          <w:tab w:val="left" w:pos="0"/>
        </w:tabs>
        <w:spacing w:after="0" w:line="233" w:lineRule="auto"/>
        <w:jc w:val="both"/>
        <w:rPr>
          <w:b/>
        </w:rPr>
      </w:pPr>
    </w:p>
    <w:p w:rsidR="00792796" w:rsidRDefault="00792796" w:rsidP="00246849">
      <w:pPr>
        <w:spacing w:after="0"/>
      </w:pPr>
    </w:p>
    <w:p w:rsidR="004B6DD6" w:rsidRPr="00C875F6" w:rsidRDefault="004B6DD6" w:rsidP="00246849">
      <w:pPr>
        <w:spacing w:after="0" w:line="240" w:lineRule="auto"/>
        <w:jc w:val="center"/>
        <w:rPr>
          <w:b/>
          <w:u w:val="single"/>
        </w:rPr>
      </w:pPr>
      <w:r w:rsidRPr="00C875F6">
        <w:rPr>
          <w:b/>
          <w:u w:val="single"/>
        </w:rPr>
        <w:t>INITIAL DECISION</w:t>
      </w:r>
    </w:p>
    <w:p w:rsidR="00C875F6" w:rsidRDefault="00C875F6" w:rsidP="00246849">
      <w:pPr>
        <w:spacing w:after="0" w:line="240" w:lineRule="auto"/>
        <w:jc w:val="center"/>
      </w:pPr>
    </w:p>
    <w:p w:rsidR="00246849" w:rsidRDefault="00246849" w:rsidP="00246849">
      <w:pPr>
        <w:spacing w:after="0" w:line="240" w:lineRule="auto"/>
        <w:jc w:val="center"/>
      </w:pPr>
    </w:p>
    <w:p w:rsidR="00C875F6" w:rsidRDefault="004B6DD6" w:rsidP="00246849">
      <w:pPr>
        <w:spacing w:after="0" w:line="240" w:lineRule="auto"/>
        <w:jc w:val="center"/>
      </w:pPr>
      <w:r>
        <w:t>B</w:t>
      </w:r>
      <w:r w:rsidR="00AF58B5">
        <w:t>efore</w:t>
      </w:r>
      <w:r>
        <w:t xml:space="preserve"> </w:t>
      </w:r>
    </w:p>
    <w:p w:rsidR="004B6DD6" w:rsidRDefault="004B6DD6" w:rsidP="00246849">
      <w:pPr>
        <w:spacing w:after="0" w:line="240" w:lineRule="auto"/>
        <w:jc w:val="center"/>
      </w:pPr>
      <w:r>
        <w:t>Mary D. Long</w:t>
      </w:r>
    </w:p>
    <w:p w:rsidR="004B6DD6" w:rsidRDefault="004B6DD6" w:rsidP="00246849">
      <w:pPr>
        <w:spacing w:after="0" w:line="240" w:lineRule="auto"/>
        <w:jc w:val="center"/>
      </w:pPr>
      <w:r>
        <w:t>Administrative Law Judge</w:t>
      </w:r>
    </w:p>
    <w:p w:rsidR="004B6DD6" w:rsidRDefault="004B6DD6" w:rsidP="00246849">
      <w:pPr>
        <w:spacing w:after="0"/>
      </w:pPr>
    </w:p>
    <w:p w:rsidR="00AA6BF3" w:rsidRDefault="004B6DD6" w:rsidP="00246849">
      <w:pPr>
        <w:spacing w:after="0"/>
        <w:jc w:val="center"/>
        <w:rPr>
          <w:u w:val="single"/>
        </w:rPr>
      </w:pPr>
      <w:r w:rsidRPr="00C875F6">
        <w:rPr>
          <w:u w:val="single"/>
        </w:rPr>
        <w:t xml:space="preserve">HISTORY OF </w:t>
      </w:r>
      <w:r w:rsidR="00BB5925">
        <w:rPr>
          <w:u w:val="single"/>
        </w:rPr>
        <w:t xml:space="preserve">THE </w:t>
      </w:r>
      <w:r w:rsidRPr="00C875F6">
        <w:rPr>
          <w:u w:val="single"/>
        </w:rPr>
        <w:t>PROCEEDINGS</w:t>
      </w:r>
    </w:p>
    <w:p w:rsidR="00246849" w:rsidRPr="00C875F6" w:rsidRDefault="00246849" w:rsidP="00246849">
      <w:pPr>
        <w:spacing w:after="0"/>
        <w:jc w:val="center"/>
        <w:rPr>
          <w:u w:val="single"/>
        </w:rPr>
      </w:pPr>
    </w:p>
    <w:p w:rsidR="007D6664" w:rsidRDefault="004B6DD6" w:rsidP="00246849">
      <w:pPr>
        <w:spacing w:after="0"/>
      </w:pPr>
      <w:r>
        <w:tab/>
      </w:r>
      <w:r w:rsidR="00246849">
        <w:tab/>
      </w:r>
      <w:r>
        <w:t>On June 11, 2011, Thomas V. Olup (Complainant) filed a formal complaint against Pennsylvania</w:t>
      </w:r>
      <w:r w:rsidR="00BB5925">
        <w:t>-</w:t>
      </w:r>
      <w:r>
        <w:t>American Water Company</w:t>
      </w:r>
      <w:r w:rsidR="00FE3AB2">
        <w:t xml:space="preserve"> (the Company or PAWC)</w:t>
      </w:r>
      <w:r>
        <w:t xml:space="preserve"> which</w:t>
      </w:r>
      <w:r w:rsidRPr="003B2AD9">
        <w:t xml:space="preserve">, among other things, </w:t>
      </w:r>
      <w:r w:rsidR="003B2AD9">
        <w:t>alleged that flooding due to a faulty water main in June 2008 caused damage and safety problems at a home on Agnew Road in Baldwin Borough, Allegheny County</w:t>
      </w:r>
      <w:r w:rsidRPr="003B2AD9">
        <w:t>.</w:t>
      </w:r>
      <w:r>
        <w:t xml:space="preserve">  By answer and new matter dated July 12, 2011, the Company admitted that a mainline break had occurred on June 14, 2008, but denied that the break was due to a failure to maintain adequate facilities or that it failed to render reasonable service to affected</w:t>
      </w:r>
      <w:r w:rsidR="00BB5925">
        <w:t xml:space="preserve"> customers</w:t>
      </w:r>
      <w:r w:rsidR="001C1048">
        <w:t>.</w:t>
      </w:r>
      <w:r w:rsidR="00B13A7A">
        <w:t xml:space="preserve"> </w:t>
      </w:r>
    </w:p>
    <w:p w:rsidR="00246849" w:rsidRDefault="00246849" w:rsidP="00246849">
      <w:pPr>
        <w:spacing w:after="0"/>
      </w:pPr>
    </w:p>
    <w:p w:rsidR="00E36E7F" w:rsidRDefault="00A163C0" w:rsidP="00246849">
      <w:pPr>
        <w:spacing w:after="0"/>
      </w:pPr>
      <w:r>
        <w:tab/>
      </w:r>
      <w:r w:rsidR="00246849">
        <w:tab/>
      </w:r>
      <w:r w:rsidR="00E36E7F">
        <w:t>The Company also filed preliminary objections which sought dismissal of claims related to the Company’s 2011 requested rate increase</w:t>
      </w:r>
      <w:r w:rsidR="00E36E7F">
        <w:rPr>
          <w:rStyle w:val="FootnoteReference"/>
        </w:rPr>
        <w:footnoteReference w:id="1"/>
      </w:r>
      <w:r w:rsidR="00E36E7F">
        <w:t xml:space="preserve"> and claims for money damages.  </w:t>
      </w:r>
      <w:r>
        <w:t xml:space="preserve">On November 17, 2011, </w:t>
      </w:r>
      <w:r w:rsidR="00E36E7F">
        <w:t xml:space="preserve">I sustained the </w:t>
      </w:r>
      <w:r>
        <w:t xml:space="preserve"> preliminary objections seeking dismissal of the claims </w:t>
      </w:r>
      <w:r>
        <w:lastRenderedPageBreak/>
        <w:t>related to the proposed residential rate increase</w:t>
      </w:r>
      <w:r w:rsidR="00F53F56">
        <w:t xml:space="preserve"> which had been resolved by the Commission in the base rate proceeding</w:t>
      </w:r>
      <w:r w:rsidR="00F53F56">
        <w:rPr>
          <w:rStyle w:val="FootnoteReference"/>
        </w:rPr>
        <w:footnoteReference w:id="2"/>
      </w:r>
      <w:r>
        <w:t xml:space="preserve"> and dismissal of the claim for relief in the form of monetary damages</w:t>
      </w:r>
      <w:r w:rsidR="00E36E7F">
        <w:t>.</w:t>
      </w:r>
    </w:p>
    <w:p w:rsidR="00246849" w:rsidRDefault="00246849" w:rsidP="00246849">
      <w:pPr>
        <w:spacing w:after="0"/>
      </w:pPr>
    </w:p>
    <w:p w:rsidR="00C5450B" w:rsidRDefault="00C5450B" w:rsidP="00246849">
      <w:pPr>
        <w:spacing w:after="0"/>
      </w:pPr>
      <w:r>
        <w:tab/>
      </w:r>
      <w:r w:rsidR="00246849">
        <w:tab/>
      </w:r>
      <w:r w:rsidR="00336AC5">
        <w:t>A</w:t>
      </w:r>
      <w:r>
        <w:t xml:space="preserve"> hearing convened on January 19, 2012.</w:t>
      </w:r>
      <w:r w:rsidR="00336AC5">
        <w:rPr>
          <w:rStyle w:val="FootnoteReference"/>
        </w:rPr>
        <w:footnoteReference w:id="3"/>
      </w:r>
      <w:r>
        <w:t xml:space="preserve">  Jeffrey T. Olup, Esquire appeared on behalf of the Complainant.  He presented the testimony of two witnesses</w:t>
      </w:r>
      <w:r w:rsidR="00201361">
        <w:t xml:space="preserve">. </w:t>
      </w:r>
      <w:r w:rsidR="0054600A">
        <w:t xml:space="preserve"> </w:t>
      </w:r>
      <w:r w:rsidR="00201361">
        <w:t xml:space="preserve">Twelve </w:t>
      </w:r>
      <w:r>
        <w:t xml:space="preserve">exhibits were admitted into the record.  </w:t>
      </w:r>
      <w:r w:rsidR="00201361">
        <w:t>The Company,</w:t>
      </w:r>
      <w:r>
        <w:t xml:space="preserve"> represented by Michael A. Gruin, Esquire</w:t>
      </w:r>
      <w:r w:rsidR="00201361">
        <w:t xml:space="preserve">, </w:t>
      </w:r>
      <w:r>
        <w:t>presented the testimony of four witnesses and offered ten exhibits which were admitted into the record.  The hearing generated a transcript of 192 pages.</w:t>
      </w:r>
    </w:p>
    <w:p w:rsidR="00246849" w:rsidRDefault="00246849" w:rsidP="00246849">
      <w:pPr>
        <w:spacing w:after="0"/>
      </w:pPr>
    </w:p>
    <w:p w:rsidR="00C5450B" w:rsidRDefault="00C5450B" w:rsidP="00246849">
      <w:pPr>
        <w:spacing w:after="0"/>
      </w:pPr>
      <w:r>
        <w:tab/>
      </w:r>
      <w:r w:rsidR="00246849">
        <w:tab/>
      </w:r>
      <w:r>
        <w:t xml:space="preserve">The Complainant requested an opportunity to file briefs in this matter.  The Complainant’s main brief was filed on March 22, 2012.  </w:t>
      </w:r>
      <w:r w:rsidR="00420C77">
        <w:t>The Company</w:t>
      </w:r>
      <w:r>
        <w:t xml:space="preserve"> filed a responsive brief on April 23, 2012</w:t>
      </w:r>
      <w:r w:rsidR="00063A8D">
        <w:t>, and the Complainant filed a reply brief on May 3, 2012.  By order dated May 4, 2012, the record was closed.</w:t>
      </w:r>
    </w:p>
    <w:p w:rsidR="00246849" w:rsidRDefault="00246849" w:rsidP="00246849">
      <w:pPr>
        <w:spacing w:after="0"/>
      </w:pPr>
    </w:p>
    <w:p w:rsidR="00CC46F0" w:rsidRDefault="00CC46F0" w:rsidP="00246849">
      <w:pPr>
        <w:spacing w:after="0"/>
      </w:pPr>
      <w:r>
        <w:tab/>
      </w:r>
      <w:r w:rsidR="00246849">
        <w:tab/>
      </w:r>
      <w:r>
        <w:t>After full consideration of the record in this case, I make the following:</w:t>
      </w:r>
    </w:p>
    <w:p w:rsidR="00CB5562" w:rsidRDefault="00CB5562" w:rsidP="00246849">
      <w:pPr>
        <w:spacing w:after="0"/>
      </w:pPr>
    </w:p>
    <w:p w:rsidR="00CC46F0" w:rsidRDefault="00CC46F0" w:rsidP="00246849">
      <w:pPr>
        <w:spacing w:after="0"/>
        <w:jc w:val="center"/>
        <w:rPr>
          <w:u w:val="single"/>
        </w:rPr>
      </w:pPr>
      <w:r w:rsidRPr="000D3B8C">
        <w:rPr>
          <w:u w:val="single"/>
        </w:rPr>
        <w:t>FINDINGS OF FACT</w:t>
      </w:r>
    </w:p>
    <w:p w:rsidR="00246849" w:rsidRPr="000D3B8C" w:rsidRDefault="00246849" w:rsidP="00246849">
      <w:pPr>
        <w:spacing w:after="0"/>
        <w:jc w:val="center"/>
        <w:rPr>
          <w:u w:val="single"/>
        </w:rPr>
      </w:pPr>
    </w:p>
    <w:p w:rsidR="009576B9" w:rsidRDefault="009576B9" w:rsidP="00246849">
      <w:pPr>
        <w:pStyle w:val="ListParagraph"/>
        <w:numPr>
          <w:ilvl w:val="0"/>
          <w:numId w:val="1"/>
        </w:numPr>
        <w:spacing w:after="0"/>
        <w:ind w:left="0" w:firstLine="1440"/>
        <w:contextualSpacing w:val="0"/>
      </w:pPr>
      <w:r>
        <w:t>The Complainant is Thomas V. Olup.  The service address is the former home of his in-laws at 719 Agnew Road, Pittsburgh, Pennsylvania.</w:t>
      </w:r>
    </w:p>
    <w:p w:rsidR="00246849" w:rsidRDefault="00246849" w:rsidP="00246849">
      <w:pPr>
        <w:pStyle w:val="ListParagraph"/>
        <w:spacing w:after="0"/>
        <w:ind w:firstLine="0"/>
        <w:contextualSpacing w:val="0"/>
      </w:pPr>
    </w:p>
    <w:p w:rsidR="00111800" w:rsidRDefault="009576B9" w:rsidP="00246849">
      <w:pPr>
        <w:pStyle w:val="ListParagraph"/>
        <w:numPr>
          <w:ilvl w:val="0"/>
          <w:numId w:val="1"/>
        </w:numPr>
        <w:spacing w:after="0"/>
        <w:ind w:left="0" w:firstLine="1440"/>
        <w:contextualSpacing w:val="0"/>
      </w:pPr>
      <w:r>
        <w:t>Pennsylvania</w:t>
      </w:r>
      <w:r w:rsidR="006B6E86">
        <w:t>-American Water Company provided</w:t>
      </w:r>
      <w:r>
        <w:t xml:space="preserve"> water distribution service to the service address via an </w:t>
      </w:r>
      <w:r w:rsidR="00D703D2">
        <w:t>eight</w:t>
      </w:r>
      <w:r>
        <w:t>-inch</w:t>
      </w:r>
      <w:r w:rsidR="006B6E86">
        <w:t xml:space="preserve"> cast iron</w:t>
      </w:r>
      <w:r>
        <w:t xml:space="preserve"> water main along Agnew Road (the Agnew line). </w:t>
      </w:r>
      <w:r w:rsidR="00445200">
        <w:t xml:space="preserve"> </w:t>
      </w:r>
      <w:r w:rsidR="00111800">
        <w:t>The line on Agnew Road was constructed in 1937.</w:t>
      </w:r>
      <w:r w:rsidR="004E2130">
        <w:t xml:space="preserve"> </w:t>
      </w:r>
      <w:r w:rsidR="00445200">
        <w:t xml:space="preserve"> </w:t>
      </w:r>
      <w:r w:rsidR="00420C77">
        <w:t>(N.T. 121-23)</w:t>
      </w:r>
    </w:p>
    <w:p w:rsidR="00246849" w:rsidRDefault="00246849" w:rsidP="00246849">
      <w:pPr>
        <w:pStyle w:val="ListParagraph"/>
        <w:spacing w:after="0"/>
        <w:ind w:left="1440" w:firstLine="0"/>
        <w:contextualSpacing w:val="0"/>
      </w:pPr>
    </w:p>
    <w:p w:rsidR="00AF58B5" w:rsidRDefault="009576B9" w:rsidP="00246849">
      <w:pPr>
        <w:pStyle w:val="ListParagraph"/>
        <w:numPr>
          <w:ilvl w:val="0"/>
          <w:numId w:val="1"/>
        </w:numPr>
        <w:spacing w:after="0"/>
        <w:ind w:left="0" w:firstLine="1440"/>
        <w:contextualSpacing w:val="0"/>
      </w:pPr>
      <w:r>
        <w:t xml:space="preserve">The Agnew line ruptured </w:t>
      </w:r>
      <w:r w:rsidR="00420C77">
        <w:t>o</w:t>
      </w:r>
      <w:r w:rsidR="00111800">
        <w:t xml:space="preserve">n June </w:t>
      </w:r>
      <w:r w:rsidR="006B6E86">
        <w:t xml:space="preserve">14, </w:t>
      </w:r>
      <w:r w:rsidR="00111800">
        <w:t>2008</w:t>
      </w:r>
      <w:r w:rsidR="006B6E86">
        <w:t>,</w:t>
      </w:r>
      <w:r w:rsidR="00111800">
        <w:t xml:space="preserve"> and caused a substantial amount of damage to a number of homes along Agnew Road.  </w:t>
      </w:r>
      <w:r w:rsidR="006B6E86">
        <w:t>(N.T. 103-109; PAWC Ex. 1)</w:t>
      </w:r>
    </w:p>
    <w:p w:rsidR="00111800" w:rsidRDefault="006B6E86" w:rsidP="00246849">
      <w:pPr>
        <w:pStyle w:val="ListParagraph"/>
        <w:numPr>
          <w:ilvl w:val="0"/>
          <w:numId w:val="1"/>
        </w:numPr>
        <w:spacing w:after="0"/>
        <w:ind w:left="0" w:firstLine="1440"/>
        <w:contextualSpacing w:val="0"/>
      </w:pPr>
      <w:r>
        <w:lastRenderedPageBreak/>
        <w:t>The rupture was an 18-24-inch split in the iron pipe.  The rupture was repaired by</w:t>
      </w:r>
      <w:r w:rsidR="00420C77">
        <w:t xml:space="preserve"> isolating the leak,</w:t>
      </w:r>
      <w:r>
        <w:t xml:space="preserve"> replacing four to five feet of pipe</w:t>
      </w:r>
      <w:r w:rsidR="00D703D2">
        <w:t xml:space="preserve"> and installing one six</w:t>
      </w:r>
      <w:r w:rsidR="00420C77">
        <w:t>-inch main line valve</w:t>
      </w:r>
      <w:r>
        <w:t>.</w:t>
      </w:r>
      <w:r w:rsidR="00445200">
        <w:t xml:space="preserve">  </w:t>
      </w:r>
      <w:r>
        <w:t xml:space="preserve">(N.T. </w:t>
      </w:r>
      <w:r w:rsidR="00420C77">
        <w:t xml:space="preserve">112, </w:t>
      </w:r>
      <w:r>
        <w:t>124, 133)</w:t>
      </w:r>
    </w:p>
    <w:p w:rsidR="00246849" w:rsidRDefault="00246849" w:rsidP="00246849">
      <w:pPr>
        <w:pStyle w:val="ListParagraph"/>
        <w:spacing w:after="0"/>
        <w:ind w:firstLine="0"/>
        <w:contextualSpacing w:val="0"/>
      </w:pPr>
    </w:p>
    <w:p w:rsidR="00111800" w:rsidRDefault="00111800" w:rsidP="00246849">
      <w:pPr>
        <w:pStyle w:val="ListParagraph"/>
        <w:numPr>
          <w:ilvl w:val="0"/>
          <w:numId w:val="1"/>
        </w:numPr>
        <w:spacing w:after="0"/>
        <w:ind w:left="0" w:firstLine="1440"/>
        <w:contextualSpacing w:val="0"/>
      </w:pPr>
      <w:r>
        <w:t>When the pipe ruptured in 2008, the repair crew observed that deposits had built up a</w:t>
      </w:r>
      <w:r w:rsidR="00420C77">
        <w:t xml:space="preserve">nd the opening of the </w:t>
      </w:r>
      <w:r w:rsidR="00D703D2">
        <w:t>eight-</w:t>
      </w:r>
      <w:r w:rsidR="00420C77">
        <w:t>inch pipe</w:t>
      </w:r>
      <w:r w:rsidR="00D703D2">
        <w:t xml:space="preserve"> was only six or seven</w:t>
      </w:r>
      <w:r>
        <w:t xml:space="preserve"> inches in diameter.</w:t>
      </w:r>
      <w:r w:rsidR="006B6E86">
        <w:rPr>
          <w:rStyle w:val="FootnoteReference"/>
        </w:rPr>
        <w:t xml:space="preserve"> </w:t>
      </w:r>
      <w:r w:rsidR="006B6E86">
        <w:t xml:space="preserve"> </w:t>
      </w:r>
      <w:r w:rsidR="00445200">
        <w:t xml:space="preserve"> </w:t>
      </w:r>
      <w:r w:rsidR="006B6E86">
        <w:t>(N.T. 129)</w:t>
      </w:r>
    </w:p>
    <w:p w:rsidR="00246849" w:rsidRDefault="00246849" w:rsidP="00246849">
      <w:pPr>
        <w:pStyle w:val="ListParagraph"/>
      </w:pPr>
    </w:p>
    <w:p w:rsidR="00D703D2" w:rsidRDefault="00111800" w:rsidP="00246849">
      <w:pPr>
        <w:pStyle w:val="ListParagraph"/>
        <w:numPr>
          <w:ilvl w:val="0"/>
          <w:numId w:val="1"/>
        </w:numPr>
        <w:spacing w:after="0"/>
        <w:ind w:left="0" w:firstLine="1440"/>
        <w:contextualSpacing w:val="0"/>
      </w:pPr>
      <w:r>
        <w:t xml:space="preserve">While the line was certainly nearing the end of its useful life, the industry standard for cast iron pipes </w:t>
      </w:r>
      <w:r w:rsidR="00D703D2">
        <w:t>i</w:t>
      </w:r>
      <w:r>
        <w:t>s 70 to 100 years</w:t>
      </w:r>
      <w:r w:rsidR="00D703D2">
        <w:t xml:space="preserve"> of use</w:t>
      </w:r>
      <w:r>
        <w:t>.</w:t>
      </w:r>
      <w:r w:rsidR="00136909">
        <w:t xml:space="preserve"> </w:t>
      </w:r>
      <w:r w:rsidR="00445200">
        <w:t xml:space="preserve"> </w:t>
      </w:r>
      <w:r>
        <w:t>Indeed, the Company has several active mains that are over 100 years old.</w:t>
      </w:r>
      <w:r w:rsidR="00445200">
        <w:t xml:space="preserve"> </w:t>
      </w:r>
      <w:r w:rsidR="00D703D2">
        <w:t xml:space="preserve"> (N.T. 140)</w:t>
      </w:r>
    </w:p>
    <w:p w:rsidR="00246849" w:rsidRDefault="00246849" w:rsidP="00246849">
      <w:pPr>
        <w:pStyle w:val="ListParagraph"/>
      </w:pPr>
    </w:p>
    <w:p w:rsidR="00C722FE" w:rsidRDefault="00D703D2" w:rsidP="00246849">
      <w:pPr>
        <w:pStyle w:val="ListParagraph"/>
        <w:numPr>
          <w:ilvl w:val="0"/>
          <w:numId w:val="1"/>
        </w:numPr>
        <w:spacing w:after="0"/>
        <w:ind w:left="0" w:firstLine="1440"/>
        <w:contextualSpacing w:val="0"/>
      </w:pPr>
      <w:r>
        <w:t xml:space="preserve"> </w:t>
      </w:r>
      <w:r w:rsidR="00C722FE">
        <w:t>The same main also broke 14 years earlier, in 1994, and also caused damage to homes along Agnew Road.</w:t>
      </w:r>
      <w:r w:rsidR="00420C77">
        <w:t xml:space="preserve"> </w:t>
      </w:r>
      <w:r w:rsidR="00445200">
        <w:t xml:space="preserve"> </w:t>
      </w:r>
      <w:r w:rsidR="00420C77">
        <w:t>(N.T. 13-14, Complainant Ex. Q)</w:t>
      </w:r>
    </w:p>
    <w:p w:rsidR="00246849" w:rsidRDefault="00246849" w:rsidP="00246849">
      <w:pPr>
        <w:pStyle w:val="ListParagraph"/>
      </w:pPr>
    </w:p>
    <w:p w:rsidR="00C722FE" w:rsidRDefault="00C722FE" w:rsidP="00246849">
      <w:pPr>
        <w:pStyle w:val="ListParagraph"/>
        <w:numPr>
          <w:ilvl w:val="0"/>
          <w:numId w:val="1"/>
        </w:numPr>
        <w:spacing w:after="0"/>
        <w:ind w:left="0" w:firstLine="1440"/>
        <w:contextualSpacing w:val="0"/>
      </w:pPr>
      <w:r>
        <w:t>In a span of 33 years, between 1975 and 2008, the Agnew main has broken four or possibly five times.</w:t>
      </w:r>
      <w:r w:rsidR="00340DA8">
        <w:t xml:space="preserve">  (Complainant Ex. Q)</w:t>
      </w:r>
    </w:p>
    <w:p w:rsidR="00246849" w:rsidRDefault="00246849" w:rsidP="00246849">
      <w:pPr>
        <w:pStyle w:val="ListParagraph"/>
      </w:pPr>
    </w:p>
    <w:p w:rsidR="00340DA8" w:rsidRDefault="00111800" w:rsidP="00246849">
      <w:pPr>
        <w:pStyle w:val="ListParagraph"/>
        <w:numPr>
          <w:ilvl w:val="0"/>
          <w:numId w:val="1"/>
        </w:numPr>
        <w:spacing w:after="0"/>
        <w:ind w:left="0" w:firstLine="1440"/>
        <w:contextualSpacing w:val="0"/>
      </w:pPr>
      <w:r>
        <w:t>A troublesome line is one that suffers four or five breaks in a two or three-year timeframe.</w:t>
      </w:r>
      <w:r w:rsidR="00445200">
        <w:t xml:space="preserve"> </w:t>
      </w:r>
      <w:r w:rsidR="00340DA8">
        <w:t xml:space="preserve"> (N.T. 146-48)</w:t>
      </w:r>
    </w:p>
    <w:p w:rsidR="00246849" w:rsidRDefault="00246849" w:rsidP="00246849">
      <w:pPr>
        <w:pStyle w:val="ListParagraph"/>
      </w:pPr>
    </w:p>
    <w:p w:rsidR="00D703D2" w:rsidRDefault="00D703D2" w:rsidP="00246849">
      <w:pPr>
        <w:pStyle w:val="ListParagraph"/>
        <w:numPr>
          <w:ilvl w:val="0"/>
          <w:numId w:val="1"/>
        </w:numPr>
        <w:spacing w:after="0"/>
        <w:ind w:left="0" w:firstLine="1440"/>
        <w:contextualSpacing w:val="0"/>
      </w:pPr>
      <w:r>
        <w:t xml:space="preserve">The Agnew line is not a troublesome line. </w:t>
      </w:r>
      <w:r w:rsidR="00445200">
        <w:t xml:space="preserve"> </w:t>
      </w:r>
      <w:r>
        <w:t>(N.T. 146-48)</w:t>
      </w:r>
    </w:p>
    <w:p w:rsidR="00246849" w:rsidRDefault="00246849" w:rsidP="00246849">
      <w:pPr>
        <w:pStyle w:val="ListParagraph"/>
      </w:pPr>
    </w:p>
    <w:p w:rsidR="00704903" w:rsidRDefault="00340DA8" w:rsidP="00246849">
      <w:pPr>
        <w:pStyle w:val="ListParagraph"/>
        <w:numPr>
          <w:ilvl w:val="0"/>
          <w:numId w:val="1"/>
        </w:numPr>
        <w:spacing w:after="0"/>
        <w:ind w:left="0" w:firstLine="1440"/>
        <w:contextualSpacing w:val="0"/>
      </w:pPr>
      <w:r>
        <w:t>Because of the condition of the Agnew line after the 2008 break, the Company replaced the main on Agnew Road from Joseph</w:t>
      </w:r>
      <w:r w:rsidR="00E20C35">
        <w:t xml:space="preserve"> Street</w:t>
      </w:r>
      <w:r>
        <w:t xml:space="preserve"> to Custer</w:t>
      </w:r>
      <w:r w:rsidR="00E20C35">
        <w:t xml:space="preserve"> Avenue </w:t>
      </w:r>
      <w:r>
        <w:t>in 2010.  (N.T. 140, 146</w:t>
      </w:r>
      <w:r w:rsidR="00E20C35">
        <w:t>; PAWC Ex. 2</w:t>
      </w:r>
      <w:r>
        <w:t>)</w:t>
      </w:r>
      <w:r w:rsidR="00E20C35">
        <w:t>.</w:t>
      </w:r>
    </w:p>
    <w:p w:rsidR="000D3B8C" w:rsidRDefault="000D3B8C" w:rsidP="00246849">
      <w:pPr>
        <w:pStyle w:val="ListParagraph"/>
        <w:spacing w:after="0"/>
        <w:ind w:firstLine="0"/>
      </w:pPr>
    </w:p>
    <w:p w:rsidR="00246849" w:rsidRDefault="00246849">
      <w:pPr>
        <w:spacing w:line="276" w:lineRule="auto"/>
        <w:rPr>
          <w:u w:val="single"/>
        </w:rPr>
      </w:pPr>
      <w:r>
        <w:rPr>
          <w:u w:val="single"/>
        </w:rPr>
        <w:br w:type="page"/>
      </w:r>
    </w:p>
    <w:p w:rsidR="00704903" w:rsidRDefault="00704903" w:rsidP="00246849">
      <w:pPr>
        <w:spacing w:after="0"/>
        <w:jc w:val="center"/>
        <w:rPr>
          <w:u w:val="single"/>
        </w:rPr>
      </w:pPr>
      <w:r w:rsidRPr="008276EA">
        <w:rPr>
          <w:u w:val="single"/>
        </w:rPr>
        <w:lastRenderedPageBreak/>
        <w:t>DISCUSSION</w:t>
      </w:r>
    </w:p>
    <w:p w:rsidR="00246849" w:rsidRPr="008276EA" w:rsidRDefault="00246849" w:rsidP="00246849">
      <w:pPr>
        <w:spacing w:after="0"/>
        <w:jc w:val="center"/>
        <w:rPr>
          <w:u w:val="single"/>
        </w:rPr>
      </w:pPr>
    </w:p>
    <w:p w:rsidR="00704903" w:rsidRDefault="00704903" w:rsidP="00246849">
      <w:pPr>
        <w:spacing w:after="0"/>
        <w:ind w:firstLine="720"/>
      </w:pPr>
      <w:r>
        <w:tab/>
        <w:t>The</w:t>
      </w:r>
      <w:r w:rsidR="00B93214">
        <w:t xml:space="preserve"> sole issue pursued by the</w:t>
      </w:r>
      <w:r>
        <w:t xml:space="preserve"> Complainant </w:t>
      </w:r>
      <w:r w:rsidR="00B93214">
        <w:t>is</w:t>
      </w:r>
      <w:r>
        <w:t xml:space="preserve"> that the Company has violated Section 1501 of the Public Utility Code</w:t>
      </w:r>
      <w:r w:rsidR="00CB34DB">
        <w:rPr>
          <w:rStyle w:val="FootnoteReference"/>
        </w:rPr>
        <w:footnoteReference w:id="4"/>
      </w:r>
      <w:r>
        <w:t xml:space="preserve"> because it failed to properly maintain the water main on Agnew Road.</w:t>
      </w:r>
      <w:r w:rsidR="00E20C35">
        <w:rPr>
          <w:rStyle w:val="FootnoteReference"/>
        </w:rPr>
        <w:footnoteReference w:id="5"/>
      </w:r>
      <w:r>
        <w:t xml:space="preserve">  </w:t>
      </w:r>
      <w:r w:rsidR="003E7AD8">
        <w:t>As the party seeking relief from this Commission, the Complainant bears the burden of proof.</w:t>
      </w:r>
      <w:r w:rsidR="003E7AD8">
        <w:rPr>
          <w:rStyle w:val="FootnoteReference"/>
        </w:rPr>
        <w:footnoteReference w:id="6"/>
      </w:r>
      <w:r w:rsidR="003E7AD8" w:rsidRPr="00C24DC1">
        <w:t xml:space="preserve"> </w:t>
      </w:r>
      <w:r w:rsidR="00445200">
        <w:t xml:space="preserve"> </w:t>
      </w:r>
      <w:r w:rsidR="003E7AD8" w:rsidRPr="00C24DC1">
        <w:t>The Commission has held that a complainant, to establish a sufficient case against a utility and satisfy the burden of proof</w:t>
      </w:r>
      <w:r w:rsidR="00CB34DB">
        <w:t xml:space="preserve">, </w:t>
      </w:r>
      <w:r w:rsidR="003E7AD8" w:rsidRPr="00C24DC1">
        <w:t>must show the utility is responsible or accountable for the pr</w:t>
      </w:r>
      <w:r w:rsidR="003E7AD8">
        <w:t>oblem described in the complaint</w:t>
      </w:r>
      <w:r w:rsidR="003E7AD8" w:rsidRPr="00C24DC1">
        <w:t>.</w:t>
      </w:r>
      <w:r w:rsidR="003E7AD8">
        <w:rPr>
          <w:rStyle w:val="FootnoteReference"/>
        </w:rPr>
        <w:footnoteReference w:id="7"/>
      </w:r>
      <w:r w:rsidR="003E7AD8">
        <w:t xml:space="preserve">  In this case, the Complainant must show that the Company failed to adequately and properly maintain the water main on Agnew Road</w:t>
      </w:r>
      <w:r w:rsidR="005E482B">
        <w:t xml:space="preserve">.  </w:t>
      </w:r>
      <w:r w:rsidR="004F1998">
        <w:t xml:space="preserve">Viewing the record in its totality, the </w:t>
      </w:r>
      <w:r>
        <w:t xml:space="preserve">Complainant </w:t>
      </w:r>
      <w:r w:rsidR="004F1998">
        <w:t>has failed to meet</w:t>
      </w:r>
      <w:r>
        <w:t xml:space="preserve"> this burden and therefore his complaint must be dismissed.</w:t>
      </w:r>
    </w:p>
    <w:p w:rsidR="00246849" w:rsidRDefault="00246849" w:rsidP="00246849">
      <w:pPr>
        <w:spacing w:after="0"/>
        <w:ind w:firstLine="720"/>
      </w:pPr>
    </w:p>
    <w:p w:rsidR="00C05AFB" w:rsidRDefault="00C05AFB" w:rsidP="00246849">
      <w:pPr>
        <w:spacing w:after="0"/>
      </w:pPr>
      <w:r>
        <w:tab/>
      </w:r>
      <w:r w:rsidR="00246849">
        <w:tab/>
      </w:r>
      <w:r w:rsidR="009F6DAE">
        <w:t>There is no dispute that the</w:t>
      </w:r>
      <w:r w:rsidR="00807084">
        <w:t xml:space="preserve"> Company’s water main ruptured i</w:t>
      </w:r>
      <w:r w:rsidR="009F6DAE">
        <w:t>n June 2008 and caused a substantial amount of damage to a number of homes along Agnew Road.  There is no dispute that the same main also broke 14 years earlier, in 1994, and also caused damage to homes along Agnew Road.</w:t>
      </w:r>
      <w:r w:rsidR="00166B2E">
        <w:t xml:space="preserve">  However, there is not sufficient evidence to conclude that the repair made in 1994 was insufficient and that the Company should have reasonably anticipated the main break in 2008 and failed to take proper </w:t>
      </w:r>
      <w:r w:rsidR="00D703EF">
        <w:t xml:space="preserve">corrective </w:t>
      </w:r>
      <w:r w:rsidR="00166B2E">
        <w:t>action.</w:t>
      </w:r>
    </w:p>
    <w:p w:rsidR="00246849" w:rsidRDefault="00246849" w:rsidP="00246849">
      <w:pPr>
        <w:spacing w:after="0"/>
      </w:pPr>
    </w:p>
    <w:p w:rsidR="002A5CDB" w:rsidRDefault="002A5CDB" w:rsidP="00246849">
      <w:pPr>
        <w:spacing w:after="0"/>
      </w:pPr>
      <w:r>
        <w:tab/>
      </w:r>
      <w:r w:rsidR="00246849">
        <w:tab/>
      </w:r>
      <w:r>
        <w:t>The only testimony offered concerning the 1994 water main break is testimony from the Complainant.  The Complainant was a registered professional engineer and had experience with water distribution systems</w:t>
      </w:r>
      <w:r w:rsidR="000D0471">
        <w:t xml:space="preserve"> in other municipalities</w:t>
      </w:r>
      <w:r>
        <w:t xml:space="preserve"> before his retirement</w:t>
      </w:r>
      <w:r w:rsidR="007E157C">
        <w:t xml:space="preserve"> 30 years ago</w:t>
      </w:r>
      <w:r>
        <w:t>.</w:t>
      </w:r>
      <w:r>
        <w:rPr>
          <w:rStyle w:val="FootnoteReference"/>
        </w:rPr>
        <w:footnoteReference w:id="8"/>
      </w:r>
      <w:r>
        <w:t xml:space="preserve">  He testified that he believed that the 1994 rupture was repaired with a clamp</w:t>
      </w:r>
      <w:r w:rsidR="005040DA">
        <w:t xml:space="preserve"> and while such a repair was acceptable</w:t>
      </w:r>
      <w:r w:rsidR="000D0471">
        <w:t xml:space="preserve"> from an engineering standpoint</w:t>
      </w:r>
      <w:r w:rsidR="005040DA">
        <w:t>, he suspected that it would not last</w:t>
      </w:r>
      <w:r>
        <w:t>.</w:t>
      </w:r>
      <w:r>
        <w:rPr>
          <w:rStyle w:val="FootnoteReference"/>
        </w:rPr>
        <w:footnoteReference w:id="9"/>
      </w:r>
      <w:r w:rsidR="005040DA">
        <w:t xml:space="preserve">  </w:t>
      </w:r>
      <w:r w:rsidR="005040DA">
        <w:lastRenderedPageBreak/>
        <w:t xml:space="preserve">However, the Complainant did not have any first-hand knowledge of the repair, nor did he provide any Company reports or other documentation to support his conclusion that the 1994 break was repaired with a clamp and that the clamp repair was </w:t>
      </w:r>
      <w:r w:rsidR="000D0471">
        <w:t>inadequate</w:t>
      </w:r>
      <w:r w:rsidR="00A60C79">
        <w:t xml:space="preserve"> or not in accordance with reasonable engineering standards</w:t>
      </w:r>
      <w:r w:rsidR="005040DA">
        <w:t>.</w:t>
      </w:r>
      <w:r w:rsidR="007E157C">
        <w:t xml:space="preserve">  </w:t>
      </w:r>
    </w:p>
    <w:p w:rsidR="00246849" w:rsidRDefault="00246849" w:rsidP="00246849">
      <w:pPr>
        <w:spacing w:after="0"/>
      </w:pPr>
    </w:p>
    <w:p w:rsidR="00B81A6A" w:rsidRDefault="00312C1E" w:rsidP="00246849">
      <w:pPr>
        <w:spacing w:after="0"/>
      </w:pPr>
      <w:r>
        <w:tab/>
      </w:r>
      <w:r w:rsidR="00246849">
        <w:tab/>
      </w:r>
      <w:r>
        <w:t>The Complainant also characterized the Agnew main as “derelict” based on the number of line breaks that had occurred and the condition of the pipe that ruptured in 2008.  The line on Agnew Road was constructed in 1937.</w:t>
      </w:r>
      <w:r>
        <w:rPr>
          <w:rStyle w:val="FootnoteReference"/>
        </w:rPr>
        <w:footnoteReference w:id="10"/>
      </w:r>
      <w:r>
        <w:t xml:space="preserve">  In a span of 33 years, between 1975 and 2008, the Agnew main has broken four or possibly five times.</w:t>
      </w:r>
      <w:r>
        <w:rPr>
          <w:rStyle w:val="FootnoteReference"/>
        </w:rPr>
        <w:footnoteReference w:id="11"/>
      </w:r>
      <w:r>
        <w:t xml:space="preserve"> </w:t>
      </w:r>
      <w:r w:rsidR="00445200">
        <w:t xml:space="preserve"> </w:t>
      </w:r>
      <w:r>
        <w:t xml:space="preserve">When the pipe ruptured in 2008, </w:t>
      </w:r>
      <w:r w:rsidR="00B81A6A">
        <w:t xml:space="preserve">the repair crew observed that </w:t>
      </w:r>
      <w:r>
        <w:t>deposits had built up a</w:t>
      </w:r>
      <w:r w:rsidR="008E72AB">
        <w:t xml:space="preserve">nd the opening of the </w:t>
      </w:r>
      <w:r w:rsidR="00A60C79">
        <w:t>eight-</w:t>
      </w:r>
      <w:r w:rsidR="008E72AB">
        <w:t>inch pipe</w:t>
      </w:r>
      <w:r>
        <w:t xml:space="preserve"> was </w:t>
      </w:r>
      <w:r w:rsidR="00665F46">
        <w:t>six or seven</w:t>
      </w:r>
      <w:r>
        <w:t xml:space="preserve"> inches in diameter.</w:t>
      </w:r>
      <w:r w:rsidR="00B81A6A">
        <w:rPr>
          <w:rStyle w:val="FootnoteReference"/>
        </w:rPr>
        <w:footnoteReference w:id="12"/>
      </w:r>
      <w:r>
        <w:t xml:space="preserve">  </w:t>
      </w:r>
    </w:p>
    <w:p w:rsidR="00246849" w:rsidRDefault="00246849" w:rsidP="00246849">
      <w:pPr>
        <w:spacing w:after="0"/>
      </w:pPr>
    </w:p>
    <w:p w:rsidR="00312C1E" w:rsidRDefault="00312C1E" w:rsidP="00246849">
      <w:pPr>
        <w:spacing w:after="0"/>
        <w:ind w:firstLine="1440"/>
      </w:pPr>
      <w:r>
        <w:t>However</w:t>
      </w:r>
      <w:r w:rsidR="000B736F">
        <w:t>,</w:t>
      </w:r>
      <w:r w:rsidR="00392B76">
        <w:t xml:space="preserve"> these facts alone do not support the conclusion that the line was “derelict” and should have been replaced before 2008.  W</w:t>
      </w:r>
      <w:r>
        <w:t xml:space="preserve">hile the line was certainly nearing the end of its useful life, the industry standard for cast iron pipes </w:t>
      </w:r>
      <w:r w:rsidR="00BB5925">
        <w:t>i</w:t>
      </w:r>
      <w:r>
        <w:t>s 70 to 100 years.</w:t>
      </w:r>
      <w:r>
        <w:rPr>
          <w:rStyle w:val="FootnoteReference"/>
        </w:rPr>
        <w:footnoteReference w:id="13"/>
      </w:r>
      <w:r>
        <w:t xml:space="preserve"> </w:t>
      </w:r>
      <w:r w:rsidR="00445200">
        <w:t xml:space="preserve"> </w:t>
      </w:r>
      <w:r>
        <w:t>Indeed, the Company has several active mains that are over 100 years old.</w:t>
      </w:r>
      <w:r>
        <w:rPr>
          <w:rStyle w:val="FootnoteReference"/>
        </w:rPr>
        <w:footnoteReference w:id="14"/>
      </w:r>
      <w:r>
        <w:t xml:space="preserve">  </w:t>
      </w:r>
      <w:r w:rsidR="0027486A">
        <w:t xml:space="preserve">Jasun Stanton, a manager of field operations for the Company stated that </w:t>
      </w:r>
      <w:r w:rsidR="003F1DFA">
        <w:t>four or five breaks in a 30-year period does not constitute a “troublesome line.”  A troublesome line is one that suffers four or five breaks in a two or three-year timeframe.</w:t>
      </w:r>
      <w:r w:rsidR="003F1DFA">
        <w:rPr>
          <w:rStyle w:val="FootnoteReference"/>
        </w:rPr>
        <w:footnoteReference w:id="15"/>
      </w:r>
      <w:r w:rsidR="003F1DFA">
        <w:t xml:space="preserve"> </w:t>
      </w:r>
      <w:r w:rsidR="00445200">
        <w:t xml:space="preserve"> </w:t>
      </w:r>
      <w:r>
        <w:t>He also testified that the condition of the line which became apparent after the 2008 line break precipitated the Company’s decision to replace the main in 2010.</w:t>
      </w:r>
      <w:r>
        <w:rPr>
          <w:rStyle w:val="FootnoteReference"/>
        </w:rPr>
        <w:footnoteReference w:id="16"/>
      </w:r>
    </w:p>
    <w:p w:rsidR="00246849" w:rsidRDefault="00246849" w:rsidP="00246849">
      <w:pPr>
        <w:spacing w:after="0"/>
        <w:ind w:firstLine="1440"/>
      </w:pPr>
    </w:p>
    <w:p w:rsidR="001E611D" w:rsidRDefault="001E611D" w:rsidP="00623204">
      <w:pPr>
        <w:spacing w:after="0"/>
        <w:ind w:firstLine="1440"/>
      </w:pPr>
      <w:r>
        <w:lastRenderedPageBreak/>
        <w:t>Section 1501 of the Public Utility Code requires that utilities such as the Company render reasonable service and facilities and make necessary repairs and improvements as necessary:</w:t>
      </w:r>
    </w:p>
    <w:p w:rsidR="00016896" w:rsidRPr="00016896" w:rsidRDefault="00016896" w:rsidP="00016896">
      <w:pPr>
        <w:spacing w:after="0" w:line="240" w:lineRule="auto"/>
        <w:jc w:val="both"/>
        <w:rPr>
          <w:rFonts w:eastAsia="Times New Roman" w:cs="Times New Roman"/>
          <w:sz w:val="26"/>
          <w:szCs w:val="20"/>
        </w:rPr>
      </w:pPr>
    </w:p>
    <w:p w:rsidR="00016896" w:rsidRPr="00DA1FB1" w:rsidRDefault="00016896" w:rsidP="00445200">
      <w:pPr>
        <w:spacing w:after="0" w:line="240" w:lineRule="auto"/>
        <w:ind w:left="1440" w:right="1440"/>
        <w:rPr>
          <w:rFonts w:eastAsia="Times New Roman" w:cs="Times New Roman"/>
          <w:szCs w:val="24"/>
        </w:rPr>
      </w:pPr>
      <w:r w:rsidRPr="00DA1FB1">
        <w:rPr>
          <w:rFonts w:eastAsia="Times New Roman" w:cs="Times New Roman"/>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00B14C45" w:rsidRPr="00DA1FB1">
        <w:rPr>
          <w:rStyle w:val="FootnoteReference"/>
          <w:rFonts w:eastAsia="Times New Roman" w:cs="Times New Roman"/>
          <w:szCs w:val="24"/>
        </w:rPr>
        <w:footnoteReference w:id="17"/>
      </w:r>
    </w:p>
    <w:p w:rsidR="001E611D" w:rsidRDefault="001E611D" w:rsidP="00445200">
      <w:pPr>
        <w:spacing w:after="0"/>
      </w:pPr>
    </w:p>
    <w:p w:rsidR="00B90860" w:rsidRDefault="00462BE4" w:rsidP="00246849">
      <w:pPr>
        <w:spacing w:after="0"/>
      </w:pPr>
      <w:r>
        <w:t>Neither the Public Utility Code nor the regulations require a utility to provide constantly flawless service and facilities.  Rather, Section 1501 requires a utility to provide reasonable and adequate service and facilities</w:t>
      </w:r>
      <w:r w:rsidR="001E611D">
        <w:t>.</w:t>
      </w:r>
      <w:r w:rsidR="001E611D">
        <w:rPr>
          <w:rStyle w:val="FootnoteReference"/>
        </w:rPr>
        <w:footnoteReference w:id="18"/>
      </w:r>
      <w:r w:rsidR="001E611D">
        <w:t xml:space="preserve">  </w:t>
      </w:r>
      <w:r w:rsidR="0056786D">
        <w:t>Materials and facilities deteriorate over time.  Water mains fail as well.  T</w:t>
      </w:r>
      <w:r w:rsidR="001E611D">
        <w:t>he fact that the Agnew line broke and caused property damage by itself is not enough to conclude that the Company violated Section 1501.</w:t>
      </w:r>
      <w:r w:rsidR="009934EB">
        <w:rPr>
          <w:rStyle w:val="FootnoteReference"/>
        </w:rPr>
        <w:footnoteReference w:id="19"/>
      </w:r>
      <w:r w:rsidR="001E611D">
        <w:t xml:space="preserve">  </w:t>
      </w:r>
    </w:p>
    <w:p w:rsidR="00623204" w:rsidRDefault="00623204" w:rsidP="00246849">
      <w:pPr>
        <w:spacing w:after="0"/>
      </w:pPr>
    </w:p>
    <w:p w:rsidR="001E611D" w:rsidRDefault="001E611D" w:rsidP="00623204">
      <w:pPr>
        <w:spacing w:after="0"/>
        <w:ind w:firstLine="1440"/>
      </w:pPr>
      <w:r>
        <w:t>The Complainant’s opinion that the line was “derelict</w:t>
      </w:r>
      <w:r w:rsidR="00E657F7">
        <w:t>,</w:t>
      </w:r>
      <w:r>
        <w:t>” while based in part on his experience as a civil engineer, is not supported by any first-hand knowledge of the actual facilities present on Agnew Road, any</w:t>
      </w:r>
      <w:r w:rsidR="00921E09">
        <w:t xml:space="preserve"> specific </w:t>
      </w:r>
      <w:r>
        <w:t>engineering handbooks, guidelines or industry standards.  His opinion is not sufficient to refute the opinion of the manager of field operations who does have first-hand knowledge and experience regarding the Company’s lines and engineering practices</w:t>
      </w:r>
      <w:r w:rsidR="00A60C79">
        <w:t xml:space="preserve">. </w:t>
      </w:r>
      <w:r w:rsidR="00445200">
        <w:t xml:space="preserve"> </w:t>
      </w:r>
      <w:r w:rsidR="00A60C79">
        <w:t xml:space="preserve">While the line </w:t>
      </w:r>
      <w:r w:rsidR="00147B4A">
        <w:t>was old, it was not a troublesome line</w:t>
      </w:r>
      <w:r>
        <w:t>.</w:t>
      </w:r>
      <w:r w:rsidR="00FE280E">
        <w:t xml:space="preserve">  </w:t>
      </w:r>
      <w:r w:rsidR="00EE79F5">
        <w:t xml:space="preserve">Nor is the replacement of the line in 2010 </w:t>
      </w:r>
      <w:r w:rsidR="00FE280E">
        <w:t xml:space="preserve">sufficient evidence upon which to base a conclusion that the Company violated Section 1501 by failing to replace the line on Agnew Road before </w:t>
      </w:r>
      <w:r w:rsidR="00EE79F5">
        <w:t>2008</w:t>
      </w:r>
      <w:r w:rsidR="00A60C79">
        <w:t xml:space="preserve">.  There is no evidence that it </w:t>
      </w:r>
      <w:r w:rsidR="00B97433">
        <w:t>knew</w:t>
      </w:r>
      <w:r w:rsidR="00A60C79">
        <w:t xml:space="preserve"> or should have known</w:t>
      </w:r>
      <w:r w:rsidR="00B97433">
        <w:t xml:space="preserve"> the line would fail and neglected to undertake corrective action</w:t>
      </w:r>
      <w:r w:rsidR="00EE79F5">
        <w:t xml:space="preserve">.  </w:t>
      </w:r>
    </w:p>
    <w:p w:rsidR="00CB5562" w:rsidRDefault="00CB5562" w:rsidP="00623204">
      <w:pPr>
        <w:spacing w:after="0"/>
        <w:ind w:firstLine="720"/>
      </w:pPr>
    </w:p>
    <w:p w:rsidR="004E2130" w:rsidRDefault="004E2130" w:rsidP="00623204">
      <w:pPr>
        <w:spacing w:after="0"/>
        <w:jc w:val="center"/>
        <w:rPr>
          <w:u w:val="single"/>
        </w:rPr>
      </w:pPr>
      <w:r w:rsidRPr="004E2130">
        <w:rPr>
          <w:u w:val="single"/>
        </w:rPr>
        <w:t>CONCLUSION</w:t>
      </w:r>
      <w:r w:rsidR="00BB5925">
        <w:rPr>
          <w:u w:val="single"/>
        </w:rPr>
        <w:t>S</w:t>
      </w:r>
      <w:r w:rsidRPr="004E2130">
        <w:rPr>
          <w:u w:val="single"/>
        </w:rPr>
        <w:t xml:space="preserve"> OF LAW</w:t>
      </w:r>
    </w:p>
    <w:p w:rsidR="00623204" w:rsidRPr="004E2130" w:rsidRDefault="00623204" w:rsidP="00623204">
      <w:pPr>
        <w:spacing w:after="0"/>
        <w:jc w:val="center"/>
        <w:rPr>
          <w:u w:val="single"/>
        </w:rPr>
      </w:pPr>
    </w:p>
    <w:p w:rsidR="004E2130" w:rsidRDefault="004E2130" w:rsidP="00670113">
      <w:pPr>
        <w:spacing w:after="0"/>
        <w:ind w:firstLine="720"/>
      </w:pPr>
      <w:r>
        <w:tab/>
        <w:t>1.</w:t>
      </w:r>
      <w:r>
        <w:tab/>
        <w:t>Pennsylvania-American Water Company did not violate Section 1501 of the Public Utility Code due to any failure to adequately maintain or take corrective action on its water main line on Agnew Road.</w:t>
      </w:r>
    </w:p>
    <w:p w:rsidR="00623204" w:rsidRDefault="00623204" w:rsidP="00670113">
      <w:pPr>
        <w:spacing w:after="0"/>
        <w:ind w:firstLine="720"/>
      </w:pPr>
    </w:p>
    <w:p w:rsidR="004E2130" w:rsidRDefault="004E2130" w:rsidP="00670113">
      <w:pPr>
        <w:spacing w:after="0"/>
        <w:ind w:firstLine="720"/>
      </w:pPr>
      <w:r>
        <w:tab/>
        <w:t>2.</w:t>
      </w:r>
      <w:r>
        <w:tab/>
        <w:t>The Complainant failed to sustain his burden of proof.</w:t>
      </w:r>
    </w:p>
    <w:p w:rsidR="00246849" w:rsidRDefault="00246849" w:rsidP="00670113">
      <w:pPr>
        <w:spacing w:after="0"/>
        <w:ind w:firstLine="720"/>
        <w:rPr>
          <w:u w:val="single"/>
        </w:rPr>
      </w:pPr>
    </w:p>
    <w:p w:rsidR="00623204" w:rsidRDefault="00623204" w:rsidP="00623204">
      <w:pPr>
        <w:spacing w:after="0"/>
        <w:jc w:val="center"/>
        <w:rPr>
          <w:u w:val="single"/>
        </w:rPr>
      </w:pPr>
    </w:p>
    <w:p w:rsidR="004E2130" w:rsidRDefault="004E2130" w:rsidP="00623204">
      <w:pPr>
        <w:spacing w:after="0"/>
        <w:jc w:val="center"/>
        <w:rPr>
          <w:u w:val="single"/>
        </w:rPr>
      </w:pPr>
      <w:r w:rsidRPr="004E2130">
        <w:rPr>
          <w:u w:val="single"/>
        </w:rPr>
        <w:t>ORDER</w:t>
      </w:r>
    </w:p>
    <w:p w:rsidR="00246849" w:rsidRPr="004E2130" w:rsidRDefault="00246849" w:rsidP="00623204">
      <w:pPr>
        <w:spacing w:after="0"/>
        <w:jc w:val="center"/>
        <w:rPr>
          <w:u w:val="single"/>
        </w:rPr>
      </w:pPr>
    </w:p>
    <w:p w:rsidR="00623204" w:rsidRDefault="00623204" w:rsidP="00623204">
      <w:pPr>
        <w:spacing w:after="0"/>
        <w:ind w:left="720" w:firstLine="720"/>
      </w:pPr>
    </w:p>
    <w:p w:rsidR="004E2130" w:rsidRDefault="004E2130" w:rsidP="00623204">
      <w:pPr>
        <w:spacing w:after="0"/>
        <w:ind w:left="720" w:firstLine="720"/>
      </w:pPr>
      <w:r>
        <w:t>THEREFORE</w:t>
      </w:r>
      <w:r w:rsidR="00136909">
        <w:t>,</w:t>
      </w:r>
    </w:p>
    <w:p w:rsidR="00623204" w:rsidRDefault="00623204" w:rsidP="00623204">
      <w:pPr>
        <w:spacing w:after="0"/>
        <w:ind w:left="720" w:firstLine="720"/>
      </w:pPr>
    </w:p>
    <w:p w:rsidR="004E2130" w:rsidRDefault="004E2130" w:rsidP="00623204">
      <w:pPr>
        <w:spacing w:after="0"/>
        <w:ind w:left="720" w:firstLine="720"/>
      </w:pPr>
      <w:r>
        <w:t>IT IS ORDERED:</w:t>
      </w:r>
    </w:p>
    <w:p w:rsidR="00623204" w:rsidRDefault="00623204" w:rsidP="00623204">
      <w:pPr>
        <w:spacing w:after="0"/>
      </w:pPr>
    </w:p>
    <w:p w:rsidR="007D2459" w:rsidRDefault="004E2130" w:rsidP="00623204">
      <w:pPr>
        <w:spacing w:after="0"/>
      </w:pPr>
      <w:r>
        <w:tab/>
      </w:r>
      <w:r w:rsidR="00623204">
        <w:tab/>
      </w:r>
      <w:r>
        <w:t>That the complaint of Thomas V. Olup at PUC Docket No. C-2011-2247941 is dismissed.</w:t>
      </w:r>
      <w:r w:rsidR="00704903">
        <w:tab/>
      </w:r>
      <w:r w:rsidR="007D2459">
        <w:tab/>
      </w:r>
    </w:p>
    <w:p w:rsidR="00670113" w:rsidRDefault="00670113" w:rsidP="00623204">
      <w:pPr>
        <w:spacing w:after="0"/>
      </w:pPr>
    </w:p>
    <w:p w:rsidR="00670113" w:rsidRDefault="00670113" w:rsidP="00623204">
      <w:pPr>
        <w:spacing w:after="0"/>
      </w:pPr>
    </w:p>
    <w:p w:rsidR="00670113" w:rsidRDefault="00670113" w:rsidP="00670113">
      <w:pPr>
        <w:tabs>
          <w:tab w:val="left" w:pos="0"/>
        </w:tabs>
        <w:spacing w:after="0" w:line="240" w:lineRule="auto"/>
        <w:jc w:val="both"/>
      </w:pPr>
      <w:r>
        <w:t xml:space="preserve">Date:  </w:t>
      </w:r>
      <w:r>
        <w:rPr>
          <w:u w:val="single"/>
        </w:rPr>
        <w:t>July 10, 2012</w:t>
      </w:r>
      <w:r>
        <w:tab/>
      </w:r>
      <w:r>
        <w:tab/>
      </w:r>
      <w:r>
        <w:tab/>
      </w:r>
      <w:r>
        <w:tab/>
      </w:r>
      <w:r>
        <w:tab/>
        <w:t>_______________________________</w:t>
      </w:r>
    </w:p>
    <w:p w:rsidR="00670113" w:rsidRDefault="00670113" w:rsidP="00670113">
      <w:pPr>
        <w:tabs>
          <w:tab w:val="left" w:pos="0"/>
        </w:tabs>
        <w:spacing w:after="0" w:line="240" w:lineRule="auto"/>
        <w:jc w:val="both"/>
      </w:pPr>
      <w:r>
        <w:tab/>
      </w:r>
      <w:r>
        <w:tab/>
      </w:r>
      <w:r>
        <w:tab/>
      </w:r>
      <w:r>
        <w:tab/>
      </w:r>
      <w:r>
        <w:tab/>
      </w:r>
      <w:r>
        <w:tab/>
      </w:r>
      <w:r>
        <w:tab/>
        <w:t>Mary D. Long</w:t>
      </w:r>
    </w:p>
    <w:p w:rsidR="00670113" w:rsidRDefault="00670113" w:rsidP="00670113">
      <w:pPr>
        <w:tabs>
          <w:tab w:val="left" w:pos="0"/>
        </w:tabs>
        <w:spacing w:after="0" w:line="240" w:lineRule="auto"/>
        <w:jc w:val="both"/>
      </w:pPr>
      <w:r>
        <w:tab/>
      </w:r>
      <w:r>
        <w:tab/>
      </w:r>
      <w:r>
        <w:tab/>
      </w:r>
      <w:r>
        <w:tab/>
      </w:r>
      <w:r>
        <w:tab/>
      </w:r>
      <w:r>
        <w:tab/>
      </w:r>
      <w:r>
        <w:tab/>
        <w:t>Administrative Law Judge</w:t>
      </w:r>
    </w:p>
    <w:p w:rsidR="00670113" w:rsidRDefault="00670113" w:rsidP="00670113"/>
    <w:sectPr w:rsidR="00670113" w:rsidSect="00581E47">
      <w:footerReference w:type="default" r:id="rId9"/>
      <w:pgSz w:w="12240" w:h="15840"/>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A3" w:rsidRDefault="00A539A3" w:rsidP="00B13A7A">
      <w:pPr>
        <w:spacing w:after="0" w:line="240" w:lineRule="auto"/>
      </w:pPr>
      <w:r>
        <w:separator/>
      </w:r>
    </w:p>
  </w:endnote>
  <w:endnote w:type="continuationSeparator" w:id="0">
    <w:p w:rsidR="00A539A3" w:rsidRDefault="00A539A3" w:rsidP="00B1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300597"/>
      <w:docPartObj>
        <w:docPartGallery w:val="Page Numbers (Bottom of Page)"/>
        <w:docPartUnique/>
      </w:docPartObj>
    </w:sdtPr>
    <w:sdtEndPr>
      <w:rPr>
        <w:noProof/>
      </w:rPr>
    </w:sdtEndPr>
    <w:sdtContent>
      <w:p w:rsidR="00581E47" w:rsidRDefault="00581E47">
        <w:pPr>
          <w:pStyle w:val="Footer"/>
          <w:jc w:val="center"/>
        </w:pPr>
        <w:r>
          <w:fldChar w:fldCharType="begin"/>
        </w:r>
        <w:r>
          <w:instrText xml:space="preserve"> PAGE   \* MERGEFORMAT </w:instrText>
        </w:r>
        <w:r>
          <w:fldChar w:fldCharType="separate"/>
        </w:r>
        <w:r w:rsidR="0057182A">
          <w:rPr>
            <w:noProof/>
          </w:rPr>
          <w:t>7</w:t>
        </w:r>
        <w:r>
          <w:rPr>
            <w:noProof/>
          </w:rPr>
          <w:fldChar w:fldCharType="end"/>
        </w:r>
      </w:p>
    </w:sdtContent>
  </w:sdt>
  <w:p w:rsidR="007171B3" w:rsidRDefault="00717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A3" w:rsidRDefault="00A539A3" w:rsidP="00B13A7A">
      <w:pPr>
        <w:spacing w:after="0" w:line="240" w:lineRule="auto"/>
      </w:pPr>
      <w:r>
        <w:separator/>
      </w:r>
    </w:p>
  </w:footnote>
  <w:footnote w:type="continuationSeparator" w:id="0">
    <w:p w:rsidR="00A539A3" w:rsidRDefault="00A539A3" w:rsidP="00B13A7A">
      <w:pPr>
        <w:spacing w:after="0" w:line="240" w:lineRule="auto"/>
      </w:pPr>
      <w:r>
        <w:continuationSeparator/>
      </w:r>
    </w:p>
  </w:footnote>
  <w:footnote w:id="1">
    <w:p w:rsidR="00E36E7F" w:rsidRDefault="00E36E7F" w:rsidP="00CB5562">
      <w:pPr>
        <w:pStyle w:val="FootnoteText"/>
        <w:spacing w:after="240"/>
        <w:ind w:firstLine="720"/>
      </w:pPr>
      <w:r>
        <w:rPr>
          <w:rStyle w:val="FootnoteReference"/>
        </w:rPr>
        <w:footnoteRef/>
      </w:r>
      <w:r>
        <w:t xml:space="preserve"> </w:t>
      </w:r>
      <w:r w:rsidR="00CB5562">
        <w:tab/>
      </w:r>
      <w:r>
        <w:t xml:space="preserve">See </w:t>
      </w:r>
      <w:r>
        <w:rPr>
          <w:i/>
        </w:rPr>
        <w:t>Public Uti</w:t>
      </w:r>
      <w:r w:rsidR="00D703D2">
        <w:rPr>
          <w:i/>
        </w:rPr>
        <w:t>lity Commission v. Pennsylvania-</w:t>
      </w:r>
      <w:r>
        <w:rPr>
          <w:i/>
        </w:rPr>
        <w:t xml:space="preserve">American Water, </w:t>
      </w:r>
      <w:r>
        <w:t>PUC Docket No. R-2011-2232243</w:t>
      </w:r>
      <w:r w:rsidR="00445200">
        <w:t xml:space="preserve"> </w:t>
      </w:r>
      <w:r>
        <w:t>(Order entered November 10, 2011).</w:t>
      </w:r>
    </w:p>
  </w:footnote>
  <w:footnote w:id="2">
    <w:p w:rsidR="00F53F56" w:rsidRDefault="00F53F56" w:rsidP="00246849">
      <w:pPr>
        <w:pStyle w:val="FootnoteText"/>
        <w:spacing w:after="0"/>
        <w:ind w:firstLine="720"/>
      </w:pPr>
      <w:r>
        <w:rPr>
          <w:rStyle w:val="FootnoteReference"/>
        </w:rPr>
        <w:footnoteRef/>
      </w:r>
      <w:r>
        <w:t xml:space="preserve"> </w:t>
      </w:r>
      <w:r>
        <w:tab/>
        <w:t>The Complainant’s rate-related claims were docketed by the Commission at PUC Docket No. C</w:t>
      </w:r>
      <w:r w:rsidR="00246849">
        <w:noBreakHyphen/>
      </w:r>
      <w:r>
        <w:t>2011-2247943</w:t>
      </w:r>
      <w:r w:rsidR="00111BDC">
        <w:t>, which was consolidated with PUC Docket No. R-2011-2232243</w:t>
      </w:r>
      <w:r>
        <w:t>.</w:t>
      </w:r>
    </w:p>
    <w:p w:rsidR="00246849" w:rsidRDefault="00246849" w:rsidP="00246849">
      <w:pPr>
        <w:pStyle w:val="FootnoteText"/>
        <w:spacing w:after="0"/>
        <w:ind w:firstLine="720"/>
      </w:pPr>
    </w:p>
  </w:footnote>
  <w:footnote w:id="3">
    <w:p w:rsidR="00336AC5" w:rsidRDefault="00336AC5" w:rsidP="00246849">
      <w:pPr>
        <w:pStyle w:val="FootnoteText"/>
        <w:spacing w:after="0"/>
        <w:ind w:firstLine="720"/>
      </w:pPr>
      <w:r>
        <w:rPr>
          <w:rStyle w:val="FootnoteReference"/>
        </w:rPr>
        <w:footnoteRef/>
      </w:r>
      <w:r>
        <w:t xml:space="preserve">  </w:t>
      </w:r>
      <w:r>
        <w:tab/>
        <w:t>The hearing was originally schedule</w:t>
      </w:r>
      <w:r w:rsidR="00445200">
        <w:t>d</w:t>
      </w:r>
      <w:r>
        <w:t xml:space="preserve"> for November 30, 2011, but the Company requested a continuance due to the unavailability of a witness, which was granted by order dated November 18, 2011.</w:t>
      </w:r>
    </w:p>
  </w:footnote>
  <w:footnote w:id="4">
    <w:p w:rsidR="00CB34DB" w:rsidRDefault="00CB34DB" w:rsidP="00246849">
      <w:pPr>
        <w:pStyle w:val="FootnoteText"/>
        <w:spacing w:after="0"/>
        <w:ind w:firstLine="720"/>
      </w:pPr>
      <w:r>
        <w:rPr>
          <w:rStyle w:val="FootnoteReference"/>
        </w:rPr>
        <w:footnoteRef/>
      </w:r>
      <w:r>
        <w:t xml:space="preserve">  </w:t>
      </w:r>
      <w:r>
        <w:tab/>
        <w:t>66 Pa. C.S. § 1501.</w:t>
      </w:r>
    </w:p>
    <w:p w:rsidR="00246849" w:rsidRDefault="00246849" w:rsidP="00246849">
      <w:pPr>
        <w:pStyle w:val="FootnoteText"/>
        <w:spacing w:after="0"/>
        <w:ind w:firstLine="720"/>
      </w:pPr>
    </w:p>
  </w:footnote>
  <w:footnote w:id="5">
    <w:p w:rsidR="00E20C35" w:rsidRDefault="00E20C35" w:rsidP="00246849">
      <w:pPr>
        <w:pStyle w:val="FootnoteText"/>
        <w:spacing w:after="0"/>
        <w:ind w:firstLine="720"/>
      </w:pPr>
      <w:r>
        <w:rPr>
          <w:rStyle w:val="FootnoteReference"/>
        </w:rPr>
        <w:footnoteRef/>
      </w:r>
      <w:r>
        <w:t xml:space="preserve">  </w:t>
      </w:r>
      <w:r>
        <w:tab/>
        <w:t>Reply Brief at 1.</w:t>
      </w:r>
    </w:p>
    <w:p w:rsidR="00246849" w:rsidRDefault="00246849" w:rsidP="00246849">
      <w:pPr>
        <w:pStyle w:val="FootnoteText"/>
        <w:spacing w:after="0"/>
        <w:ind w:firstLine="720"/>
      </w:pPr>
    </w:p>
  </w:footnote>
  <w:footnote w:id="6">
    <w:p w:rsidR="003E7AD8" w:rsidRDefault="003E7AD8" w:rsidP="00246849">
      <w:pPr>
        <w:pStyle w:val="FootnoteText"/>
        <w:spacing w:after="0"/>
        <w:ind w:firstLine="720"/>
      </w:pPr>
      <w:r>
        <w:rPr>
          <w:rStyle w:val="FootnoteReference"/>
        </w:rPr>
        <w:footnoteRef/>
      </w:r>
      <w:r>
        <w:t xml:space="preserve"> </w:t>
      </w:r>
      <w:r>
        <w:tab/>
        <w:t>66 Pa. C.S. §</w:t>
      </w:r>
      <w:r w:rsidR="00DB1DD6">
        <w:t xml:space="preserve"> </w:t>
      </w:r>
      <w:r>
        <w:t>332(a).</w:t>
      </w:r>
    </w:p>
    <w:p w:rsidR="00246849" w:rsidRDefault="00246849" w:rsidP="00246849">
      <w:pPr>
        <w:pStyle w:val="FootnoteText"/>
        <w:spacing w:after="0"/>
        <w:ind w:firstLine="720"/>
      </w:pPr>
    </w:p>
  </w:footnote>
  <w:footnote w:id="7">
    <w:p w:rsidR="003E7AD8" w:rsidRDefault="003E7AD8" w:rsidP="00246849">
      <w:pPr>
        <w:pStyle w:val="FootnoteText"/>
        <w:spacing w:after="0"/>
        <w:ind w:firstLine="720"/>
      </w:pPr>
      <w:r>
        <w:rPr>
          <w:rStyle w:val="FootnoteReference"/>
        </w:rPr>
        <w:footnoteRef/>
      </w:r>
      <w:r>
        <w:t xml:space="preserve"> </w:t>
      </w:r>
      <w:r>
        <w:tab/>
      </w:r>
      <w:r w:rsidRPr="00E57A2B">
        <w:rPr>
          <w:i/>
        </w:rPr>
        <w:t>Feinstein v. Philadelphia Suburban Water Company</w:t>
      </w:r>
      <w:r w:rsidRPr="00C24DC1">
        <w:t xml:space="preserve">, 50 Pa. P.U.C. 300 (1976).  </w:t>
      </w:r>
    </w:p>
    <w:p w:rsidR="00246849" w:rsidRDefault="00246849" w:rsidP="00246849">
      <w:pPr>
        <w:pStyle w:val="FootnoteText"/>
        <w:spacing w:after="0"/>
        <w:ind w:firstLine="720"/>
      </w:pPr>
    </w:p>
  </w:footnote>
  <w:footnote w:id="8">
    <w:p w:rsidR="002A5CDB" w:rsidRDefault="002A5CDB" w:rsidP="00246849">
      <w:pPr>
        <w:pStyle w:val="FootnoteText"/>
        <w:spacing w:after="0"/>
        <w:ind w:firstLine="720"/>
      </w:pPr>
      <w:r>
        <w:rPr>
          <w:rStyle w:val="FootnoteReference"/>
        </w:rPr>
        <w:footnoteRef/>
      </w:r>
      <w:r>
        <w:t xml:space="preserve"> </w:t>
      </w:r>
      <w:r w:rsidR="00772A94">
        <w:t xml:space="preserve"> </w:t>
      </w:r>
      <w:r w:rsidR="00772A94">
        <w:tab/>
      </w:r>
      <w:r w:rsidR="00A64AC1">
        <w:t>N.T. 11-12</w:t>
      </w:r>
      <w:r w:rsidR="0032392E">
        <w:t>, 71.</w:t>
      </w:r>
    </w:p>
    <w:p w:rsidR="00246849" w:rsidRDefault="00246849" w:rsidP="00246849">
      <w:pPr>
        <w:pStyle w:val="FootnoteText"/>
        <w:spacing w:after="0"/>
        <w:ind w:firstLine="720"/>
      </w:pPr>
    </w:p>
  </w:footnote>
  <w:footnote w:id="9">
    <w:p w:rsidR="002A5CDB" w:rsidRDefault="002A5CDB" w:rsidP="00246849">
      <w:pPr>
        <w:pStyle w:val="FootnoteText"/>
        <w:spacing w:after="0"/>
        <w:ind w:firstLine="720"/>
      </w:pPr>
      <w:r>
        <w:rPr>
          <w:rStyle w:val="FootnoteReference"/>
        </w:rPr>
        <w:footnoteRef/>
      </w:r>
      <w:r>
        <w:t xml:space="preserve"> </w:t>
      </w:r>
      <w:r w:rsidR="00772A94">
        <w:t xml:space="preserve"> </w:t>
      </w:r>
      <w:r w:rsidR="00772A94">
        <w:tab/>
      </w:r>
      <w:r>
        <w:t>N.T. 34.</w:t>
      </w:r>
    </w:p>
  </w:footnote>
  <w:footnote w:id="10">
    <w:p w:rsidR="00312C1E" w:rsidRDefault="00312C1E" w:rsidP="00246849">
      <w:pPr>
        <w:pStyle w:val="FootnoteText"/>
        <w:spacing w:after="0"/>
        <w:ind w:firstLine="720"/>
      </w:pPr>
      <w:r>
        <w:rPr>
          <w:rStyle w:val="FootnoteReference"/>
        </w:rPr>
        <w:footnoteRef/>
      </w:r>
      <w:r>
        <w:t xml:space="preserve"> </w:t>
      </w:r>
      <w:r w:rsidR="00A64AC1">
        <w:t xml:space="preserve"> </w:t>
      </w:r>
      <w:r w:rsidR="00A64AC1">
        <w:tab/>
        <w:t>PAWC Ex. 2.</w:t>
      </w:r>
    </w:p>
    <w:p w:rsidR="00246849" w:rsidRDefault="00246849" w:rsidP="00246849">
      <w:pPr>
        <w:pStyle w:val="FootnoteText"/>
        <w:spacing w:after="0"/>
        <w:ind w:firstLine="720"/>
      </w:pPr>
    </w:p>
  </w:footnote>
  <w:footnote w:id="11">
    <w:p w:rsidR="00312C1E" w:rsidRDefault="00312C1E" w:rsidP="00246849">
      <w:pPr>
        <w:pStyle w:val="FootnoteText"/>
        <w:spacing w:after="0"/>
        <w:ind w:firstLine="720"/>
      </w:pPr>
      <w:r>
        <w:rPr>
          <w:rStyle w:val="FootnoteReference"/>
        </w:rPr>
        <w:footnoteRef/>
      </w:r>
      <w:r>
        <w:t xml:space="preserve">  </w:t>
      </w:r>
      <w:r w:rsidR="00772A94">
        <w:t xml:space="preserve"> </w:t>
      </w:r>
      <w:r w:rsidR="00772A94">
        <w:tab/>
      </w:r>
      <w:r w:rsidR="00153B12">
        <w:t>Complainant Ex. Q.</w:t>
      </w:r>
    </w:p>
    <w:p w:rsidR="00246849" w:rsidRDefault="00246849" w:rsidP="00246849">
      <w:pPr>
        <w:pStyle w:val="FootnoteText"/>
        <w:spacing w:after="0"/>
        <w:ind w:firstLine="720"/>
      </w:pPr>
    </w:p>
  </w:footnote>
  <w:footnote w:id="12">
    <w:p w:rsidR="00B81A6A" w:rsidRDefault="00B81A6A" w:rsidP="00246849">
      <w:pPr>
        <w:pStyle w:val="FootnoteText"/>
        <w:spacing w:after="0"/>
        <w:ind w:firstLine="720"/>
      </w:pPr>
      <w:r>
        <w:rPr>
          <w:rStyle w:val="FootnoteReference"/>
        </w:rPr>
        <w:footnoteRef/>
      </w:r>
      <w:r>
        <w:t xml:space="preserve"> </w:t>
      </w:r>
      <w:r w:rsidR="00462BE4">
        <w:t xml:space="preserve"> </w:t>
      </w:r>
      <w:r w:rsidR="00462BE4">
        <w:tab/>
        <w:t>N.T. 129.</w:t>
      </w:r>
    </w:p>
    <w:p w:rsidR="00246849" w:rsidRDefault="00246849" w:rsidP="00246849">
      <w:pPr>
        <w:pStyle w:val="FootnoteText"/>
        <w:spacing w:after="0"/>
        <w:ind w:firstLine="720"/>
      </w:pPr>
    </w:p>
  </w:footnote>
  <w:footnote w:id="13">
    <w:p w:rsidR="00312C1E" w:rsidRDefault="00312C1E" w:rsidP="00246849">
      <w:pPr>
        <w:pStyle w:val="FootnoteText"/>
        <w:spacing w:after="0"/>
        <w:ind w:firstLine="720"/>
      </w:pPr>
      <w:r>
        <w:rPr>
          <w:rStyle w:val="FootnoteReference"/>
        </w:rPr>
        <w:footnoteRef/>
      </w:r>
      <w:r w:rsidR="00772A94">
        <w:t xml:space="preserve"> </w:t>
      </w:r>
      <w:r w:rsidR="00772A94">
        <w:tab/>
      </w:r>
      <w:r>
        <w:t>N.T. 140.</w:t>
      </w:r>
    </w:p>
    <w:p w:rsidR="00246849" w:rsidRDefault="00246849" w:rsidP="00246849">
      <w:pPr>
        <w:pStyle w:val="FootnoteText"/>
        <w:spacing w:after="0"/>
        <w:ind w:firstLine="720"/>
      </w:pPr>
    </w:p>
  </w:footnote>
  <w:footnote w:id="14">
    <w:p w:rsidR="00312C1E" w:rsidRDefault="00312C1E" w:rsidP="00246849">
      <w:pPr>
        <w:pStyle w:val="FootnoteText"/>
        <w:spacing w:after="0"/>
        <w:ind w:firstLine="720"/>
      </w:pPr>
      <w:r>
        <w:rPr>
          <w:rStyle w:val="FootnoteReference"/>
        </w:rPr>
        <w:footnoteRef/>
      </w:r>
      <w:r>
        <w:t xml:space="preserve"> </w:t>
      </w:r>
      <w:r w:rsidR="00462BE4">
        <w:t xml:space="preserve"> </w:t>
      </w:r>
      <w:r w:rsidR="00462BE4">
        <w:tab/>
        <w:t>N.T. 140.</w:t>
      </w:r>
    </w:p>
    <w:p w:rsidR="00246849" w:rsidRDefault="00246849" w:rsidP="00246849">
      <w:pPr>
        <w:pStyle w:val="FootnoteText"/>
        <w:spacing w:after="0"/>
        <w:ind w:firstLine="720"/>
      </w:pPr>
    </w:p>
  </w:footnote>
  <w:footnote w:id="15">
    <w:p w:rsidR="003F1DFA" w:rsidRDefault="003F1DFA" w:rsidP="00246849">
      <w:pPr>
        <w:pStyle w:val="FootnoteText"/>
        <w:spacing w:after="0"/>
        <w:ind w:firstLine="720"/>
      </w:pPr>
      <w:r>
        <w:rPr>
          <w:rStyle w:val="FootnoteReference"/>
        </w:rPr>
        <w:footnoteRef/>
      </w:r>
      <w:r>
        <w:t xml:space="preserve"> </w:t>
      </w:r>
      <w:r w:rsidR="00136909">
        <w:t xml:space="preserve"> </w:t>
      </w:r>
      <w:r w:rsidR="00136909">
        <w:tab/>
      </w:r>
      <w:r>
        <w:t>N.T. 146-48.</w:t>
      </w:r>
    </w:p>
    <w:p w:rsidR="00246849" w:rsidRDefault="00246849" w:rsidP="00246849">
      <w:pPr>
        <w:pStyle w:val="FootnoteText"/>
        <w:spacing w:after="0"/>
        <w:ind w:firstLine="720"/>
      </w:pPr>
    </w:p>
  </w:footnote>
  <w:footnote w:id="16">
    <w:p w:rsidR="00312C1E" w:rsidRDefault="00312C1E" w:rsidP="00246849">
      <w:pPr>
        <w:pStyle w:val="FootnoteText"/>
        <w:spacing w:after="0"/>
        <w:ind w:firstLine="720"/>
      </w:pPr>
      <w:r>
        <w:rPr>
          <w:rStyle w:val="FootnoteReference"/>
        </w:rPr>
        <w:footnoteRef/>
      </w:r>
      <w:r>
        <w:t xml:space="preserve"> </w:t>
      </w:r>
      <w:r w:rsidR="00136909">
        <w:t xml:space="preserve"> </w:t>
      </w:r>
      <w:r w:rsidR="00136909">
        <w:tab/>
      </w:r>
      <w:r>
        <w:t>N.T. 146.</w:t>
      </w:r>
    </w:p>
    <w:p w:rsidR="00246849" w:rsidRDefault="00246849" w:rsidP="00246849">
      <w:pPr>
        <w:pStyle w:val="FootnoteText"/>
        <w:spacing w:after="0"/>
        <w:ind w:firstLine="720"/>
      </w:pPr>
    </w:p>
  </w:footnote>
  <w:footnote w:id="17">
    <w:p w:rsidR="00B14C45" w:rsidRDefault="00B14C45" w:rsidP="00623204">
      <w:pPr>
        <w:pStyle w:val="FootnoteText"/>
        <w:spacing w:after="0"/>
        <w:ind w:firstLine="720"/>
      </w:pPr>
      <w:r>
        <w:rPr>
          <w:rStyle w:val="FootnoteReference"/>
        </w:rPr>
        <w:footnoteRef/>
      </w:r>
      <w:r>
        <w:t xml:space="preserve">  </w:t>
      </w:r>
      <w:r>
        <w:tab/>
        <w:t>66 Pa. C.S. § 1501.</w:t>
      </w:r>
    </w:p>
    <w:p w:rsidR="00623204" w:rsidRDefault="00623204" w:rsidP="00623204">
      <w:pPr>
        <w:pStyle w:val="FootnoteText"/>
        <w:spacing w:after="0"/>
        <w:ind w:firstLine="720"/>
      </w:pPr>
    </w:p>
  </w:footnote>
  <w:footnote w:id="18">
    <w:p w:rsidR="001E611D" w:rsidRDefault="001E611D" w:rsidP="00623204">
      <w:pPr>
        <w:pStyle w:val="FootnoteText"/>
        <w:spacing w:after="0"/>
        <w:ind w:firstLine="720"/>
      </w:pPr>
      <w:r>
        <w:rPr>
          <w:rStyle w:val="FootnoteReference"/>
        </w:rPr>
        <w:footnoteRef/>
      </w:r>
      <w:r>
        <w:t xml:space="preserve"> </w:t>
      </w:r>
      <w:r w:rsidR="00957D0D">
        <w:tab/>
      </w:r>
      <w:r w:rsidR="00957D0D">
        <w:rPr>
          <w:i/>
        </w:rPr>
        <w:t>Astacio v. Pennsylvania-American Water Co.</w:t>
      </w:r>
      <w:r w:rsidR="00957D0D">
        <w:t>, PUC Docket No. C-2010-2155357 (Final Order November 8, 2010).</w:t>
      </w:r>
    </w:p>
    <w:p w:rsidR="00623204" w:rsidRPr="00957D0D" w:rsidRDefault="00623204" w:rsidP="00623204">
      <w:pPr>
        <w:pStyle w:val="FootnoteText"/>
        <w:spacing w:after="0"/>
        <w:ind w:firstLine="720"/>
      </w:pPr>
    </w:p>
  </w:footnote>
  <w:footnote w:id="19">
    <w:p w:rsidR="009934EB" w:rsidRPr="009934EB" w:rsidRDefault="009934EB" w:rsidP="00623204">
      <w:pPr>
        <w:pStyle w:val="FootnoteText"/>
        <w:spacing w:after="0"/>
        <w:ind w:firstLine="720"/>
      </w:pPr>
      <w:r>
        <w:rPr>
          <w:rStyle w:val="FootnoteReference"/>
        </w:rPr>
        <w:footnoteRef/>
      </w:r>
      <w:r>
        <w:t xml:space="preserve"> </w:t>
      </w:r>
      <w:r w:rsidR="007425CB">
        <w:tab/>
      </w:r>
      <w:r>
        <w:rPr>
          <w:i/>
        </w:rPr>
        <w:t>Rodgers v. Pennsylvania-American Water Company</w:t>
      </w:r>
      <w:r>
        <w:t>, PUC Docket No. C-20066054 (Final Order December 6,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07107"/>
    <w:multiLevelType w:val="hybridMultilevel"/>
    <w:tmpl w:val="C794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A2"/>
    <w:rsid w:val="00004C37"/>
    <w:rsid w:val="0000741C"/>
    <w:rsid w:val="00016896"/>
    <w:rsid w:val="00063A8D"/>
    <w:rsid w:val="00070624"/>
    <w:rsid w:val="00077ED5"/>
    <w:rsid w:val="00090FA2"/>
    <w:rsid w:val="000B736F"/>
    <w:rsid w:val="000D0471"/>
    <w:rsid w:val="000D3B8C"/>
    <w:rsid w:val="00111800"/>
    <w:rsid w:val="00111BDC"/>
    <w:rsid w:val="00136909"/>
    <w:rsid w:val="00147B4A"/>
    <w:rsid w:val="00153B12"/>
    <w:rsid w:val="00166B2E"/>
    <w:rsid w:val="001900BA"/>
    <w:rsid w:val="001B3691"/>
    <w:rsid w:val="001C1048"/>
    <w:rsid w:val="001D16A6"/>
    <w:rsid w:val="001E611D"/>
    <w:rsid w:val="00201361"/>
    <w:rsid w:val="00246849"/>
    <w:rsid w:val="0027486A"/>
    <w:rsid w:val="002806DC"/>
    <w:rsid w:val="00295BE6"/>
    <w:rsid w:val="002A0E0D"/>
    <w:rsid w:val="002A5CDB"/>
    <w:rsid w:val="00312C1E"/>
    <w:rsid w:val="003233A5"/>
    <w:rsid w:val="0032392E"/>
    <w:rsid w:val="00336AC5"/>
    <w:rsid w:val="00340DA8"/>
    <w:rsid w:val="0036793A"/>
    <w:rsid w:val="00392B76"/>
    <w:rsid w:val="003B2AD9"/>
    <w:rsid w:val="003E7AD8"/>
    <w:rsid w:val="003F0790"/>
    <w:rsid w:val="003F1DFA"/>
    <w:rsid w:val="00420C77"/>
    <w:rsid w:val="00445200"/>
    <w:rsid w:val="00462BE4"/>
    <w:rsid w:val="004B6DD6"/>
    <w:rsid w:val="004E2130"/>
    <w:rsid w:val="004F1998"/>
    <w:rsid w:val="005040DA"/>
    <w:rsid w:val="005231E7"/>
    <w:rsid w:val="0054600A"/>
    <w:rsid w:val="0056786D"/>
    <w:rsid w:val="0057182A"/>
    <w:rsid w:val="00581E47"/>
    <w:rsid w:val="005E482B"/>
    <w:rsid w:val="00623204"/>
    <w:rsid w:val="00646A5D"/>
    <w:rsid w:val="00665F46"/>
    <w:rsid w:val="00670113"/>
    <w:rsid w:val="006B018D"/>
    <w:rsid w:val="006B6E86"/>
    <w:rsid w:val="00704903"/>
    <w:rsid w:val="007171B3"/>
    <w:rsid w:val="007425CB"/>
    <w:rsid w:val="00742A0C"/>
    <w:rsid w:val="00772A94"/>
    <w:rsid w:val="00792796"/>
    <w:rsid w:val="007D2459"/>
    <w:rsid w:val="007D6664"/>
    <w:rsid w:val="007E157C"/>
    <w:rsid w:val="008061E2"/>
    <w:rsid w:val="00807084"/>
    <w:rsid w:val="008276EA"/>
    <w:rsid w:val="00872ABE"/>
    <w:rsid w:val="008803B3"/>
    <w:rsid w:val="008B5DD5"/>
    <w:rsid w:val="008E72AB"/>
    <w:rsid w:val="00921E09"/>
    <w:rsid w:val="009576B9"/>
    <w:rsid w:val="00957D0D"/>
    <w:rsid w:val="009934EB"/>
    <w:rsid w:val="009E2E75"/>
    <w:rsid w:val="009F6DAE"/>
    <w:rsid w:val="00A163C0"/>
    <w:rsid w:val="00A30078"/>
    <w:rsid w:val="00A539A3"/>
    <w:rsid w:val="00A563B5"/>
    <w:rsid w:val="00A60C79"/>
    <w:rsid w:val="00A64AC1"/>
    <w:rsid w:val="00A8629E"/>
    <w:rsid w:val="00AA6BF3"/>
    <w:rsid w:val="00AC2CCA"/>
    <w:rsid w:val="00AD2A8F"/>
    <w:rsid w:val="00AD7FF9"/>
    <w:rsid w:val="00AE4629"/>
    <w:rsid w:val="00AE4ED0"/>
    <w:rsid w:val="00AF58B5"/>
    <w:rsid w:val="00B13A7A"/>
    <w:rsid w:val="00B14C45"/>
    <w:rsid w:val="00B81A6A"/>
    <w:rsid w:val="00B90860"/>
    <w:rsid w:val="00B93214"/>
    <w:rsid w:val="00B97433"/>
    <w:rsid w:val="00BB5925"/>
    <w:rsid w:val="00C05AFB"/>
    <w:rsid w:val="00C1278E"/>
    <w:rsid w:val="00C5450B"/>
    <w:rsid w:val="00C722FE"/>
    <w:rsid w:val="00C875F6"/>
    <w:rsid w:val="00CB34DB"/>
    <w:rsid w:val="00CB5562"/>
    <w:rsid w:val="00CC46F0"/>
    <w:rsid w:val="00D21FE9"/>
    <w:rsid w:val="00D703D2"/>
    <w:rsid w:val="00D703EF"/>
    <w:rsid w:val="00DA1FB1"/>
    <w:rsid w:val="00DB1DD6"/>
    <w:rsid w:val="00DD5C37"/>
    <w:rsid w:val="00E20C35"/>
    <w:rsid w:val="00E36E7F"/>
    <w:rsid w:val="00E657F7"/>
    <w:rsid w:val="00E753F7"/>
    <w:rsid w:val="00E83CE7"/>
    <w:rsid w:val="00EE79F5"/>
    <w:rsid w:val="00F53F56"/>
    <w:rsid w:val="00FE280E"/>
    <w:rsid w:val="00FE3AB2"/>
    <w:rsid w:val="00FF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37"/>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C37"/>
    <w:pPr>
      <w:ind w:left="720" w:firstLine="720"/>
      <w:contextualSpacing/>
    </w:pPr>
  </w:style>
  <w:style w:type="paragraph" w:styleId="FootnoteText">
    <w:name w:val="footnote text"/>
    <w:basedOn w:val="Normal"/>
    <w:link w:val="FootnoteTextChar"/>
    <w:uiPriority w:val="99"/>
    <w:unhideWhenUsed/>
    <w:rsid w:val="00CB34DB"/>
    <w:pPr>
      <w:spacing w:after="120" w:line="240" w:lineRule="auto"/>
    </w:pPr>
    <w:rPr>
      <w:sz w:val="20"/>
      <w:szCs w:val="20"/>
    </w:rPr>
  </w:style>
  <w:style w:type="character" w:customStyle="1" w:styleId="FootnoteTextChar">
    <w:name w:val="Footnote Text Char"/>
    <w:basedOn w:val="DefaultParagraphFont"/>
    <w:link w:val="FootnoteText"/>
    <w:uiPriority w:val="99"/>
    <w:rsid w:val="00CB34DB"/>
    <w:rPr>
      <w:rFonts w:ascii="Times New Roman" w:hAnsi="Times New Roman"/>
      <w:sz w:val="20"/>
      <w:szCs w:val="20"/>
    </w:rPr>
  </w:style>
  <w:style w:type="character" w:styleId="FootnoteReference">
    <w:name w:val="footnote reference"/>
    <w:basedOn w:val="DefaultParagraphFont"/>
    <w:uiPriority w:val="99"/>
    <w:semiHidden/>
    <w:unhideWhenUsed/>
    <w:rsid w:val="00B13A7A"/>
    <w:rPr>
      <w:vertAlign w:val="superscript"/>
    </w:rPr>
  </w:style>
  <w:style w:type="paragraph" w:styleId="Header">
    <w:name w:val="header"/>
    <w:basedOn w:val="Normal"/>
    <w:link w:val="HeaderChar"/>
    <w:uiPriority w:val="99"/>
    <w:unhideWhenUsed/>
    <w:rsid w:val="00717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B3"/>
    <w:rPr>
      <w:rFonts w:ascii="Times New Roman" w:hAnsi="Times New Roman"/>
      <w:sz w:val="24"/>
    </w:rPr>
  </w:style>
  <w:style w:type="paragraph" w:styleId="Footer">
    <w:name w:val="footer"/>
    <w:basedOn w:val="Normal"/>
    <w:link w:val="FooterChar"/>
    <w:uiPriority w:val="99"/>
    <w:unhideWhenUsed/>
    <w:rsid w:val="00717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B3"/>
    <w:rPr>
      <w:rFonts w:ascii="Times New Roman" w:hAnsi="Times New Roman"/>
      <w:sz w:val="24"/>
    </w:rPr>
  </w:style>
  <w:style w:type="paragraph" w:styleId="Title">
    <w:name w:val="Title"/>
    <w:basedOn w:val="Normal"/>
    <w:link w:val="TitleChar"/>
    <w:qFormat/>
    <w:rsid w:val="001900BA"/>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1900B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81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37"/>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C37"/>
    <w:pPr>
      <w:ind w:left="720" w:firstLine="720"/>
      <w:contextualSpacing/>
    </w:pPr>
  </w:style>
  <w:style w:type="paragraph" w:styleId="FootnoteText">
    <w:name w:val="footnote text"/>
    <w:basedOn w:val="Normal"/>
    <w:link w:val="FootnoteTextChar"/>
    <w:uiPriority w:val="99"/>
    <w:unhideWhenUsed/>
    <w:rsid w:val="00CB34DB"/>
    <w:pPr>
      <w:spacing w:after="120" w:line="240" w:lineRule="auto"/>
    </w:pPr>
    <w:rPr>
      <w:sz w:val="20"/>
      <w:szCs w:val="20"/>
    </w:rPr>
  </w:style>
  <w:style w:type="character" w:customStyle="1" w:styleId="FootnoteTextChar">
    <w:name w:val="Footnote Text Char"/>
    <w:basedOn w:val="DefaultParagraphFont"/>
    <w:link w:val="FootnoteText"/>
    <w:uiPriority w:val="99"/>
    <w:rsid w:val="00CB34DB"/>
    <w:rPr>
      <w:rFonts w:ascii="Times New Roman" w:hAnsi="Times New Roman"/>
      <w:sz w:val="20"/>
      <w:szCs w:val="20"/>
    </w:rPr>
  </w:style>
  <w:style w:type="character" w:styleId="FootnoteReference">
    <w:name w:val="footnote reference"/>
    <w:basedOn w:val="DefaultParagraphFont"/>
    <w:uiPriority w:val="99"/>
    <w:semiHidden/>
    <w:unhideWhenUsed/>
    <w:rsid w:val="00B13A7A"/>
    <w:rPr>
      <w:vertAlign w:val="superscript"/>
    </w:rPr>
  </w:style>
  <w:style w:type="paragraph" w:styleId="Header">
    <w:name w:val="header"/>
    <w:basedOn w:val="Normal"/>
    <w:link w:val="HeaderChar"/>
    <w:uiPriority w:val="99"/>
    <w:unhideWhenUsed/>
    <w:rsid w:val="00717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B3"/>
    <w:rPr>
      <w:rFonts w:ascii="Times New Roman" w:hAnsi="Times New Roman"/>
      <w:sz w:val="24"/>
    </w:rPr>
  </w:style>
  <w:style w:type="paragraph" w:styleId="Footer">
    <w:name w:val="footer"/>
    <w:basedOn w:val="Normal"/>
    <w:link w:val="FooterChar"/>
    <w:uiPriority w:val="99"/>
    <w:unhideWhenUsed/>
    <w:rsid w:val="00717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B3"/>
    <w:rPr>
      <w:rFonts w:ascii="Times New Roman" w:hAnsi="Times New Roman"/>
      <w:sz w:val="24"/>
    </w:rPr>
  </w:style>
  <w:style w:type="paragraph" w:styleId="Title">
    <w:name w:val="Title"/>
    <w:basedOn w:val="Normal"/>
    <w:link w:val="TitleChar"/>
    <w:qFormat/>
    <w:rsid w:val="001900BA"/>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1900B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81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4887E-969D-4C36-A1DD-C0D2D385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2</cp:revision>
  <cp:lastPrinted>2012-07-10T16:45:00Z</cp:lastPrinted>
  <dcterms:created xsi:type="dcterms:W3CDTF">2012-07-10T18:16:00Z</dcterms:created>
  <dcterms:modified xsi:type="dcterms:W3CDTF">2012-07-10T18:16:00Z</dcterms:modified>
</cp:coreProperties>
</file>