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C2" w:rsidRDefault="00390FC2" w:rsidP="00390FC2">
      <w:pPr>
        <w:pStyle w:val="Title"/>
        <w:tabs>
          <w:tab w:val="clear" w:pos="360"/>
          <w:tab w:val="left" w:pos="0"/>
        </w:tabs>
      </w:pPr>
      <w:r>
        <w:t>BEFORE THE</w:t>
      </w:r>
    </w:p>
    <w:p w:rsidR="00390FC2" w:rsidRDefault="00390FC2" w:rsidP="00390FC2">
      <w:pPr>
        <w:tabs>
          <w:tab w:val="left" w:pos="0"/>
        </w:tabs>
        <w:spacing w:line="233" w:lineRule="auto"/>
        <w:jc w:val="center"/>
        <w:rPr>
          <w:b/>
          <w:sz w:val="24"/>
        </w:rPr>
      </w:pPr>
      <w:r>
        <w:rPr>
          <w:b/>
          <w:sz w:val="24"/>
        </w:rPr>
        <w:t>PENNSYLVANIA PUBLIC UTILITY COMMISSION</w:t>
      </w:r>
    </w:p>
    <w:p w:rsidR="00390FC2" w:rsidRDefault="00390FC2" w:rsidP="00390FC2">
      <w:pPr>
        <w:tabs>
          <w:tab w:val="left" w:pos="0"/>
        </w:tabs>
        <w:spacing w:line="233" w:lineRule="auto"/>
        <w:jc w:val="both"/>
        <w:rPr>
          <w:b/>
          <w:sz w:val="24"/>
        </w:rPr>
      </w:pPr>
    </w:p>
    <w:p w:rsidR="00390FC2" w:rsidRDefault="00390FC2" w:rsidP="00390FC2">
      <w:pPr>
        <w:tabs>
          <w:tab w:val="left" w:pos="0"/>
        </w:tabs>
        <w:spacing w:line="233" w:lineRule="auto"/>
        <w:jc w:val="both"/>
        <w:rPr>
          <w:b/>
          <w:sz w:val="24"/>
        </w:rPr>
      </w:pPr>
    </w:p>
    <w:p w:rsidR="001B30D4" w:rsidRDefault="001B30D4" w:rsidP="00EA3EED">
      <w:pPr>
        <w:tabs>
          <w:tab w:val="left" w:pos="0"/>
        </w:tabs>
        <w:spacing w:line="233" w:lineRule="auto"/>
        <w:jc w:val="both"/>
        <w:rPr>
          <w:sz w:val="24"/>
        </w:rPr>
      </w:pPr>
    </w:p>
    <w:p w:rsidR="00EA3EED" w:rsidRPr="00A03D6F" w:rsidRDefault="00A07A90" w:rsidP="00EA3EED">
      <w:pPr>
        <w:tabs>
          <w:tab w:val="left" w:pos="0"/>
        </w:tabs>
        <w:spacing w:line="233" w:lineRule="auto"/>
        <w:jc w:val="both"/>
        <w:rPr>
          <w:b/>
          <w:sz w:val="24"/>
        </w:rPr>
      </w:pPr>
      <w:r>
        <w:rPr>
          <w:sz w:val="24"/>
        </w:rPr>
        <w:t>Earl Irons</w:t>
      </w:r>
      <w:r>
        <w:rPr>
          <w:sz w:val="24"/>
        </w:rPr>
        <w:tab/>
      </w:r>
      <w:r w:rsidR="00EA3EED" w:rsidRPr="00A03D6F">
        <w:rPr>
          <w:sz w:val="24"/>
        </w:rPr>
        <w:tab/>
      </w:r>
      <w:r w:rsidR="00EA3EED" w:rsidRPr="00A03D6F">
        <w:rPr>
          <w:sz w:val="24"/>
        </w:rPr>
        <w:tab/>
      </w:r>
      <w:r w:rsidR="00EA3EED" w:rsidRPr="00A03D6F">
        <w:rPr>
          <w:sz w:val="24"/>
        </w:rPr>
        <w:tab/>
      </w:r>
      <w:r w:rsidR="00EA3EED">
        <w:rPr>
          <w:sz w:val="24"/>
        </w:rPr>
        <w:tab/>
      </w:r>
      <w:r w:rsidR="00EA3EED" w:rsidRPr="00A03D6F">
        <w:rPr>
          <w:sz w:val="24"/>
        </w:rPr>
        <w:tab/>
      </w:r>
      <w:r w:rsidR="00EA3EED" w:rsidRPr="00A03D6F">
        <w:rPr>
          <w:b/>
          <w:sz w:val="24"/>
        </w:rPr>
        <w:t>:</w:t>
      </w:r>
    </w:p>
    <w:p w:rsidR="00EA3EED" w:rsidRPr="00A03D6F" w:rsidRDefault="00EA3EED" w:rsidP="00EA3EED">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EA3EED" w:rsidRPr="00A03D6F" w:rsidRDefault="00EA3EED" w:rsidP="00EA3EED">
      <w:pPr>
        <w:tabs>
          <w:tab w:val="left" w:pos="0"/>
        </w:tabs>
        <w:spacing w:line="233" w:lineRule="auto"/>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sidR="00A07A90">
        <w:rPr>
          <w:sz w:val="24"/>
        </w:rPr>
        <w:t>F</w:t>
      </w:r>
      <w:r>
        <w:rPr>
          <w:sz w:val="24"/>
        </w:rPr>
        <w:t>-201</w:t>
      </w:r>
      <w:r w:rsidR="00A07A90">
        <w:rPr>
          <w:sz w:val="24"/>
        </w:rPr>
        <w:t>1</w:t>
      </w:r>
      <w:r>
        <w:rPr>
          <w:sz w:val="24"/>
        </w:rPr>
        <w:t>-2</w:t>
      </w:r>
      <w:r w:rsidR="00A83E82">
        <w:rPr>
          <w:sz w:val="24"/>
        </w:rPr>
        <w:t>2</w:t>
      </w:r>
      <w:r w:rsidR="00A07A90">
        <w:rPr>
          <w:sz w:val="24"/>
        </w:rPr>
        <w:t>58638</w:t>
      </w:r>
    </w:p>
    <w:p w:rsidR="00EA3EED" w:rsidRPr="00A03D6F" w:rsidRDefault="00EA3EED" w:rsidP="00EA3EED">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EA3EED" w:rsidRPr="00A03D6F" w:rsidRDefault="00A07A90" w:rsidP="00EA3EED">
      <w:pPr>
        <w:tabs>
          <w:tab w:val="left" w:pos="0"/>
        </w:tabs>
        <w:spacing w:line="233" w:lineRule="auto"/>
        <w:jc w:val="both"/>
        <w:rPr>
          <w:b/>
          <w:sz w:val="24"/>
        </w:rPr>
      </w:pPr>
      <w:r>
        <w:rPr>
          <w:sz w:val="24"/>
        </w:rPr>
        <w:t>Duquesne Light Company</w:t>
      </w:r>
      <w:r>
        <w:rPr>
          <w:sz w:val="24"/>
        </w:rPr>
        <w:tab/>
      </w:r>
      <w:r>
        <w:rPr>
          <w:sz w:val="24"/>
        </w:rPr>
        <w:tab/>
      </w:r>
      <w:r w:rsidR="00EA3EED" w:rsidRPr="00A03D6F">
        <w:rPr>
          <w:sz w:val="24"/>
        </w:rPr>
        <w:tab/>
      </w:r>
      <w:r w:rsidR="00EA3EED" w:rsidRPr="00A03D6F">
        <w:rPr>
          <w:sz w:val="24"/>
        </w:rPr>
        <w:tab/>
      </w:r>
      <w:r w:rsidR="00EA3EED" w:rsidRPr="00A03D6F">
        <w:rPr>
          <w:b/>
          <w:sz w:val="24"/>
        </w:rPr>
        <w:t>:</w:t>
      </w:r>
    </w:p>
    <w:p w:rsidR="00EA3EED" w:rsidRPr="00A03D6F" w:rsidRDefault="00EA3EED" w:rsidP="00EA3EED">
      <w:pPr>
        <w:tabs>
          <w:tab w:val="left" w:pos="0"/>
        </w:tabs>
        <w:spacing w:line="233" w:lineRule="auto"/>
        <w:jc w:val="both"/>
        <w:rPr>
          <w:b/>
          <w:sz w:val="24"/>
        </w:rPr>
      </w:pPr>
    </w:p>
    <w:p w:rsidR="006972E3" w:rsidRDefault="006972E3" w:rsidP="006972E3">
      <w:pPr>
        <w:tabs>
          <w:tab w:val="left" w:pos="0"/>
        </w:tabs>
        <w:spacing w:line="233" w:lineRule="auto"/>
        <w:jc w:val="both"/>
        <w:rPr>
          <w:b/>
          <w:sz w:val="24"/>
        </w:rPr>
      </w:pPr>
    </w:p>
    <w:p w:rsidR="001335CD" w:rsidRDefault="001335CD" w:rsidP="006972E3">
      <w:pPr>
        <w:tabs>
          <w:tab w:val="left" w:pos="0"/>
        </w:tabs>
        <w:spacing w:line="233" w:lineRule="auto"/>
        <w:jc w:val="both"/>
        <w:rPr>
          <w:b/>
          <w:sz w:val="24"/>
        </w:rPr>
      </w:pPr>
    </w:p>
    <w:p w:rsidR="006972E3" w:rsidRDefault="00AE54FE" w:rsidP="006972E3">
      <w:pPr>
        <w:jc w:val="center"/>
        <w:rPr>
          <w:b/>
          <w:sz w:val="24"/>
          <w:szCs w:val="24"/>
          <w:u w:val="single"/>
        </w:rPr>
      </w:pPr>
      <w:r>
        <w:rPr>
          <w:b/>
          <w:sz w:val="24"/>
          <w:szCs w:val="24"/>
          <w:u w:val="single"/>
        </w:rPr>
        <w:t>I</w:t>
      </w:r>
      <w:r w:rsidR="00821A08">
        <w:rPr>
          <w:b/>
          <w:sz w:val="24"/>
          <w:szCs w:val="24"/>
          <w:u w:val="single"/>
        </w:rPr>
        <w:t>NITIAL DECISION</w:t>
      </w:r>
    </w:p>
    <w:p w:rsidR="006972E3" w:rsidRPr="00EE6AE4" w:rsidRDefault="006972E3" w:rsidP="006972E3">
      <w:pPr>
        <w:jc w:val="center"/>
        <w:rPr>
          <w:b/>
          <w:sz w:val="24"/>
          <w:szCs w:val="24"/>
        </w:rPr>
      </w:pPr>
    </w:p>
    <w:p w:rsidR="009E43FB" w:rsidRPr="009E43FB" w:rsidRDefault="009E43FB" w:rsidP="009E43FB">
      <w:pPr>
        <w:jc w:val="center"/>
        <w:rPr>
          <w:sz w:val="24"/>
          <w:szCs w:val="24"/>
        </w:rPr>
      </w:pPr>
    </w:p>
    <w:p w:rsidR="009E43FB" w:rsidRPr="009E43FB" w:rsidRDefault="009E43FB" w:rsidP="009E43FB">
      <w:pPr>
        <w:jc w:val="center"/>
        <w:rPr>
          <w:sz w:val="24"/>
          <w:szCs w:val="24"/>
        </w:rPr>
      </w:pPr>
      <w:r w:rsidRPr="009E43FB">
        <w:rPr>
          <w:sz w:val="24"/>
          <w:szCs w:val="24"/>
        </w:rPr>
        <w:t>Before</w:t>
      </w:r>
    </w:p>
    <w:p w:rsidR="009E43FB" w:rsidRPr="009E43FB" w:rsidRDefault="009E43FB" w:rsidP="009E43FB">
      <w:pPr>
        <w:jc w:val="center"/>
        <w:rPr>
          <w:sz w:val="24"/>
          <w:szCs w:val="24"/>
        </w:rPr>
      </w:pPr>
      <w:r w:rsidRPr="009E43FB">
        <w:rPr>
          <w:sz w:val="24"/>
          <w:szCs w:val="24"/>
        </w:rPr>
        <w:t>Conrad A. Johnson</w:t>
      </w:r>
    </w:p>
    <w:p w:rsidR="009E43FB" w:rsidRPr="009E43FB" w:rsidRDefault="009E43FB" w:rsidP="009E43FB">
      <w:pPr>
        <w:jc w:val="center"/>
        <w:rPr>
          <w:sz w:val="24"/>
          <w:szCs w:val="24"/>
        </w:rPr>
      </w:pPr>
      <w:r w:rsidRPr="009E43FB">
        <w:rPr>
          <w:sz w:val="24"/>
          <w:szCs w:val="24"/>
        </w:rPr>
        <w:t>Administrative Law Judge</w:t>
      </w:r>
    </w:p>
    <w:p w:rsidR="009E43FB" w:rsidRPr="009E43FB" w:rsidRDefault="009E43FB" w:rsidP="009E43FB">
      <w:pPr>
        <w:jc w:val="center"/>
        <w:rPr>
          <w:sz w:val="24"/>
          <w:szCs w:val="24"/>
        </w:rPr>
      </w:pPr>
    </w:p>
    <w:p w:rsidR="009E43FB" w:rsidRPr="009E43FB" w:rsidRDefault="009E43FB" w:rsidP="009E43FB">
      <w:pPr>
        <w:jc w:val="center"/>
        <w:rPr>
          <w:sz w:val="24"/>
          <w:szCs w:val="24"/>
        </w:rPr>
      </w:pPr>
    </w:p>
    <w:p w:rsidR="009E43FB" w:rsidRPr="009E43FB" w:rsidRDefault="009E43FB" w:rsidP="009E43FB">
      <w:pPr>
        <w:jc w:val="center"/>
        <w:rPr>
          <w:sz w:val="24"/>
          <w:szCs w:val="24"/>
          <w:u w:val="single"/>
        </w:rPr>
      </w:pPr>
      <w:r w:rsidRPr="009E43FB">
        <w:rPr>
          <w:sz w:val="24"/>
          <w:szCs w:val="24"/>
          <w:u w:val="single"/>
        </w:rPr>
        <w:t>HISTORY OF THE PROCEEDING</w:t>
      </w:r>
    </w:p>
    <w:p w:rsidR="009E43FB" w:rsidRPr="009E43FB" w:rsidRDefault="009E43FB" w:rsidP="009E43FB">
      <w:pPr>
        <w:jc w:val="center"/>
        <w:rPr>
          <w:sz w:val="24"/>
          <w:szCs w:val="24"/>
          <w:u w:val="single"/>
        </w:rPr>
      </w:pPr>
    </w:p>
    <w:p w:rsidR="009E43FB" w:rsidRPr="009E43FB" w:rsidRDefault="009E43FB" w:rsidP="009E43FB">
      <w:pPr>
        <w:jc w:val="center"/>
        <w:rPr>
          <w:sz w:val="24"/>
          <w:szCs w:val="24"/>
          <w:u w:val="single"/>
        </w:rPr>
      </w:pPr>
    </w:p>
    <w:p w:rsidR="00DB1199" w:rsidRDefault="009E43FB" w:rsidP="00D7588F">
      <w:pPr>
        <w:spacing w:line="360" w:lineRule="auto"/>
        <w:rPr>
          <w:sz w:val="24"/>
          <w:szCs w:val="24"/>
        </w:rPr>
      </w:pPr>
      <w:r w:rsidRPr="009E43FB">
        <w:rPr>
          <w:sz w:val="24"/>
          <w:szCs w:val="24"/>
        </w:rPr>
        <w:tab/>
      </w:r>
      <w:r w:rsidRPr="009E43FB">
        <w:rPr>
          <w:sz w:val="24"/>
          <w:szCs w:val="24"/>
        </w:rPr>
        <w:tab/>
      </w:r>
      <w:r w:rsidR="009A4159">
        <w:rPr>
          <w:sz w:val="24"/>
          <w:szCs w:val="24"/>
        </w:rPr>
        <w:t xml:space="preserve">Complainant </w:t>
      </w:r>
      <w:r w:rsidR="005973DB">
        <w:rPr>
          <w:sz w:val="24"/>
          <w:szCs w:val="24"/>
        </w:rPr>
        <w:t>Earl Irons’</w:t>
      </w:r>
      <w:r w:rsidR="009A4159">
        <w:rPr>
          <w:sz w:val="24"/>
          <w:szCs w:val="24"/>
        </w:rPr>
        <w:t xml:space="preserve"> </w:t>
      </w:r>
      <w:r w:rsidR="005973DB">
        <w:rPr>
          <w:sz w:val="24"/>
          <w:szCs w:val="24"/>
        </w:rPr>
        <w:t>August 22, 2011</w:t>
      </w:r>
      <w:r w:rsidR="00F758F7">
        <w:rPr>
          <w:sz w:val="24"/>
          <w:szCs w:val="24"/>
        </w:rPr>
        <w:t xml:space="preserve"> </w:t>
      </w:r>
      <w:r w:rsidR="009A4159">
        <w:rPr>
          <w:sz w:val="24"/>
          <w:szCs w:val="24"/>
        </w:rPr>
        <w:t xml:space="preserve">Formal Complaint </w:t>
      </w:r>
      <w:r w:rsidR="005973DB">
        <w:rPr>
          <w:sz w:val="24"/>
          <w:szCs w:val="24"/>
        </w:rPr>
        <w:t xml:space="preserve">asserts a quality of service problem against </w:t>
      </w:r>
      <w:r w:rsidR="009A4159">
        <w:rPr>
          <w:sz w:val="24"/>
          <w:szCs w:val="24"/>
        </w:rPr>
        <w:t xml:space="preserve">Respondent </w:t>
      </w:r>
      <w:r w:rsidR="00C94645">
        <w:rPr>
          <w:sz w:val="24"/>
          <w:szCs w:val="24"/>
        </w:rPr>
        <w:t>Duquesne Light Company.</w:t>
      </w:r>
      <w:r w:rsidR="00BF1F4C">
        <w:rPr>
          <w:rStyle w:val="FootnoteReference"/>
          <w:sz w:val="24"/>
          <w:szCs w:val="24"/>
        </w:rPr>
        <w:footnoteReference w:id="1"/>
      </w:r>
      <w:r w:rsidR="00C94645">
        <w:rPr>
          <w:sz w:val="24"/>
          <w:szCs w:val="24"/>
        </w:rPr>
        <w:t xml:space="preserve">  </w:t>
      </w:r>
      <w:proofErr w:type="gramStart"/>
      <w:r w:rsidR="00C94645">
        <w:rPr>
          <w:sz w:val="24"/>
          <w:szCs w:val="24"/>
        </w:rPr>
        <w:t>Complai</w:t>
      </w:r>
      <w:r w:rsidR="00C875BF">
        <w:rPr>
          <w:sz w:val="24"/>
          <w:szCs w:val="24"/>
        </w:rPr>
        <w:t>nt ¶4A.</w:t>
      </w:r>
      <w:proofErr w:type="gramEnd"/>
      <w:r w:rsidR="00C875BF">
        <w:rPr>
          <w:sz w:val="24"/>
          <w:szCs w:val="24"/>
        </w:rPr>
        <w:t xml:space="preserve"> </w:t>
      </w:r>
      <w:r w:rsidR="00DB1199">
        <w:rPr>
          <w:sz w:val="24"/>
          <w:szCs w:val="24"/>
        </w:rPr>
        <w:t xml:space="preserve"> </w:t>
      </w:r>
      <w:r w:rsidR="00C875BF">
        <w:rPr>
          <w:sz w:val="24"/>
          <w:szCs w:val="24"/>
        </w:rPr>
        <w:t xml:space="preserve">Complainant </w:t>
      </w:r>
      <w:r w:rsidR="00C94645">
        <w:rPr>
          <w:sz w:val="24"/>
          <w:szCs w:val="24"/>
        </w:rPr>
        <w:t>Irons alleges, “The power company claims that an inspection (for wiring) is mandated by the P.U.C.”</w:t>
      </w:r>
      <w:r w:rsidR="00F758F7">
        <w:rPr>
          <w:sz w:val="24"/>
          <w:szCs w:val="24"/>
        </w:rPr>
        <w:t xml:space="preserve"> </w:t>
      </w:r>
      <w:r w:rsidR="00C875BF">
        <w:rPr>
          <w:sz w:val="24"/>
          <w:szCs w:val="24"/>
        </w:rPr>
        <w:t xml:space="preserve"> </w:t>
      </w:r>
      <w:proofErr w:type="gramStart"/>
      <w:r w:rsidR="00DB1199">
        <w:rPr>
          <w:sz w:val="24"/>
          <w:szCs w:val="24"/>
        </w:rPr>
        <w:t>Id. ¶4B.</w:t>
      </w:r>
      <w:proofErr w:type="gramEnd"/>
      <w:r w:rsidR="00DB1199">
        <w:rPr>
          <w:sz w:val="24"/>
          <w:szCs w:val="24"/>
        </w:rPr>
        <w:t xml:space="preserve">  As relief, Mr. </w:t>
      </w:r>
      <w:r w:rsidR="00C94645">
        <w:rPr>
          <w:sz w:val="24"/>
          <w:szCs w:val="24"/>
        </w:rPr>
        <w:t xml:space="preserve">Irons </w:t>
      </w:r>
      <w:r w:rsidR="002215FC">
        <w:rPr>
          <w:sz w:val="24"/>
          <w:szCs w:val="24"/>
        </w:rPr>
        <w:t xml:space="preserve">requests </w:t>
      </w:r>
      <w:r w:rsidR="00DB1199">
        <w:rPr>
          <w:sz w:val="24"/>
          <w:szCs w:val="24"/>
        </w:rPr>
        <w:t xml:space="preserve">that the Pennsylvania Public Utility Commission </w:t>
      </w:r>
      <w:r w:rsidR="00290F1E">
        <w:rPr>
          <w:sz w:val="24"/>
          <w:szCs w:val="24"/>
        </w:rPr>
        <w:t xml:space="preserve">(Commission) </w:t>
      </w:r>
      <w:r w:rsidR="00DB1199">
        <w:rPr>
          <w:sz w:val="24"/>
          <w:szCs w:val="24"/>
        </w:rPr>
        <w:t xml:space="preserve">require </w:t>
      </w:r>
      <w:r w:rsidR="002215FC">
        <w:rPr>
          <w:sz w:val="24"/>
          <w:szCs w:val="24"/>
        </w:rPr>
        <w:t>Duquesne Light Company to train its</w:t>
      </w:r>
      <w:r w:rsidR="00C94645">
        <w:rPr>
          <w:sz w:val="24"/>
          <w:szCs w:val="24"/>
        </w:rPr>
        <w:t xml:space="preserve"> employees </w:t>
      </w:r>
      <w:r w:rsidR="002215FC">
        <w:rPr>
          <w:sz w:val="24"/>
          <w:szCs w:val="24"/>
        </w:rPr>
        <w:t>“to do a spot check (</w:t>
      </w:r>
      <w:r w:rsidR="00C94645">
        <w:rPr>
          <w:sz w:val="24"/>
          <w:szCs w:val="24"/>
        </w:rPr>
        <w:t>wiring inspection</w:t>
      </w:r>
      <w:r w:rsidR="002215FC">
        <w:rPr>
          <w:sz w:val="24"/>
          <w:szCs w:val="24"/>
        </w:rPr>
        <w:t>) of the property in question</w:t>
      </w:r>
      <w:r w:rsidR="00C94645">
        <w:rPr>
          <w:sz w:val="24"/>
          <w:szCs w:val="24"/>
        </w:rPr>
        <w:t>.</w:t>
      </w:r>
      <w:r w:rsidR="002215FC">
        <w:rPr>
          <w:sz w:val="24"/>
          <w:szCs w:val="24"/>
        </w:rPr>
        <w:t>”</w:t>
      </w:r>
      <w:r w:rsidR="00DB1199">
        <w:rPr>
          <w:sz w:val="24"/>
          <w:szCs w:val="24"/>
        </w:rPr>
        <w:t xml:space="preserve"> </w:t>
      </w:r>
      <w:r w:rsidR="00F758F7">
        <w:rPr>
          <w:sz w:val="24"/>
          <w:szCs w:val="24"/>
        </w:rPr>
        <w:t xml:space="preserve"> </w:t>
      </w:r>
      <w:proofErr w:type="gramStart"/>
      <w:r w:rsidR="00DB1199">
        <w:rPr>
          <w:sz w:val="24"/>
          <w:szCs w:val="24"/>
        </w:rPr>
        <w:t>Id. ¶5.</w:t>
      </w:r>
      <w:proofErr w:type="gramEnd"/>
    </w:p>
    <w:p w:rsidR="00DB1199" w:rsidRDefault="00DB1199" w:rsidP="00D7588F">
      <w:pPr>
        <w:spacing w:line="360" w:lineRule="auto"/>
        <w:rPr>
          <w:sz w:val="24"/>
          <w:szCs w:val="24"/>
        </w:rPr>
      </w:pPr>
    </w:p>
    <w:p w:rsidR="00DB1199" w:rsidRDefault="00DB1199" w:rsidP="00D7588F">
      <w:pPr>
        <w:spacing w:line="360" w:lineRule="auto"/>
        <w:rPr>
          <w:sz w:val="24"/>
          <w:szCs w:val="24"/>
        </w:rPr>
      </w:pPr>
      <w:r>
        <w:rPr>
          <w:sz w:val="24"/>
          <w:szCs w:val="24"/>
        </w:rPr>
        <w:tab/>
      </w:r>
      <w:r>
        <w:rPr>
          <w:sz w:val="24"/>
          <w:szCs w:val="24"/>
        </w:rPr>
        <w:tab/>
        <w:t xml:space="preserve">Respondent </w:t>
      </w:r>
      <w:r w:rsidR="00C94645">
        <w:rPr>
          <w:sz w:val="24"/>
          <w:szCs w:val="24"/>
        </w:rPr>
        <w:t>Duquesne Light Com</w:t>
      </w:r>
      <w:r w:rsidR="00DF27EA">
        <w:rPr>
          <w:sz w:val="24"/>
          <w:szCs w:val="24"/>
        </w:rPr>
        <w:t>p</w:t>
      </w:r>
      <w:r w:rsidR="00565D02">
        <w:rPr>
          <w:sz w:val="24"/>
          <w:szCs w:val="24"/>
        </w:rPr>
        <w:t xml:space="preserve">any </w:t>
      </w:r>
      <w:r w:rsidR="00F758F7">
        <w:rPr>
          <w:sz w:val="24"/>
          <w:szCs w:val="24"/>
        </w:rPr>
        <w:t>(</w:t>
      </w:r>
      <w:r w:rsidR="00C94645">
        <w:rPr>
          <w:sz w:val="24"/>
          <w:szCs w:val="24"/>
        </w:rPr>
        <w:t xml:space="preserve">DLC, </w:t>
      </w:r>
      <w:r w:rsidR="00F758F7">
        <w:rPr>
          <w:sz w:val="24"/>
          <w:szCs w:val="24"/>
        </w:rPr>
        <w:t>Company</w:t>
      </w:r>
      <w:r w:rsidR="00290F1E">
        <w:rPr>
          <w:sz w:val="24"/>
          <w:szCs w:val="24"/>
        </w:rPr>
        <w:t xml:space="preserve"> or Respondent</w:t>
      </w:r>
      <w:r w:rsidR="00F758F7">
        <w:rPr>
          <w:sz w:val="24"/>
          <w:szCs w:val="24"/>
        </w:rPr>
        <w:t xml:space="preserve">) answers </w:t>
      </w:r>
      <w:proofErr w:type="gramStart"/>
      <w:r w:rsidR="00F758F7">
        <w:rPr>
          <w:sz w:val="24"/>
          <w:szCs w:val="24"/>
        </w:rPr>
        <w:t>the</w:t>
      </w:r>
      <w:proofErr w:type="gramEnd"/>
      <w:r w:rsidR="00F758F7">
        <w:rPr>
          <w:sz w:val="24"/>
          <w:szCs w:val="24"/>
        </w:rPr>
        <w:t xml:space="preserve"> complaint</w:t>
      </w:r>
      <w:r w:rsidR="00AD6B5E">
        <w:rPr>
          <w:sz w:val="24"/>
          <w:szCs w:val="24"/>
        </w:rPr>
        <w:t xml:space="preserve"> </w:t>
      </w:r>
      <w:r w:rsidR="006D53E6">
        <w:rPr>
          <w:sz w:val="24"/>
          <w:szCs w:val="24"/>
        </w:rPr>
        <w:t xml:space="preserve">denying that there is a quality of service problem and admitting, in part, that </w:t>
      </w:r>
      <w:r w:rsidR="00DF27EA">
        <w:rPr>
          <w:sz w:val="24"/>
          <w:szCs w:val="24"/>
        </w:rPr>
        <w:t xml:space="preserve">wiring </w:t>
      </w:r>
      <w:r w:rsidR="006D53E6">
        <w:rPr>
          <w:sz w:val="24"/>
          <w:szCs w:val="24"/>
        </w:rPr>
        <w:t>inspections are required.</w:t>
      </w:r>
      <w:r w:rsidR="00AD6B5E">
        <w:rPr>
          <w:sz w:val="24"/>
          <w:szCs w:val="24"/>
        </w:rPr>
        <w:t xml:space="preserve"> </w:t>
      </w:r>
      <w:r w:rsidR="006750B7">
        <w:rPr>
          <w:sz w:val="24"/>
          <w:szCs w:val="24"/>
        </w:rPr>
        <w:t xml:space="preserve"> </w:t>
      </w:r>
      <w:r w:rsidR="006D53E6">
        <w:rPr>
          <w:sz w:val="24"/>
          <w:szCs w:val="24"/>
        </w:rPr>
        <w:t>DLC</w:t>
      </w:r>
      <w:r w:rsidR="00837B4B">
        <w:rPr>
          <w:sz w:val="24"/>
          <w:szCs w:val="24"/>
        </w:rPr>
        <w:t xml:space="preserve">’s </w:t>
      </w:r>
      <w:r w:rsidR="006D53E6">
        <w:rPr>
          <w:sz w:val="24"/>
          <w:szCs w:val="24"/>
        </w:rPr>
        <w:t>September 12, 2011</w:t>
      </w:r>
      <w:r w:rsidR="00837B4B">
        <w:rPr>
          <w:sz w:val="24"/>
          <w:szCs w:val="24"/>
        </w:rPr>
        <w:t xml:space="preserve"> </w:t>
      </w:r>
      <w:r w:rsidR="00AD6B5E">
        <w:rPr>
          <w:sz w:val="24"/>
          <w:szCs w:val="24"/>
        </w:rPr>
        <w:t>Answer ¶</w:t>
      </w:r>
      <w:r w:rsidR="006D53E6">
        <w:rPr>
          <w:sz w:val="24"/>
          <w:szCs w:val="24"/>
        </w:rPr>
        <w:t>¶</w:t>
      </w:r>
      <w:r w:rsidR="00AD6B5E">
        <w:rPr>
          <w:sz w:val="24"/>
          <w:szCs w:val="24"/>
        </w:rPr>
        <w:t>4</w:t>
      </w:r>
      <w:r w:rsidR="006D53E6">
        <w:rPr>
          <w:sz w:val="24"/>
          <w:szCs w:val="24"/>
        </w:rPr>
        <w:t>A-4</w:t>
      </w:r>
      <w:r w:rsidR="00AD6B5E">
        <w:rPr>
          <w:sz w:val="24"/>
          <w:szCs w:val="24"/>
        </w:rPr>
        <w:t>B.</w:t>
      </w:r>
      <w:r w:rsidR="00F670EB">
        <w:rPr>
          <w:sz w:val="24"/>
          <w:szCs w:val="24"/>
        </w:rPr>
        <w:t xml:space="preserve">  </w:t>
      </w:r>
      <w:r w:rsidR="006D53E6">
        <w:rPr>
          <w:sz w:val="24"/>
          <w:szCs w:val="24"/>
        </w:rPr>
        <w:t>DLC</w:t>
      </w:r>
      <w:r w:rsidR="00F670EB">
        <w:rPr>
          <w:sz w:val="24"/>
          <w:szCs w:val="24"/>
        </w:rPr>
        <w:t xml:space="preserve"> </w:t>
      </w:r>
      <w:r w:rsidR="006D53E6">
        <w:rPr>
          <w:sz w:val="24"/>
          <w:szCs w:val="24"/>
        </w:rPr>
        <w:t>asserts, “Respondent’s tariff, in accordance with its “Electric Service Installation Rules,” requires a wiring inspecti</w:t>
      </w:r>
      <w:r w:rsidR="00DF27EA">
        <w:rPr>
          <w:sz w:val="24"/>
          <w:szCs w:val="24"/>
        </w:rPr>
        <w:t>o</w:t>
      </w:r>
      <w:r w:rsidR="006D53E6">
        <w:rPr>
          <w:sz w:val="24"/>
          <w:szCs w:val="24"/>
        </w:rPr>
        <w:t>n prior to establishing electric service to a dwelling that has not had service for more than a year.</w:t>
      </w:r>
      <w:r w:rsidR="00F670EB">
        <w:rPr>
          <w:sz w:val="24"/>
          <w:szCs w:val="24"/>
        </w:rPr>
        <w:t xml:space="preserve">  </w:t>
      </w:r>
      <w:r w:rsidR="00DF27EA">
        <w:rPr>
          <w:sz w:val="24"/>
          <w:szCs w:val="24"/>
        </w:rPr>
        <w:t>The inspection is required for safety reasons and will not be waived.</w:t>
      </w:r>
      <w:r w:rsidR="00CF5A3C">
        <w:rPr>
          <w:sz w:val="24"/>
          <w:szCs w:val="24"/>
        </w:rPr>
        <w:t>”</w:t>
      </w:r>
      <w:r w:rsidR="006750B7">
        <w:rPr>
          <w:sz w:val="24"/>
          <w:szCs w:val="24"/>
        </w:rPr>
        <w:t xml:space="preserve"> </w:t>
      </w:r>
      <w:r w:rsidR="00DF27EA">
        <w:rPr>
          <w:sz w:val="24"/>
          <w:szCs w:val="24"/>
        </w:rPr>
        <w:t xml:space="preserve"> </w:t>
      </w:r>
      <w:proofErr w:type="gramStart"/>
      <w:r w:rsidR="00F670EB">
        <w:rPr>
          <w:sz w:val="24"/>
          <w:szCs w:val="24"/>
        </w:rPr>
        <w:t xml:space="preserve">Id. </w:t>
      </w:r>
      <w:r w:rsidR="00DF27EA">
        <w:rPr>
          <w:sz w:val="24"/>
          <w:szCs w:val="24"/>
        </w:rPr>
        <w:t>¶4B.</w:t>
      </w:r>
      <w:proofErr w:type="gramEnd"/>
      <w:r w:rsidR="00DF27EA">
        <w:rPr>
          <w:sz w:val="24"/>
          <w:szCs w:val="24"/>
        </w:rPr>
        <w:t xml:space="preserve"> </w:t>
      </w:r>
      <w:r w:rsidR="00F670EB">
        <w:rPr>
          <w:sz w:val="24"/>
          <w:szCs w:val="24"/>
        </w:rPr>
        <w:t xml:space="preserve"> </w:t>
      </w:r>
      <w:r w:rsidR="00DF27EA">
        <w:rPr>
          <w:sz w:val="24"/>
          <w:szCs w:val="24"/>
        </w:rPr>
        <w:t xml:space="preserve">As relief, DLC </w:t>
      </w:r>
      <w:r w:rsidR="002F3D9D">
        <w:rPr>
          <w:sz w:val="24"/>
          <w:szCs w:val="24"/>
        </w:rPr>
        <w:t>request</w:t>
      </w:r>
      <w:r w:rsidR="00DF27EA">
        <w:rPr>
          <w:sz w:val="24"/>
          <w:szCs w:val="24"/>
        </w:rPr>
        <w:t>s</w:t>
      </w:r>
      <w:r w:rsidR="002F3D9D">
        <w:rPr>
          <w:sz w:val="24"/>
          <w:szCs w:val="24"/>
        </w:rPr>
        <w:t xml:space="preserve"> dismissal of </w:t>
      </w:r>
      <w:r w:rsidR="007D43C7">
        <w:rPr>
          <w:sz w:val="24"/>
          <w:szCs w:val="24"/>
        </w:rPr>
        <w:t xml:space="preserve">Mr. </w:t>
      </w:r>
      <w:r w:rsidR="00DF27EA">
        <w:rPr>
          <w:sz w:val="24"/>
          <w:szCs w:val="24"/>
        </w:rPr>
        <w:t>Irons</w:t>
      </w:r>
      <w:r w:rsidR="007D43C7">
        <w:rPr>
          <w:sz w:val="24"/>
          <w:szCs w:val="24"/>
        </w:rPr>
        <w:t>’</w:t>
      </w:r>
      <w:r w:rsidR="00AD18F3">
        <w:rPr>
          <w:sz w:val="24"/>
          <w:szCs w:val="24"/>
        </w:rPr>
        <w:t xml:space="preserve"> </w:t>
      </w:r>
      <w:r w:rsidR="002F3D9D">
        <w:rPr>
          <w:sz w:val="24"/>
          <w:szCs w:val="24"/>
        </w:rPr>
        <w:t>complaint.</w:t>
      </w:r>
    </w:p>
    <w:p w:rsidR="00FF648B" w:rsidRDefault="00FF648B" w:rsidP="00D7588F">
      <w:pPr>
        <w:tabs>
          <w:tab w:val="left" w:pos="-720"/>
        </w:tabs>
        <w:suppressAutoHyphens/>
        <w:autoSpaceDE w:val="0"/>
        <w:autoSpaceDN w:val="0"/>
        <w:spacing w:line="360" w:lineRule="auto"/>
        <w:rPr>
          <w:sz w:val="24"/>
          <w:szCs w:val="24"/>
        </w:rPr>
      </w:pPr>
      <w:r>
        <w:rPr>
          <w:sz w:val="24"/>
          <w:szCs w:val="24"/>
        </w:rPr>
        <w:lastRenderedPageBreak/>
        <w:tab/>
      </w:r>
      <w:r>
        <w:rPr>
          <w:sz w:val="24"/>
          <w:szCs w:val="24"/>
        </w:rPr>
        <w:tab/>
      </w:r>
    </w:p>
    <w:p w:rsidR="00251A6F" w:rsidRDefault="002F3D9D" w:rsidP="006264B8">
      <w:pPr>
        <w:tabs>
          <w:tab w:val="left" w:pos="-720"/>
        </w:tabs>
        <w:suppressAutoHyphens/>
        <w:autoSpaceDE w:val="0"/>
        <w:autoSpaceDN w:val="0"/>
        <w:spacing w:line="360" w:lineRule="auto"/>
        <w:rPr>
          <w:sz w:val="24"/>
          <w:szCs w:val="24"/>
        </w:rPr>
      </w:pPr>
      <w:r>
        <w:rPr>
          <w:sz w:val="24"/>
          <w:szCs w:val="24"/>
        </w:rPr>
        <w:tab/>
      </w:r>
      <w:r>
        <w:rPr>
          <w:sz w:val="24"/>
          <w:szCs w:val="24"/>
        </w:rPr>
        <w:tab/>
        <w:t xml:space="preserve">On </w:t>
      </w:r>
      <w:r w:rsidR="00DF27EA">
        <w:rPr>
          <w:sz w:val="24"/>
          <w:szCs w:val="24"/>
        </w:rPr>
        <w:t xml:space="preserve">January 3, </w:t>
      </w:r>
      <w:r>
        <w:rPr>
          <w:sz w:val="24"/>
          <w:szCs w:val="24"/>
        </w:rPr>
        <w:t>2012</w:t>
      </w:r>
      <w:r w:rsidR="00D802EE">
        <w:rPr>
          <w:sz w:val="24"/>
          <w:szCs w:val="24"/>
        </w:rPr>
        <w:t xml:space="preserve">, </w:t>
      </w:r>
      <w:r w:rsidR="00521B7D">
        <w:rPr>
          <w:sz w:val="24"/>
          <w:szCs w:val="24"/>
        </w:rPr>
        <w:t>t</w:t>
      </w:r>
      <w:r w:rsidR="00D802EE">
        <w:rPr>
          <w:sz w:val="24"/>
          <w:szCs w:val="24"/>
        </w:rPr>
        <w:t xml:space="preserve">he Commission notified the parties that this </w:t>
      </w:r>
      <w:r>
        <w:rPr>
          <w:sz w:val="24"/>
          <w:szCs w:val="24"/>
        </w:rPr>
        <w:t xml:space="preserve">proceeding </w:t>
      </w:r>
      <w:r w:rsidR="00D802EE">
        <w:rPr>
          <w:sz w:val="24"/>
          <w:szCs w:val="24"/>
        </w:rPr>
        <w:t>was assigned to the undersigned ALJ for an initial telep</w:t>
      </w:r>
      <w:r w:rsidR="00536423">
        <w:rPr>
          <w:sz w:val="24"/>
          <w:szCs w:val="24"/>
        </w:rPr>
        <w:t>h</w:t>
      </w:r>
      <w:r w:rsidR="00D802EE">
        <w:rPr>
          <w:sz w:val="24"/>
          <w:szCs w:val="24"/>
        </w:rPr>
        <w:t>onic hearing</w:t>
      </w:r>
      <w:r w:rsidR="001847A0">
        <w:rPr>
          <w:sz w:val="24"/>
          <w:szCs w:val="24"/>
        </w:rPr>
        <w:t xml:space="preserve"> on February 7, 2012</w:t>
      </w:r>
      <w:r>
        <w:rPr>
          <w:sz w:val="24"/>
          <w:szCs w:val="24"/>
        </w:rPr>
        <w:t xml:space="preserve">. </w:t>
      </w:r>
      <w:r w:rsidR="00565D02">
        <w:rPr>
          <w:sz w:val="24"/>
          <w:szCs w:val="24"/>
        </w:rPr>
        <w:t xml:space="preserve"> </w:t>
      </w:r>
      <w:r w:rsidR="001847A0">
        <w:rPr>
          <w:sz w:val="24"/>
          <w:szCs w:val="24"/>
        </w:rPr>
        <w:t>On January 4, 2012</w:t>
      </w:r>
      <w:r w:rsidR="00536423">
        <w:rPr>
          <w:sz w:val="24"/>
          <w:szCs w:val="24"/>
        </w:rPr>
        <w:t>, a Prehearing Order outlining the relevant procedural rules was issued to the parties.</w:t>
      </w:r>
      <w:r>
        <w:rPr>
          <w:sz w:val="24"/>
          <w:szCs w:val="24"/>
        </w:rPr>
        <w:t xml:space="preserve">  </w:t>
      </w:r>
      <w:r w:rsidR="00536423">
        <w:rPr>
          <w:sz w:val="24"/>
          <w:szCs w:val="24"/>
        </w:rPr>
        <w:t>The hearing convened as scheduled.  M</w:t>
      </w:r>
      <w:r w:rsidR="00D17115">
        <w:rPr>
          <w:sz w:val="24"/>
          <w:szCs w:val="24"/>
        </w:rPr>
        <w:t>r</w:t>
      </w:r>
      <w:r w:rsidR="00536423">
        <w:rPr>
          <w:sz w:val="24"/>
          <w:szCs w:val="24"/>
        </w:rPr>
        <w:t xml:space="preserve">. </w:t>
      </w:r>
      <w:r w:rsidR="001847A0">
        <w:rPr>
          <w:sz w:val="24"/>
          <w:szCs w:val="24"/>
        </w:rPr>
        <w:t>Irons</w:t>
      </w:r>
      <w:r w:rsidR="00D17115">
        <w:rPr>
          <w:sz w:val="24"/>
          <w:szCs w:val="24"/>
        </w:rPr>
        <w:t xml:space="preserve"> </w:t>
      </w:r>
      <w:r w:rsidR="00536423">
        <w:rPr>
          <w:sz w:val="24"/>
          <w:szCs w:val="24"/>
        </w:rPr>
        <w:t>represented h</w:t>
      </w:r>
      <w:r w:rsidR="00D17115">
        <w:rPr>
          <w:sz w:val="24"/>
          <w:szCs w:val="24"/>
        </w:rPr>
        <w:t>imself</w:t>
      </w:r>
      <w:r w:rsidR="00536423">
        <w:rPr>
          <w:sz w:val="24"/>
          <w:szCs w:val="24"/>
        </w:rPr>
        <w:t xml:space="preserve">.  </w:t>
      </w:r>
      <w:r w:rsidR="001847A0">
        <w:rPr>
          <w:sz w:val="24"/>
          <w:szCs w:val="24"/>
        </w:rPr>
        <w:t xml:space="preserve">DLC </w:t>
      </w:r>
      <w:r w:rsidR="00D17115">
        <w:rPr>
          <w:sz w:val="24"/>
          <w:szCs w:val="24"/>
        </w:rPr>
        <w:t xml:space="preserve">was </w:t>
      </w:r>
      <w:r w:rsidR="00AD18F3">
        <w:rPr>
          <w:sz w:val="24"/>
          <w:szCs w:val="24"/>
        </w:rPr>
        <w:t xml:space="preserve">represented by </w:t>
      </w:r>
      <w:r w:rsidR="001847A0">
        <w:rPr>
          <w:sz w:val="24"/>
          <w:szCs w:val="24"/>
        </w:rPr>
        <w:t>Jennifer L. Allison</w:t>
      </w:r>
      <w:r w:rsidR="00F53F9F">
        <w:rPr>
          <w:sz w:val="24"/>
          <w:szCs w:val="24"/>
        </w:rPr>
        <w:t xml:space="preserve">, Esquire. </w:t>
      </w:r>
      <w:r w:rsidR="007604FB">
        <w:rPr>
          <w:sz w:val="24"/>
          <w:szCs w:val="24"/>
        </w:rPr>
        <w:t xml:space="preserve"> </w:t>
      </w:r>
      <w:r w:rsidR="00F53F9F">
        <w:rPr>
          <w:sz w:val="24"/>
          <w:szCs w:val="24"/>
        </w:rPr>
        <w:t xml:space="preserve">Testimony was received from </w:t>
      </w:r>
      <w:r w:rsidR="00D17115">
        <w:rPr>
          <w:sz w:val="24"/>
          <w:szCs w:val="24"/>
        </w:rPr>
        <w:t xml:space="preserve">Mr. </w:t>
      </w:r>
      <w:r w:rsidR="001847A0">
        <w:rPr>
          <w:sz w:val="24"/>
          <w:szCs w:val="24"/>
        </w:rPr>
        <w:t>Irons</w:t>
      </w:r>
      <w:r w:rsidR="00D17115">
        <w:rPr>
          <w:sz w:val="24"/>
          <w:szCs w:val="24"/>
        </w:rPr>
        <w:t xml:space="preserve"> </w:t>
      </w:r>
      <w:r w:rsidR="00F53F9F">
        <w:rPr>
          <w:sz w:val="24"/>
          <w:szCs w:val="24"/>
        </w:rPr>
        <w:t xml:space="preserve">and </w:t>
      </w:r>
      <w:r w:rsidR="001847A0">
        <w:rPr>
          <w:sz w:val="24"/>
          <w:szCs w:val="24"/>
        </w:rPr>
        <w:t>DLC</w:t>
      </w:r>
      <w:r w:rsidR="00F53F9F">
        <w:rPr>
          <w:sz w:val="24"/>
          <w:szCs w:val="24"/>
        </w:rPr>
        <w:t xml:space="preserve">’s </w:t>
      </w:r>
      <w:r w:rsidR="001847A0">
        <w:rPr>
          <w:sz w:val="24"/>
          <w:szCs w:val="24"/>
        </w:rPr>
        <w:t xml:space="preserve">Regulatory Consumer Relations Specialist Margaret Mueller and Supervisor of Distribution Engineering Russ </w:t>
      </w:r>
      <w:proofErr w:type="spellStart"/>
      <w:r w:rsidR="001847A0">
        <w:rPr>
          <w:sz w:val="24"/>
          <w:szCs w:val="24"/>
        </w:rPr>
        <w:t>Profazier</w:t>
      </w:r>
      <w:proofErr w:type="spellEnd"/>
      <w:r w:rsidR="001847A0">
        <w:rPr>
          <w:sz w:val="24"/>
          <w:szCs w:val="24"/>
        </w:rPr>
        <w:t xml:space="preserve">.  </w:t>
      </w:r>
      <w:r w:rsidR="00F53F9F">
        <w:rPr>
          <w:sz w:val="24"/>
          <w:szCs w:val="24"/>
        </w:rPr>
        <w:t xml:space="preserve">Complainant did not offer any </w:t>
      </w:r>
      <w:r w:rsidR="006750B7">
        <w:rPr>
          <w:sz w:val="24"/>
          <w:szCs w:val="24"/>
        </w:rPr>
        <w:t>exhibits.  Respondent’s Exhibit</w:t>
      </w:r>
      <w:r w:rsidR="00F53F9F">
        <w:rPr>
          <w:sz w:val="24"/>
          <w:szCs w:val="24"/>
        </w:rPr>
        <w:t xml:space="preserve"> </w:t>
      </w:r>
      <w:r w:rsidR="00D17115">
        <w:rPr>
          <w:sz w:val="24"/>
          <w:szCs w:val="24"/>
        </w:rPr>
        <w:t xml:space="preserve">1 </w:t>
      </w:r>
      <w:r w:rsidR="001847A0">
        <w:rPr>
          <w:sz w:val="24"/>
          <w:szCs w:val="24"/>
        </w:rPr>
        <w:t>was</w:t>
      </w:r>
      <w:r w:rsidR="00F53F9F">
        <w:rPr>
          <w:sz w:val="24"/>
          <w:szCs w:val="24"/>
        </w:rPr>
        <w:t xml:space="preserve"> admitted into the record. </w:t>
      </w:r>
      <w:r w:rsidR="007604FB">
        <w:rPr>
          <w:sz w:val="24"/>
          <w:szCs w:val="24"/>
        </w:rPr>
        <w:t xml:space="preserve"> </w:t>
      </w:r>
      <w:r w:rsidR="00F53F9F">
        <w:rPr>
          <w:sz w:val="24"/>
          <w:szCs w:val="24"/>
        </w:rPr>
        <w:t xml:space="preserve">The hearing generated </w:t>
      </w:r>
      <w:r w:rsidR="006F331F">
        <w:rPr>
          <w:sz w:val="24"/>
          <w:szCs w:val="24"/>
        </w:rPr>
        <w:t xml:space="preserve">a </w:t>
      </w:r>
      <w:r w:rsidR="001847A0">
        <w:rPr>
          <w:sz w:val="24"/>
          <w:szCs w:val="24"/>
        </w:rPr>
        <w:t>64</w:t>
      </w:r>
      <w:r w:rsidR="006F331F">
        <w:rPr>
          <w:sz w:val="24"/>
          <w:szCs w:val="24"/>
        </w:rPr>
        <w:t>-</w:t>
      </w:r>
      <w:r w:rsidR="00F53F9F">
        <w:rPr>
          <w:sz w:val="24"/>
          <w:szCs w:val="24"/>
        </w:rPr>
        <w:t xml:space="preserve">page </w:t>
      </w:r>
      <w:r w:rsidR="006F331F">
        <w:rPr>
          <w:sz w:val="24"/>
          <w:szCs w:val="24"/>
        </w:rPr>
        <w:t>transcript (Tr.)</w:t>
      </w:r>
      <w:r w:rsidR="00F53F9F">
        <w:rPr>
          <w:sz w:val="24"/>
          <w:szCs w:val="24"/>
        </w:rPr>
        <w:t xml:space="preserve">.  </w:t>
      </w:r>
      <w:r w:rsidR="00290F1E">
        <w:rPr>
          <w:sz w:val="24"/>
          <w:szCs w:val="24"/>
        </w:rPr>
        <w:t xml:space="preserve">No briefs were filed.  </w:t>
      </w:r>
      <w:r w:rsidR="00F53F9F">
        <w:rPr>
          <w:sz w:val="24"/>
          <w:szCs w:val="24"/>
        </w:rPr>
        <w:t xml:space="preserve">The record was closed by Interim Order dated </w:t>
      </w:r>
      <w:r w:rsidR="00D17115">
        <w:rPr>
          <w:sz w:val="24"/>
          <w:szCs w:val="24"/>
        </w:rPr>
        <w:t>Ju</w:t>
      </w:r>
      <w:r w:rsidR="001847A0">
        <w:rPr>
          <w:sz w:val="24"/>
          <w:szCs w:val="24"/>
        </w:rPr>
        <w:t>ly 5</w:t>
      </w:r>
      <w:r w:rsidR="00F53F9F">
        <w:rPr>
          <w:sz w:val="24"/>
          <w:szCs w:val="24"/>
        </w:rPr>
        <w:t>, 2012.  This case is procedurally read</w:t>
      </w:r>
      <w:r w:rsidR="007604FB">
        <w:rPr>
          <w:sz w:val="24"/>
          <w:szCs w:val="24"/>
        </w:rPr>
        <w:t>y</w:t>
      </w:r>
      <w:r w:rsidR="00F53F9F">
        <w:rPr>
          <w:sz w:val="24"/>
          <w:szCs w:val="24"/>
        </w:rPr>
        <w:t xml:space="preserve"> for ruling.</w:t>
      </w:r>
    </w:p>
    <w:p w:rsidR="00D17115" w:rsidRDefault="00D17115" w:rsidP="006264B8">
      <w:pPr>
        <w:tabs>
          <w:tab w:val="left" w:pos="-720"/>
        </w:tabs>
        <w:suppressAutoHyphens/>
        <w:autoSpaceDE w:val="0"/>
        <w:autoSpaceDN w:val="0"/>
        <w:spacing w:line="360" w:lineRule="auto"/>
        <w:rPr>
          <w:sz w:val="24"/>
          <w:szCs w:val="24"/>
        </w:rPr>
      </w:pPr>
    </w:p>
    <w:p w:rsidR="00536423" w:rsidRDefault="00251A6F" w:rsidP="006264B8">
      <w:pPr>
        <w:tabs>
          <w:tab w:val="left" w:pos="-720"/>
        </w:tabs>
        <w:suppressAutoHyphens/>
        <w:autoSpaceDE w:val="0"/>
        <w:autoSpaceDN w:val="0"/>
        <w:spacing w:line="360" w:lineRule="auto"/>
        <w:jc w:val="center"/>
        <w:rPr>
          <w:sz w:val="24"/>
          <w:szCs w:val="24"/>
        </w:rPr>
      </w:pPr>
      <w:r>
        <w:rPr>
          <w:sz w:val="24"/>
          <w:szCs w:val="24"/>
          <w:u w:val="single"/>
        </w:rPr>
        <w:t>FINDINGS OF FACT</w:t>
      </w:r>
    </w:p>
    <w:p w:rsidR="00251A6F" w:rsidRDefault="00251A6F" w:rsidP="00D7588F">
      <w:pPr>
        <w:tabs>
          <w:tab w:val="left" w:pos="-720"/>
        </w:tabs>
        <w:suppressAutoHyphens/>
        <w:autoSpaceDE w:val="0"/>
        <w:autoSpaceDN w:val="0"/>
        <w:spacing w:line="360" w:lineRule="auto"/>
        <w:jc w:val="center"/>
        <w:rPr>
          <w:sz w:val="24"/>
          <w:szCs w:val="24"/>
        </w:rPr>
      </w:pPr>
    </w:p>
    <w:p w:rsidR="00251A6F" w:rsidRDefault="000A2BA4" w:rsidP="00D7588F">
      <w:pPr>
        <w:pStyle w:val="ListParagraph"/>
        <w:numPr>
          <w:ilvl w:val="0"/>
          <w:numId w:val="4"/>
        </w:numPr>
        <w:suppressAutoHyphens/>
        <w:autoSpaceDE w:val="0"/>
        <w:autoSpaceDN w:val="0"/>
        <w:spacing w:line="360" w:lineRule="auto"/>
        <w:ind w:left="0" w:firstLine="1440"/>
        <w:rPr>
          <w:sz w:val="24"/>
          <w:szCs w:val="24"/>
        </w:rPr>
      </w:pPr>
      <w:r w:rsidRPr="000A2BA4">
        <w:rPr>
          <w:sz w:val="24"/>
          <w:szCs w:val="24"/>
        </w:rPr>
        <w:t xml:space="preserve">Complainant </w:t>
      </w:r>
      <w:r w:rsidR="001847A0">
        <w:rPr>
          <w:sz w:val="24"/>
          <w:szCs w:val="24"/>
        </w:rPr>
        <w:t>Earl Irons</w:t>
      </w:r>
      <w:r w:rsidRPr="000A2BA4">
        <w:rPr>
          <w:sz w:val="24"/>
          <w:szCs w:val="24"/>
        </w:rPr>
        <w:t xml:space="preserve"> (</w:t>
      </w:r>
      <w:r w:rsidR="003B50AA">
        <w:rPr>
          <w:sz w:val="24"/>
          <w:szCs w:val="24"/>
        </w:rPr>
        <w:t xml:space="preserve">Mr. </w:t>
      </w:r>
      <w:r w:rsidR="001847A0">
        <w:rPr>
          <w:sz w:val="24"/>
          <w:szCs w:val="24"/>
        </w:rPr>
        <w:t>Irons</w:t>
      </w:r>
      <w:r w:rsidR="003B50AA">
        <w:rPr>
          <w:sz w:val="24"/>
          <w:szCs w:val="24"/>
        </w:rPr>
        <w:t xml:space="preserve">) </w:t>
      </w:r>
      <w:r w:rsidR="006411B2">
        <w:rPr>
          <w:sz w:val="24"/>
          <w:szCs w:val="24"/>
        </w:rPr>
        <w:t xml:space="preserve">resides at 111 Maplewood Drive, Beaver, Pennsylvania and </w:t>
      </w:r>
      <w:r w:rsidR="001847A0">
        <w:rPr>
          <w:sz w:val="24"/>
          <w:szCs w:val="24"/>
        </w:rPr>
        <w:t xml:space="preserve">is an electrician by profession. </w:t>
      </w:r>
      <w:r w:rsidR="006264B8">
        <w:rPr>
          <w:sz w:val="24"/>
          <w:szCs w:val="24"/>
        </w:rPr>
        <w:t xml:space="preserve"> </w:t>
      </w:r>
      <w:r w:rsidRPr="000A2BA4">
        <w:rPr>
          <w:sz w:val="24"/>
          <w:szCs w:val="24"/>
        </w:rPr>
        <w:t xml:space="preserve">Tr. </w:t>
      </w:r>
      <w:r w:rsidR="006411B2">
        <w:rPr>
          <w:sz w:val="24"/>
          <w:szCs w:val="24"/>
        </w:rPr>
        <w:t xml:space="preserve">6, </w:t>
      </w:r>
      <w:r w:rsidR="001847A0">
        <w:rPr>
          <w:sz w:val="24"/>
          <w:szCs w:val="24"/>
        </w:rPr>
        <w:t>3</w:t>
      </w:r>
      <w:r w:rsidRPr="000A2BA4">
        <w:rPr>
          <w:sz w:val="24"/>
          <w:szCs w:val="24"/>
        </w:rPr>
        <w:t>6</w:t>
      </w:r>
      <w:r w:rsidR="001847A0">
        <w:rPr>
          <w:sz w:val="24"/>
          <w:szCs w:val="24"/>
        </w:rPr>
        <w:t>, 42</w:t>
      </w:r>
      <w:r w:rsidRPr="000A2BA4">
        <w:rPr>
          <w:sz w:val="24"/>
          <w:szCs w:val="24"/>
        </w:rPr>
        <w:t xml:space="preserve">. </w:t>
      </w:r>
    </w:p>
    <w:p w:rsidR="000A2BA4" w:rsidRPr="000A2BA4" w:rsidRDefault="000A2BA4" w:rsidP="00D7588F">
      <w:pPr>
        <w:suppressAutoHyphens/>
        <w:autoSpaceDE w:val="0"/>
        <w:autoSpaceDN w:val="0"/>
        <w:spacing w:line="360" w:lineRule="auto"/>
        <w:rPr>
          <w:sz w:val="24"/>
          <w:szCs w:val="24"/>
        </w:rPr>
      </w:pPr>
    </w:p>
    <w:p w:rsidR="000A2BA4" w:rsidRDefault="00251A6F" w:rsidP="00D7588F">
      <w:pPr>
        <w:pStyle w:val="ListParagraph"/>
        <w:numPr>
          <w:ilvl w:val="0"/>
          <w:numId w:val="4"/>
        </w:numPr>
        <w:spacing w:line="360" w:lineRule="auto"/>
        <w:ind w:left="0" w:firstLine="1440"/>
        <w:rPr>
          <w:sz w:val="24"/>
        </w:rPr>
      </w:pPr>
      <w:r w:rsidRPr="000A2BA4">
        <w:rPr>
          <w:sz w:val="24"/>
          <w:szCs w:val="24"/>
        </w:rPr>
        <w:t xml:space="preserve">Respondent </w:t>
      </w:r>
      <w:r w:rsidR="001847A0">
        <w:rPr>
          <w:sz w:val="24"/>
          <w:szCs w:val="24"/>
        </w:rPr>
        <w:t xml:space="preserve">Duquesne Light Company </w:t>
      </w:r>
      <w:r w:rsidR="00011469">
        <w:rPr>
          <w:sz w:val="24"/>
          <w:szCs w:val="24"/>
        </w:rPr>
        <w:t>is</w:t>
      </w:r>
      <w:r w:rsidR="000A2BA4" w:rsidRPr="000A2BA4">
        <w:rPr>
          <w:sz w:val="24"/>
          <w:szCs w:val="24"/>
        </w:rPr>
        <w:t xml:space="preserve"> </w:t>
      </w:r>
      <w:r w:rsidR="000A2BA4" w:rsidRPr="000A2BA4">
        <w:rPr>
          <w:sz w:val="24"/>
        </w:rPr>
        <w:t xml:space="preserve">a jurisdictional public utility providing </w:t>
      </w:r>
      <w:r w:rsidR="001847A0">
        <w:rPr>
          <w:sz w:val="24"/>
        </w:rPr>
        <w:t>electric</w:t>
      </w:r>
      <w:r w:rsidR="000A2BA4" w:rsidRPr="000A2BA4">
        <w:rPr>
          <w:sz w:val="24"/>
        </w:rPr>
        <w:t xml:space="preserve"> service to Pennsylvania customers.</w:t>
      </w:r>
    </w:p>
    <w:p w:rsidR="003265C3" w:rsidRPr="003265C3" w:rsidRDefault="003265C3" w:rsidP="00D7588F">
      <w:pPr>
        <w:pStyle w:val="ListParagraph"/>
        <w:spacing w:line="360" w:lineRule="auto"/>
        <w:rPr>
          <w:sz w:val="24"/>
          <w:szCs w:val="24"/>
        </w:rPr>
      </w:pPr>
    </w:p>
    <w:p w:rsidR="006411B2" w:rsidRDefault="006411B2" w:rsidP="00D7588F">
      <w:pPr>
        <w:pStyle w:val="ListParagraph"/>
        <w:numPr>
          <w:ilvl w:val="0"/>
          <w:numId w:val="4"/>
        </w:numPr>
        <w:suppressAutoHyphens/>
        <w:autoSpaceDE w:val="0"/>
        <w:autoSpaceDN w:val="0"/>
        <w:spacing w:line="360" w:lineRule="auto"/>
        <w:ind w:left="0" w:firstLine="1440"/>
        <w:rPr>
          <w:sz w:val="24"/>
          <w:szCs w:val="24"/>
        </w:rPr>
      </w:pPr>
      <w:r>
        <w:rPr>
          <w:sz w:val="24"/>
          <w:szCs w:val="24"/>
        </w:rPr>
        <w:t>In 1982, Mr. Irons purchased a house</w:t>
      </w:r>
      <w:r w:rsidR="009059EF">
        <w:rPr>
          <w:sz w:val="24"/>
          <w:szCs w:val="24"/>
        </w:rPr>
        <w:t>, with</w:t>
      </w:r>
      <w:r>
        <w:rPr>
          <w:sz w:val="24"/>
          <w:szCs w:val="24"/>
        </w:rPr>
        <w:t xml:space="preserve"> first and second floor</w:t>
      </w:r>
      <w:r w:rsidR="009059EF">
        <w:rPr>
          <w:sz w:val="24"/>
          <w:szCs w:val="24"/>
        </w:rPr>
        <w:t xml:space="preserve"> units</w:t>
      </w:r>
      <w:r>
        <w:rPr>
          <w:sz w:val="24"/>
          <w:szCs w:val="24"/>
        </w:rPr>
        <w:t>, located at 1526 5</w:t>
      </w:r>
      <w:r w:rsidRPr="006411B2">
        <w:rPr>
          <w:sz w:val="24"/>
          <w:szCs w:val="24"/>
          <w:vertAlign w:val="superscript"/>
        </w:rPr>
        <w:t>th</w:t>
      </w:r>
      <w:r>
        <w:rPr>
          <w:sz w:val="24"/>
          <w:szCs w:val="24"/>
        </w:rPr>
        <w:t xml:space="preserve"> Avenue, New Brighton, Pennsylvania (Service Location). </w:t>
      </w:r>
      <w:r w:rsidR="006264B8">
        <w:rPr>
          <w:sz w:val="24"/>
          <w:szCs w:val="24"/>
        </w:rPr>
        <w:t xml:space="preserve"> </w:t>
      </w:r>
      <w:r>
        <w:rPr>
          <w:sz w:val="24"/>
          <w:szCs w:val="24"/>
        </w:rPr>
        <w:t xml:space="preserve">Tr. 18, </w:t>
      </w:r>
      <w:r w:rsidR="00416A75">
        <w:rPr>
          <w:sz w:val="24"/>
          <w:szCs w:val="24"/>
        </w:rPr>
        <w:t xml:space="preserve">21, </w:t>
      </w:r>
      <w:r>
        <w:rPr>
          <w:sz w:val="24"/>
          <w:szCs w:val="24"/>
        </w:rPr>
        <w:t>22.</w:t>
      </w:r>
    </w:p>
    <w:p w:rsidR="006411B2" w:rsidRPr="006411B2" w:rsidRDefault="006411B2" w:rsidP="00D7588F">
      <w:pPr>
        <w:pStyle w:val="ListParagraph"/>
        <w:spacing w:line="360" w:lineRule="auto"/>
        <w:rPr>
          <w:sz w:val="24"/>
          <w:szCs w:val="24"/>
        </w:rPr>
      </w:pPr>
    </w:p>
    <w:p w:rsidR="00C62AA2" w:rsidRPr="007C0B0D" w:rsidRDefault="006411B2" w:rsidP="00D7588F">
      <w:pPr>
        <w:pStyle w:val="ListParagraph"/>
        <w:numPr>
          <w:ilvl w:val="0"/>
          <w:numId w:val="4"/>
        </w:numPr>
        <w:suppressAutoHyphens/>
        <w:autoSpaceDE w:val="0"/>
        <w:autoSpaceDN w:val="0"/>
        <w:spacing w:line="360" w:lineRule="auto"/>
        <w:ind w:left="0" w:firstLine="1440"/>
        <w:rPr>
          <w:sz w:val="24"/>
          <w:szCs w:val="24"/>
        </w:rPr>
      </w:pPr>
      <w:r>
        <w:rPr>
          <w:sz w:val="24"/>
          <w:szCs w:val="24"/>
        </w:rPr>
        <w:t>The Service Location has three electric meters</w:t>
      </w:r>
      <w:r w:rsidR="00416A75">
        <w:rPr>
          <w:sz w:val="24"/>
          <w:szCs w:val="24"/>
        </w:rPr>
        <w:t xml:space="preserve"> —</w:t>
      </w:r>
      <w:r>
        <w:rPr>
          <w:sz w:val="24"/>
          <w:szCs w:val="24"/>
        </w:rPr>
        <w:t xml:space="preserve"> first floor meter, second</w:t>
      </w:r>
      <w:r w:rsidR="00416A75">
        <w:rPr>
          <w:sz w:val="24"/>
          <w:szCs w:val="24"/>
        </w:rPr>
        <w:t xml:space="preserve"> </w:t>
      </w:r>
      <w:r>
        <w:rPr>
          <w:sz w:val="24"/>
          <w:szCs w:val="24"/>
        </w:rPr>
        <w:t xml:space="preserve">floor meter and </w:t>
      </w:r>
      <w:r w:rsidR="00416A75">
        <w:rPr>
          <w:sz w:val="24"/>
          <w:szCs w:val="24"/>
        </w:rPr>
        <w:t xml:space="preserve">a house meter for electricity to the </w:t>
      </w:r>
      <w:r w:rsidR="0073360D">
        <w:rPr>
          <w:sz w:val="24"/>
          <w:szCs w:val="24"/>
        </w:rPr>
        <w:t xml:space="preserve">furnace and </w:t>
      </w:r>
      <w:r w:rsidR="00416A75">
        <w:rPr>
          <w:sz w:val="24"/>
          <w:szCs w:val="24"/>
        </w:rPr>
        <w:t xml:space="preserve">common areas (house meter). </w:t>
      </w:r>
      <w:r w:rsidR="006750B7">
        <w:rPr>
          <w:sz w:val="24"/>
          <w:szCs w:val="24"/>
        </w:rPr>
        <w:t xml:space="preserve"> </w:t>
      </w:r>
      <w:r w:rsidR="00416A75">
        <w:rPr>
          <w:sz w:val="24"/>
          <w:szCs w:val="24"/>
        </w:rPr>
        <w:t>Tr. 24</w:t>
      </w:r>
      <w:r w:rsidR="00C62AA2" w:rsidRPr="007C0B0D">
        <w:rPr>
          <w:sz w:val="24"/>
          <w:szCs w:val="24"/>
        </w:rPr>
        <w:t>.</w:t>
      </w:r>
    </w:p>
    <w:p w:rsidR="00C62AA2" w:rsidRPr="00C62AA2" w:rsidRDefault="00C62AA2" w:rsidP="00D7588F">
      <w:pPr>
        <w:pStyle w:val="ListParagraph"/>
        <w:suppressAutoHyphens/>
        <w:autoSpaceDE w:val="0"/>
        <w:autoSpaceDN w:val="0"/>
        <w:spacing w:line="360" w:lineRule="auto"/>
        <w:ind w:left="0"/>
        <w:rPr>
          <w:sz w:val="24"/>
          <w:szCs w:val="24"/>
        </w:rPr>
      </w:pPr>
    </w:p>
    <w:p w:rsidR="0073360D" w:rsidRDefault="00416A75"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Mr. Irons’ tenants are responsible for their electric bill and he pays the bill for </w:t>
      </w:r>
      <w:r w:rsidR="0073360D">
        <w:rPr>
          <w:sz w:val="24"/>
          <w:szCs w:val="24"/>
        </w:rPr>
        <w:t>electric</w:t>
      </w:r>
      <w:r w:rsidR="00ED7BC7">
        <w:rPr>
          <w:sz w:val="24"/>
          <w:szCs w:val="24"/>
        </w:rPr>
        <w:t>ity</w:t>
      </w:r>
      <w:r w:rsidR="0073360D">
        <w:rPr>
          <w:sz w:val="24"/>
          <w:szCs w:val="24"/>
        </w:rPr>
        <w:t xml:space="preserve"> usage recorded through the </w:t>
      </w:r>
      <w:r>
        <w:rPr>
          <w:sz w:val="24"/>
          <w:szCs w:val="24"/>
        </w:rPr>
        <w:t xml:space="preserve">house meter. </w:t>
      </w:r>
      <w:r w:rsidR="0073360D">
        <w:rPr>
          <w:sz w:val="24"/>
          <w:szCs w:val="24"/>
        </w:rPr>
        <w:t xml:space="preserve"> Tr. 24, 26.</w:t>
      </w:r>
    </w:p>
    <w:p w:rsidR="0073360D" w:rsidRPr="0073360D" w:rsidRDefault="0073360D" w:rsidP="00D7588F">
      <w:pPr>
        <w:pStyle w:val="ListParagraph"/>
        <w:spacing w:line="360" w:lineRule="auto"/>
        <w:rPr>
          <w:sz w:val="24"/>
          <w:szCs w:val="24"/>
        </w:rPr>
      </w:pPr>
    </w:p>
    <w:p w:rsidR="007C0B0D" w:rsidRDefault="0073360D"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lastRenderedPageBreak/>
        <w:t>When a unit is vacant a</w:t>
      </w:r>
      <w:r w:rsidR="005871EA">
        <w:rPr>
          <w:sz w:val="24"/>
          <w:szCs w:val="24"/>
        </w:rPr>
        <w:t>t</w:t>
      </w:r>
      <w:r>
        <w:rPr>
          <w:sz w:val="24"/>
          <w:szCs w:val="24"/>
        </w:rPr>
        <w:t xml:space="preserve"> the Service </w:t>
      </w:r>
      <w:r w:rsidR="000C4F4D">
        <w:rPr>
          <w:sz w:val="24"/>
          <w:szCs w:val="24"/>
        </w:rPr>
        <w:t>Location</w:t>
      </w:r>
      <w:r w:rsidR="005871EA">
        <w:rPr>
          <w:sz w:val="24"/>
          <w:szCs w:val="24"/>
        </w:rPr>
        <w:t>,</w:t>
      </w:r>
      <w:r w:rsidR="000C4F4D">
        <w:rPr>
          <w:sz w:val="24"/>
          <w:szCs w:val="24"/>
        </w:rPr>
        <w:t xml:space="preserve"> Mr</w:t>
      </w:r>
      <w:r w:rsidR="005E3EA6">
        <w:rPr>
          <w:sz w:val="24"/>
          <w:szCs w:val="24"/>
        </w:rPr>
        <w:t>.</w:t>
      </w:r>
      <w:r w:rsidR="000C4F4D">
        <w:rPr>
          <w:sz w:val="24"/>
          <w:szCs w:val="24"/>
        </w:rPr>
        <w:t xml:space="preserve"> Irons’ practice is </w:t>
      </w:r>
      <w:r w:rsidR="005871EA">
        <w:rPr>
          <w:sz w:val="24"/>
          <w:szCs w:val="24"/>
        </w:rPr>
        <w:t xml:space="preserve">to </w:t>
      </w:r>
      <w:r w:rsidR="00AB5F38">
        <w:rPr>
          <w:sz w:val="24"/>
          <w:szCs w:val="24"/>
        </w:rPr>
        <w:t xml:space="preserve">switch the wiring on the inside panel for the vacant unit to </w:t>
      </w:r>
      <w:r w:rsidR="005871EA">
        <w:rPr>
          <w:sz w:val="24"/>
          <w:szCs w:val="24"/>
        </w:rPr>
        <w:t xml:space="preserve">the </w:t>
      </w:r>
      <w:r w:rsidR="00AB5F38">
        <w:rPr>
          <w:sz w:val="24"/>
          <w:szCs w:val="24"/>
        </w:rPr>
        <w:t>inside panel connected to the house meter.</w:t>
      </w:r>
      <w:r w:rsidR="009F5BEC">
        <w:rPr>
          <w:sz w:val="24"/>
          <w:szCs w:val="24"/>
        </w:rPr>
        <w:t xml:space="preserve">  Tr. 2</w:t>
      </w:r>
      <w:r w:rsidR="005871EA">
        <w:rPr>
          <w:sz w:val="24"/>
          <w:szCs w:val="24"/>
        </w:rPr>
        <w:t>6</w:t>
      </w:r>
      <w:r w:rsidR="00A13A79">
        <w:rPr>
          <w:sz w:val="24"/>
          <w:szCs w:val="24"/>
        </w:rPr>
        <w:t>, 41</w:t>
      </w:r>
      <w:r w:rsidR="009F5BEC">
        <w:rPr>
          <w:sz w:val="24"/>
          <w:szCs w:val="24"/>
        </w:rPr>
        <w:t xml:space="preserve">. </w:t>
      </w:r>
    </w:p>
    <w:p w:rsidR="007C0B0D" w:rsidRPr="007C0B0D" w:rsidRDefault="007C0B0D" w:rsidP="00D7588F">
      <w:pPr>
        <w:suppressAutoHyphens/>
        <w:autoSpaceDE w:val="0"/>
        <w:autoSpaceDN w:val="0"/>
        <w:spacing w:line="360" w:lineRule="auto"/>
        <w:rPr>
          <w:sz w:val="24"/>
          <w:szCs w:val="24"/>
        </w:rPr>
      </w:pPr>
    </w:p>
    <w:p w:rsidR="005E3EA6" w:rsidRDefault="005E3EA6"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DLC offers landlords, such as Mr. Irons, a </w:t>
      </w:r>
      <w:r w:rsidR="005B60E8">
        <w:rPr>
          <w:sz w:val="24"/>
          <w:szCs w:val="24"/>
        </w:rPr>
        <w:t>continuance of service agreement under which electric service is automatically placed in the landlord</w:t>
      </w:r>
      <w:r w:rsidR="006750B7">
        <w:rPr>
          <w:sz w:val="24"/>
          <w:szCs w:val="24"/>
        </w:rPr>
        <w:t>’</w:t>
      </w:r>
      <w:r w:rsidR="005B60E8">
        <w:rPr>
          <w:sz w:val="24"/>
          <w:szCs w:val="24"/>
        </w:rPr>
        <w:t>s name when a tenant moves out.  The landlord pays a monthly meter charge for the vacant unit until a new tenant initiates service.  Tr. 46.</w:t>
      </w:r>
    </w:p>
    <w:p w:rsidR="005E3EA6" w:rsidRPr="005E3EA6" w:rsidRDefault="005E3EA6" w:rsidP="00D7588F">
      <w:pPr>
        <w:pStyle w:val="ListParagraph"/>
        <w:spacing w:line="360" w:lineRule="auto"/>
        <w:rPr>
          <w:sz w:val="24"/>
          <w:szCs w:val="24"/>
        </w:rPr>
      </w:pPr>
    </w:p>
    <w:p w:rsidR="000F1888" w:rsidRDefault="000F1888"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Mr. Irons does not have a continuance of service agreement with DLC.  Tr. 46.</w:t>
      </w:r>
    </w:p>
    <w:p w:rsidR="000F1888" w:rsidRPr="000F1888" w:rsidRDefault="000F1888" w:rsidP="00D7588F">
      <w:pPr>
        <w:pStyle w:val="ListParagraph"/>
        <w:spacing w:line="360" w:lineRule="auto"/>
        <w:rPr>
          <w:sz w:val="24"/>
          <w:szCs w:val="24"/>
        </w:rPr>
      </w:pPr>
    </w:p>
    <w:p w:rsidR="007C0B0D" w:rsidRDefault="005871EA"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Mr. Irons’ practice of switching the wiring for a vacant unit to his house meter enable</w:t>
      </w:r>
      <w:r w:rsidR="001E353E">
        <w:rPr>
          <w:sz w:val="24"/>
          <w:szCs w:val="24"/>
        </w:rPr>
        <w:t>s</w:t>
      </w:r>
      <w:r>
        <w:rPr>
          <w:sz w:val="24"/>
          <w:szCs w:val="24"/>
        </w:rPr>
        <w:t xml:space="preserve"> him to maintain electricity to the vacant unit </w:t>
      </w:r>
      <w:r w:rsidR="00C6599D">
        <w:rPr>
          <w:sz w:val="24"/>
          <w:szCs w:val="24"/>
        </w:rPr>
        <w:t xml:space="preserve">(Tr. 21) </w:t>
      </w:r>
      <w:r>
        <w:rPr>
          <w:sz w:val="24"/>
          <w:szCs w:val="24"/>
        </w:rPr>
        <w:t xml:space="preserve">and to avoid paying to DLC the </w:t>
      </w:r>
      <w:r w:rsidR="00C6599D">
        <w:rPr>
          <w:sz w:val="24"/>
          <w:szCs w:val="24"/>
        </w:rPr>
        <w:t xml:space="preserve">monthly </w:t>
      </w:r>
      <w:r>
        <w:rPr>
          <w:sz w:val="24"/>
          <w:szCs w:val="24"/>
        </w:rPr>
        <w:t>meter charge for the vacant unit</w:t>
      </w:r>
      <w:r w:rsidR="007C0B0D">
        <w:rPr>
          <w:sz w:val="24"/>
          <w:szCs w:val="24"/>
        </w:rPr>
        <w:t xml:space="preserve">.  Tr. </w:t>
      </w:r>
      <w:r w:rsidR="00ED7BC7">
        <w:rPr>
          <w:sz w:val="24"/>
          <w:szCs w:val="24"/>
        </w:rPr>
        <w:t xml:space="preserve">30, </w:t>
      </w:r>
      <w:r w:rsidR="00C6599D">
        <w:rPr>
          <w:sz w:val="24"/>
          <w:szCs w:val="24"/>
        </w:rPr>
        <w:t>40, 46</w:t>
      </w:r>
      <w:r w:rsidR="007C0B0D">
        <w:rPr>
          <w:sz w:val="24"/>
          <w:szCs w:val="24"/>
        </w:rPr>
        <w:t>.</w:t>
      </w:r>
    </w:p>
    <w:p w:rsidR="005E3EA6" w:rsidRPr="005E3EA6" w:rsidRDefault="005E3EA6" w:rsidP="00D7588F">
      <w:pPr>
        <w:pStyle w:val="ListParagraph"/>
        <w:spacing w:line="360" w:lineRule="auto"/>
        <w:rPr>
          <w:sz w:val="24"/>
          <w:szCs w:val="24"/>
        </w:rPr>
      </w:pPr>
    </w:p>
    <w:p w:rsidR="00C3289A" w:rsidRDefault="00C3289A"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For more than a year, </w:t>
      </w:r>
      <w:r w:rsidR="001E353E">
        <w:rPr>
          <w:sz w:val="24"/>
          <w:szCs w:val="24"/>
        </w:rPr>
        <w:t>May 5, 201</w:t>
      </w:r>
      <w:r>
        <w:rPr>
          <w:sz w:val="24"/>
          <w:szCs w:val="24"/>
        </w:rPr>
        <w:t>0</w:t>
      </w:r>
      <w:r w:rsidR="001E353E">
        <w:rPr>
          <w:sz w:val="24"/>
          <w:szCs w:val="24"/>
        </w:rPr>
        <w:t xml:space="preserve"> </w:t>
      </w:r>
      <w:r>
        <w:rPr>
          <w:sz w:val="24"/>
          <w:szCs w:val="24"/>
        </w:rPr>
        <w:t xml:space="preserve">to </w:t>
      </w:r>
      <w:r w:rsidR="001E353E">
        <w:rPr>
          <w:sz w:val="24"/>
          <w:szCs w:val="24"/>
        </w:rPr>
        <w:t>July 1, 201</w:t>
      </w:r>
      <w:r>
        <w:rPr>
          <w:sz w:val="24"/>
          <w:szCs w:val="24"/>
        </w:rPr>
        <w:t>1, Mr. Irons’ first floor unit was vacant.  Tr. 27</w:t>
      </w:r>
      <w:r w:rsidR="00CF5E1A">
        <w:rPr>
          <w:sz w:val="24"/>
          <w:szCs w:val="24"/>
        </w:rPr>
        <w:t>, 50</w:t>
      </w:r>
      <w:r>
        <w:rPr>
          <w:sz w:val="24"/>
          <w:szCs w:val="24"/>
        </w:rPr>
        <w:t>.</w:t>
      </w:r>
    </w:p>
    <w:p w:rsidR="00C3289A" w:rsidRPr="00C3289A" w:rsidRDefault="00C3289A" w:rsidP="00D7588F">
      <w:pPr>
        <w:pStyle w:val="ListParagraph"/>
        <w:spacing w:line="360" w:lineRule="auto"/>
        <w:rPr>
          <w:sz w:val="24"/>
          <w:szCs w:val="24"/>
        </w:rPr>
      </w:pPr>
    </w:p>
    <w:p w:rsidR="00C6599D" w:rsidRDefault="00C3289A"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During the 13 months, May 5, 2010 to July 1, 2011, that the first floor unit was vacant, Mr. Irons through his wir</w:t>
      </w:r>
      <w:r w:rsidR="00ED7BC7">
        <w:rPr>
          <w:sz w:val="24"/>
          <w:szCs w:val="24"/>
        </w:rPr>
        <w:t>e</w:t>
      </w:r>
      <w:r>
        <w:rPr>
          <w:sz w:val="24"/>
          <w:szCs w:val="24"/>
        </w:rPr>
        <w:t xml:space="preserve"> switching practice </w:t>
      </w:r>
      <w:r w:rsidR="00C6599D">
        <w:rPr>
          <w:sz w:val="24"/>
          <w:szCs w:val="24"/>
        </w:rPr>
        <w:t xml:space="preserve">was able to maintain electricity to the first floor unit through his house meter.  Tr. </w:t>
      </w:r>
      <w:r w:rsidR="005B60E8">
        <w:rPr>
          <w:sz w:val="24"/>
          <w:szCs w:val="24"/>
        </w:rPr>
        <w:t>27-</w:t>
      </w:r>
      <w:r w:rsidR="00C6599D">
        <w:rPr>
          <w:sz w:val="24"/>
          <w:szCs w:val="24"/>
        </w:rPr>
        <w:t>28.</w:t>
      </w:r>
    </w:p>
    <w:p w:rsidR="00C6599D" w:rsidRPr="00C6599D" w:rsidRDefault="00C6599D" w:rsidP="00D7588F">
      <w:pPr>
        <w:pStyle w:val="ListParagraph"/>
        <w:spacing w:line="360" w:lineRule="auto"/>
        <w:rPr>
          <w:sz w:val="24"/>
          <w:szCs w:val="24"/>
        </w:rPr>
      </w:pPr>
    </w:p>
    <w:p w:rsidR="00A13A79" w:rsidRDefault="00C6599D"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For more than </w:t>
      </w:r>
      <w:r w:rsidR="006750B7">
        <w:rPr>
          <w:sz w:val="24"/>
          <w:szCs w:val="24"/>
        </w:rPr>
        <w:t xml:space="preserve">a </w:t>
      </w:r>
      <w:r>
        <w:rPr>
          <w:sz w:val="24"/>
          <w:szCs w:val="24"/>
        </w:rPr>
        <w:t xml:space="preserve">year, May 5, 2010 to July 1, 2011, there was no electricity usage recorded through </w:t>
      </w:r>
      <w:r w:rsidR="00C61955">
        <w:rPr>
          <w:sz w:val="24"/>
          <w:szCs w:val="24"/>
        </w:rPr>
        <w:t xml:space="preserve">DLC’s meter for the </w:t>
      </w:r>
      <w:r>
        <w:rPr>
          <w:sz w:val="24"/>
          <w:szCs w:val="24"/>
        </w:rPr>
        <w:t xml:space="preserve">first floor unit at the Service Location.  </w:t>
      </w:r>
      <w:r w:rsidR="00A13A79">
        <w:rPr>
          <w:sz w:val="24"/>
          <w:szCs w:val="24"/>
        </w:rPr>
        <w:t>Tr.</w:t>
      </w:r>
      <w:r w:rsidR="006F331F">
        <w:rPr>
          <w:sz w:val="24"/>
          <w:szCs w:val="24"/>
        </w:rPr>
        <w:t xml:space="preserve"> 17, </w:t>
      </w:r>
      <w:r w:rsidR="00ED7BC7">
        <w:rPr>
          <w:sz w:val="24"/>
          <w:szCs w:val="24"/>
        </w:rPr>
        <w:t xml:space="preserve">30, </w:t>
      </w:r>
      <w:r w:rsidR="00A13A79">
        <w:rPr>
          <w:sz w:val="24"/>
          <w:szCs w:val="24"/>
        </w:rPr>
        <w:t>47</w:t>
      </w:r>
      <w:r w:rsidR="00EC33F5">
        <w:rPr>
          <w:sz w:val="24"/>
          <w:szCs w:val="24"/>
        </w:rPr>
        <w:t>, 60</w:t>
      </w:r>
      <w:r w:rsidR="00A13A79">
        <w:rPr>
          <w:sz w:val="24"/>
          <w:szCs w:val="24"/>
        </w:rPr>
        <w:t>.</w:t>
      </w:r>
    </w:p>
    <w:p w:rsidR="00A13A79" w:rsidRPr="00A13A79" w:rsidRDefault="00A13A79" w:rsidP="00D7588F">
      <w:pPr>
        <w:pStyle w:val="ListParagraph"/>
        <w:spacing w:line="360" w:lineRule="auto"/>
        <w:rPr>
          <w:sz w:val="24"/>
          <w:szCs w:val="24"/>
        </w:rPr>
      </w:pPr>
    </w:p>
    <w:p w:rsidR="00C61955" w:rsidRDefault="00CF5E1A" w:rsidP="00D7588F">
      <w:pPr>
        <w:pStyle w:val="ListParagraph"/>
        <w:numPr>
          <w:ilvl w:val="0"/>
          <w:numId w:val="4"/>
        </w:numPr>
        <w:suppressAutoHyphens/>
        <w:autoSpaceDE w:val="0"/>
        <w:autoSpaceDN w:val="0"/>
        <w:spacing w:line="360" w:lineRule="auto"/>
        <w:ind w:left="90" w:firstLine="1350"/>
        <w:rPr>
          <w:sz w:val="24"/>
          <w:szCs w:val="24"/>
        </w:rPr>
      </w:pPr>
      <w:r w:rsidRPr="00CF5E1A">
        <w:rPr>
          <w:sz w:val="24"/>
          <w:szCs w:val="24"/>
        </w:rPr>
        <w:t xml:space="preserve">DLC’s tariff requires a wiring inspection </w:t>
      </w:r>
      <w:r w:rsidR="00710A71">
        <w:rPr>
          <w:sz w:val="24"/>
          <w:szCs w:val="24"/>
        </w:rPr>
        <w:t xml:space="preserve">(wiring approval) </w:t>
      </w:r>
      <w:r w:rsidRPr="00CF5E1A">
        <w:rPr>
          <w:sz w:val="24"/>
          <w:szCs w:val="24"/>
        </w:rPr>
        <w:t xml:space="preserve">prior to establishing electric service to a dwelling that has not had service </w:t>
      </w:r>
      <w:r w:rsidR="005A6DB4">
        <w:rPr>
          <w:sz w:val="24"/>
          <w:szCs w:val="24"/>
        </w:rPr>
        <w:t>registered through it</w:t>
      </w:r>
      <w:r w:rsidR="006750B7">
        <w:rPr>
          <w:sz w:val="24"/>
          <w:szCs w:val="24"/>
        </w:rPr>
        <w:t>s</w:t>
      </w:r>
      <w:r w:rsidR="005A6DB4">
        <w:rPr>
          <w:sz w:val="24"/>
          <w:szCs w:val="24"/>
        </w:rPr>
        <w:t xml:space="preserve"> meter </w:t>
      </w:r>
      <w:r w:rsidRPr="00CF5E1A">
        <w:rPr>
          <w:sz w:val="24"/>
          <w:szCs w:val="24"/>
        </w:rPr>
        <w:t xml:space="preserve">for more than a year.  The inspection is required for safety reasons. </w:t>
      </w:r>
      <w:r w:rsidR="006264B8">
        <w:rPr>
          <w:sz w:val="24"/>
          <w:szCs w:val="24"/>
        </w:rPr>
        <w:t xml:space="preserve"> </w:t>
      </w:r>
      <w:r>
        <w:rPr>
          <w:sz w:val="24"/>
          <w:szCs w:val="24"/>
        </w:rPr>
        <w:t xml:space="preserve">Tr. </w:t>
      </w:r>
      <w:r w:rsidR="00E55A7B">
        <w:rPr>
          <w:sz w:val="24"/>
          <w:szCs w:val="24"/>
        </w:rPr>
        <w:t xml:space="preserve">13, 31, </w:t>
      </w:r>
      <w:r>
        <w:rPr>
          <w:sz w:val="24"/>
          <w:szCs w:val="24"/>
        </w:rPr>
        <w:t>47</w:t>
      </w:r>
      <w:r w:rsidR="005E3EA6">
        <w:rPr>
          <w:sz w:val="24"/>
          <w:szCs w:val="24"/>
        </w:rPr>
        <w:t>-</w:t>
      </w:r>
      <w:r>
        <w:rPr>
          <w:sz w:val="24"/>
          <w:szCs w:val="24"/>
        </w:rPr>
        <w:t>48</w:t>
      </w:r>
      <w:r w:rsidR="00EC33F5">
        <w:rPr>
          <w:sz w:val="24"/>
          <w:szCs w:val="24"/>
        </w:rPr>
        <w:t xml:space="preserve">, 55-57; </w:t>
      </w:r>
      <w:r w:rsidRPr="00CF5E1A">
        <w:rPr>
          <w:sz w:val="24"/>
          <w:szCs w:val="24"/>
        </w:rPr>
        <w:t xml:space="preserve">DLC’s Answer ¶4B.  </w:t>
      </w:r>
    </w:p>
    <w:p w:rsidR="00CF5E1A" w:rsidRPr="00CF5E1A" w:rsidRDefault="00CF5E1A" w:rsidP="00D7588F">
      <w:pPr>
        <w:pStyle w:val="ListParagraph"/>
        <w:spacing w:line="360" w:lineRule="auto"/>
        <w:rPr>
          <w:sz w:val="24"/>
          <w:szCs w:val="24"/>
        </w:rPr>
      </w:pPr>
    </w:p>
    <w:p w:rsidR="00A13A79" w:rsidRDefault="00A13A79" w:rsidP="00D7588F">
      <w:pPr>
        <w:pStyle w:val="ListParagraph"/>
        <w:numPr>
          <w:ilvl w:val="0"/>
          <w:numId w:val="4"/>
        </w:numPr>
        <w:suppressAutoHyphens/>
        <w:autoSpaceDE w:val="0"/>
        <w:autoSpaceDN w:val="0"/>
        <w:spacing w:line="360" w:lineRule="auto"/>
        <w:ind w:left="90" w:firstLine="1350"/>
        <w:rPr>
          <w:sz w:val="24"/>
          <w:szCs w:val="24"/>
        </w:rPr>
      </w:pPr>
      <w:r w:rsidRPr="00263E00">
        <w:rPr>
          <w:sz w:val="24"/>
          <w:szCs w:val="24"/>
        </w:rPr>
        <w:lastRenderedPageBreak/>
        <w:t xml:space="preserve">On June 27, 2011, </w:t>
      </w:r>
      <w:r w:rsidR="001B3485" w:rsidRPr="00263E00">
        <w:rPr>
          <w:sz w:val="24"/>
          <w:szCs w:val="24"/>
        </w:rPr>
        <w:t>Mr. Irons</w:t>
      </w:r>
      <w:r w:rsidR="006750B7">
        <w:rPr>
          <w:sz w:val="24"/>
          <w:szCs w:val="24"/>
        </w:rPr>
        <w:t>’</w:t>
      </w:r>
      <w:r w:rsidR="001B3485" w:rsidRPr="00263E00">
        <w:rPr>
          <w:sz w:val="24"/>
          <w:szCs w:val="24"/>
        </w:rPr>
        <w:t xml:space="preserve"> new tenant, Ms. Tracy </w:t>
      </w:r>
      <w:proofErr w:type="spellStart"/>
      <w:r w:rsidR="001B3485" w:rsidRPr="00263E00">
        <w:rPr>
          <w:sz w:val="24"/>
          <w:szCs w:val="24"/>
        </w:rPr>
        <w:t>Iman</w:t>
      </w:r>
      <w:proofErr w:type="spellEnd"/>
      <w:r w:rsidR="001B3485" w:rsidRPr="00263E00">
        <w:rPr>
          <w:sz w:val="24"/>
          <w:szCs w:val="24"/>
        </w:rPr>
        <w:t xml:space="preserve">, applied to </w:t>
      </w:r>
      <w:r w:rsidRPr="00263E00">
        <w:rPr>
          <w:sz w:val="24"/>
          <w:szCs w:val="24"/>
        </w:rPr>
        <w:t xml:space="preserve">DLC </w:t>
      </w:r>
      <w:r w:rsidR="001B3485" w:rsidRPr="00263E00">
        <w:rPr>
          <w:sz w:val="24"/>
          <w:szCs w:val="24"/>
        </w:rPr>
        <w:t>for electric service to be place</w:t>
      </w:r>
      <w:r w:rsidR="00C61955" w:rsidRPr="00263E00">
        <w:rPr>
          <w:sz w:val="24"/>
          <w:szCs w:val="24"/>
        </w:rPr>
        <w:t>d</w:t>
      </w:r>
      <w:r w:rsidR="001B3485" w:rsidRPr="00263E00">
        <w:rPr>
          <w:sz w:val="24"/>
          <w:szCs w:val="24"/>
        </w:rPr>
        <w:t xml:space="preserve"> in her name for the first floor unit at the Service Location, and she informed DLC that </w:t>
      </w:r>
      <w:r w:rsidR="00C61955" w:rsidRPr="00263E00">
        <w:rPr>
          <w:sz w:val="24"/>
          <w:szCs w:val="24"/>
        </w:rPr>
        <w:t xml:space="preserve">the electricity was on in the unit.  </w:t>
      </w:r>
      <w:r w:rsidR="00263E00" w:rsidRPr="00263E00">
        <w:rPr>
          <w:sz w:val="24"/>
          <w:szCs w:val="24"/>
        </w:rPr>
        <w:t xml:space="preserve">Tr. </w:t>
      </w:r>
      <w:r w:rsidR="00E30D60">
        <w:rPr>
          <w:sz w:val="24"/>
          <w:szCs w:val="24"/>
        </w:rPr>
        <w:t xml:space="preserve">29, </w:t>
      </w:r>
      <w:r w:rsidR="00263E00" w:rsidRPr="00263E00">
        <w:rPr>
          <w:sz w:val="24"/>
          <w:szCs w:val="24"/>
        </w:rPr>
        <w:t xml:space="preserve">47; </w:t>
      </w:r>
      <w:r w:rsidR="001B3485" w:rsidRPr="00263E00">
        <w:rPr>
          <w:sz w:val="24"/>
          <w:szCs w:val="24"/>
        </w:rPr>
        <w:t>Exhibit 1</w:t>
      </w:r>
      <w:r w:rsidR="00263E00">
        <w:rPr>
          <w:sz w:val="24"/>
          <w:szCs w:val="24"/>
        </w:rPr>
        <w:t>.</w:t>
      </w:r>
    </w:p>
    <w:p w:rsidR="00263E00" w:rsidRPr="00263E00" w:rsidRDefault="00263E00" w:rsidP="00D7588F">
      <w:pPr>
        <w:pStyle w:val="ListParagraph"/>
        <w:spacing w:line="360" w:lineRule="auto"/>
        <w:rPr>
          <w:sz w:val="24"/>
          <w:szCs w:val="24"/>
        </w:rPr>
      </w:pPr>
    </w:p>
    <w:p w:rsidR="005A6DB4" w:rsidRDefault="005A6DB4"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At the time Ms. </w:t>
      </w:r>
      <w:proofErr w:type="spellStart"/>
      <w:r>
        <w:rPr>
          <w:sz w:val="24"/>
          <w:szCs w:val="24"/>
        </w:rPr>
        <w:t>Iman</w:t>
      </w:r>
      <w:proofErr w:type="spellEnd"/>
      <w:r>
        <w:rPr>
          <w:sz w:val="24"/>
          <w:szCs w:val="24"/>
        </w:rPr>
        <w:t xml:space="preserve"> applied for electric service, power to her first floor unit was being generated through the Service Location’s house meter.  </w:t>
      </w:r>
      <w:r w:rsidR="00AE4295">
        <w:rPr>
          <w:sz w:val="24"/>
          <w:szCs w:val="24"/>
        </w:rPr>
        <w:t>Tr. 32.</w:t>
      </w:r>
    </w:p>
    <w:p w:rsidR="005A6DB4" w:rsidRPr="005A6DB4" w:rsidRDefault="005A6DB4" w:rsidP="00D7588F">
      <w:pPr>
        <w:pStyle w:val="ListParagraph"/>
        <w:spacing w:line="360" w:lineRule="auto"/>
        <w:rPr>
          <w:sz w:val="24"/>
          <w:szCs w:val="24"/>
        </w:rPr>
      </w:pPr>
    </w:p>
    <w:p w:rsidR="00C61955" w:rsidRDefault="00C61955"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On June 27, 2011, a</w:t>
      </w:r>
      <w:r w:rsidR="001B3485">
        <w:rPr>
          <w:sz w:val="24"/>
          <w:szCs w:val="24"/>
        </w:rPr>
        <w:t xml:space="preserve"> </w:t>
      </w:r>
      <w:r w:rsidR="00E9469F">
        <w:rPr>
          <w:sz w:val="24"/>
          <w:szCs w:val="24"/>
        </w:rPr>
        <w:t xml:space="preserve">DLC customer service </w:t>
      </w:r>
      <w:r w:rsidR="001B3485">
        <w:rPr>
          <w:sz w:val="24"/>
          <w:szCs w:val="24"/>
        </w:rPr>
        <w:t>representative informed Mr.</w:t>
      </w:r>
      <w:r w:rsidR="009F6729">
        <w:rPr>
          <w:sz w:val="24"/>
          <w:szCs w:val="24"/>
        </w:rPr>
        <w:t> </w:t>
      </w:r>
      <w:r w:rsidR="006750B7">
        <w:rPr>
          <w:sz w:val="24"/>
          <w:szCs w:val="24"/>
        </w:rPr>
        <w:t>Iron</w:t>
      </w:r>
      <w:r w:rsidR="001B3485">
        <w:rPr>
          <w:sz w:val="24"/>
          <w:szCs w:val="24"/>
        </w:rPr>
        <w:t>s</w:t>
      </w:r>
      <w:r w:rsidR="006750B7">
        <w:rPr>
          <w:sz w:val="24"/>
          <w:szCs w:val="24"/>
        </w:rPr>
        <w:t>’</w:t>
      </w:r>
      <w:r w:rsidR="001B3485">
        <w:rPr>
          <w:sz w:val="24"/>
          <w:szCs w:val="24"/>
        </w:rPr>
        <w:t xml:space="preserve"> new tenant, Ms. </w:t>
      </w:r>
      <w:proofErr w:type="spellStart"/>
      <w:r w:rsidR="001B3485">
        <w:rPr>
          <w:sz w:val="24"/>
          <w:szCs w:val="24"/>
        </w:rPr>
        <w:t>Iman</w:t>
      </w:r>
      <w:proofErr w:type="spellEnd"/>
      <w:r w:rsidR="001B3485">
        <w:rPr>
          <w:sz w:val="24"/>
          <w:szCs w:val="24"/>
        </w:rPr>
        <w:t xml:space="preserve">, </w:t>
      </w:r>
      <w:r>
        <w:rPr>
          <w:sz w:val="24"/>
          <w:szCs w:val="24"/>
        </w:rPr>
        <w:t>that a wiring approval was needed in order to establish service in her name because according to DLC’s records</w:t>
      </w:r>
      <w:r w:rsidR="006750B7">
        <w:rPr>
          <w:sz w:val="24"/>
          <w:szCs w:val="24"/>
        </w:rPr>
        <w:t>,</w:t>
      </w:r>
      <w:r>
        <w:rPr>
          <w:sz w:val="24"/>
          <w:szCs w:val="24"/>
        </w:rPr>
        <w:t xml:space="preserve"> there had been no power to the first floor unit for more than a year.  Tr. </w:t>
      </w:r>
      <w:r w:rsidR="00E30D60">
        <w:rPr>
          <w:sz w:val="24"/>
          <w:szCs w:val="24"/>
        </w:rPr>
        <w:t xml:space="preserve">29, </w:t>
      </w:r>
      <w:r>
        <w:rPr>
          <w:sz w:val="24"/>
          <w:szCs w:val="24"/>
        </w:rPr>
        <w:t>47</w:t>
      </w:r>
      <w:r w:rsidR="00263E00">
        <w:rPr>
          <w:sz w:val="24"/>
          <w:szCs w:val="24"/>
        </w:rPr>
        <w:t>; Exhibit 1</w:t>
      </w:r>
      <w:r>
        <w:rPr>
          <w:sz w:val="24"/>
          <w:szCs w:val="24"/>
        </w:rPr>
        <w:t>.</w:t>
      </w:r>
    </w:p>
    <w:p w:rsidR="00C61955" w:rsidRPr="00C61955" w:rsidRDefault="00C61955" w:rsidP="00D7588F">
      <w:pPr>
        <w:pStyle w:val="ListParagraph"/>
        <w:spacing w:line="360" w:lineRule="auto"/>
        <w:rPr>
          <w:sz w:val="24"/>
          <w:szCs w:val="24"/>
        </w:rPr>
      </w:pPr>
    </w:p>
    <w:p w:rsidR="00710A71" w:rsidRDefault="00710A71"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DLC does not perform wiring approvals; wiring approvals are performed by an electrician through an independent agency.  </w:t>
      </w:r>
      <w:r w:rsidR="00263E00">
        <w:rPr>
          <w:sz w:val="24"/>
          <w:szCs w:val="24"/>
        </w:rPr>
        <w:t>Tr. 44.</w:t>
      </w:r>
    </w:p>
    <w:p w:rsidR="00263E00" w:rsidRPr="00263E00" w:rsidRDefault="00263E00" w:rsidP="00D7588F">
      <w:pPr>
        <w:pStyle w:val="ListParagraph"/>
        <w:spacing w:line="360" w:lineRule="auto"/>
        <w:rPr>
          <w:sz w:val="24"/>
          <w:szCs w:val="24"/>
        </w:rPr>
      </w:pPr>
    </w:p>
    <w:p w:rsidR="00263E00" w:rsidRPr="005E3EA6" w:rsidRDefault="00710A71" w:rsidP="00D7588F">
      <w:pPr>
        <w:pStyle w:val="ListParagraph"/>
        <w:numPr>
          <w:ilvl w:val="0"/>
          <w:numId w:val="4"/>
        </w:numPr>
        <w:suppressAutoHyphens/>
        <w:autoSpaceDE w:val="0"/>
        <w:autoSpaceDN w:val="0"/>
        <w:spacing w:line="360" w:lineRule="auto"/>
        <w:ind w:left="0" w:firstLine="1350"/>
        <w:rPr>
          <w:sz w:val="24"/>
          <w:szCs w:val="24"/>
        </w:rPr>
      </w:pPr>
      <w:r w:rsidRPr="005E3EA6">
        <w:rPr>
          <w:sz w:val="24"/>
          <w:szCs w:val="24"/>
        </w:rPr>
        <w:t xml:space="preserve">On June 28, 2011, Mr. Irons called DLC’s customer service department </w:t>
      </w:r>
      <w:r w:rsidR="00263E00" w:rsidRPr="005E3EA6">
        <w:rPr>
          <w:sz w:val="24"/>
          <w:szCs w:val="24"/>
        </w:rPr>
        <w:t xml:space="preserve">and </w:t>
      </w:r>
      <w:r w:rsidRPr="005E3EA6">
        <w:rPr>
          <w:sz w:val="24"/>
          <w:szCs w:val="24"/>
        </w:rPr>
        <w:t>dispute</w:t>
      </w:r>
      <w:r w:rsidR="00263E00" w:rsidRPr="005E3EA6">
        <w:rPr>
          <w:sz w:val="24"/>
          <w:szCs w:val="24"/>
        </w:rPr>
        <w:t>d</w:t>
      </w:r>
      <w:r w:rsidRPr="005E3EA6">
        <w:rPr>
          <w:sz w:val="24"/>
          <w:szCs w:val="24"/>
        </w:rPr>
        <w:t xml:space="preserve"> DLC’s policy (tariff) requiring a wiring approval </w:t>
      </w:r>
      <w:r w:rsidR="00C61955" w:rsidRPr="005E3EA6">
        <w:rPr>
          <w:sz w:val="24"/>
          <w:szCs w:val="24"/>
        </w:rPr>
        <w:t xml:space="preserve">for </w:t>
      </w:r>
      <w:r w:rsidR="00263E00" w:rsidRPr="005E3EA6">
        <w:rPr>
          <w:sz w:val="24"/>
          <w:szCs w:val="24"/>
        </w:rPr>
        <w:t>his first floor rental unit at the</w:t>
      </w:r>
      <w:r w:rsidR="005E3EA6">
        <w:rPr>
          <w:sz w:val="24"/>
          <w:szCs w:val="24"/>
        </w:rPr>
        <w:t xml:space="preserve"> </w:t>
      </w:r>
      <w:r w:rsidR="00263E00" w:rsidRPr="005E3EA6">
        <w:rPr>
          <w:sz w:val="24"/>
          <w:szCs w:val="24"/>
        </w:rPr>
        <w:t>Service Location.  Tr. 47-48; Exhibit 1.</w:t>
      </w:r>
    </w:p>
    <w:p w:rsidR="00263E00" w:rsidRDefault="00263E00" w:rsidP="00D7588F">
      <w:pPr>
        <w:pStyle w:val="ListParagraph"/>
        <w:suppressAutoHyphens/>
        <w:autoSpaceDE w:val="0"/>
        <w:autoSpaceDN w:val="0"/>
        <w:spacing w:line="360" w:lineRule="auto"/>
        <w:ind w:left="0"/>
        <w:rPr>
          <w:sz w:val="24"/>
          <w:szCs w:val="24"/>
        </w:rPr>
      </w:pPr>
    </w:p>
    <w:p w:rsidR="00263E00" w:rsidRDefault="00263E00" w:rsidP="00D7588F">
      <w:pPr>
        <w:pStyle w:val="ListParagraph"/>
        <w:numPr>
          <w:ilvl w:val="0"/>
          <w:numId w:val="4"/>
        </w:numPr>
        <w:suppressAutoHyphens/>
        <w:autoSpaceDE w:val="0"/>
        <w:autoSpaceDN w:val="0"/>
        <w:spacing w:line="360" w:lineRule="auto"/>
        <w:ind w:left="0" w:firstLine="1440"/>
        <w:rPr>
          <w:sz w:val="24"/>
          <w:szCs w:val="24"/>
        </w:rPr>
      </w:pPr>
      <w:r>
        <w:rPr>
          <w:sz w:val="24"/>
          <w:szCs w:val="24"/>
        </w:rPr>
        <w:t>On June 28, 2011, DLC’s Supervisor of Engineering, Jane Ann Posey, explained to Mr. Irons that DLC’s wiring approval policy (tariff) was for safety reasons</w:t>
      </w:r>
      <w:r w:rsidR="001D6690">
        <w:rPr>
          <w:sz w:val="24"/>
          <w:szCs w:val="24"/>
        </w:rPr>
        <w:t>.  Tr. 48</w:t>
      </w:r>
      <w:r w:rsidR="00D3667E">
        <w:rPr>
          <w:sz w:val="24"/>
          <w:szCs w:val="24"/>
        </w:rPr>
        <w:t>, 55</w:t>
      </w:r>
      <w:r w:rsidR="001D6690">
        <w:rPr>
          <w:sz w:val="24"/>
          <w:szCs w:val="24"/>
        </w:rPr>
        <w:t>; Exhibit 1.</w:t>
      </w:r>
    </w:p>
    <w:p w:rsidR="00263E00" w:rsidRPr="00263E00" w:rsidRDefault="00263E00" w:rsidP="00D7588F">
      <w:pPr>
        <w:pStyle w:val="ListParagraph"/>
        <w:spacing w:line="360" w:lineRule="auto"/>
        <w:rPr>
          <w:sz w:val="24"/>
          <w:szCs w:val="24"/>
        </w:rPr>
      </w:pPr>
    </w:p>
    <w:p w:rsidR="00EB2227" w:rsidRDefault="00EB2227"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On or about July 1, 2011, Mr. Irons paid $70.00 </w:t>
      </w:r>
      <w:r w:rsidR="006750B7">
        <w:rPr>
          <w:sz w:val="24"/>
          <w:szCs w:val="24"/>
        </w:rPr>
        <w:t xml:space="preserve">to </w:t>
      </w:r>
      <w:r w:rsidR="00B93CB2">
        <w:rPr>
          <w:sz w:val="24"/>
          <w:szCs w:val="24"/>
        </w:rPr>
        <w:t xml:space="preserve">the Borough of New Brighton </w:t>
      </w:r>
      <w:r>
        <w:rPr>
          <w:sz w:val="24"/>
          <w:szCs w:val="24"/>
        </w:rPr>
        <w:t>for a</w:t>
      </w:r>
      <w:r w:rsidR="00B93CB2">
        <w:rPr>
          <w:sz w:val="24"/>
          <w:szCs w:val="24"/>
        </w:rPr>
        <w:t>n</w:t>
      </w:r>
      <w:r>
        <w:rPr>
          <w:sz w:val="24"/>
          <w:szCs w:val="24"/>
        </w:rPr>
        <w:t xml:space="preserve"> </w:t>
      </w:r>
      <w:r w:rsidR="00D07B48">
        <w:rPr>
          <w:sz w:val="24"/>
          <w:szCs w:val="24"/>
        </w:rPr>
        <w:t>inspection</w:t>
      </w:r>
      <w:r>
        <w:rPr>
          <w:sz w:val="24"/>
          <w:szCs w:val="24"/>
        </w:rPr>
        <w:t xml:space="preserve"> permit</w:t>
      </w:r>
      <w:r w:rsidR="00B93CB2">
        <w:rPr>
          <w:sz w:val="24"/>
          <w:szCs w:val="24"/>
        </w:rPr>
        <w:t>, and</w:t>
      </w:r>
      <w:r w:rsidR="00263E00">
        <w:rPr>
          <w:sz w:val="24"/>
          <w:szCs w:val="24"/>
        </w:rPr>
        <w:t xml:space="preserve"> </w:t>
      </w:r>
      <w:r w:rsidR="00B93CB2">
        <w:rPr>
          <w:sz w:val="24"/>
          <w:szCs w:val="24"/>
        </w:rPr>
        <w:t>a</w:t>
      </w:r>
      <w:r>
        <w:rPr>
          <w:sz w:val="24"/>
          <w:szCs w:val="24"/>
        </w:rPr>
        <w:t xml:space="preserve"> wiring inspection of the first floor unit at the Service Location was conducted </w:t>
      </w:r>
      <w:r w:rsidR="005E3EA6">
        <w:rPr>
          <w:sz w:val="24"/>
          <w:szCs w:val="24"/>
        </w:rPr>
        <w:t xml:space="preserve">and </w:t>
      </w:r>
      <w:r>
        <w:rPr>
          <w:sz w:val="24"/>
          <w:szCs w:val="24"/>
        </w:rPr>
        <w:t>approved by Middle Department Inspection Agency.  Tr. 30-32; 49.</w:t>
      </w:r>
      <w:r w:rsidR="00B93CB2" w:rsidRPr="00B93CB2">
        <w:rPr>
          <w:sz w:val="24"/>
          <w:szCs w:val="24"/>
        </w:rPr>
        <w:t xml:space="preserve"> </w:t>
      </w:r>
      <w:r w:rsidR="00B93CB2">
        <w:rPr>
          <w:sz w:val="24"/>
          <w:szCs w:val="24"/>
        </w:rPr>
        <w:t xml:space="preserve"> Afterwards Mr. Irons switched the meter wiring for the first floor unit from the house meter to the first floor meter.  Tr. 39.</w:t>
      </w:r>
    </w:p>
    <w:p w:rsidR="00EB2227" w:rsidRPr="00EB2227" w:rsidRDefault="00EB2227" w:rsidP="00D7588F">
      <w:pPr>
        <w:pStyle w:val="ListParagraph"/>
        <w:spacing w:line="360" w:lineRule="auto"/>
        <w:rPr>
          <w:sz w:val="24"/>
          <w:szCs w:val="24"/>
        </w:rPr>
      </w:pPr>
    </w:p>
    <w:p w:rsidR="005E3EA6" w:rsidRDefault="00EB2227"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After DLC received </w:t>
      </w:r>
      <w:r w:rsidR="00ED7BC7">
        <w:rPr>
          <w:sz w:val="24"/>
          <w:szCs w:val="24"/>
        </w:rPr>
        <w:t xml:space="preserve">notice that </w:t>
      </w:r>
      <w:r>
        <w:rPr>
          <w:sz w:val="24"/>
          <w:szCs w:val="24"/>
        </w:rPr>
        <w:t xml:space="preserve">the wiring </w:t>
      </w:r>
      <w:r w:rsidR="00ED7BC7">
        <w:rPr>
          <w:sz w:val="24"/>
          <w:szCs w:val="24"/>
        </w:rPr>
        <w:t xml:space="preserve">had been approved, DLC’s service technician, a Specialist B, visited the Service Location on July 5, 2011 and turned on electric service to the first floor unit through the first floor meter. </w:t>
      </w:r>
      <w:r w:rsidR="006264B8">
        <w:rPr>
          <w:sz w:val="24"/>
          <w:szCs w:val="24"/>
        </w:rPr>
        <w:t xml:space="preserve"> </w:t>
      </w:r>
      <w:r w:rsidR="005E3EA6">
        <w:rPr>
          <w:sz w:val="24"/>
          <w:szCs w:val="24"/>
        </w:rPr>
        <w:t>Tr. 45, 49.</w:t>
      </w:r>
    </w:p>
    <w:p w:rsidR="005E3EA6" w:rsidRPr="005E3EA6" w:rsidRDefault="005E3EA6" w:rsidP="00D7588F">
      <w:pPr>
        <w:pStyle w:val="ListParagraph"/>
        <w:spacing w:line="360" w:lineRule="auto"/>
        <w:rPr>
          <w:sz w:val="24"/>
          <w:szCs w:val="24"/>
        </w:rPr>
      </w:pPr>
    </w:p>
    <w:p w:rsidR="00E55A7B" w:rsidRDefault="00E55A7B" w:rsidP="00D7588F">
      <w:pPr>
        <w:pStyle w:val="ListParagraph"/>
        <w:numPr>
          <w:ilvl w:val="0"/>
          <w:numId w:val="4"/>
        </w:numPr>
        <w:suppressAutoHyphens/>
        <w:autoSpaceDE w:val="0"/>
        <w:autoSpaceDN w:val="0"/>
        <w:spacing w:line="360" w:lineRule="auto"/>
        <w:ind w:left="90" w:firstLine="1350"/>
        <w:rPr>
          <w:sz w:val="24"/>
          <w:szCs w:val="24"/>
        </w:rPr>
      </w:pPr>
      <w:r>
        <w:rPr>
          <w:sz w:val="24"/>
          <w:szCs w:val="24"/>
        </w:rPr>
        <w:t xml:space="preserve">Mr. Irons opposes DLC’s wiring </w:t>
      </w:r>
      <w:r w:rsidR="00E30D60">
        <w:rPr>
          <w:sz w:val="24"/>
          <w:szCs w:val="24"/>
        </w:rPr>
        <w:t>approval</w:t>
      </w:r>
      <w:r>
        <w:rPr>
          <w:sz w:val="24"/>
          <w:szCs w:val="24"/>
        </w:rPr>
        <w:t xml:space="preserve"> policy (tariff) as silly (Tr. 34-39)</w:t>
      </w:r>
      <w:r w:rsidR="00E30D60">
        <w:rPr>
          <w:sz w:val="24"/>
          <w:szCs w:val="24"/>
        </w:rPr>
        <w:t xml:space="preserve"> and he wants DLC to change its policy </w:t>
      </w:r>
      <w:r w:rsidR="00173850">
        <w:rPr>
          <w:sz w:val="24"/>
          <w:szCs w:val="24"/>
        </w:rPr>
        <w:t xml:space="preserve">so that a DLC service technician would </w:t>
      </w:r>
      <w:r w:rsidR="00D3667E">
        <w:rPr>
          <w:sz w:val="24"/>
          <w:szCs w:val="24"/>
        </w:rPr>
        <w:t xml:space="preserve">be </w:t>
      </w:r>
      <w:r w:rsidR="00173850">
        <w:rPr>
          <w:sz w:val="24"/>
          <w:szCs w:val="24"/>
        </w:rPr>
        <w:t>trained to make a visual inspection to determine wir</w:t>
      </w:r>
      <w:r w:rsidR="00B93CB2">
        <w:rPr>
          <w:sz w:val="24"/>
          <w:szCs w:val="24"/>
        </w:rPr>
        <w:t>ing</w:t>
      </w:r>
      <w:r w:rsidR="00173850">
        <w:rPr>
          <w:sz w:val="24"/>
          <w:szCs w:val="24"/>
        </w:rPr>
        <w:t xml:space="preserve"> safety when service is off for more than a year.  Tr</w:t>
      </w:r>
      <w:r w:rsidR="002C3ACA">
        <w:rPr>
          <w:sz w:val="24"/>
          <w:szCs w:val="24"/>
        </w:rPr>
        <w:t>.</w:t>
      </w:r>
      <w:r w:rsidR="00173850">
        <w:rPr>
          <w:sz w:val="24"/>
          <w:szCs w:val="24"/>
        </w:rPr>
        <w:t xml:space="preserve"> 14, 34</w:t>
      </w:r>
      <w:r w:rsidR="00D3667E">
        <w:rPr>
          <w:sz w:val="24"/>
          <w:szCs w:val="24"/>
        </w:rPr>
        <w:t>.</w:t>
      </w:r>
    </w:p>
    <w:p w:rsidR="00D3667E" w:rsidRDefault="00D3667E" w:rsidP="00D7588F">
      <w:pPr>
        <w:tabs>
          <w:tab w:val="left" w:pos="2160"/>
        </w:tabs>
        <w:spacing w:line="360" w:lineRule="auto"/>
        <w:jc w:val="center"/>
        <w:rPr>
          <w:sz w:val="24"/>
          <w:szCs w:val="24"/>
          <w:u w:val="single"/>
        </w:rPr>
      </w:pPr>
    </w:p>
    <w:p w:rsidR="001D5F2E" w:rsidRPr="00192971" w:rsidRDefault="001D5F2E" w:rsidP="00D7588F">
      <w:pPr>
        <w:tabs>
          <w:tab w:val="left" w:pos="2160"/>
        </w:tabs>
        <w:spacing w:line="360" w:lineRule="auto"/>
        <w:jc w:val="center"/>
        <w:rPr>
          <w:sz w:val="24"/>
          <w:szCs w:val="24"/>
          <w:u w:val="single"/>
        </w:rPr>
      </w:pPr>
      <w:bookmarkStart w:id="0" w:name="_GoBack"/>
      <w:bookmarkEnd w:id="0"/>
      <w:r w:rsidRPr="00DD5B52">
        <w:rPr>
          <w:sz w:val="24"/>
          <w:szCs w:val="24"/>
          <w:u w:val="single"/>
        </w:rPr>
        <w:t>DISCUSSION</w:t>
      </w:r>
    </w:p>
    <w:p w:rsidR="006E4830" w:rsidRPr="00192971" w:rsidRDefault="006E4830" w:rsidP="00D7588F">
      <w:pPr>
        <w:tabs>
          <w:tab w:val="left" w:pos="2160"/>
        </w:tabs>
        <w:spacing w:line="360" w:lineRule="auto"/>
        <w:jc w:val="center"/>
        <w:rPr>
          <w:sz w:val="24"/>
          <w:szCs w:val="24"/>
          <w:u w:val="single"/>
        </w:rPr>
      </w:pPr>
    </w:p>
    <w:p w:rsidR="006E4830" w:rsidRDefault="006E4830" w:rsidP="00D7588F">
      <w:pPr>
        <w:tabs>
          <w:tab w:val="left" w:pos="-1440"/>
          <w:tab w:val="left" w:pos="-720"/>
        </w:tabs>
        <w:suppressAutoHyphens/>
        <w:spacing w:line="360" w:lineRule="auto"/>
        <w:ind w:firstLine="1440"/>
        <w:rPr>
          <w:spacing w:val="-3"/>
          <w:sz w:val="24"/>
          <w:szCs w:val="24"/>
        </w:rPr>
      </w:pPr>
      <w:r w:rsidRPr="00192971">
        <w:rPr>
          <w:sz w:val="24"/>
          <w:szCs w:val="24"/>
        </w:rPr>
        <w:t xml:space="preserve">As the party seeking </w:t>
      </w:r>
      <w:r>
        <w:rPr>
          <w:sz w:val="24"/>
          <w:szCs w:val="24"/>
        </w:rPr>
        <w:t xml:space="preserve">relief from </w:t>
      </w:r>
      <w:r w:rsidRPr="00192971">
        <w:rPr>
          <w:sz w:val="24"/>
          <w:szCs w:val="24"/>
        </w:rPr>
        <w:t>th</w:t>
      </w:r>
      <w:r>
        <w:rPr>
          <w:sz w:val="24"/>
          <w:szCs w:val="24"/>
        </w:rPr>
        <w:t>e</w:t>
      </w:r>
      <w:r w:rsidRPr="00192971">
        <w:rPr>
          <w:sz w:val="24"/>
          <w:szCs w:val="24"/>
        </w:rPr>
        <w:t xml:space="preserve"> Commission, </w:t>
      </w:r>
      <w:r w:rsidR="003476FF">
        <w:rPr>
          <w:sz w:val="24"/>
          <w:szCs w:val="24"/>
        </w:rPr>
        <w:t xml:space="preserve">the </w:t>
      </w:r>
      <w:r w:rsidR="00001323">
        <w:rPr>
          <w:sz w:val="24"/>
          <w:szCs w:val="24"/>
        </w:rPr>
        <w:t>c</w:t>
      </w:r>
      <w:r w:rsidRPr="00192971">
        <w:rPr>
          <w:sz w:val="24"/>
          <w:szCs w:val="24"/>
        </w:rPr>
        <w:t xml:space="preserve">omplainant has the burden of proving </w:t>
      </w:r>
      <w:r w:rsidR="003476FF">
        <w:rPr>
          <w:sz w:val="24"/>
          <w:szCs w:val="24"/>
        </w:rPr>
        <w:t xml:space="preserve">the </w:t>
      </w:r>
      <w:r w:rsidR="00001323">
        <w:rPr>
          <w:sz w:val="24"/>
          <w:szCs w:val="24"/>
        </w:rPr>
        <w:t>r</w:t>
      </w:r>
      <w:r w:rsidRPr="00192971">
        <w:rPr>
          <w:sz w:val="24"/>
          <w:szCs w:val="24"/>
        </w:rPr>
        <w:t xml:space="preserve">espondent violated the provisions of the Public Utility Code </w:t>
      </w:r>
      <w:r w:rsidR="00EC6E46">
        <w:rPr>
          <w:sz w:val="24"/>
          <w:szCs w:val="24"/>
        </w:rPr>
        <w:t xml:space="preserve">(Code) </w:t>
      </w:r>
      <w:r w:rsidRPr="00192971">
        <w:rPr>
          <w:sz w:val="24"/>
          <w:szCs w:val="24"/>
        </w:rPr>
        <w:t xml:space="preserve">or this Commission’s regulations </w:t>
      </w:r>
      <w:r>
        <w:rPr>
          <w:sz w:val="24"/>
          <w:szCs w:val="24"/>
        </w:rPr>
        <w:t xml:space="preserve">or order </w:t>
      </w:r>
      <w:r w:rsidRPr="00192971">
        <w:rPr>
          <w:sz w:val="24"/>
          <w:szCs w:val="24"/>
        </w:rPr>
        <w:t xml:space="preserve">in some fashion.  </w:t>
      </w:r>
      <w:proofErr w:type="gramStart"/>
      <w:r w:rsidRPr="00192971">
        <w:rPr>
          <w:sz w:val="24"/>
          <w:szCs w:val="24"/>
        </w:rPr>
        <w:t>Section 332(a) of the Code,</w:t>
      </w:r>
      <w:r w:rsidR="00EC6E46">
        <w:rPr>
          <w:sz w:val="24"/>
          <w:szCs w:val="24"/>
        </w:rPr>
        <w:t xml:space="preserve"> </w:t>
      </w:r>
      <w:r w:rsidRPr="00192971">
        <w:rPr>
          <w:sz w:val="24"/>
          <w:szCs w:val="24"/>
        </w:rPr>
        <w:t>66 Pa. C.S. §332(a).</w:t>
      </w:r>
      <w:proofErr w:type="gramEnd"/>
      <w:r>
        <w:rPr>
          <w:sz w:val="24"/>
          <w:szCs w:val="24"/>
        </w:rPr>
        <w:t xml:space="preserve">  </w:t>
      </w:r>
      <w:r w:rsidRPr="006C16D1">
        <w:rPr>
          <w:spacing w:val="-3"/>
          <w:sz w:val="24"/>
          <w:szCs w:val="24"/>
        </w:rPr>
        <w:t xml:space="preserve">To establish a sufficient case and satisfy the burden of proof, </w:t>
      </w:r>
      <w:r w:rsidR="003476FF">
        <w:rPr>
          <w:spacing w:val="-3"/>
          <w:sz w:val="24"/>
          <w:szCs w:val="24"/>
        </w:rPr>
        <w:t xml:space="preserve">the </w:t>
      </w:r>
      <w:r w:rsidRPr="006C16D1">
        <w:rPr>
          <w:spacing w:val="-3"/>
          <w:sz w:val="24"/>
          <w:szCs w:val="24"/>
        </w:rPr>
        <w:t xml:space="preserve">complainant must show that the respondent public utility is responsible or accountable for the problem described in the </w:t>
      </w:r>
      <w:r w:rsidR="00001323">
        <w:rPr>
          <w:spacing w:val="-3"/>
          <w:sz w:val="24"/>
          <w:szCs w:val="24"/>
        </w:rPr>
        <w:t>c</w:t>
      </w:r>
      <w:r w:rsidRPr="006C16D1">
        <w:rPr>
          <w:spacing w:val="-3"/>
          <w:sz w:val="24"/>
          <w:szCs w:val="24"/>
        </w:rPr>
        <w:t xml:space="preserve">omplaint.  </w:t>
      </w:r>
      <w:proofErr w:type="gramStart"/>
      <w:r w:rsidRPr="00885B20">
        <w:rPr>
          <w:i/>
          <w:spacing w:val="-3"/>
          <w:sz w:val="24"/>
          <w:szCs w:val="24"/>
        </w:rPr>
        <w:t>Patterson v. Bell Telephone Company of Pennsylvania</w:t>
      </w:r>
      <w:r w:rsidRPr="006C16D1">
        <w:rPr>
          <w:spacing w:val="-3"/>
          <w:sz w:val="24"/>
          <w:szCs w:val="24"/>
        </w:rPr>
        <w:t>, 72 PA PUC 196 (1990)</w:t>
      </w:r>
      <w:r w:rsidR="006750B7">
        <w:rPr>
          <w:spacing w:val="-3"/>
          <w:sz w:val="24"/>
          <w:szCs w:val="24"/>
        </w:rPr>
        <w:t>;</w:t>
      </w:r>
      <w:r w:rsidRPr="006C16D1">
        <w:rPr>
          <w:spacing w:val="-3"/>
          <w:sz w:val="24"/>
          <w:szCs w:val="24"/>
        </w:rPr>
        <w:t xml:space="preserve"> </w:t>
      </w:r>
      <w:r w:rsidRPr="00885B20">
        <w:rPr>
          <w:i/>
          <w:spacing w:val="-3"/>
          <w:sz w:val="24"/>
          <w:szCs w:val="24"/>
        </w:rPr>
        <w:t>Feinstein v. Philadelphia Suburban Water Company</w:t>
      </w:r>
      <w:r w:rsidRPr="006C16D1">
        <w:rPr>
          <w:spacing w:val="-3"/>
          <w:sz w:val="24"/>
          <w:szCs w:val="24"/>
        </w:rPr>
        <w:t>, 50 PA PUC 300 (1976).</w:t>
      </w:r>
      <w:proofErr w:type="gramEnd"/>
      <w:r w:rsidRPr="006C16D1">
        <w:rPr>
          <w:spacing w:val="-3"/>
          <w:sz w:val="24"/>
          <w:szCs w:val="24"/>
        </w:rPr>
        <w:t xml:space="preserve">  Such a showing must be by a preponderance of the evidence.  </w:t>
      </w:r>
      <w:r w:rsidRPr="00885B20">
        <w:rPr>
          <w:i/>
          <w:spacing w:val="-3"/>
          <w:sz w:val="24"/>
          <w:szCs w:val="24"/>
        </w:rPr>
        <w:t xml:space="preserve">Samuel J. </w:t>
      </w:r>
      <w:proofErr w:type="spellStart"/>
      <w:r w:rsidRPr="00885B20">
        <w:rPr>
          <w:i/>
          <w:spacing w:val="-3"/>
          <w:sz w:val="24"/>
          <w:szCs w:val="24"/>
        </w:rPr>
        <w:t>Lansberry</w:t>
      </w:r>
      <w:proofErr w:type="spellEnd"/>
      <w:r w:rsidRPr="00885B20">
        <w:rPr>
          <w:i/>
          <w:spacing w:val="-3"/>
          <w:sz w:val="24"/>
          <w:szCs w:val="24"/>
        </w:rPr>
        <w:t xml:space="preserve">, Inc. v. PA Public Utility </w:t>
      </w:r>
      <w:proofErr w:type="spellStart"/>
      <w:r w:rsidRPr="00885B20">
        <w:rPr>
          <w:i/>
          <w:spacing w:val="-3"/>
          <w:sz w:val="24"/>
          <w:szCs w:val="24"/>
        </w:rPr>
        <w:t>Comm’n</w:t>
      </w:r>
      <w:proofErr w:type="spellEnd"/>
      <w:r w:rsidRPr="006C16D1">
        <w:rPr>
          <w:spacing w:val="-3"/>
          <w:sz w:val="24"/>
          <w:szCs w:val="24"/>
        </w:rPr>
        <w:t>, 134 Pa.</w:t>
      </w:r>
      <w:r w:rsidR="0020572E">
        <w:rPr>
          <w:spacing w:val="-3"/>
          <w:sz w:val="24"/>
          <w:szCs w:val="24"/>
        </w:rPr>
        <w:t xml:space="preserve"> </w:t>
      </w:r>
      <w:proofErr w:type="spellStart"/>
      <w:r w:rsidRPr="006C16D1">
        <w:rPr>
          <w:spacing w:val="-3"/>
          <w:sz w:val="24"/>
          <w:szCs w:val="24"/>
        </w:rPr>
        <w:t>Commw</w:t>
      </w:r>
      <w:proofErr w:type="spellEnd"/>
      <w:r w:rsidRPr="006C16D1">
        <w:rPr>
          <w:spacing w:val="-3"/>
          <w:sz w:val="24"/>
          <w:szCs w:val="24"/>
        </w:rPr>
        <w:t xml:space="preserve">. </w:t>
      </w:r>
      <w:proofErr w:type="gramStart"/>
      <w:r w:rsidRPr="006C16D1">
        <w:rPr>
          <w:spacing w:val="-3"/>
          <w:sz w:val="24"/>
          <w:szCs w:val="24"/>
        </w:rPr>
        <w:t>218</w:t>
      </w:r>
      <w:r w:rsidR="006750B7">
        <w:rPr>
          <w:spacing w:val="-3"/>
          <w:sz w:val="24"/>
          <w:szCs w:val="24"/>
        </w:rPr>
        <w:t>,</w:t>
      </w:r>
      <w:r w:rsidRPr="006C16D1">
        <w:rPr>
          <w:spacing w:val="-3"/>
          <w:sz w:val="24"/>
          <w:szCs w:val="24"/>
        </w:rPr>
        <w:t xml:space="preserve"> 221-222, 578 A.2d 600; 602 (1990), </w:t>
      </w:r>
      <w:proofErr w:type="spellStart"/>
      <w:r w:rsidRPr="006C16D1">
        <w:rPr>
          <w:i/>
          <w:spacing w:val="-3"/>
          <w:sz w:val="24"/>
          <w:szCs w:val="24"/>
        </w:rPr>
        <w:t>alloc</w:t>
      </w:r>
      <w:proofErr w:type="spellEnd"/>
      <w:r w:rsidRPr="006C16D1">
        <w:rPr>
          <w:i/>
          <w:spacing w:val="-3"/>
          <w:sz w:val="24"/>
          <w:szCs w:val="24"/>
        </w:rPr>
        <w:t>.</w:t>
      </w:r>
      <w:proofErr w:type="gramEnd"/>
      <w:r w:rsidRPr="006C16D1">
        <w:rPr>
          <w:i/>
          <w:spacing w:val="-3"/>
          <w:sz w:val="24"/>
          <w:szCs w:val="24"/>
        </w:rPr>
        <w:t xml:space="preserve"> </w:t>
      </w:r>
      <w:proofErr w:type="gramStart"/>
      <w:r w:rsidRPr="006C16D1">
        <w:rPr>
          <w:i/>
          <w:spacing w:val="-3"/>
          <w:sz w:val="24"/>
          <w:szCs w:val="24"/>
        </w:rPr>
        <w:t>den</w:t>
      </w:r>
      <w:r w:rsidR="003476FF">
        <w:rPr>
          <w:spacing w:val="-3"/>
          <w:sz w:val="24"/>
          <w:szCs w:val="24"/>
        </w:rPr>
        <w:t>., 602 A.2d 863 (Pa.</w:t>
      </w:r>
      <w:r w:rsidRPr="006C16D1">
        <w:rPr>
          <w:spacing w:val="-3"/>
          <w:sz w:val="24"/>
          <w:szCs w:val="24"/>
        </w:rPr>
        <w:t xml:space="preserve"> 1992).</w:t>
      </w:r>
      <w:proofErr w:type="gramEnd"/>
      <w:r w:rsidRPr="006C16D1">
        <w:rPr>
          <w:spacing w:val="-3"/>
          <w:sz w:val="24"/>
          <w:szCs w:val="24"/>
        </w:rPr>
        <w:t xml:space="preserve">  </w:t>
      </w:r>
      <w:r w:rsidR="003476FF">
        <w:rPr>
          <w:spacing w:val="-3"/>
          <w:sz w:val="24"/>
          <w:szCs w:val="24"/>
        </w:rPr>
        <w:t>The burden is met</w:t>
      </w:r>
      <w:r w:rsidRPr="006C16D1">
        <w:rPr>
          <w:spacing w:val="-3"/>
          <w:sz w:val="24"/>
          <w:szCs w:val="24"/>
        </w:rPr>
        <w:t xml:space="preserve"> by presenting evidence more convincing, by even the smallest amount, than that presented by the other party.  </w:t>
      </w:r>
      <w:proofErr w:type="gramStart"/>
      <w:r w:rsidRPr="00885B20">
        <w:rPr>
          <w:i/>
          <w:spacing w:val="-3"/>
          <w:sz w:val="24"/>
          <w:szCs w:val="24"/>
        </w:rPr>
        <w:t>Se-Ling Hosiery v. Margulies</w:t>
      </w:r>
      <w:r w:rsidRPr="006C16D1">
        <w:rPr>
          <w:spacing w:val="-3"/>
          <w:sz w:val="24"/>
          <w:szCs w:val="24"/>
        </w:rPr>
        <w:t>, 364 Pa. 45, 70 A.2d 854 (1950).</w:t>
      </w:r>
      <w:proofErr w:type="gramEnd"/>
      <w:r w:rsidRPr="006C16D1">
        <w:rPr>
          <w:spacing w:val="-3"/>
          <w:sz w:val="24"/>
          <w:szCs w:val="24"/>
        </w:rPr>
        <w:t xml:space="preserve">  </w:t>
      </w:r>
    </w:p>
    <w:p w:rsidR="006E4830" w:rsidRDefault="006E4830" w:rsidP="00D7588F">
      <w:pPr>
        <w:tabs>
          <w:tab w:val="left" w:pos="-1440"/>
          <w:tab w:val="left" w:pos="-720"/>
        </w:tabs>
        <w:suppressAutoHyphens/>
        <w:spacing w:line="360" w:lineRule="auto"/>
        <w:ind w:firstLine="1440"/>
        <w:rPr>
          <w:spacing w:val="-3"/>
          <w:sz w:val="24"/>
          <w:szCs w:val="24"/>
        </w:rPr>
      </w:pPr>
    </w:p>
    <w:p w:rsidR="006E4830" w:rsidRPr="006C16D1" w:rsidRDefault="006E4830" w:rsidP="00D7588F">
      <w:pPr>
        <w:tabs>
          <w:tab w:val="left" w:pos="-1440"/>
          <w:tab w:val="left" w:pos="-720"/>
        </w:tabs>
        <w:suppressAutoHyphens/>
        <w:spacing w:line="360" w:lineRule="auto"/>
        <w:ind w:firstLine="1440"/>
        <w:rPr>
          <w:spacing w:val="-3"/>
          <w:sz w:val="24"/>
          <w:szCs w:val="24"/>
        </w:rPr>
      </w:pPr>
      <w:r w:rsidRPr="006C16D1">
        <w:rPr>
          <w:spacing w:val="-3"/>
          <w:sz w:val="24"/>
          <w:szCs w:val="24"/>
        </w:rPr>
        <w:t xml:space="preserve">Additionally, any finding of fact necessary to support the Commission’s adjudication must be based upon substantial evidence.  </w:t>
      </w:r>
      <w:proofErr w:type="gramStart"/>
      <w:r w:rsidRPr="00885B20">
        <w:rPr>
          <w:i/>
          <w:spacing w:val="-3"/>
          <w:sz w:val="24"/>
          <w:szCs w:val="24"/>
        </w:rPr>
        <w:t xml:space="preserve">Mill v. </w:t>
      </w:r>
      <w:proofErr w:type="spellStart"/>
      <w:r w:rsidRPr="00885B20">
        <w:rPr>
          <w:i/>
          <w:spacing w:val="-3"/>
          <w:sz w:val="24"/>
          <w:szCs w:val="24"/>
        </w:rPr>
        <w:t>Comm’w</w:t>
      </w:r>
      <w:proofErr w:type="spellEnd"/>
      <w:r w:rsidRPr="00885B20">
        <w:rPr>
          <w:i/>
          <w:spacing w:val="-3"/>
          <w:sz w:val="24"/>
          <w:szCs w:val="24"/>
        </w:rPr>
        <w:t xml:space="preserve">., PA Public Utility </w:t>
      </w:r>
      <w:proofErr w:type="spellStart"/>
      <w:r w:rsidRPr="00885B20">
        <w:rPr>
          <w:i/>
          <w:spacing w:val="-3"/>
          <w:sz w:val="24"/>
          <w:szCs w:val="24"/>
        </w:rPr>
        <w:t>Comm’n</w:t>
      </w:r>
      <w:proofErr w:type="spellEnd"/>
      <w:r w:rsidRPr="006C16D1">
        <w:rPr>
          <w:spacing w:val="-3"/>
          <w:sz w:val="24"/>
          <w:szCs w:val="24"/>
        </w:rPr>
        <w:t>, 67 Pa.</w:t>
      </w:r>
      <w:r w:rsidR="0020572E">
        <w:rPr>
          <w:spacing w:val="-3"/>
          <w:sz w:val="24"/>
          <w:szCs w:val="24"/>
        </w:rPr>
        <w:t xml:space="preserve"> </w:t>
      </w:r>
      <w:proofErr w:type="spellStart"/>
      <w:r w:rsidRPr="006C16D1">
        <w:rPr>
          <w:spacing w:val="-3"/>
          <w:sz w:val="24"/>
          <w:szCs w:val="24"/>
        </w:rPr>
        <w:t>Commw</w:t>
      </w:r>
      <w:proofErr w:type="spellEnd"/>
      <w:r w:rsidRPr="006C16D1">
        <w:rPr>
          <w:spacing w:val="-3"/>
          <w:sz w:val="24"/>
          <w:szCs w:val="24"/>
        </w:rPr>
        <w:t>.</w:t>
      </w:r>
      <w:proofErr w:type="gramEnd"/>
      <w:r w:rsidRPr="006C16D1">
        <w:rPr>
          <w:spacing w:val="-3"/>
          <w:sz w:val="24"/>
          <w:szCs w:val="24"/>
        </w:rPr>
        <w:t xml:space="preserve"> </w:t>
      </w:r>
      <w:proofErr w:type="gramStart"/>
      <w:r w:rsidRPr="006C16D1">
        <w:rPr>
          <w:spacing w:val="-3"/>
          <w:sz w:val="24"/>
          <w:szCs w:val="24"/>
        </w:rPr>
        <w:t>597, 447 A.2d 1100 (1982)</w:t>
      </w:r>
      <w:r w:rsidR="006750B7">
        <w:rPr>
          <w:spacing w:val="-3"/>
          <w:sz w:val="24"/>
          <w:szCs w:val="24"/>
        </w:rPr>
        <w:t>;</w:t>
      </w:r>
      <w:r w:rsidRPr="006C16D1">
        <w:rPr>
          <w:spacing w:val="-3"/>
          <w:sz w:val="24"/>
          <w:szCs w:val="24"/>
        </w:rPr>
        <w:t xml:space="preserve"> </w:t>
      </w:r>
      <w:proofErr w:type="spellStart"/>
      <w:r w:rsidRPr="00885B20">
        <w:rPr>
          <w:i/>
          <w:spacing w:val="-3"/>
          <w:sz w:val="24"/>
          <w:szCs w:val="24"/>
        </w:rPr>
        <w:t>Edan</w:t>
      </w:r>
      <w:proofErr w:type="spellEnd"/>
      <w:r w:rsidRPr="00885B20">
        <w:rPr>
          <w:i/>
          <w:spacing w:val="-3"/>
          <w:sz w:val="24"/>
          <w:szCs w:val="24"/>
        </w:rPr>
        <w:t xml:space="preserve"> Transportation Corp. v. PA Public Utility </w:t>
      </w:r>
      <w:proofErr w:type="spellStart"/>
      <w:r w:rsidRPr="00885B20">
        <w:rPr>
          <w:i/>
          <w:spacing w:val="-3"/>
          <w:sz w:val="24"/>
          <w:szCs w:val="24"/>
        </w:rPr>
        <w:t>Comm’n</w:t>
      </w:r>
      <w:proofErr w:type="spellEnd"/>
      <w:r w:rsidRPr="006C16D1">
        <w:rPr>
          <w:spacing w:val="-3"/>
          <w:sz w:val="24"/>
          <w:szCs w:val="24"/>
        </w:rPr>
        <w:t>, 154 Pa.</w:t>
      </w:r>
      <w:r w:rsidR="0020572E">
        <w:rPr>
          <w:spacing w:val="-3"/>
          <w:sz w:val="24"/>
          <w:szCs w:val="24"/>
        </w:rPr>
        <w:t xml:space="preserve"> </w:t>
      </w:r>
      <w:proofErr w:type="spellStart"/>
      <w:r w:rsidRPr="006C16D1">
        <w:rPr>
          <w:spacing w:val="-3"/>
          <w:sz w:val="24"/>
          <w:szCs w:val="24"/>
        </w:rPr>
        <w:t>Commw</w:t>
      </w:r>
      <w:proofErr w:type="spellEnd"/>
      <w:r w:rsidRPr="006C16D1">
        <w:rPr>
          <w:spacing w:val="-3"/>
          <w:sz w:val="24"/>
          <w:szCs w:val="24"/>
        </w:rPr>
        <w:t>.</w:t>
      </w:r>
      <w:proofErr w:type="gramEnd"/>
      <w:r w:rsidRPr="006C16D1">
        <w:rPr>
          <w:spacing w:val="-3"/>
          <w:sz w:val="24"/>
          <w:szCs w:val="24"/>
        </w:rPr>
        <w:t xml:space="preserve"> </w:t>
      </w:r>
      <w:proofErr w:type="gramStart"/>
      <w:r w:rsidRPr="006C16D1">
        <w:rPr>
          <w:spacing w:val="-3"/>
          <w:sz w:val="24"/>
          <w:szCs w:val="24"/>
        </w:rPr>
        <w:t>21, 623 A.2d 6 (1993)</w:t>
      </w:r>
      <w:r w:rsidR="006750B7">
        <w:rPr>
          <w:spacing w:val="-3"/>
          <w:sz w:val="24"/>
          <w:szCs w:val="24"/>
        </w:rPr>
        <w:t>;</w:t>
      </w:r>
      <w:r w:rsidRPr="006C16D1">
        <w:rPr>
          <w:spacing w:val="-3"/>
          <w:sz w:val="24"/>
          <w:szCs w:val="24"/>
        </w:rPr>
        <w:t xml:space="preserve"> 2 Pa.</w:t>
      </w:r>
      <w:r w:rsidR="002A03FF">
        <w:rPr>
          <w:spacing w:val="-3"/>
          <w:sz w:val="24"/>
          <w:szCs w:val="24"/>
        </w:rPr>
        <w:t xml:space="preserve"> </w:t>
      </w:r>
      <w:r w:rsidRPr="006C16D1">
        <w:rPr>
          <w:spacing w:val="-3"/>
          <w:sz w:val="24"/>
          <w:szCs w:val="24"/>
        </w:rPr>
        <w:t>C.S. §704.</w:t>
      </w:r>
      <w:proofErr w:type="gramEnd"/>
      <w:r w:rsidRPr="006C16D1">
        <w:rPr>
          <w:spacing w:val="-3"/>
          <w:sz w:val="24"/>
          <w:szCs w:val="24"/>
        </w:rPr>
        <w:t xml:space="preserve">  More is required than a mere trace of evidence or a suspicion of the existence of a fact sought to be established.  </w:t>
      </w:r>
      <w:proofErr w:type="gramStart"/>
      <w:r w:rsidRPr="00885B20">
        <w:rPr>
          <w:i/>
          <w:spacing w:val="-3"/>
          <w:sz w:val="24"/>
          <w:szCs w:val="24"/>
        </w:rPr>
        <w:t xml:space="preserve">Norfolk and Western Ry. v. PA Public Utility </w:t>
      </w:r>
      <w:proofErr w:type="spellStart"/>
      <w:r w:rsidRPr="00885B20">
        <w:rPr>
          <w:i/>
          <w:spacing w:val="-3"/>
          <w:sz w:val="24"/>
          <w:szCs w:val="24"/>
        </w:rPr>
        <w:t>Comm’n</w:t>
      </w:r>
      <w:proofErr w:type="spellEnd"/>
      <w:r w:rsidRPr="006C16D1">
        <w:rPr>
          <w:spacing w:val="-3"/>
          <w:sz w:val="24"/>
          <w:szCs w:val="24"/>
        </w:rPr>
        <w:t>, 489 Pa. 109, 413 A.2d 1037 (1980);</w:t>
      </w:r>
      <w:r w:rsidR="00141D6F">
        <w:rPr>
          <w:spacing w:val="-3"/>
          <w:sz w:val="24"/>
          <w:szCs w:val="24"/>
        </w:rPr>
        <w:t xml:space="preserve"> </w:t>
      </w:r>
      <w:r w:rsidRPr="00885B20">
        <w:rPr>
          <w:i/>
          <w:spacing w:val="-3"/>
          <w:sz w:val="24"/>
          <w:szCs w:val="24"/>
        </w:rPr>
        <w:t>Erie Resistor Corp. v. Unemployment Compensation Bd. of Review</w:t>
      </w:r>
      <w:r w:rsidRPr="006C16D1">
        <w:rPr>
          <w:spacing w:val="-3"/>
          <w:sz w:val="24"/>
          <w:szCs w:val="24"/>
        </w:rPr>
        <w:t>, 194 Pa.</w:t>
      </w:r>
      <w:r w:rsidR="00001323">
        <w:rPr>
          <w:spacing w:val="-3"/>
          <w:sz w:val="24"/>
          <w:szCs w:val="24"/>
        </w:rPr>
        <w:t xml:space="preserve"> </w:t>
      </w:r>
      <w:r w:rsidRPr="006C16D1">
        <w:rPr>
          <w:spacing w:val="-3"/>
          <w:sz w:val="24"/>
          <w:szCs w:val="24"/>
        </w:rPr>
        <w:t>Super.</w:t>
      </w:r>
      <w:proofErr w:type="gramEnd"/>
      <w:r w:rsidRPr="006C16D1">
        <w:rPr>
          <w:spacing w:val="-3"/>
          <w:sz w:val="24"/>
          <w:szCs w:val="24"/>
        </w:rPr>
        <w:t xml:space="preserve"> </w:t>
      </w:r>
      <w:proofErr w:type="gramStart"/>
      <w:r w:rsidRPr="006C16D1">
        <w:rPr>
          <w:spacing w:val="-3"/>
          <w:sz w:val="24"/>
          <w:szCs w:val="24"/>
        </w:rPr>
        <w:t xml:space="preserve">278, 166 A.2d 96 (1960); </w:t>
      </w:r>
      <w:r w:rsidRPr="00885B20">
        <w:rPr>
          <w:i/>
          <w:spacing w:val="-3"/>
          <w:sz w:val="24"/>
          <w:szCs w:val="24"/>
        </w:rPr>
        <w:t>Murphy v. Commonwealth, Dep’t.</w:t>
      </w:r>
      <w:proofErr w:type="gramEnd"/>
      <w:r w:rsidRPr="00885B20">
        <w:rPr>
          <w:i/>
          <w:spacing w:val="-3"/>
          <w:sz w:val="24"/>
          <w:szCs w:val="24"/>
        </w:rPr>
        <w:t xml:space="preserve"> </w:t>
      </w:r>
      <w:proofErr w:type="gramStart"/>
      <w:r w:rsidRPr="00885B20">
        <w:rPr>
          <w:i/>
          <w:spacing w:val="-3"/>
          <w:sz w:val="24"/>
          <w:szCs w:val="24"/>
        </w:rPr>
        <w:t>of</w:t>
      </w:r>
      <w:proofErr w:type="gramEnd"/>
      <w:r w:rsidRPr="00885B20">
        <w:rPr>
          <w:i/>
          <w:spacing w:val="-3"/>
          <w:sz w:val="24"/>
          <w:szCs w:val="24"/>
        </w:rPr>
        <w:t xml:space="preserve"> Public Welfare, White Haven Center</w:t>
      </w:r>
      <w:r w:rsidRPr="006C16D1">
        <w:rPr>
          <w:spacing w:val="-3"/>
          <w:sz w:val="24"/>
          <w:szCs w:val="24"/>
        </w:rPr>
        <w:t>, 85 Pa.</w:t>
      </w:r>
      <w:r w:rsidR="0020572E">
        <w:rPr>
          <w:spacing w:val="-3"/>
          <w:sz w:val="24"/>
          <w:szCs w:val="24"/>
        </w:rPr>
        <w:t xml:space="preserve"> </w:t>
      </w:r>
      <w:proofErr w:type="spellStart"/>
      <w:r w:rsidRPr="006C16D1">
        <w:rPr>
          <w:spacing w:val="-3"/>
          <w:sz w:val="24"/>
          <w:szCs w:val="24"/>
        </w:rPr>
        <w:t>Commw</w:t>
      </w:r>
      <w:proofErr w:type="spellEnd"/>
      <w:r w:rsidRPr="006C16D1">
        <w:rPr>
          <w:spacing w:val="-3"/>
          <w:sz w:val="24"/>
          <w:szCs w:val="24"/>
        </w:rPr>
        <w:t xml:space="preserve">. </w:t>
      </w:r>
      <w:proofErr w:type="gramStart"/>
      <w:r w:rsidRPr="006C16D1">
        <w:rPr>
          <w:spacing w:val="-3"/>
          <w:sz w:val="24"/>
          <w:szCs w:val="24"/>
        </w:rPr>
        <w:t>23, 480 A.2d 382 (1984).</w:t>
      </w:r>
      <w:proofErr w:type="gramEnd"/>
    </w:p>
    <w:p w:rsidR="006E4830" w:rsidRDefault="006E4830" w:rsidP="00D7588F">
      <w:pPr>
        <w:tabs>
          <w:tab w:val="left" w:pos="-1440"/>
          <w:tab w:val="left" w:pos="-720"/>
        </w:tabs>
        <w:suppressAutoHyphens/>
        <w:spacing w:line="360" w:lineRule="auto"/>
        <w:rPr>
          <w:sz w:val="24"/>
          <w:szCs w:val="24"/>
        </w:rPr>
      </w:pPr>
    </w:p>
    <w:p w:rsidR="00D3667E" w:rsidRDefault="00D3667E" w:rsidP="00D7588F">
      <w:pPr>
        <w:spacing w:line="360" w:lineRule="auto"/>
        <w:rPr>
          <w:sz w:val="24"/>
          <w:szCs w:val="24"/>
        </w:rPr>
      </w:pPr>
      <w:r w:rsidRPr="00D3667E">
        <w:rPr>
          <w:sz w:val="24"/>
          <w:szCs w:val="24"/>
        </w:rPr>
        <w:lastRenderedPageBreak/>
        <w:tab/>
      </w:r>
      <w:r w:rsidRPr="00D3667E">
        <w:rPr>
          <w:sz w:val="24"/>
          <w:szCs w:val="24"/>
        </w:rPr>
        <w:tab/>
        <w:t>D</w:t>
      </w:r>
      <w:r w:rsidR="00910BC0">
        <w:rPr>
          <w:sz w:val="24"/>
          <w:szCs w:val="24"/>
        </w:rPr>
        <w:t>LC</w:t>
      </w:r>
      <w:r w:rsidRPr="00D3667E">
        <w:rPr>
          <w:sz w:val="24"/>
          <w:szCs w:val="24"/>
        </w:rPr>
        <w:t xml:space="preserve"> has a statutory duty to render safe and reasonable service.  Section 1501 of the Code, 66 Pa. C.S. §1501, provides in pertinent part that,</w:t>
      </w:r>
    </w:p>
    <w:p w:rsidR="00B07410" w:rsidRPr="00D3667E" w:rsidRDefault="00B07410" w:rsidP="00D7588F">
      <w:pPr>
        <w:spacing w:line="360" w:lineRule="auto"/>
        <w:rPr>
          <w:sz w:val="24"/>
          <w:szCs w:val="24"/>
        </w:rPr>
      </w:pPr>
    </w:p>
    <w:p w:rsidR="00D3667E" w:rsidRPr="00D3667E" w:rsidRDefault="00D3667E" w:rsidP="00AE4295">
      <w:pPr>
        <w:ind w:left="1440" w:right="2160"/>
        <w:rPr>
          <w:sz w:val="24"/>
          <w:szCs w:val="24"/>
        </w:rPr>
      </w:pPr>
      <w:r w:rsidRPr="00D3667E">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D3667E" w:rsidRPr="00D3667E" w:rsidRDefault="00D3667E" w:rsidP="00AE4295">
      <w:pPr>
        <w:spacing w:line="360" w:lineRule="auto"/>
        <w:rPr>
          <w:sz w:val="24"/>
          <w:szCs w:val="24"/>
        </w:rPr>
      </w:pPr>
    </w:p>
    <w:p w:rsidR="00F2430D" w:rsidRDefault="00D3667E" w:rsidP="006264B8">
      <w:pPr>
        <w:spacing w:line="360" w:lineRule="auto"/>
        <w:ind w:firstLine="1440"/>
        <w:rPr>
          <w:sz w:val="24"/>
          <w:szCs w:val="24"/>
        </w:rPr>
      </w:pPr>
      <w:r w:rsidRPr="00D3667E">
        <w:rPr>
          <w:sz w:val="24"/>
          <w:szCs w:val="24"/>
        </w:rPr>
        <w:t>DL</w:t>
      </w:r>
      <w:r w:rsidR="00910BC0">
        <w:rPr>
          <w:sz w:val="24"/>
          <w:szCs w:val="24"/>
        </w:rPr>
        <w:t>C</w:t>
      </w:r>
      <w:r w:rsidRPr="00D3667E">
        <w:rPr>
          <w:sz w:val="24"/>
          <w:szCs w:val="24"/>
        </w:rPr>
        <w:t xml:space="preserve">’s </w:t>
      </w:r>
      <w:r w:rsidR="00910BC0">
        <w:rPr>
          <w:sz w:val="24"/>
          <w:szCs w:val="24"/>
        </w:rPr>
        <w:t>tariff, referred to as policy by Mr. Irons</w:t>
      </w:r>
      <w:r w:rsidR="006F331F">
        <w:rPr>
          <w:sz w:val="24"/>
          <w:szCs w:val="24"/>
        </w:rPr>
        <w:t xml:space="preserve"> (Tr. 13)</w:t>
      </w:r>
      <w:r w:rsidR="00910BC0">
        <w:rPr>
          <w:sz w:val="24"/>
          <w:szCs w:val="24"/>
        </w:rPr>
        <w:t xml:space="preserve">, requires a wiring </w:t>
      </w:r>
      <w:r w:rsidR="00971017">
        <w:rPr>
          <w:sz w:val="24"/>
          <w:szCs w:val="24"/>
        </w:rPr>
        <w:t>a</w:t>
      </w:r>
      <w:r w:rsidR="00B93CB2">
        <w:rPr>
          <w:sz w:val="24"/>
          <w:szCs w:val="24"/>
        </w:rPr>
        <w:t>p</w:t>
      </w:r>
      <w:r w:rsidR="00971017">
        <w:rPr>
          <w:sz w:val="24"/>
          <w:szCs w:val="24"/>
        </w:rPr>
        <w:t>proval</w:t>
      </w:r>
      <w:r w:rsidR="00910BC0">
        <w:rPr>
          <w:sz w:val="24"/>
          <w:szCs w:val="24"/>
        </w:rPr>
        <w:t xml:space="preserve"> prior t</w:t>
      </w:r>
      <w:r w:rsidR="00F37572">
        <w:rPr>
          <w:sz w:val="24"/>
          <w:szCs w:val="24"/>
        </w:rPr>
        <w:t>o</w:t>
      </w:r>
      <w:r w:rsidR="00910BC0">
        <w:rPr>
          <w:sz w:val="24"/>
          <w:szCs w:val="24"/>
        </w:rPr>
        <w:t xml:space="preserve"> establishing electric service to a dwelling that has not had electric service for more than a year.  Mr. Irons </w:t>
      </w:r>
      <w:r w:rsidR="00F37572">
        <w:rPr>
          <w:sz w:val="24"/>
          <w:szCs w:val="24"/>
        </w:rPr>
        <w:t>submit</w:t>
      </w:r>
      <w:r w:rsidR="00F2430D">
        <w:rPr>
          <w:sz w:val="24"/>
          <w:szCs w:val="24"/>
        </w:rPr>
        <w:t>s</w:t>
      </w:r>
      <w:r w:rsidR="00F37572">
        <w:rPr>
          <w:sz w:val="24"/>
          <w:szCs w:val="24"/>
        </w:rPr>
        <w:t xml:space="preserve"> </w:t>
      </w:r>
      <w:r w:rsidR="00910BC0">
        <w:rPr>
          <w:sz w:val="24"/>
          <w:szCs w:val="24"/>
        </w:rPr>
        <w:t xml:space="preserve">the policy is silly and he wants DLC to revise the policy </w:t>
      </w:r>
      <w:r w:rsidR="00F37572">
        <w:rPr>
          <w:sz w:val="24"/>
          <w:szCs w:val="24"/>
        </w:rPr>
        <w:t xml:space="preserve">whereby </w:t>
      </w:r>
      <w:r w:rsidR="00910BC0">
        <w:rPr>
          <w:sz w:val="24"/>
          <w:szCs w:val="24"/>
        </w:rPr>
        <w:t xml:space="preserve">a DLC service technician would visually inspect </w:t>
      </w:r>
      <w:r w:rsidR="008F5505">
        <w:rPr>
          <w:sz w:val="24"/>
          <w:szCs w:val="24"/>
        </w:rPr>
        <w:t>the</w:t>
      </w:r>
      <w:r w:rsidR="00F37572">
        <w:rPr>
          <w:sz w:val="24"/>
          <w:szCs w:val="24"/>
        </w:rPr>
        <w:t xml:space="preserve"> meter socket and wiring </w:t>
      </w:r>
      <w:r w:rsidR="00971017">
        <w:rPr>
          <w:sz w:val="24"/>
          <w:szCs w:val="24"/>
        </w:rPr>
        <w:t xml:space="preserve">for </w:t>
      </w:r>
      <w:r w:rsidR="00F37572">
        <w:rPr>
          <w:sz w:val="24"/>
          <w:szCs w:val="24"/>
        </w:rPr>
        <w:t xml:space="preserve">safety.  </w:t>
      </w:r>
      <w:proofErr w:type="gramStart"/>
      <w:r w:rsidR="00F37572">
        <w:rPr>
          <w:sz w:val="24"/>
          <w:szCs w:val="24"/>
        </w:rPr>
        <w:t>Tr. 34.</w:t>
      </w:r>
      <w:proofErr w:type="gramEnd"/>
      <w:r w:rsidR="00F37572">
        <w:rPr>
          <w:sz w:val="24"/>
          <w:szCs w:val="24"/>
        </w:rPr>
        <w:t xml:space="preserve">  He argues, “I think your service tech sure knows when he goes there. They go there maybe once a year, maybe once every other year.  But they service this building.  They get to know people.  They get to know those buildings.  They know what looks safe and what doesn’t look safe.</w:t>
      </w:r>
      <w:r w:rsidR="00BF1F4C">
        <w:rPr>
          <w:sz w:val="24"/>
          <w:szCs w:val="24"/>
        </w:rPr>
        <w:t>”</w:t>
      </w:r>
      <w:r w:rsidR="00F37572">
        <w:rPr>
          <w:sz w:val="24"/>
          <w:szCs w:val="24"/>
        </w:rPr>
        <w:t xml:space="preserve">  </w:t>
      </w:r>
      <w:proofErr w:type="gramStart"/>
      <w:r w:rsidR="00F37572">
        <w:rPr>
          <w:sz w:val="24"/>
          <w:szCs w:val="24"/>
        </w:rPr>
        <w:t>Tr. 17.</w:t>
      </w:r>
      <w:proofErr w:type="gramEnd"/>
      <w:r w:rsidR="00F37572">
        <w:rPr>
          <w:sz w:val="24"/>
          <w:szCs w:val="24"/>
        </w:rPr>
        <w:t xml:space="preserve">  </w:t>
      </w:r>
      <w:r w:rsidR="00F2430D">
        <w:rPr>
          <w:sz w:val="24"/>
          <w:szCs w:val="24"/>
        </w:rPr>
        <w:t xml:space="preserve"> According to Mr. Irons, if the DLC “… service tech believes that there is reason that the service is unsafe, then repairs a</w:t>
      </w:r>
      <w:r w:rsidR="00B07410">
        <w:rPr>
          <w:sz w:val="24"/>
          <w:szCs w:val="24"/>
        </w:rPr>
        <w:t>r</w:t>
      </w:r>
      <w:r w:rsidR="00F2430D">
        <w:rPr>
          <w:sz w:val="24"/>
          <w:szCs w:val="24"/>
        </w:rPr>
        <w:t xml:space="preserve">e to be made according to the National </w:t>
      </w:r>
      <w:r w:rsidR="00B07410">
        <w:rPr>
          <w:sz w:val="24"/>
          <w:szCs w:val="24"/>
        </w:rPr>
        <w:t>E</w:t>
      </w:r>
      <w:r w:rsidR="00F2430D">
        <w:rPr>
          <w:sz w:val="24"/>
          <w:szCs w:val="24"/>
        </w:rPr>
        <w:t xml:space="preserve">lectric Code.  Then that procedure … already requires a wiring approval.”  </w:t>
      </w:r>
      <w:proofErr w:type="gramStart"/>
      <w:r w:rsidR="00F2430D">
        <w:rPr>
          <w:sz w:val="24"/>
          <w:szCs w:val="24"/>
        </w:rPr>
        <w:t>Tr. 34.</w:t>
      </w:r>
      <w:proofErr w:type="gramEnd"/>
      <w:r w:rsidR="00F2430D">
        <w:rPr>
          <w:sz w:val="24"/>
          <w:szCs w:val="24"/>
        </w:rPr>
        <w:t xml:space="preserve">  Mr. Irons’ characterization of DLC wiring approval policy as silly is misplaced and his suggested revisions </w:t>
      </w:r>
      <w:r w:rsidR="00D316E6">
        <w:rPr>
          <w:sz w:val="24"/>
          <w:szCs w:val="24"/>
        </w:rPr>
        <w:t xml:space="preserve">to the policy </w:t>
      </w:r>
      <w:r w:rsidR="00151145">
        <w:rPr>
          <w:sz w:val="24"/>
          <w:szCs w:val="24"/>
        </w:rPr>
        <w:t xml:space="preserve">would </w:t>
      </w:r>
      <w:r w:rsidR="00F2430D">
        <w:rPr>
          <w:sz w:val="24"/>
          <w:szCs w:val="24"/>
        </w:rPr>
        <w:t xml:space="preserve">place dwellings and </w:t>
      </w:r>
      <w:r w:rsidR="00B66DC6">
        <w:rPr>
          <w:sz w:val="24"/>
          <w:szCs w:val="24"/>
        </w:rPr>
        <w:t>occupa</w:t>
      </w:r>
      <w:r w:rsidR="00F2430D">
        <w:rPr>
          <w:sz w:val="24"/>
          <w:szCs w:val="24"/>
        </w:rPr>
        <w:t>nts therein at risk</w:t>
      </w:r>
      <w:r w:rsidR="00B93CB2">
        <w:rPr>
          <w:sz w:val="24"/>
          <w:szCs w:val="24"/>
        </w:rPr>
        <w:t xml:space="preserve"> of harm</w:t>
      </w:r>
      <w:r w:rsidR="00BF1F4C">
        <w:rPr>
          <w:sz w:val="24"/>
          <w:szCs w:val="24"/>
        </w:rPr>
        <w:t xml:space="preserve">.  Furthermore, tariff provisions have the full force and effect of law and are binding on DLC and its customers.  </w:t>
      </w:r>
      <w:proofErr w:type="gramStart"/>
      <w:r w:rsidR="00BF1F4C" w:rsidRPr="00BF1F4C">
        <w:rPr>
          <w:i/>
          <w:sz w:val="24"/>
          <w:szCs w:val="24"/>
        </w:rPr>
        <w:t>PPL Electric Utility Corp. v. Pa. P.U.C</w:t>
      </w:r>
      <w:r w:rsidR="00BF1F4C">
        <w:rPr>
          <w:i/>
          <w:sz w:val="24"/>
          <w:szCs w:val="24"/>
        </w:rPr>
        <w:t>.</w:t>
      </w:r>
      <w:r w:rsidR="00BF1F4C">
        <w:rPr>
          <w:sz w:val="24"/>
          <w:szCs w:val="24"/>
        </w:rPr>
        <w:t xml:space="preserve">, 912 A.2d 386, 402 (Pa. </w:t>
      </w:r>
      <w:proofErr w:type="spellStart"/>
      <w:r w:rsidR="00BF1F4C">
        <w:rPr>
          <w:sz w:val="24"/>
          <w:szCs w:val="24"/>
        </w:rPr>
        <w:t>Cmwlth</w:t>
      </w:r>
      <w:proofErr w:type="spellEnd"/>
      <w:r w:rsidR="00BF1F4C">
        <w:rPr>
          <w:sz w:val="24"/>
          <w:szCs w:val="24"/>
        </w:rPr>
        <w:t xml:space="preserve">. 2006); </w:t>
      </w:r>
      <w:r w:rsidR="00BF1F4C" w:rsidRPr="00BF1F4C">
        <w:rPr>
          <w:i/>
          <w:sz w:val="24"/>
          <w:szCs w:val="24"/>
        </w:rPr>
        <w:t>Pennsylvania Electric Co. v. Pa. P.U.C.</w:t>
      </w:r>
      <w:r w:rsidR="00BF1F4C">
        <w:rPr>
          <w:sz w:val="24"/>
          <w:szCs w:val="24"/>
        </w:rPr>
        <w:t xml:space="preserve">, 663 A.2d 281, 284 (Pa. </w:t>
      </w:r>
      <w:proofErr w:type="spellStart"/>
      <w:r w:rsidR="00BF1F4C">
        <w:rPr>
          <w:sz w:val="24"/>
          <w:szCs w:val="24"/>
        </w:rPr>
        <w:t>Cmwlth</w:t>
      </w:r>
      <w:proofErr w:type="spellEnd"/>
      <w:r w:rsidR="00BF1F4C">
        <w:rPr>
          <w:sz w:val="24"/>
          <w:szCs w:val="24"/>
        </w:rPr>
        <w:t>. 1995)</w:t>
      </w:r>
      <w:r w:rsidR="00F2430D">
        <w:rPr>
          <w:sz w:val="24"/>
          <w:szCs w:val="24"/>
        </w:rPr>
        <w:t>.</w:t>
      </w:r>
      <w:proofErr w:type="gramEnd"/>
    </w:p>
    <w:p w:rsidR="00C219AC" w:rsidRDefault="00C219AC" w:rsidP="00D7588F">
      <w:pPr>
        <w:spacing w:line="360" w:lineRule="auto"/>
        <w:ind w:firstLine="720"/>
        <w:rPr>
          <w:sz w:val="24"/>
          <w:szCs w:val="24"/>
        </w:rPr>
      </w:pPr>
    </w:p>
    <w:p w:rsidR="00F2430D" w:rsidRDefault="00F62780" w:rsidP="00D7588F">
      <w:pPr>
        <w:spacing w:line="360" w:lineRule="auto"/>
        <w:ind w:firstLine="1440"/>
        <w:rPr>
          <w:sz w:val="24"/>
          <w:szCs w:val="24"/>
        </w:rPr>
      </w:pPr>
      <w:r>
        <w:rPr>
          <w:sz w:val="24"/>
          <w:szCs w:val="24"/>
        </w:rPr>
        <w:t xml:space="preserve">DLC’s witnesses explained </w:t>
      </w:r>
      <w:r w:rsidR="00C219AC">
        <w:rPr>
          <w:sz w:val="24"/>
          <w:szCs w:val="24"/>
        </w:rPr>
        <w:t xml:space="preserve">that their </w:t>
      </w:r>
      <w:r>
        <w:rPr>
          <w:sz w:val="24"/>
          <w:szCs w:val="24"/>
        </w:rPr>
        <w:t>service technicians</w:t>
      </w:r>
      <w:r w:rsidR="00C219AC">
        <w:rPr>
          <w:sz w:val="24"/>
          <w:szCs w:val="24"/>
        </w:rPr>
        <w:t xml:space="preserve">, referred to as Specialist B’s, </w:t>
      </w:r>
      <w:r>
        <w:rPr>
          <w:sz w:val="24"/>
          <w:szCs w:val="24"/>
        </w:rPr>
        <w:t xml:space="preserve">are not electricians and therefore not skilled in assessing wiring safety.  </w:t>
      </w:r>
      <w:proofErr w:type="gramStart"/>
      <w:r w:rsidR="00C219AC">
        <w:rPr>
          <w:sz w:val="24"/>
          <w:szCs w:val="24"/>
        </w:rPr>
        <w:t>Tr. 45, 58.</w:t>
      </w:r>
      <w:proofErr w:type="gramEnd"/>
      <w:r w:rsidR="00C219AC">
        <w:rPr>
          <w:sz w:val="24"/>
          <w:szCs w:val="24"/>
        </w:rPr>
        <w:t xml:space="preserve">  </w:t>
      </w:r>
      <w:r>
        <w:rPr>
          <w:sz w:val="24"/>
          <w:szCs w:val="24"/>
        </w:rPr>
        <w:t xml:space="preserve">Their </w:t>
      </w:r>
      <w:r w:rsidR="0053358D">
        <w:rPr>
          <w:sz w:val="24"/>
          <w:szCs w:val="24"/>
        </w:rPr>
        <w:t xml:space="preserve">basic </w:t>
      </w:r>
      <w:r>
        <w:rPr>
          <w:sz w:val="24"/>
          <w:szCs w:val="24"/>
        </w:rPr>
        <w:t>function is to turn power</w:t>
      </w:r>
      <w:r w:rsidR="00EB4750">
        <w:rPr>
          <w:sz w:val="24"/>
          <w:szCs w:val="24"/>
        </w:rPr>
        <w:t xml:space="preserve"> on or off at the meter as the circumstances dictate.  As DLC’s engineering supervisor pointed</w:t>
      </w:r>
      <w:r w:rsidR="00C219AC">
        <w:rPr>
          <w:sz w:val="24"/>
          <w:szCs w:val="24"/>
        </w:rPr>
        <w:t xml:space="preserve"> out</w:t>
      </w:r>
      <w:r w:rsidR="00EB4750">
        <w:rPr>
          <w:sz w:val="24"/>
          <w:szCs w:val="24"/>
        </w:rPr>
        <w:t xml:space="preserve">, a wiring inspection is required after one year of metering inactivity as a safety measure. </w:t>
      </w:r>
      <w:r w:rsidR="0053358D">
        <w:rPr>
          <w:sz w:val="24"/>
          <w:szCs w:val="24"/>
        </w:rPr>
        <w:t xml:space="preserve"> </w:t>
      </w:r>
      <w:r w:rsidR="00EB4750">
        <w:rPr>
          <w:sz w:val="24"/>
          <w:szCs w:val="24"/>
        </w:rPr>
        <w:t xml:space="preserve">Any number of events may have occurred at the dwelling </w:t>
      </w:r>
      <w:r w:rsidR="00B66DC6">
        <w:rPr>
          <w:sz w:val="24"/>
          <w:szCs w:val="24"/>
        </w:rPr>
        <w:t>during a one year period</w:t>
      </w:r>
      <w:r w:rsidR="00EB4750">
        <w:rPr>
          <w:sz w:val="24"/>
          <w:szCs w:val="24"/>
        </w:rPr>
        <w:t xml:space="preserve">, such as theft of copper wiring, water damage, or a fire.  </w:t>
      </w:r>
      <w:proofErr w:type="gramStart"/>
      <w:r w:rsidR="00EB4750">
        <w:rPr>
          <w:sz w:val="24"/>
          <w:szCs w:val="24"/>
        </w:rPr>
        <w:t>Tr. 56.</w:t>
      </w:r>
      <w:proofErr w:type="gramEnd"/>
      <w:r w:rsidR="00EB4750">
        <w:rPr>
          <w:sz w:val="24"/>
          <w:szCs w:val="24"/>
        </w:rPr>
        <w:t xml:space="preserve">  </w:t>
      </w:r>
      <w:r>
        <w:rPr>
          <w:sz w:val="24"/>
          <w:szCs w:val="24"/>
        </w:rPr>
        <w:t xml:space="preserve"> </w:t>
      </w:r>
      <w:r w:rsidR="0053358D">
        <w:rPr>
          <w:sz w:val="24"/>
          <w:szCs w:val="24"/>
        </w:rPr>
        <w:t xml:space="preserve">Turning </w:t>
      </w:r>
      <w:r w:rsidR="0053358D">
        <w:rPr>
          <w:sz w:val="24"/>
          <w:szCs w:val="24"/>
        </w:rPr>
        <w:lastRenderedPageBreak/>
        <w:t xml:space="preserve">power on without conducting a wiring approval after a year of metering inactivity could result in a fire or electrocution.  </w:t>
      </w:r>
      <w:proofErr w:type="gramStart"/>
      <w:r w:rsidR="0053358D">
        <w:rPr>
          <w:sz w:val="24"/>
          <w:szCs w:val="24"/>
        </w:rPr>
        <w:t>Tr. 56.</w:t>
      </w:r>
      <w:proofErr w:type="gramEnd"/>
      <w:r w:rsidR="0053358D">
        <w:rPr>
          <w:sz w:val="24"/>
          <w:szCs w:val="24"/>
        </w:rPr>
        <w:t xml:space="preserve"> </w:t>
      </w:r>
    </w:p>
    <w:p w:rsidR="00F37572" w:rsidRDefault="00F2430D" w:rsidP="00D7588F">
      <w:pPr>
        <w:spacing w:line="360" w:lineRule="auto"/>
        <w:ind w:firstLine="720"/>
        <w:rPr>
          <w:sz w:val="24"/>
          <w:szCs w:val="24"/>
        </w:rPr>
      </w:pPr>
      <w:r>
        <w:rPr>
          <w:sz w:val="24"/>
          <w:szCs w:val="24"/>
        </w:rPr>
        <w:t xml:space="preserve">   </w:t>
      </w:r>
    </w:p>
    <w:p w:rsidR="007B6F4F" w:rsidRDefault="000C3D4A" w:rsidP="00D7588F">
      <w:pPr>
        <w:spacing w:line="360" w:lineRule="auto"/>
        <w:rPr>
          <w:sz w:val="24"/>
          <w:szCs w:val="24"/>
        </w:rPr>
      </w:pPr>
      <w:r>
        <w:rPr>
          <w:sz w:val="24"/>
          <w:szCs w:val="24"/>
        </w:rPr>
        <w:tab/>
      </w:r>
      <w:r>
        <w:rPr>
          <w:sz w:val="24"/>
          <w:szCs w:val="24"/>
        </w:rPr>
        <w:tab/>
        <w:t xml:space="preserve">DLC’s wiring approval policy is part of its </w:t>
      </w:r>
      <w:r w:rsidR="00B452B9">
        <w:rPr>
          <w:sz w:val="24"/>
          <w:szCs w:val="24"/>
        </w:rPr>
        <w:t xml:space="preserve">Commission-approved </w:t>
      </w:r>
      <w:r>
        <w:rPr>
          <w:sz w:val="24"/>
          <w:szCs w:val="24"/>
        </w:rPr>
        <w:t>tariff.</w:t>
      </w:r>
      <w:r w:rsidR="00B07410" w:rsidRPr="00B07410">
        <w:rPr>
          <w:rStyle w:val="FootnoteReference"/>
          <w:sz w:val="24"/>
          <w:szCs w:val="24"/>
        </w:rPr>
        <w:t xml:space="preserve"> </w:t>
      </w:r>
      <w:r w:rsidR="00B07410">
        <w:rPr>
          <w:rStyle w:val="FootnoteReference"/>
          <w:sz w:val="24"/>
          <w:szCs w:val="24"/>
        </w:rPr>
        <w:footnoteReference w:id="2"/>
      </w:r>
      <w:r w:rsidR="00B07410">
        <w:rPr>
          <w:sz w:val="24"/>
          <w:szCs w:val="24"/>
        </w:rPr>
        <w:t xml:space="preserve"> </w:t>
      </w:r>
      <w:r>
        <w:rPr>
          <w:sz w:val="24"/>
          <w:szCs w:val="24"/>
        </w:rPr>
        <w:t xml:space="preserve">  </w:t>
      </w:r>
      <w:r w:rsidR="005F568B" w:rsidRPr="00FA60CC">
        <w:rPr>
          <w:sz w:val="24"/>
          <w:szCs w:val="24"/>
        </w:rPr>
        <w:t xml:space="preserve">Pennsylvania courts have repeatedly held that tariff provisions that have been properly submitted to and approved by the Commission are </w:t>
      </w:r>
      <w:r w:rsidR="005F568B" w:rsidRPr="00FA60CC">
        <w:rPr>
          <w:i/>
          <w:sz w:val="24"/>
          <w:szCs w:val="24"/>
        </w:rPr>
        <w:t>prima facie</w:t>
      </w:r>
      <w:r w:rsidR="005F568B" w:rsidRPr="00FA60CC">
        <w:rPr>
          <w:sz w:val="24"/>
          <w:szCs w:val="24"/>
        </w:rPr>
        <w:t xml:space="preserve"> reasonable.  </w:t>
      </w:r>
      <w:proofErr w:type="spellStart"/>
      <w:proofErr w:type="gramStart"/>
      <w:r w:rsidR="005F568B" w:rsidRPr="00FA60CC">
        <w:rPr>
          <w:i/>
          <w:sz w:val="24"/>
          <w:szCs w:val="24"/>
        </w:rPr>
        <w:t>Zucker</w:t>
      </w:r>
      <w:proofErr w:type="spellEnd"/>
      <w:r w:rsidR="005F568B" w:rsidRPr="00FA60CC">
        <w:rPr>
          <w:i/>
          <w:sz w:val="24"/>
          <w:szCs w:val="24"/>
        </w:rPr>
        <w:t xml:space="preserve"> v. Pa. PUC</w:t>
      </w:r>
      <w:r w:rsidR="005F568B" w:rsidRPr="00FA60CC">
        <w:rPr>
          <w:sz w:val="24"/>
          <w:szCs w:val="24"/>
        </w:rPr>
        <w:t xml:space="preserve">, 401 A.2d 1377 (Pa. </w:t>
      </w:r>
      <w:proofErr w:type="spellStart"/>
      <w:r w:rsidR="005F568B" w:rsidRPr="00FA60CC">
        <w:rPr>
          <w:sz w:val="24"/>
          <w:szCs w:val="24"/>
        </w:rPr>
        <w:t>Cmwlth</w:t>
      </w:r>
      <w:proofErr w:type="spellEnd"/>
      <w:r w:rsidR="005F568B" w:rsidRPr="00FA60CC">
        <w:rPr>
          <w:sz w:val="24"/>
          <w:szCs w:val="24"/>
        </w:rPr>
        <w:t xml:space="preserve">. Ct. 1979), </w:t>
      </w:r>
      <w:proofErr w:type="spellStart"/>
      <w:r w:rsidR="005F568B" w:rsidRPr="00FA60CC">
        <w:rPr>
          <w:i/>
          <w:sz w:val="24"/>
          <w:szCs w:val="24"/>
        </w:rPr>
        <w:t>Shenango</w:t>
      </w:r>
      <w:proofErr w:type="spellEnd"/>
      <w:r w:rsidR="005F568B" w:rsidRPr="00FA60CC">
        <w:rPr>
          <w:i/>
          <w:sz w:val="24"/>
          <w:szCs w:val="24"/>
        </w:rPr>
        <w:t xml:space="preserve"> Township Board of Supervisors v. Pa. PUC</w:t>
      </w:r>
      <w:r w:rsidR="005F568B" w:rsidRPr="00FA60CC">
        <w:rPr>
          <w:sz w:val="24"/>
          <w:szCs w:val="24"/>
        </w:rPr>
        <w:t xml:space="preserve">, 686 A.2d 910, 914 (Pa. </w:t>
      </w:r>
      <w:proofErr w:type="spellStart"/>
      <w:r w:rsidR="005F568B" w:rsidRPr="00FA60CC">
        <w:rPr>
          <w:sz w:val="24"/>
          <w:szCs w:val="24"/>
        </w:rPr>
        <w:t>Cmwlth</w:t>
      </w:r>
      <w:proofErr w:type="spellEnd"/>
      <w:r w:rsidR="005F568B" w:rsidRPr="00FA60CC">
        <w:rPr>
          <w:sz w:val="24"/>
          <w:szCs w:val="24"/>
        </w:rPr>
        <w:t xml:space="preserve">. Ct. 1996), </w:t>
      </w:r>
      <w:proofErr w:type="spellStart"/>
      <w:r w:rsidR="005F568B" w:rsidRPr="00FA60CC">
        <w:rPr>
          <w:i/>
          <w:sz w:val="24"/>
          <w:szCs w:val="24"/>
        </w:rPr>
        <w:t>Kossman</w:t>
      </w:r>
      <w:proofErr w:type="spellEnd"/>
      <w:r w:rsidR="005F568B" w:rsidRPr="00FA60CC">
        <w:rPr>
          <w:i/>
          <w:sz w:val="24"/>
          <w:szCs w:val="24"/>
        </w:rPr>
        <w:t xml:space="preserve"> v. Pa. PUC</w:t>
      </w:r>
      <w:r w:rsidR="005F568B" w:rsidRPr="00FA60CC">
        <w:rPr>
          <w:sz w:val="24"/>
          <w:szCs w:val="24"/>
        </w:rPr>
        <w:t xml:space="preserve">, 694 A.2d 1147, 1151 (Pa. </w:t>
      </w:r>
      <w:proofErr w:type="spellStart"/>
      <w:r w:rsidR="005F568B" w:rsidRPr="00FA60CC">
        <w:rPr>
          <w:sz w:val="24"/>
          <w:szCs w:val="24"/>
        </w:rPr>
        <w:t>Cmwlth</w:t>
      </w:r>
      <w:proofErr w:type="spellEnd"/>
      <w:r w:rsidR="005F568B" w:rsidRPr="00FA60CC">
        <w:rPr>
          <w:sz w:val="24"/>
          <w:szCs w:val="24"/>
        </w:rPr>
        <w:t>. Ct. 1997).</w:t>
      </w:r>
      <w:proofErr w:type="gramEnd"/>
      <w:r w:rsidR="005F568B" w:rsidRPr="00FA60CC">
        <w:rPr>
          <w:sz w:val="24"/>
          <w:szCs w:val="24"/>
        </w:rPr>
        <w:t xml:space="preserve">  Therefore, a complainant seeking to evade the effect of an existing tariff provision carries a very heavy burden to prove that the facts and circumstances have changed so drastically as to render the application of the tariff provision unreasonable</w:t>
      </w:r>
      <w:r w:rsidR="005F568B" w:rsidRPr="00C619EF">
        <w:rPr>
          <w:sz w:val="24"/>
          <w:szCs w:val="24"/>
        </w:rPr>
        <w:t>.</w:t>
      </w:r>
      <w:r w:rsidR="00F4370E" w:rsidRPr="00C619EF">
        <w:rPr>
          <w:sz w:val="24"/>
          <w:szCs w:val="24"/>
        </w:rPr>
        <w:t xml:space="preserve"> </w:t>
      </w:r>
      <w:r w:rsidR="000F1516">
        <w:rPr>
          <w:sz w:val="24"/>
          <w:szCs w:val="24"/>
        </w:rPr>
        <w:t xml:space="preserve"> </w:t>
      </w:r>
      <w:proofErr w:type="gramStart"/>
      <w:r w:rsidR="005F568B" w:rsidRPr="00C619EF">
        <w:rPr>
          <w:sz w:val="24"/>
          <w:szCs w:val="24"/>
        </w:rPr>
        <w:t>Id</w:t>
      </w:r>
      <w:r w:rsidR="005F568B" w:rsidRPr="00FA60CC">
        <w:rPr>
          <w:i/>
          <w:sz w:val="24"/>
          <w:szCs w:val="24"/>
        </w:rPr>
        <w:t>.</w:t>
      </w:r>
      <w:r w:rsidR="006750B7">
        <w:rPr>
          <w:sz w:val="24"/>
          <w:szCs w:val="24"/>
        </w:rPr>
        <w:t>;</w:t>
      </w:r>
      <w:r>
        <w:rPr>
          <w:sz w:val="24"/>
          <w:szCs w:val="24"/>
        </w:rPr>
        <w:t xml:space="preserve"> </w:t>
      </w:r>
      <w:r w:rsidR="005F568B" w:rsidRPr="00FA60CC">
        <w:rPr>
          <w:i/>
          <w:sz w:val="24"/>
          <w:szCs w:val="24"/>
        </w:rPr>
        <w:t>Brockway Glass Co. v. Pa. PUC</w:t>
      </w:r>
      <w:r w:rsidR="005F568B" w:rsidRPr="00FA60CC">
        <w:rPr>
          <w:sz w:val="24"/>
          <w:szCs w:val="24"/>
        </w:rPr>
        <w:t xml:space="preserve">, 437 A.2d 1067 (Pa. </w:t>
      </w:r>
      <w:proofErr w:type="spellStart"/>
      <w:r w:rsidR="005F568B" w:rsidRPr="00FA60CC">
        <w:rPr>
          <w:sz w:val="24"/>
          <w:szCs w:val="24"/>
        </w:rPr>
        <w:t>Cmwlth</w:t>
      </w:r>
      <w:proofErr w:type="spellEnd"/>
      <w:r w:rsidR="005F568B" w:rsidRPr="00FA60CC">
        <w:rPr>
          <w:sz w:val="24"/>
          <w:szCs w:val="24"/>
        </w:rPr>
        <w:t>. Ct. 1981).</w:t>
      </w:r>
      <w:proofErr w:type="gramEnd"/>
      <w:r w:rsidR="005F568B" w:rsidRPr="00FA60CC">
        <w:rPr>
          <w:sz w:val="24"/>
          <w:szCs w:val="24"/>
        </w:rPr>
        <w:t xml:space="preserve"> </w:t>
      </w:r>
    </w:p>
    <w:p w:rsidR="007B6F4F" w:rsidRDefault="007B6F4F" w:rsidP="00D7588F">
      <w:pPr>
        <w:spacing w:line="360" w:lineRule="auto"/>
        <w:rPr>
          <w:sz w:val="24"/>
          <w:szCs w:val="24"/>
        </w:rPr>
      </w:pPr>
    </w:p>
    <w:p w:rsidR="006C16D1" w:rsidRDefault="007B6F4F" w:rsidP="00D7588F">
      <w:pPr>
        <w:autoSpaceDE w:val="0"/>
        <w:autoSpaceDN w:val="0"/>
        <w:spacing w:line="360" w:lineRule="auto"/>
        <w:rPr>
          <w:sz w:val="24"/>
          <w:szCs w:val="24"/>
        </w:rPr>
      </w:pPr>
      <w:r>
        <w:rPr>
          <w:sz w:val="24"/>
          <w:szCs w:val="24"/>
        </w:rPr>
        <w:tab/>
      </w:r>
      <w:r>
        <w:rPr>
          <w:sz w:val="24"/>
          <w:szCs w:val="24"/>
        </w:rPr>
        <w:tab/>
      </w:r>
      <w:r w:rsidR="000C3D4A">
        <w:rPr>
          <w:sz w:val="24"/>
          <w:szCs w:val="24"/>
        </w:rPr>
        <w:t xml:space="preserve">Here, </w:t>
      </w:r>
      <w:r w:rsidR="001A576F">
        <w:rPr>
          <w:spacing w:val="-3"/>
          <w:sz w:val="24"/>
          <w:szCs w:val="24"/>
        </w:rPr>
        <w:t>M</w:t>
      </w:r>
      <w:r w:rsidR="00C619EF">
        <w:rPr>
          <w:spacing w:val="-3"/>
          <w:sz w:val="24"/>
          <w:szCs w:val="24"/>
        </w:rPr>
        <w:t>r</w:t>
      </w:r>
      <w:r w:rsidR="001A576F">
        <w:rPr>
          <w:spacing w:val="-3"/>
          <w:sz w:val="24"/>
          <w:szCs w:val="24"/>
        </w:rPr>
        <w:t xml:space="preserve">. </w:t>
      </w:r>
      <w:r w:rsidR="000C3D4A">
        <w:rPr>
          <w:spacing w:val="-3"/>
          <w:sz w:val="24"/>
          <w:szCs w:val="24"/>
        </w:rPr>
        <w:t>Irons</w:t>
      </w:r>
      <w:r w:rsidR="00C619EF">
        <w:rPr>
          <w:spacing w:val="-3"/>
          <w:sz w:val="24"/>
          <w:szCs w:val="24"/>
        </w:rPr>
        <w:t xml:space="preserve"> </w:t>
      </w:r>
      <w:r w:rsidR="001A576F">
        <w:rPr>
          <w:spacing w:val="-3"/>
          <w:sz w:val="24"/>
          <w:szCs w:val="24"/>
        </w:rPr>
        <w:t>did not present any facts or circumstances</w:t>
      </w:r>
      <w:r w:rsidR="00D109B8">
        <w:rPr>
          <w:spacing w:val="-3"/>
          <w:sz w:val="24"/>
          <w:szCs w:val="24"/>
        </w:rPr>
        <w:t xml:space="preserve"> to warrant a finding that the </w:t>
      </w:r>
      <w:r w:rsidR="000C3D4A">
        <w:rPr>
          <w:spacing w:val="-3"/>
          <w:sz w:val="24"/>
          <w:szCs w:val="24"/>
        </w:rPr>
        <w:t xml:space="preserve">wiring approval provision of DLC’s tariff is </w:t>
      </w:r>
      <w:r w:rsidR="001A576F">
        <w:rPr>
          <w:spacing w:val="-3"/>
          <w:sz w:val="24"/>
          <w:szCs w:val="24"/>
        </w:rPr>
        <w:t>unreasonable</w:t>
      </w:r>
      <w:r w:rsidR="000C3D4A">
        <w:rPr>
          <w:spacing w:val="-3"/>
          <w:sz w:val="24"/>
          <w:szCs w:val="24"/>
        </w:rPr>
        <w:t xml:space="preserve">.  At the heart of </w:t>
      </w:r>
      <w:r w:rsidR="006750B7">
        <w:rPr>
          <w:spacing w:val="-3"/>
          <w:sz w:val="24"/>
          <w:szCs w:val="24"/>
        </w:rPr>
        <w:t xml:space="preserve">the </w:t>
      </w:r>
      <w:r w:rsidR="000C3D4A">
        <w:rPr>
          <w:spacing w:val="-3"/>
          <w:sz w:val="24"/>
          <w:szCs w:val="24"/>
        </w:rPr>
        <w:t xml:space="preserve">matter, Mr. Irons seeks to avoid paying a monthly meter charge to DLC when his rental units are vacant. </w:t>
      </w:r>
      <w:r w:rsidR="008F5505">
        <w:rPr>
          <w:spacing w:val="-3"/>
          <w:sz w:val="24"/>
          <w:szCs w:val="24"/>
        </w:rPr>
        <w:t xml:space="preserve"> </w:t>
      </w:r>
      <w:proofErr w:type="gramStart"/>
      <w:r w:rsidR="00D316E6">
        <w:rPr>
          <w:spacing w:val="-3"/>
          <w:sz w:val="24"/>
          <w:szCs w:val="24"/>
        </w:rPr>
        <w:t>Tr. 40.</w:t>
      </w:r>
      <w:proofErr w:type="gramEnd"/>
      <w:r w:rsidR="00D316E6">
        <w:rPr>
          <w:spacing w:val="-3"/>
          <w:sz w:val="24"/>
          <w:szCs w:val="24"/>
        </w:rPr>
        <w:t xml:space="preserve">  </w:t>
      </w:r>
      <w:r w:rsidR="00B452B9">
        <w:rPr>
          <w:spacing w:val="-3"/>
          <w:sz w:val="24"/>
          <w:szCs w:val="24"/>
        </w:rPr>
        <w:t>His practice of switching the wire back and forth between his house meter and his rental units present</w:t>
      </w:r>
      <w:r w:rsidR="009059EF">
        <w:rPr>
          <w:spacing w:val="-3"/>
          <w:sz w:val="24"/>
          <w:szCs w:val="24"/>
        </w:rPr>
        <w:t>s</w:t>
      </w:r>
      <w:r w:rsidR="00B452B9">
        <w:rPr>
          <w:spacing w:val="-3"/>
          <w:sz w:val="24"/>
          <w:szCs w:val="24"/>
        </w:rPr>
        <w:t xml:space="preserve"> a safety hazard.  </w:t>
      </w:r>
      <w:proofErr w:type="gramStart"/>
      <w:r w:rsidR="00B452B9">
        <w:rPr>
          <w:spacing w:val="-3"/>
          <w:sz w:val="24"/>
          <w:szCs w:val="24"/>
        </w:rPr>
        <w:t>Tr. 48.</w:t>
      </w:r>
      <w:proofErr w:type="gramEnd"/>
      <w:r w:rsidR="00B452B9">
        <w:rPr>
          <w:spacing w:val="-3"/>
          <w:sz w:val="24"/>
          <w:szCs w:val="24"/>
        </w:rPr>
        <w:t xml:space="preserve">  He is cautioned to cease this practice.  Mr. Irons </w:t>
      </w:r>
      <w:r w:rsidR="000C3D4A">
        <w:rPr>
          <w:spacing w:val="-3"/>
          <w:sz w:val="24"/>
          <w:szCs w:val="24"/>
        </w:rPr>
        <w:t xml:space="preserve">failed to prove that DLC’s wiring approval </w:t>
      </w:r>
      <w:r w:rsidR="006414F3">
        <w:rPr>
          <w:spacing w:val="-3"/>
          <w:sz w:val="24"/>
          <w:szCs w:val="24"/>
        </w:rPr>
        <w:t xml:space="preserve">policy (tariff) </w:t>
      </w:r>
      <w:r w:rsidR="00851135">
        <w:rPr>
          <w:spacing w:val="-3"/>
          <w:sz w:val="24"/>
          <w:szCs w:val="24"/>
        </w:rPr>
        <w:t xml:space="preserve">is unreasonable or that </w:t>
      </w:r>
      <w:r w:rsidR="006414F3">
        <w:rPr>
          <w:spacing w:val="-3"/>
          <w:sz w:val="24"/>
          <w:szCs w:val="24"/>
        </w:rPr>
        <w:t xml:space="preserve">DLC </w:t>
      </w:r>
      <w:r w:rsidR="006C16D1" w:rsidRPr="006C16D1">
        <w:rPr>
          <w:sz w:val="24"/>
          <w:szCs w:val="24"/>
        </w:rPr>
        <w:t>violated any applicable law, regulation or</w:t>
      </w:r>
      <w:r w:rsidR="00A87DBE">
        <w:rPr>
          <w:sz w:val="24"/>
          <w:szCs w:val="24"/>
        </w:rPr>
        <w:t xml:space="preserve"> order of</w:t>
      </w:r>
      <w:r w:rsidR="006C16D1" w:rsidRPr="006C16D1">
        <w:rPr>
          <w:sz w:val="24"/>
          <w:szCs w:val="24"/>
        </w:rPr>
        <w:t xml:space="preserve"> the </w:t>
      </w:r>
      <w:r w:rsidR="00A87DBE">
        <w:rPr>
          <w:sz w:val="24"/>
          <w:szCs w:val="24"/>
        </w:rPr>
        <w:t>Commission.</w:t>
      </w:r>
      <w:r w:rsidR="006414F3">
        <w:rPr>
          <w:sz w:val="24"/>
          <w:szCs w:val="24"/>
        </w:rPr>
        <w:t xml:space="preserve">  Therefore his complaint must be dismissed.</w:t>
      </w:r>
    </w:p>
    <w:p w:rsidR="00BA0993" w:rsidRDefault="00BA0993" w:rsidP="00D7588F">
      <w:pPr>
        <w:autoSpaceDE w:val="0"/>
        <w:autoSpaceDN w:val="0"/>
        <w:spacing w:line="360" w:lineRule="auto"/>
        <w:rPr>
          <w:sz w:val="24"/>
          <w:szCs w:val="24"/>
        </w:rPr>
      </w:pPr>
    </w:p>
    <w:p w:rsidR="006C16D1" w:rsidRPr="006C16D1" w:rsidRDefault="006C16D1" w:rsidP="00D7588F">
      <w:pPr>
        <w:spacing w:line="360" w:lineRule="auto"/>
        <w:jc w:val="center"/>
        <w:rPr>
          <w:sz w:val="24"/>
          <w:szCs w:val="24"/>
        </w:rPr>
      </w:pPr>
      <w:r w:rsidRPr="006C16D1">
        <w:rPr>
          <w:sz w:val="24"/>
          <w:szCs w:val="24"/>
          <w:u w:val="single"/>
        </w:rPr>
        <w:t>CONCLUSIONS OF LAW</w:t>
      </w:r>
    </w:p>
    <w:p w:rsidR="006C16D1" w:rsidRPr="006C16D1" w:rsidRDefault="00D7588F" w:rsidP="00D7588F">
      <w:pPr>
        <w:tabs>
          <w:tab w:val="left" w:pos="3690"/>
        </w:tabs>
        <w:spacing w:line="360" w:lineRule="auto"/>
        <w:ind w:firstLine="1440"/>
        <w:rPr>
          <w:b/>
          <w:sz w:val="24"/>
          <w:szCs w:val="24"/>
        </w:rPr>
      </w:pPr>
      <w:r>
        <w:rPr>
          <w:b/>
          <w:sz w:val="24"/>
          <w:szCs w:val="24"/>
        </w:rPr>
        <w:tab/>
      </w:r>
    </w:p>
    <w:p w:rsidR="006C16D1" w:rsidRPr="006C16D1" w:rsidRDefault="006C16D1" w:rsidP="00D7588F">
      <w:pPr>
        <w:tabs>
          <w:tab w:val="left" w:pos="-1440"/>
          <w:tab w:val="left" w:pos="-720"/>
        </w:tabs>
        <w:suppressAutoHyphens/>
        <w:spacing w:line="360" w:lineRule="auto"/>
        <w:ind w:firstLine="1440"/>
        <w:rPr>
          <w:spacing w:val="-3"/>
          <w:sz w:val="24"/>
          <w:szCs w:val="24"/>
        </w:rPr>
      </w:pPr>
      <w:r w:rsidRPr="006C16D1">
        <w:rPr>
          <w:spacing w:val="-3"/>
          <w:sz w:val="24"/>
          <w:szCs w:val="24"/>
        </w:rPr>
        <w:t>1.</w:t>
      </w:r>
      <w:r w:rsidRPr="006C16D1">
        <w:rPr>
          <w:spacing w:val="-3"/>
          <w:sz w:val="24"/>
          <w:szCs w:val="24"/>
        </w:rPr>
        <w:tab/>
        <w:t>The Commission has jurisdiction over the parties and the subject matter in this proceeding.</w:t>
      </w:r>
    </w:p>
    <w:p w:rsidR="006C16D1" w:rsidRDefault="006C16D1" w:rsidP="00D7588F">
      <w:pPr>
        <w:tabs>
          <w:tab w:val="left" w:pos="-1440"/>
          <w:tab w:val="left" w:pos="-720"/>
        </w:tabs>
        <w:suppressAutoHyphens/>
        <w:spacing w:line="360" w:lineRule="auto"/>
        <w:ind w:firstLine="1440"/>
        <w:rPr>
          <w:spacing w:val="-3"/>
          <w:sz w:val="24"/>
          <w:szCs w:val="24"/>
        </w:rPr>
      </w:pPr>
    </w:p>
    <w:p w:rsidR="000B070C" w:rsidRDefault="006C16D1" w:rsidP="00D7588F">
      <w:pPr>
        <w:tabs>
          <w:tab w:val="left" w:pos="-1440"/>
          <w:tab w:val="left" w:pos="-720"/>
        </w:tabs>
        <w:suppressAutoHyphens/>
        <w:spacing w:line="360" w:lineRule="auto"/>
        <w:ind w:firstLine="1440"/>
        <w:rPr>
          <w:spacing w:val="-3"/>
          <w:sz w:val="24"/>
          <w:szCs w:val="24"/>
        </w:rPr>
      </w:pPr>
      <w:r w:rsidRPr="006C16D1">
        <w:rPr>
          <w:spacing w:val="-3"/>
          <w:sz w:val="24"/>
          <w:szCs w:val="24"/>
        </w:rPr>
        <w:t>2.</w:t>
      </w:r>
      <w:r w:rsidRPr="006C16D1">
        <w:rPr>
          <w:spacing w:val="-3"/>
          <w:sz w:val="24"/>
          <w:szCs w:val="24"/>
        </w:rPr>
        <w:tab/>
        <w:t>Pursuant to 66 Pa.</w:t>
      </w:r>
      <w:r w:rsidR="00F4370E">
        <w:rPr>
          <w:spacing w:val="-3"/>
          <w:sz w:val="24"/>
          <w:szCs w:val="24"/>
        </w:rPr>
        <w:t xml:space="preserve"> </w:t>
      </w:r>
      <w:r w:rsidRPr="006C16D1">
        <w:rPr>
          <w:spacing w:val="-3"/>
          <w:sz w:val="24"/>
          <w:szCs w:val="24"/>
        </w:rPr>
        <w:t xml:space="preserve">C.S. §332(a), the burden of proof in this proceeding is </w:t>
      </w:r>
    </w:p>
    <w:p w:rsidR="006C16D1" w:rsidRDefault="006C16D1" w:rsidP="00D7588F">
      <w:pPr>
        <w:tabs>
          <w:tab w:val="left" w:pos="-1440"/>
          <w:tab w:val="left" w:pos="-720"/>
        </w:tabs>
        <w:suppressAutoHyphens/>
        <w:spacing w:line="360" w:lineRule="auto"/>
        <w:rPr>
          <w:spacing w:val="-3"/>
          <w:sz w:val="24"/>
          <w:szCs w:val="24"/>
        </w:rPr>
      </w:pPr>
      <w:proofErr w:type="gramStart"/>
      <w:r w:rsidRPr="006C16D1">
        <w:rPr>
          <w:spacing w:val="-3"/>
          <w:sz w:val="24"/>
          <w:szCs w:val="24"/>
        </w:rPr>
        <w:t>upon</w:t>
      </w:r>
      <w:proofErr w:type="gramEnd"/>
      <w:r w:rsidRPr="006C16D1">
        <w:rPr>
          <w:spacing w:val="-3"/>
          <w:sz w:val="24"/>
          <w:szCs w:val="24"/>
        </w:rPr>
        <w:t xml:space="preserve"> </w:t>
      </w:r>
      <w:r w:rsidR="00A87DBE">
        <w:rPr>
          <w:spacing w:val="-3"/>
          <w:sz w:val="24"/>
          <w:szCs w:val="24"/>
        </w:rPr>
        <w:t>C</w:t>
      </w:r>
      <w:r w:rsidRPr="006C16D1">
        <w:rPr>
          <w:spacing w:val="-3"/>
          <w:sz w:val="24"/>
          <w:szCs w:val="24"/>
        </w:rPr>
        <w:t>omplainant.</w:t>
      </w:r>
    </w:p>
    <w:p w:rsidR="00BF1F4C" w:rsidRPr="006C16D1" w:rsidRDefault="00BF1F4C" w:rsidP="00D7588F">
      <w:pPr>
        <w:tabs>
          <w:tab w:val="left" w:pos="-1440"/>
          <w:tab w:val="left" w:pos="-720"/>
        </w:tabs>
        <w:suppressAutoHyphens/>
        <w:spacing w:line="360" w:lineRule="auto"/>
        <w:rPr>
          <w:spacing w:val="-3"/>
          <w:sz w:val="24"/>
          <w:szCs w:val="24"/>
        </w:rPr>
      </w:pPr>
    </w:p>
    <w:p w:rsidR="006C16D1" w:rsidRDefault="000B070C" w:rsidP="00D7588F">
      <w:pPr>
        <w:tabs>
          <w:tab w:val="left" w:pos="-1440"/>
          <w:tab w:val="left" w:pos="-720"/>
        </w:tabs>
        <w:suppressAutoHyphens/>
        <w:spacing w:line="360" w:lineRule="auto"/>
        <w:ind w:firstLine="1440"/>
        <w:rPr>
          <w:spacing w:val="-3"/>
          <w:sz w:val="24"/>
          <w:szCs w:val="24"/>
        </w:rPr>
      </w:pPr>
      <w:r>
        <w:rPr>
          <w:spacing w:val="-3"/>
          <w:sz w:val="24"/>
          <w:szCs w:val="24"/>
        </w:rPr>
        <w:t>3</w:t>
      </w:r>
      <w:r w:rsidR="006C16D1" w:rsidRPr="006C16D1">
        <w:rPr>
          <w:spacing w:val="-3"/>
          <w:sz w:val="24"/>
          <w:szCs w:val="24"/>
        </w:rPr>
        <w:t>.</w:t>
      </w:r>
      <w:r w:rsidR="006C16D1" w:rsidRPr="006C16D1">
        <w:rPr>
          <w:spacing w:val="-3"/>
          <w:sz w:val="24"/>
          <w:szCs w:val="24"/>
        </w:rPr>
        <w:tab/>
        <w:t>A public utility’s</w:t>
      </w:r>
      <w:r>
        <w:rPr>
          <w:spacing w:val="-3"/>
          <w:sz w:val="24"/>
          <w:szCs w:val="24"/>
        </w:rPr>
        <w:t xml:space="preserve"> t</w:t>
      </w:r>
      <w:r w:rsidR="006C16D1" w:rsidRPr="006C16D1">
        <w:rPr>
          <w:spacing w:val="-3"/>
          <w:sz w:val="24"/>
          <w:szCs w:val="24"/>
        </w:rPr>
        <w:t xml:space="preserve">ariff provisions approved by the Commission are </w:t>
      </w:r>
      <w:r w:rsidR="006C16D1" w:rsidRPr="006C16D1">
        <w:rPr>
          <w:i/>
          <w:iCs/>
          <w:spacing w:val="-3"/>
          <w:sz w:val="24"/>
          <w:szCs w:val="24"/>
        </w:rPr>
        <w:t xml:space="preserve">prima facie </w:t>
      </w:r>
      <w:r w:rsidR="006C16D1" w:rsidRPr="006C16D1">
        <w:rPr>
          <w:spacing w:val="-3"/>
          <w:sz w:val="24"/>
          <w:szCs w:val="24"/>
        </w:rPr>
        <w:t>reasonable.</w:t>
      </w:r>
    </w:p>
    <w:p w:rsidR="00F70491" w:rsidRPr="006C16D1" w:rsidRDefault="00F70491" w:rsidP="00D7588F">
      <w:pPr>
        <w:tabs>
          <w:tab w:val="left" w:pos="-1440"/>
          <w:tab w:val="left" w:pos="-720"/>
        </w:tabs>
        <w:suppressAutoHyphens/>
        <w:spacing w:line="360" w:lineRule="auto"/>
        <w:ind w:firstLine="1440"/>
        <w:rPr>
          <w:spacing w:val="-3"/>
          <w:sz w:val="24"/>
          <w:szCs w:val="24"/>
        </w:rPr>
      </w:pPr>
    </w:p>
    <w:p w:rsidR="006C16D1" w:rsidRDefault="00DC62A5" w:rsidP="00D7588F">
      <w:pPr>
        <w:tabs>
          <w:tab w:val="left" w:pos="-1440"/>
          <w:tab w:val="left" w:pos="-720"/>
        </w:tabs>
        <w:suppressAutoHyphens/>
        <w:spacing w:line="360" w:lineRule="auto"/>
        <w:ind w:firstLine="1440"/>
        <w:rPr>
          <w:spacing w:val="-3"/>
          <w:sz w:val="24"/>
          <w:szCs w:val="24"/>
        </w:rPr>
      </w:pPr>
      <w:r>
        <w:rPr>
          <w:spacing w:val="-3"/>
          <w:sz w:val="24"/>
          <w:szCs w:val="24"/>
        </w:rPr>
        <w:t>4</w:t>
      </w:r>
      <w:r w:rsidR="006C16D1" w:rsidRPr="006C16D1">
        <w:rPr>
          <w:spacing w:val="-3"/>
          <w:sz w:val="24"/>
          <w:szCs w:val="24"/>
        </w:rPr>
        <w:t>.</w:t>
      </w:r>
      <w:r w:rsidR="006C16D1" w:rsidRPr="006C16D1">
        <w:rPr>
          <w:spacing w:val="-3"/>
          <w:sz w:val="24"/>
          <w:szCs w:val="24"/>
        </w:rPr>
        <w:tab/>
        <w:t>Complainant presented no evidence that</w:t>
      </w:r>
      <w:r w:rsidR="00A87DBE" w:rsidRPr="00A87DBE">
        <w:rPr>
          <w:sz w:val="24"/>
          <w:szCs w:val="24"/>
        </w:rPr>
        <w:t xml:space="preserve"> </w:t>
      </w:r>
      <w:r w:rsidR="00A87DBE">
        <w:rPr>
          <w:sz w:val="24"/>
          <w:szCs w:val="24"/>
        </w:rPr>
        <w:t xml:space="preserve">Respondent’s </w:t>
      </w:r>
      <w:r w:rsidR="006414F3">
        <w:rPr>
          <w:sz w:val="24"/>
          <w:szCs w:val="24"/>
        </w:rPr>
        <w:t>t</w:t>
      </w:r>
      <w:r w:rsidR="000B070C">
        <w:rPr>
          <w:sz w:val="24"/>
          <w:szCs w:val="24"/>
        </w:rPr>
        <w:t xml:space="preserve">ariff </w:t>
      </w:r>
      <w:r w:rsidR="008F5505">
        <w:rPr>
          <w:sz w:val="24"/>
          <w:szCs w:val="24"/>
        </w:rPr>
        <w:t xml:space="preserve">provision pertaining to wiring approval </w:t>
      </w:r>
      <w:r w:rsidR="000B070C">
        <w:rPr>
          <w:spacing w:val="-3"/>
          <w:sz w:val="24"/>
          <w:szCs w:val="24"/>
        </w:rPr>
        <w:t>i</w:t>
      </w:r>
      <w:r w:rsidR="006C16D1" w:rsidRPr="006C16D1">
        <w:rPr>
          <w:spacing w:val="-3"/>
          <w:sz w:val="24"/>
          <w:szCs w:val="24"/>
        </w:rPr>
        <w:t>s unreasonable.</w:t>
      </w:r>
    </w:p>
    <w:p w:rsidR="000B070C" w:rsidRDefault="000B070C" w:rsidP="00D7588F">
      <w:pPr>
        <w:tabs>
          <w:tab w:val="left" w:pos="-1440"/>
          <w:tab w:val="left" w:pos="-720"/>
        </w:tabs>
        <w:suppressAutoHyphens/>
        <w:spacing w:line="360" w:lineRule="auto"/>
        <w:ind w:firstLine="1440"/>
        <w:rPr>
          <w:spacing w:val="-3"/>
          <w:sz w:val="24"/>
          <w:szCs w:val="24"/>
        </w:rPr>
      </w:pPr>
    </w:p>
    <w:p w:rsidR="006C16D1" w:rsidRPr="006C16D1" w:rsidRDefault="00DC62A5" w:rsidP="00D7588F">
      <w:pPr>
        <w:tabs>
          <w:tab w:val="left" w:pos="-1440"/>
          <w:tab w:val="left" w:pos="-720"/>
        </w:tabs>
        <w:suppressAutoHyphens/>
        <w:spacing w:line="360" w:lineRule="auto"/>
        <w:ind w:firstLine="1440"/>
        <w:rPr>
          <w:spacing w:val="-3"/>
          <w:sz w:val="24"/>
          <w:szCs w:val="24"/>
        </w:rPr>
      </w:pPr>
      <w:r>
        <w:rPr>
          <w:spacing w:val="-3"/>
          <w:sz w:val="24"/>
          <w:szCs w:val="24"/>
        </w:rPr>
        <w:t>5</w:t>
      </w:r>
      <w:r w:rsidR="006C16D1" w:rsidRPr="006C16D1">
        <w:rPr>
          <w:spacing w:val="-3"/>
          <w:sz w:val="24"/>
          <w:szCs w:val="24"/>
        </w:rPr>
        <w:t>.</w:t>
      </w:r>
      <w:r w:rsidR="006C16D1" w:rsidRPr="006C16D1">
        <w:rPr>
          <w:spacing w:val="-3"/>
          <w:sz w:val="24"/>
          <w:szCs w:val="24"/>
        </w:rPr>
        <w:tab/>
        <w:t xml:space="preserve">Complainant failed to bear </w:t>
      </w:r>
      <w:r w:rsidR="000B070C">
        <w:rPr>
          <w:spacing w:val="-3"/>
          <w:sz w:val="24"/>
          <w:szCs w:val="24"/>
        </w:rPr>
        <w:t>h</w:t>
      </w:r>
      <w:r>
        <w:rPr>
          <w:spacing w:val="-3"/>
          <w:sz w:val="24"/>
          <w:szCs w:val="24"/>
        </w:rPr>
        <w:t>is</w:t>
      </w:r>
      <w:r w:rsidR="006C16D1" w:rsidRPr="006C16D1">
        <w:rPr>
          <w:spacing w:val="-3"/>
          <w:sz w:val="24"/>
          <w:szCs w:val="24"/>
        </w:rPr>
        <w:t xml:space="preserve"> burden of proof that </w:t>
      </w:r>
      <w:r w:rsidR="000B070C">
        <w:rPr>
          <w:spacing w:val="-3"/>
          <w:sz w:val="24"/>
          <w:szCs w:val="24"/>
        </w:rPr>
        <w:t>R</w:t>
      </w:r>
      <w:r w:rsidR="006C16D1" w:rsidRPr="006C16D1">
        <w:rPr>
          <w:spacing w:val="-3"/>
          <w:sz w:val="24"/>
          <w:szCs w:val="24"/>
        </w:rPr>
        <w:t xml:space="preserve">espondent </w:t>
      </w:r>
      <w:r w:rsidR="006C16D1" w:rsidRPr="006C16D1">
        <w:rPr>
          <w:sz w:val="24"/>
          <w:szCs w:val="24"/>
        </w:rPr>
        <w:t>violated any applicable law, regulation or</w:t>
      </w:r>
      <w:r w:rsidR="000B070C">
        <w:rPr>
          <w:sz w:val="24"/>
          <w:szCs w:val="24"/>
        </w:rPr>
        <w:t xml:space="preserve"> order of</w:t>
      </w:r>
      <w:r w:rsidR="006C16D1" w:rsidRPr="006C16D1">
        <w:rPr>
          <w:sz w:val="24"/>
          <w:szCs w:val="24"/>
        </w:rPr>
        <w:t xml:space="preserve"> the Commission</w:t>
      </w:r>
      <w:r w:rsidR="006C16D1" w:rsidRPr="006C16D1">
        <w:rPr>
          <w:spacing w:val="-3"/>
          <w:sz w:val="24"/>
          <w:szCs w:val="24"/>
        </w:rPr>
        <w:t>.</w:t>
      </w:r>
    </w:p>
    <w:p w:rsidR="0056758F" w:rsidRDefault="0056758F" w:rsidP="00D7588F">
      <w:pPr>
        <w:tabs>
          <w:tab w:val="left" w:pos="-1440"/>
          <w:tab w:val="left" w:pos="-720"/>
        </w:tabs>
        <w:suppressAutoHyphens/>
        <w:spacing w:line="360" w:lineRule="auto"/>
        <w:jc w:val="center"/>
        <w:rPr>
          <w:spacing w:val="-3"/>
          <w:sz w:val="24"/>
          <w:szCs w:val="24"/>
        </w:rPr>
      </w:pPr>
    </w:p>
    <w:p w:rsidR="006C16D1" w:rsidRPr="006C16D1" w:rsidRDefault="006C16D1" w:rsidP="00D7588F">
      <w:pPr>
        <w:tabs>
          <w:tab w:val="left" w:pos="-1440"/>
          <w:tab w:val="left" w:pos="-720"/>
        </w:tabs>
        <w:suppressAutoHyphens/>
        <w:spacing w:line="360" w:lineRule="auto"/>
        <w:jc w:val="center"/>
        <w:rPr>
          <w:sz w:val="24"/>
          <w:szCs w:val="24"/>
          <w:u w:val="single"/>
        </w:rPr>
      </w:pPr>
      <w:r w:rsidRPr="006C16D1">
        <w:rPr>
          <w:sz w:val="24"/>
          <w:szCs w:val="24"/>
          <w:u w:val="single"/>
        </w:rPr>
        <w:t>ORDER</w:t>
      </w:r>
    </w:p>
    <w:p w:rsidR="006C16D1" w:rsidRPr="006C16D1" w:rsidRDefault="006C16D1" w:rsidP="00D7588F">
      <w:pPr>
        <w:spacing w:line="360" w:lineRule="auto"/>
        <w:jc w:val="center"/>
        <w:rPr>
          <w:sz w:val="24"/>
          <w:szCs w:val="24"/>
          <w:u w:val="single"/>
        </w:rPr>
      </w:pPr>
    </w:p>
    <w:p w:rsidR="006C16D1" w:rsidRPr="006C16D1" w:rsidRDefault="006C16D1" w:rsidP="00D7588F">
      <w:pPr>
        <w:spacing w:line="360" w:lineRule="auto"/>
        <w:ind w:firstLine="1440"/>
        <w:rPr>
          <w:sz w:val="24"/>
          <w:szCs w:val="24"/>
        </w:rPr>
      </w:pPr>
      <w:r w:rsidRPr="006C16D1">
        <w:rPr>
          <w:sz w:val="24"/>
          <w:szCs w:val="24"/>
        </w:rPr>
        <w:t>THEREFORE,</w:t>
      </w:r>
    </w:p>
    <w:p w:rsidR="006C16D1" w:rsidRPr="006C16D1" w:rsidRDefault="006C16D1" w:rsidP="00D7588F">
      <w:pPr>
        <w:spacing w:line="360" w:lineRule="auto"/>
        <w:ind w:firstLine="1440"/>
        <w:rPr>
          <w:sz w:val="24"/>
          <w:szCs w:val="24"/>
        </w:rPr>
      </w:pPr>
    </w:p>
    <w:p w:rsidR="006C16D1" w:rsidRPr="006C16D1" w:rsidRDefault="006C16D1" w:rsidP="00D7588F">
      <w:pPr>
        <w:spacing w:line="360" w:lineRule="auto"/>
        <w:ind w:firstLine="1440"/>
        <w:rPr>
          <w:sz w:val="24"/>
          <w:szCs w:val="24"/>
        </w:rPr>
      </w:pPr>
      <w:r w:rsidRPr="006C16D1">
        <w:rPr>
          <w:sz w:val="24"/>
          <w:szCs w:val="24"/>
        </w:rPr>
        <w:t>IT IS ORDERED:</w:t>
      </w:r>
    </w:p>
    <w:p w:rsidR="006C16D1" w:rsidRPr="006C16D1" w:rsidRDefault="006C16D1" w:rsidP="00D7588F">
      <w:pPr>
        <w:spacing w:line="360" w:lineRule="auto"/>
        <w:ind w:firstLine="1440"/>
        <w:rPr>
          <w:sz w:val="24"/>
          <w:szCs w:val="24"/>
        </w:rPr>
      </w:pPr>
    </w:p>
    <w:p w:rsidR="006C16D1" w:rsidRPr="006C16D1" w:rsidRDefault="006C16D1" w:rsidP="00D7588F">
      <w:pPr>
        <w:tabs>
          <w:tab w:val="left" w:pos="-1440"/>
          <w:tab w:val="left" w:pos="-720"/>
        </w:tabs>
        <w:suppressAutoHyphens/>
        <w:spacing w:line="360" w:lineRule="auto"/>
        <w:ind w:firstLine="1440"/>
        <w:rPr>
          <w:spacing w:val="-3"/>
          <w:sz w:val="24"/>
          <w:szCs w:val="24"/>
        </w:rPr>
      </w:pPr>
      <w:r w:rsidRPr="006C16D1">
        <w:rPr>
          <w:spacing w:val="-3"/>
          <w:sz w:val="24"/>
          <w:szCs w:val="24"/>
        </w:rPr>
        <w:t>1.</w:t>
      </w:r>
      <w:r w:rsidRPr="006C16D1">
        <w:rPr>
          <w:spacing w:val="-3"/>
          <w:sz w:val="24"/>
          <w:szCs w:val="24"/>
        </w:rPr>
        <w:tab/>
        <w:t xml:space="preserve">That the Complaint of </w:t>
      </w:r>
      <w:r w:rsidR="008F5505">
        <w:rPr>
          <w:spacing w:val="-3"/>
          <w:sz w:val="24"/>
          <w:szCs w:val="24"/>
        </w:rPr>
        <w:t xml:space="preserve">Earl Irons </w:t>
      </w:r>
      <w:r w:rsidR="00DC62A5">
        <w:rPr>
          <w:spacing w:val="-3"/>
          <w:sz w:val="24"/>
          <w:szCs w:val="24"/>
        </w:rPr>
        <w:t xml:space="preserve">v. </w:t>
      </w:r>
      <w:r w:rsidR="008F5505">
        <w:rPr>
          <w:spacing w:val="-3"/>
          <w:sz w:val="24"/>
          <w:szCs w:val="24"/>
        </w:rPr>
        <w:t xml:space="preserve">Duquesne Light Company </w:t>
      </w:r>
      <w:r w:rsidR="00470A6C">
        <w:rPr>
          <w:spacing w:val="-3"/>
          <w:sz w:val="24"/>
          <w:szCs w:val="24"/>
        </w:rPr>
        <w:t xml:space="preserve">at </w:t>
      </w:r>
      <w:r w:rsidRPr="006C16D1">
        <w:rPr>
          <w:spacing w:val="-3"/>
          <w:sz w:val="24"/>
          <w:szCs w:val="24"/>
        </w:rPr>
        <w:t xml:space="preserve">Docket Number </w:t>
      </w:r>
      <w:r w:rsidR="008F5505">
        <w:rPr>
          <w:spacing w:val="-3"/>
          <w:sz w:val="24"/>
          <w:szCs w:val="24"/>
        </w:rPr>
        <w:t>F</w:t>
      </w:r>
      <w:r w:rsidRPr="006C16D1">
        <w:rPr>
          <w:spacing w:val="-3"/>
          <w:sz w:val="24"/>
          <w:szCs w:val="24"/>
        </w:rPr>
        <w:t>-</w:t>
      </w:r>
      <w:r w:rsidR="00DD5B52">
        <w:rPr>
          <w:spacing w:val="-3"/>
          <w:sz w:val="24"/>
          <w:szCs w:val="24"/>
        </w:rPr>
        <w:t>2</w:t>
      </w:r>
      <w:r w:rsidR="00470A6C">
        <w:rPr>
          <w:spacing w:val="-3"/>
          <w:sz w:val="24"/>
          <w:szCs w:val="24"/>
        </w:rPr>
        <w:t>01</w:t>
      </w:r>
      <w:r w:rsidR="008F5505">
        <w:rPr>
          <w:spacing w:val="-3"/>
          <w:sz w:val="24"/>
          <w:szCs w:val="24"/>
        </w:rPr>
        <w:t>1</w:t>
      </w:r>
      <w:r w:rsidR="00470A6C">
        <w:rPr>
          <w:spacing w:val="-3"/>
          <w:sz w:val="24"/>
          <w:szCs w:val="24"/>
        </w:rPr>
        <w:t>-22</w:t>
      </w:r>
      <w:r w:rsidR="008F5505">
        <w:rPr>
          <w:spacing w:val="-3"/>
          <w:sz w:val="24"/>
          <w:szCs w:val="24"/>
        </w:rPr>
        <w:t>58638</w:t>
      </w:r>
      <w:r w:rsidRPr="006C16D1">
        <w:rPr>
          <w:spacing w:val="-3"/>
          <w:sz w:val="24"/>
          <w:szCs w:val="24"/>
        </w:rPr>
        <w:t xml:space="preserve"> is dismissed</w:t>
      </w:r>
      <w:r w:rsidR="00DD5B52">
        <w:rPr>
          <w:spacing w:val="-3"/>
          <w:sz w:val="24"/>
          <w:szCs w:val="24"/>
        </w:rPr>
        <w:t xml:space="preserve"> for Complainant’s failure to carry h</w:t>
      </w:r>
      <w:r w:rsidR="00DC62A5">
        <w:rPr>
          <w:spacing w:val="-3"/>
          <w:sz w:val="24"/>
          <w:szCs w:val="24"/>
        </w:rPr>
        <w:t>is</w:t>
      </w:r>
      <w:r w:rsidR="00DD5B52">
        <w:rPr>
          <w:spacing w:val="-3"/>
          <w:sz w:val="24"/>
          <w:szCs w:val="24"/>
        </w:rPr>
        <w:t xml:space="preserve"> burden of proof.</w:t>
      </w:r>
    </w:p>
    <w:p w:rsidR="006C16D1" w:rsidRDefault="006C16D1" w:rsidP="00D7588F">
      <w:pPr>
        <w:tabs>
          <w:tab w:val="left" w:pos="-1440"/>
          <w:tab w:val="left" w:pos="-720"/>
        </w:tabs>
        <w:suppressAutoHyphens/>
        <w:spacing w:line="360" w:lineRule="auto"/>
        <w:ind w:firstLine="1440"/>
        <w:rPr>
          <w:spacing w:val="-3"/>
          <w:sz w:val="24"/>
          <w:szCs w:val="24"/>
        </w:rPr>
      </w:pPr>
    </w:p>
    <w:p w:rsidR="00DD5B52" w:rsidRDefault="00DD5B52" w:rsidP="00D7588F">
      <w:pPr>
        <w:spacing w:line="360" w:lineRule="auto"/>
        <w:ind w:firstLine="1440"/>
        <w:rPr>
          <w:sz w:val="24"/>
          <w:szCs w:val="24"/>
        </w:rPr>
      </w:pPr>
      <w:r>
        <w:rPr>
          <w:sz w:val="24"/>
          <w:szCs w:val="24"/>
        </w:rPr>
        <w:t>2.</w:t>
      </w:r>
      <w:r>
        <w:rPr>
          <w:sz w:val="24"/>
          <w:szCs w:val="24"/>
        </w:rPr>
        <w:tab/>
      </w:r>
      <w:r w:rsidR="0056758F" w:rsidRPr="00DD5B52">
        <w:rPr>
          <w:sz w:val="24"/>
          <w:szCs w:val="24"/>
        </w:rPr>
        <w:t>That the Secretary’s Burea</w:t>
      </w:r>
      <w:r>
        <w:rPr>
          <w:sz w:val="24"/>
          <w:szCs w:val="24"/>
        </w:rPr>
        <w:t>u shall</w:t>
      </w:r>
      <w:r w:rsidR="0056758F" w:rsidRPr="00DD5B52">
        <w:rPr>
          <w:sz w:val="24"/>
          <w:szCs w:val="24"/>
        </w:rPr>
        <w:t xml:space="preserve"> mark Docket No. </w:t>
      </w:r>
      <w:r w:rsidR="008F5505">
        <w:rPr>
          <w:spacing w:val="-3"/>
          <w:sz w:val="24"/>
          <w:szCs w:val="24"/>
        </w:rPr>
        <w:t>F</w:t>
      </w:r>
      <w:r w:rsidR="008F5505" w:rsidRPr="006C16D1">
        <w:rPr>
          <w:spacing w:val="-3"/>
          <w:sz w:val="24"/>
          <w:szCs w:val="24"/>
        </w:rPr>
        <w:t>-</w:t>
      </w:r>
      <w:r w:rsidR="008F5505">
        <w:rPr>
          <w:spacing w:val="-3"/>
          <w:sz w:val="24"/>
          <w:szCs w:val="24"/>
        </w:rPr>
        <w:t>2011-2258638</w:t>
      </w:r>
      <w:r w:rsidR="008F5505" w:rsidRPr="006C16D1">
        <w:rPr>
          <w:spacing w:val="-3"/>
          <w:sz w:val="24"/>
          <w:szCs w:val="24"/>
        </w:rPr>
        <w:t xml:space="preserve"> </w:t>
      </w:r>
      <w:r w:rsidR="0056758F" w:rsidRPr="00DD5B52">
        <w:rPr>
          <w:sz w:val="24"/>
          <w:szCs w:val="24"/>
        </w:rPr>
        <w:t>closed.</w:t>
      </w:r>
    </w:p>
    <w:p w:rsidR="00F70491" w:rsidRDefault="00F70491" w:rsidP="00D7588F">
      <w:pPr>
        <w:spacing w:line="360" w:lineRule="auto"/>
        <w:ind w:firstLine="1440"/>
        <w:rPr>
          <w:sz w:val="24"/>
          <w:szCs w:val="24"/>
        </w:rPr>
      </w:pPr>
    </w:p>
    <w:p w:rsidR="00DD5B52" w:rsidRDefault="00DC62A5" w:rsidP="0056758F">
      <w:pPr>
        <w:spacing w:line="360" w:lineRule="auto"/>
        <w:rPr>
          <w:sz w:val="24"/>
          <w:szCs w:val="24"/>
        </w:rPr>
      </w:pPr>
      <w:r>
        <w:rPr>
          <w:noProof/>
        </w:rPr>
        <w:drawing>
          <wp:anchor distT="0" distB="0" distL="114300" distR="114300" simplePos="0" relativeHeight="251658240" behindDoc="1" locked="0" layoutInCell="1" allowOverlap="1" wp14:anchorId="41A0E8A9" wp14:editId="550A6E1D">
            <wp:simplePos x="0" y="0"/>
            <wp:positionH relativeFrom="column">
              <wp:posOffset>2752725</wp:posOffset>
            </wp:positionH>
            <wp:positionV relativeFrom="paragraph">
              <wp:posOffset>211455</wp:posOffset>
            </wp:positionV>
            <wp:extent cx="2533650" cy="1047750"/>
            <wp:effectExtent l="0" t="0" r="0" b="0"/>
            <wp:wrapNone/>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5B52" w:rsidRDefault="00DD5B52" w:rsidP="0056758F">
      <w:pPr>
        <w:spacing w:line="360" w:lineRule="auto"/>
        <w:rPr>
          <w:sz w:val="24"/>
          <w:szCs w:val="24"/>
        </w:rPr>
      </w:pPr>
    </w:p>
    <w:p w:rsidR="0056758F" w:rsidRPr="00DD5B52" w:rsidRDefault="0056758F" w:rsidP="0056758F">
      <w:pPr>
        <w:spacing w:line="360" w:lineRule="auto"/>
        <w:rPr>
          <w:sz w:val="24"/>
          <w:szCs w:val="24"/>
        </w:rPr>
      </w:pPr>
      <w:r>
        <w:rPr>
          <w:sz w:val="24"/>
          <w:szCs w:val="24"/>
        </w:rPr>
        <w:t xml:space="preserve">Dated:  </w:t>
      </w:r>
      <w:r w:rsidR="00DC62A5" w:rsidRPr="00DC62A5">
        <w:rPr>
          <w:sz w:val="24"/>
          <w:szCs w:val="24"/>
          <w:u w:val="single"/>
        </w:rPr>
        <w:t>Ju</w:t>
      </w:r>
      <w:r w:rsidR="008F5505">
        <w:rPr>
          <w:sz w:val="24"/>
          <w:szCs w:val="24"/>
          <w:u w:val="single"/>
        </w:rPr>
        <w:t xml:space="preserve">ly </w:t>
      </w:r>
      <w:r w:rsidR="00F568C3">
        <w:rPr>
          <w:sz w:val="24"/>
          <w:szCs w:val="24"/>
          <w:u w:val="single"/>
        </w:rPr>
        <w:t>10</w:t>
      </w:r>
      <w:r w:rsidRPr="004D522D">
        <w:rPr>
          <w:sz w:val="24"/>
          <w:szCs w:val="24"/>
          <w:u w:val="single"/>
        </w:rPr>
        <w:t>,</w:t>
      </w:r>
      <w:r w:rsidRPr="00F437D8">
        <w:rPr>
          <w:sz w:val="24"/>
          <w:szCs w:val="24"/>
          <w:u w:val="single"/>
        </w:rPr>
        <w:t xml:space="preserve"> 201</w:t>
      </w:r>
      <w:r>
        <w:rPr>
          <w:sz w:val="24"/>
          <w:szCs w:val="24"/>
          <w:u w:val="single"/>
        </w:rPr>
        <w:t>2</w:t>
      </w:r>
      <w:r w:rsidR="00DD5B52">
        <w:rPr>
          <w:sz w:val="24"/>
          <w:szCs w:val="24"/>
        </w:rPr>
        <w:tab/>
      </w:r>
      <w:r w:rsidR="00DD5B52">
        <w:rPr>
          <w:sz w:val="24"/>
          <w:szCs w:val="24"/>
        </w:rPr>
        <w:tab/>
      </w:r>
      <w:r w:rsidR="00DD5B52">
        <w:rPr>
          <w:sz w:val="24"/>
          <w:szCs w:val="24"/>
        </w:rPr>
        <w:tab/>
      </w:r>
      <w:r w:rsidR="00DD5B52">
        <w:rPr>
          <w:sz w:val="24"/>
          <w:szCs w:val="24"/>
        </w:rPr>
        <w:tab/>
      </w:r>
    </w:p>
    <w:p w:rsidR="00DD5B52" w:rsidRDefault="00DD5B52" w:rsidP="0056758F">
      <w:pPr>
        <w:spacing w:line="360" w:lineRule="auto"/>
        <w:rPr>
          <w:sz w:val="24"/>
          <w:szCs w:val="24"/>
          <w:u w:val="single"/>
        </w:rPr>
      </w:pPr>
    </w:p>
    <w:sectPr w:rsidR="00DD5B52" w:rsidSect="00F70491">
      <w:footerReference w:type="even" r:id="rId10"/>
      <w:footerReference w:type="default" r:id="rId11"/>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66" w:rsidRDefault="00565D66" w:rsidP="00192971">
      <w:r>
        <w:separator/>
      </w:r>
    </w:p>
  </w:endnote>
  <w:endnote w:type="continuationSeparator" w:id="0">
    <w:p w:rsidR="00565D66" w:rsidRDefault="00565D66" w:rsidP="001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43" w:rsidRDefault="00D93343" w:rsidP="00192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3343" w:rsidRDefault="00D93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102973"/>
      <w:docPartObj>
        <w:docPartGallery w:val="Page Numbers (Bottom of Page)"/>
        <w:docPartUnique/>
      </w:docPartObj>
    </w:sdtPr>
    <w:sdtEndPr>
      <w:rPr>
        <w:noProof/>
      </w:rPr>
    </w:sdtEndPr>
    <w:sdtContent>
      <w:p w:rsidR="00001323" w:rsidRDefault="00001323">
        <w:pPr>
          <w:pStyle w:val="Footer"/>
          <w:jc w:val="center"/>
        </w:pPr>
        <w:r>
          <w:fldChar w:fldCharType="begin"/>
        </w:r>
        <w:r>
          <w:instrText xml:space="preserve"> PAGE   \* MERGEFORMAT </w:instrText>
        </w:r>
        <w:r>
          <w:fldChar w:fldCharType="separate"/>
        </w:r>
        <w:r w:rsidR="00BF1F4C">
          <w:rPr>
            <w:noProof/>
          </w:rPr>
          <w:t>8</w:t>
        </w:r>
        <w:r>
          <w:rPr>
            <w:noProof/>
          </w:rPr>
          <w:fldChar w:fldCharType="end"/>
        </w:r>
      </w:p>
    </w:sdtContent>
  </w:sdt>
  <w:p w:rsidR="00D93343" w:rsidRDefault="00D93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66" w:rsidRDefault="00565D66" w:rsidP="00192971">
      <w:r>
        <w:separator/>
      </w:r>
    </w:p>
  </w:footnote>
  <w:footnote w:type="continuationSeparator" w:id="0">
    <w:p w:rsidR="00565D66" w:rsidRDefault="00565D66" w:rsidP="00192971">
      <w:r>
        <w:continuationSeparator/>
      </w:r>
    </w:p>
  </w:footnote>
  <w:footnote w:id="1">
    <w:p w:rsidR="00BF1F4C" w:rsidRDefault="00BF1F4C" w:rsidP="00BF1F4C">
      <w:pPr>
        <w:pStyle w:val="FootnoteText"/>
        <w:ind w:firstLine="720"/>
      </w:pPr>
      <w:r>
        <w:rPr>
          <w:rStyle w:val="FootnoteReference"/>
        </w:rPr>
        <w:footnoteRef/>
      </w:r>
      <w:r>
        <w:t xml:space="preserve"> </w:t>
      </w:r>
      <w:r>
        <w:tab/>
        <w:t xml:space="preserve">Mr. Irons’ complaint is an appeal from the July 12, 2011 decision entered by the Commission’s Bureau of Consumer Services (BCS) at BCS No. 2852268.  </w:t>
      </w:r>
    </w:p>
  </w:footnote>
  <w:footnote w:id="2">
    <w:p w:rsidR="00B07410" w:rsidRPr="006414F3" w:rsidRDefault="00B07410" w:rsidP="00D7588F">
      <w:pPr>
        <w:pStyle w:val="FootnoteText"/>
        <w:ind w:right="1170" w:firstLine="720"/>
      </w:pPr>
      <w:r>
        <w:rPr>
          <w:rStyle w:val="FootnoteReference"/>
        </w:rPr>
        <w:footnoteRef/>
      </w:r>
      <w:r>
        <w:tab/>
      </w:r>
      <w:r w:rsidRPr="006414F3">
        <w:t>Duquesne Light’s tariff further provides that,</w:t>
      </w:r>
    </w:p>
    <w:p w:rsidR="00B07410" w:rsidRPr="006414F3" w:rsidRDefault="00B07410" w:rsidP="00D7588F">
      <w:pPr>
        <w:pStyle w:val="FootnoteText"/>
        <w:ind w:right="1170" w:firstLine="720"/>
      </w:pPr>
    </w:p>
    <w:p w:rsidR="00B07410" w:rsidRPr="006414F3" w:rsidRDefault="00B07410" w:rsidP="00D7588F">
      <w:pPr>
        <w:pStyle w:val="FootnoteText"/>
        <w:ind w:left="1440" w:right="1440" w:firstLine="720"/>
      </w:pPr>
      <w:r w:rsidRPr="006414F3">
        <w:t>[T]he installation and maintenance of the customer’s wiring and equipment shall be in accordance with the Company’s ‘Electric Service Installation Rules’ and shall be subject to the approval of the proper authorities.  The Company is not required to provide electric service thereto unless so approved, but does not assume any responsibility for securing such approval. . .</w:t>
      </w:r>
    </w:p>
    <w:p w:rsidR="00B07410" w:rsidRDefault="00B07410" w:rsidP="00B07410">
      <w:pPr>
        <w:pStyle w:val="FootnoteText"/>
        <w:ind w:right="1170" w:firstLine="1440"/>
      </w:pPr>
    </w:p>
    <w:p w:rsidR="00B07410" w:rsidRPr="006414F3" w:rsidRDefault="00B07410" w:rsidP="00B07410">
      <w:r>
        <w:t xml:space="preserve">See, </w:t>
      </w:r>
      <w:r w:rsidRPr="00B07410">
        <w:rPr>
          <w:i/>
        </w:rPr>
        <w:t>Loretta Warren v. Duquesne Light Company</w:t>
      </w:r>
      <w:r w:rsidRPr="00B07410">
        <w:t xml:space="preserve">, C-20054994, Initial Decision of ALJ Mark A. Hoyer, entered February 6, 2006. </w:t>
      </w:r>
    </w:p>
    <w:p w:rsidR="00B07410" w:rsidRPr="006414F3" w:rsidRDefault="00B07410" w:rsidP="00B07410">
      <w:pPr>
        <w:pStyle w:val="FootnoteText"/>
        <w:ind w:right="117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356196"/>
    <w:multiLevelType w:val="hybridMultilevel"/>
    <w:tmpl w:val="50F2E2F4"/>
    <w:lvl w:ilvl="0" w:tplc="7D582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1D02457"/>
    <w:multiLevelType w:val="hybridMultilevel"/>
    <w:tmpl w:val="D1D8D418"/>
    <w:lvl w:ilvl="0" w:tplc="F510FF38">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7D472CC"/>
    <w:multiLevelType w:val="hybridMultilevel"/>
    <w:tmpl w:val="43265F36"/>
    <w:lvl w:ilvl="0" w:tplc="0409000F">
      <w:start w:val="1"/>
      <w:numFmt w:val="decimal"/>
      <w:lvlText w:val="%1."/>
      <w:lvlJc w:val="left"/>
      <w:pPr>
        <w:ind w:left="18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819E0"/>
    <w:multiLevelType w:val="hybridMultilevel"/>
    <w:tmpl w:val="DECE2262"/>
    <w:lvl w:ilvl="0" w:tplc="CC86BD2C">
      <w:start w:val="2"/>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59803BB5"/>
    <w:multiLevelType w:val="hybridMultilevel"/>
    <w:tmpl w:val="557CD59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E3"/>
    <w:rsid w:val="00001323"/>
    <w:rsid w:val="00006B96"/>
    <w:rsid w:val="00011469"/>
    <w:rsid w:val="00022F61"/>
    <w:rsid w:val="000405A3"/>
    <w:rsid w:val="00063D0F"/>
    <w:rsid w:val="00085340"/>
    <w:rsid w:val="00087429"/>
    <w:rsid w:val="000A08A1"/>
    <w:rsid w:val="000A2316"/>
    <w:rsid w:val="000A2BA4"/>
    <w:rsid w:val="000B070C"/>
    <w:rsid w:val="000C3D4A"/>
    <w:rsid w:val="000C4F4D"/>
    <w:rsid w:val="000F1516"/>
    <w:rsid w:val="000F1888"/>
    <w:rsid w:val="00122A62"/>
    <w:rsid w:val="001326BE"/>
    <w:rsid w:val="001335CD"/>
    <w:rsid w:val="00141D6F"/>
    <w:rsid w:val="001452F0"/>
    <w:rsid w:val="00151145"/>
    <w:rsid w:val="00173850"/>
    <w:rsid w:val="001759FE"/>
    <w:rsid w:val="001847A0"/>
    <w:rsid w:val="001875A8"/>
    <w:rsid w:val="00187990"/>
    <w:rsid w:val="0019103E"/>
    <w:rsid w:val="00192971"/>
    <w:rsid w:val="001A576F"/>
    <w:rsid w:val="001B30D4"/>
    <w:rsid w:val="001B3485"/>
    <w:rsid w:val="001C1EEF"/>
    <w:rsid w:val="001D5F2E"/>
    <w:rsid w:val="001D6690"/>
    <w:rsid w:val="001E353E"/>
    <w:rsid w:val="001F1C55"/>
    <w:rsid w:val="00202C3D"/>
    <w:rsid w:val="0020572E"/>
    <w:rsid w:val="00210EA4"/>
    <w:rsid w:val="002134F1"/>
    <w:rsid w:val="00217012"/>
    <w:rsid w:val="0022130A"/>
    <w:rsid w:val="002215FC"/>
    <w:rsid w:val="00234451"/>
    <w:rsid w:val="00242B84"/>
    <w:rsid w:val="00251A6F"/>
    <w:rsid w:val="00263E00"/>
    <w:rsid w:val="002849DA"/>
    <w:rsid w:val="00290F1E"/>
    <w:rsid w:val="002A03FF"/>
    <w:rsid w:val="002A1E77"/>
    <w:rsid w:val="002A728B"/>
    <w:rsid w:val="002B3A2F"/>
    <w:rsid w:val="002B76AA"/>
    <w:rsid w:val="002C0109"/>
    <w:rsid w:val="002C0D2B"/>
    <w:rsid w:val="002C1FA2"/>
    <w:rsid w:val="002C3ACA"/>
    <w:rsid w:val="002D0CB9"/>
    <w:rsid w:val="002D15FD"/>
    <w:rsid w:val="002D36A0"/>
    <w:rsid w:val="002E0F62"/>
    <w:rsid w:val="002E4A8C"/>
    <w:rsid w:val="002F3D9D"/>
    <w:rsid w:val="00311047"/>
    <w:rsid w:val="00313B05"/>
    <w:rsid w:val="00320183"/>
    <w:rsid w:val="003265C3"/>
    <w:rsid w:val="0033393E"/>
    <w:rsid w:val="003476FF"/>
    <w:rsid w:val="00347F37"/>
    <w:rsid w:val="00347F3D"/>
    <w:rsid w:val="003633BC"/>
    <w:rsid w:val="00376610"/>
    <w:rsid w:val="00390FC2"/>
    <w:rsid w:val="003B2C49"/>
    <w:rsid w:val="003B50AA"/>
    <w:rsid w:val="003C3D45"/>
    <w:rsid w:val="003D53AE"/>
    <w:rsid w:val="003E1E9C"/>
    <w:rsid w:val="003F52B2"/>
    <w:rsid w:val="004024D8"/>
    <w:rsid w:val="00416A75"/>
    <w:rsid w:val="00420ED2"/>
    <w:rsid w:val="00425663"/>
    <w:rsid w:val="00426AA9"/>
    <w:rsid w:val="00434E4A"/>
    <w:rsid w:val="00442C2D"/>
    <w:rsid w:val="00445BBF"/>
    <w:rsid w:val="0045783B"/>
    <w:rsid w:val="00462D5D"/>
    <w:rsid w:val="00470A6C"/>
    <w:rsid w:val="00470B6E"/>
    <w:rsid w:val="0047533B"/>
    <w:rsid w:val="004805F4"/>
    <w:rsid w:val="0048599E"/>
    <w:rsid w:val="004B0935"/>
    <w:rsid w:val="004B7D4B"/>
    <w:rsid w:val="004C5AB0"/>
    <w:rsid w:val="004C66B3"/>
    <w:rsid w:val="004D522D"/>
    <w:rsid w:val="004E51EA"/>
    <w:rsid w:val="004F24CA"/>
    <w:rsid w:val="00505387"/>
    <w:rsid w:val="00521B7D"/>
    <w:rsid w:val="00523533"/>
    <w:rsid w:val="0053358D"/>
    <w:rsid w:val="00536423"/>
    <w:rsid w:val="00543565"/>
    <w:rsid w:val="00565D02"/>
    <w:rsid w:val="00565D66"/>
    <w:rsid w:val="0056758F"/>
    <w:rsid w:val="00570469"/>
    <w:rsid w:val="00583917"/>
    <w:rsid w:val="005871EA"/>
    <w:rsid w:val="005973DB"/>
    <w:rsid w:val="005A6DB4"/>
    <w:rsid w:val="005B2610"/>
    <w:rsid w:val="005B5C6C"/>
    <w:rsid w:val="005B60E8"/>
    <w:rsid w:val="005E3EA6"/>
    <w:rsid w:val="005E4BA5"/>
    <w:rsid w:val="005E57FE"/>
    <w:rsid w:val="005F568B"/>
    <w:rsid w:val="006130EA"/>
    <w:rsid w:val="006227B7"/>
    <w:rsid w:val="006264B8"/>
    <w:rsid w:val="00627F91"/>
    <w:rsid w:val="00633A4D"/>
    <w:rsid w:val="00635CFC"/>
    <w:rsid w:val="006411B2"/>
    <w:rsid w:val="006414F3"/>
    <w:rsid w:val="00644566"/>
    <w:rsid w:val="006630EB"/>
    <w:rsid w:val="006669F3"/>
    <w:rsid w:val="006750B7"/>
    <w:rsid w:val="0069117E"/>
    <w:rsid w:val="00692541"/>
    <w:rsid w:val="00695352"/>
    <w:rsid w:val="00696390"/>
    <w:rsid w:val="006972E3"/>
    <w:rsid w:val="006A437F"/>
    <w:rsid w:val="006B7EDF"/>
    <w:rsid w:val="006C16D1"/>
    <w:rsid w:val="006C2036"/>
    <w:rsid w:val="006D53E6"/>
    <w:rsid w:val="006E4830"/>
    <w:rsid w:val="006F331F"/>
    <w:rsid w:val="00710A71"/>
    <w:rsid w:val="00727B56"/>
    <w:rsid w:val="0073360D"/>
    <w:rsid w:val="00733B0F"/>
    <w:rsid w:val="00737014"/>
    <w:rsid w:val="007449BB"/>
    <w:rsid w:val="007464FE"/>
    <w:rsid w:val="007604FB"/>
    <w:rsid w:val="00762F52"/>
    <w:rsid w:val="00774502"/>
    <w:rsid w:val="00780308"/>
    <w:rsid w:val="007805B4"/>
    <w:rsid w:val="007A7019"/>
    <w:rsid w:val="007B4D65"/>
    <w:rsid w:val="007B6F4F"/>
    <w:rsid w:val="007C072C"/>
    <w:rsid w:val="007C0B0D"/>
    <w:rsid w:val="007C267D"/>
    <w:rsid w:val="007C668D"/>
    <w:rsid w:val="007C679A"/>
    <w:rsid w:val="007D43C7"/>
    <w:rsid w:val="007D6B71"/>
    <w:rsid w:val="007E58EE"/>
    <w:rsid w:val="00821A08"/>
    <w:rsid w:val="00837B4B"/>
    <w:rsid w:val="00847EB9"/>
    <w:rsid w:val="00851135"/>
    <w:rsid w:val="00883537"/>
    <w:rsid w:val="00885B20"/>
    <w:rsid w:val="0089595E"/>
    <w:rsid w:val="008B186B"/>
    <w:rsid w:val="008C6228"/>
    <w:rsid w:val="008F0FBE"/>
    <w:rsid w:val="008F5505"/>
    <w:rsid w:val="009059EF"/>
    <w:rsid w:val="00910BC0"/>
    <w:rsid w:val="009145CF"/>
    <w:rsid w:val="00921152"/>
    <w:rsid w:val="0093007D"/>
    <w:rsid w:val="00932324"/>
    <w:rsid w:val="00933D51"/>
    <w:rsid w:val="00933E34"/>
    <w:rsid w:val="00936DC2"/>
    <w:rsid w:val="0096068A"/>
    <w:rsid w:val="00971017"/>
    <w:rsid w:val="00976DBA"/>
    <w:rsid w:val="009A4159"/>
    <w:rsid w:val="009A6084"/>
    <w:rsid w:val="009B7783"/>
    <w:rsid w:val="009D4C48"/>
    <w:rsid w:val="009E43FB"/>
    <w:rsid w:val="009F251C"/>
    <w:rsid w:val="009F5BEC"/>
    <w:rsid w:val="009F5C8E"/>
    <w:rsid w:val="009F6729"/>
    <w:rsid w:val="00A07A90"/>
    <w:rsid w:val="00A13A79"/>
    <w:rsid w:val="00A344CD"/>
    <w:rsid w:val="00A34C43"/>
    <w:rsid w:val="00A3657F"/>
    <w:rsid w:val="00A55988"/>
    <w:rsid w:val="00A7401F"/>
    <w:rsid w:val="00A80E7A"/>
    <w:rsid w:val="00A83E82"/>
    <w:rsid w:val="00A87DBE"/>
    <w:rsid w:val="00A96B22"/>
    <w:rsid w:val="00AA76DA"/>
    <w:rsid w:val="00AB3AF6"/>
    <w:rsid w:val="00AB5F38"/>
    <w:rsid w:val="00AB61E6"/>
    <w:rsid w:val="00AD18F3"/>
    <w:rsid w:val="00AD22F4"/>
    <w:rsid w:val="00AD6141"/>
    <w:rsid w:val="00AD6B5E"/>
    <w:rsid w:val="00AD7AB7"/>
    <w:rsid w:val="00AE3EBA"/>
    <w:rsid w:val="00AE4295"/>
    <w:rsid w:val="00AE54FE"/>
    <w:rsid w:val="00B07410"/>
    <w:rsid w:val="00B3557D"/>
    <w:rsid w:val="00B452B9"/>
    <w:rsid w:val="00B66DC6"/>
    <w:rsid w:val="00B83229"/>
    <w:rsid w:val="00B931AE"/>
    <w:rsid w:val="00B93CB2"/>
    <w:rsid w:val="00B97401"/>
    <w:rsid w:val="00BA0993"/>
    <w:rsid w:val="00BD1247"/>
    <w:rsid w:val="00BE3BEF"/>
    <w:rsid w:val="00BE7C79"/>
    <w:rsid w:val="00BF1F4C"/>
    <w:rsid w:val="00BF7353"/>
    <w:rsid w:val="00C015DC"/>
    <w:rsid w:val="00C219AC"/>
    <w:rsid w:val="00C3289A"/>
    <w:rsid w:val="00C33654"/>
    <w:rsid w:val="00C3732D"/>
    <w:rsid w:val="00C512B4"/>
    <w:rsid w:val="00C61955"/>
    <w:rsid w:val="00C619EF"/>
    <w:rsid w:val="00C62AA2"/>
    <w:rsid w:val="00C6599D"/>
    <w:rsid w:val="00C674A9"/>
    <w:rsid w:val="00C77914"/>
    <w:rsid w:val="00C8046B"/>
    <w:rsid w:val="00C84FEF"/>
    <w:rsid w:val="00C875BF"/>
    <w:rsid w:val="00C92252"/>
    <w:rsid w:val="00C94645"/>
    <w:rsid w:val="00CA58AE"/>
    <w:rsid w:val="00CA7173"/>
    <w:rsid w:val="00CC274D"/>
    <w:rsid w:val="00CE0422"/>
    <w:rsid w:val="00CE0594"/>
    <w:rsid w:val="00CE4FCF"/>
    <w:rsid w:val="00CF5A3C"/>
    <w:rsid w:val="00CF5E1A"/>
    <w:rsid w:val="00CF7033"/>
    <w:rsid w:val="00CF7973"/>
    <w:rsid w:val="00D00BD9"/>
    <w:rsid w:val="00D07B48"/>
    <w:rsid w:val="00D109B8"/>
    <w:rsid w:val="00D17115"/>
    <w:rsid w:val="00D174D3"/>
    <w:rsid w:val="00D177C8"/>
    <w:rsid w:val="00D31050"/>
    <w:rsid w:val="00D316E6"/>
    <w:rsid w:val="00D32F54"/>
    <w:rsid w:val="00D3667E"/>
    <w:rsid w:val="00D369DB"/>
    <w:rsid w:val="00D43287"/>
    <w:rsid w:val="00D575AE"/>
    <w:rsid w:val="00D60485"/>
    <w:rsid w:val="00D633BC"/>
    <w:rsid w:val="00D66C10"/>
    <w:rsid w:val="00D7588F"/>
    <w:rsid w:val="00D758AD"/>
    <w:rsid w:val="00D76B86"/>
    <w:rsid w:val="00D77A0D"/>
    <w:rsid w:val="00D802EE"/>
    <w:rsid w:val="00D87905"/>
    <w:rsid w:val="00D93343"/>
    <w:rsid w:val="00DA2331"/>
    <w:rsid w:val="00DB1199"/>
    <w:rsid w:val="00DC62A5"/>
    <w:rsid w:val="00DD5B52"/>
    <w:rsid w:val="00DD7FEC"/>
    <w:rsid w:val="00DE35AF"/>
    <w:rsid w:val="00DF27EA"/>
    <w:rsid w:val="00DF699B"/>
    <w:rsid w:val="00E02170"/>
    <w:rsid w:val="00E2105B"/>
    <w:rsid w:val="00E30D60"/>
    <w:rsid w:val="00E4079A"/>
    <w:rsid w:val="00E44FF8"/>
    <w:rsid w:val="00E55A7B"/>
    <w:rsid w:val="00E7075A"/>
    <w:rsid w:val="00E75295"/>
    <w:rsid w:val="00E820D6"/>
    <w:rsid w:val="00E90E21"/>
    <w:rsid w:val="00E9230E"/>
    <w:rsid w:val="00E93E6E"/>
    <w:rsid w:val="00E9469F"/>
    <w:rsid w:val="00E94C1E"/>
    <w:rsid w:val="00EA130F"/>
    <w:rsid w:val="00EA3EED"/>
    <w:rsid w:val="00EB143F"/>
    <w:rsid w:val="00EB16F9"/>
    <w:rsid w:val="00EB2227"/>
    <w:rsid w:val="00EB4750"/>
    <w:rsid w:val="00EC33F5"/>
    <w:rsid w:val="00EC6E46"/>
    <w:rsid w:val="00ED7BC7"/>
    <w:rsid w:val="00EE0BE3"/>
    <w:rsid w:val="00EF10F2"/>
    <w:rsid w:val="00EF3B34"/>
    <w:rsid w:val="00F2430D"/>
    <w:rsid w:val="00F37572"/>
    <w:rsid w:val="00F427FF"/>
    <w:rsid w:val="00F4370E"/>
    <w:rsid w:val="00F437D8"/>
    <w:rsid w:val="00F53F9F"/>
    <w:rsid w:val="00F568C3"/>
    <w:rsid w:val="00F62780"/>
    <w:rsid w:val="00F652EE"/>
    <w:rsid w:val="00F670EB"/>
    <w:rsid w:val="00F70491"/>
    <w:rsid w:val="00F758F7"/>
    <w:rsid w:val="00F768BE"/>
    <w:rsid w:val="00F9418B"/>
    <w:rsid w:val="00FA60CC"/>
    <w:rsid w:val="00FB6878"/>
    <w:rsid w:val="00FC7713"/>
    <w:rsid w:val="00FD4F53"/>
    <w:rsid w:val="00FE0DA9"/>
    <w:rsid w:val="00FE5314"/>
    <w:rsid w:val="00FF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E3"/>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72E3"/>
    <w:pPr>
      <w:tabs>
        <w:tab w:val="left" w:pos="360"/>
      </w:tabs>
      <w:spacing w:line="233" w:lineRule="auto"/>
      <w:jc w:val="center"/>
    </w:pPr>
    <w:rPr>
      <w:b/>
      <w:sz w:val="24"/>
    </w:rPr>
  </w:style>
  <w:style w:type="character" w:customStyle="1" w:styleId="TitleChar">
    <w:name w:val="Title Char"/>
    <w:basedOn w:val="DefaultParagraphFont"/>
    <w:link w:val="Title"/>
    <w:rsid w:val="006972E3"/>
    <w:rPr>
      <w:rFonts w:eastAsia="Times New Roman" w:cs="Times New Roman"/>
      <w:b/>
      <w:szCs w:val="20"/>
    </w:rPr>
  </w:style>
  <w:style w:type="paragraph" w:customStyle="1" w:styleId="ParaTab1">
    <w:name w:val="ParaTab 1"/>
    <w:rsid w:val="00D633B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5988"/>
    <w:rPr>
      <w:rFonts w:ascii="Tahoma" w:hAnsi="Tahoma" w:cs="Tahoma"/>
      <w:sz w:val="16"/>
      <w:szCs w:val="16"/>
    </w:rPr>
  </w:style>
  <w:style w:type="character" w:customStyle="1" w:styleId="BalloonTextChar">
    <w:name w:val="Balloon Text Char"/>
    <w:basedOn w:val="DefaultParagraphFont"/>
    <w:link w:val="BalloonText"/>
    <w:uiPriority w:val="99"/>
    <w:semiHidden/>
    <w:rsid w:val="00A55988"/>
    <w:rPr>
      <w:rFonts w:ascii="Tahoma" w:eastAsia="Times New Roman" w:hAnsi="Tahoma" w:cs="Tahoma"/>
      <w:sz w:val="16"/>
      <w:szCs w:val="16"/>
    </w:rPr>
  </w:style>
  <w:style w:type="paragraph" w:styleId="Footer">
    <w:name w:val="footer"/>
    <w:basedOn w:val="Normal"/>
    <w:link w:val="FooterChar"/>
    <w:uiPriority w:val="99"/>
    <w:unhideWhenUsed/>
    <w:rsid w:val="00192971"/>
    <w:pPr>
      <w:tabs>
        <w:tab w:val="center" w:pos="4680"/>
        <w:tab w:val="right" w:pos="9360"/>
      </w:tabs>
    </w:pPr>
  </w:style>
  <w:style w:type="character" w:customStyle="1" w:styleId="FooterChar">
    <w:name w:val="Footer Char"/>
    <w:basedOn w:val="DefaultParagraphFont"/>
    <w:link w:val="Footer"/>
    <w:uiPriority w:val="99"/>
    <w:rsid w:val="00192971"/>
    <w:rPr>
      <w:rFonts w:eastAsia="Times New Roman"/>
    </w:rPr>
  </w:style>
  <w:style w:type="character" w:styleId="PageNumber">
    <w:name w:val="page number"/>
    <w:basedOn w:val="DefaultParagraphFont"/>
    <w:rsid w:val="00192971"/>
  </w:style>
  <w:style w:type="paragraph" w:styleId="FootnoteText">
    <w:name w:val="footnote text"/>
    <w:basedOn w:val="Normal"/>
    <w:link w:val="FootnoteTextChar"/>
    <w:semiHidden/>
    <w:rsid w:val="00192971"/>
  </w:style>
  <w:style w:type="character" w:customStyle="1" w:styleId="FootnoteTextChar">
    <w:name w:val="Footnote Text Char"/>
    <w:basedOn w:val="DefaultParagraphFont"/>
    <w:link w:val="FootnoteText"/>
    <w:semiHidden/>
    <w:rsid w:val="00192971"/>
    <w:rPr>
      <w:rFonts w:eastAsia="Times New Roman"/>
    </w:rPr>
  </w:style>
  <w:style w:type="character" w:styleId="FootnoteReference">
    <w:name w:val="footnote reference"/>
    <w:basedOn w:val="DefaultParagraphFont"/>
    <w:semiHidden/>
    <w:rsid w:val="00192971"/>
    <w:rPr>
      <w:vertAlign w:val="superscript"/>
    </w:rPr>
  </w:style>
  <w:style w:type="paragraph" w:styleId="ListParagraph">
    <w:name w:val="List Paragraph"/>
    <w:basedOn w:val="Normal"/>
    <w:uiPriority w:val="34"/>
    <w:qFormat/>
    <w:rsid w:val="00251A6F"/>
    <w:pPr>
      <w:ind w:left="720"/>
      <w:contextualSpacing/>
    </w:pPr>
  </w:style>
  <w:style w:type="paragraph" w:styleId="Header">
    <w:name w:val="header"/>
    <w:basedOn w:val="Normal"/>
    <w:link w:val="HeaderChar"/>
    <w:uiPriority w:val="99"/>
    <w:unhideWhenUsed/>
    <w:rsid w:val="00001323"/>
    <w:pPr>
      <w:tabs>
        <w:tab w:val="center" w:pos="4680"/>
        <w:tab w:val="right" w:pos="9360"/>
      </w:tabs>
    </w:pPr>
  </w:style>
  <w:style w:type="character" w:customStyle="1" w:styleId="HeaderChar">
    <w:name w:val="Header Char"/>
    <w:basedOn w:val="DefaultParagraphFont"/>
    <w:link w:val="Header"/>
    <w:uiPriority w:val="99"/>
    <w:rsid w:val="00001323"/>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E3"/>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72E3"/>
    <w:pPr>
      <w:tabs>
        <w:tab w:val="left" w:pos="360"/>
      </w:tabs>
      <w:spacing w:line="233" w:lineRule="auto"/>
      <w:jc w:val="center"/>
    </w:pPr>
    <w:rPr>
      <w:b/>
      <w:sz w:val="24"/>
    </w:rPr>
  </w:style>
  <w:style w:type="character" w:customStyle="1" w:styleId="TitleChar">
    <w:name w:val="Title Char"/>
    <w:basedOn w:val="DefaultParagraphFont"/>
    <w:link w:val="Title"/>
    <w:rsid w:val="006972E3"/>
    <w:rPr>
      <w:rFonts w:eastAsia="Times New Roman" w:cs="Times New Roman"/>
      <w:b/>
      <w:szCs w:val="20"/>
    </w:rPr>
  </w:style>
  <w:style w:type="paragraph" w:customStyle="1" w:styleId="ParaTab1">
    <w:name w:val="ParaTab 1"/>
    <w:rsid w:val="00D633B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5988"/>
    <w:rPr>
      <w:rFonts w:ascii="Tahoma" w:hAnsi="Tahoma" w:cs="Tahoma"/>
      <w:sz w:val="16"/>
      <w:szCs w:val="16"/>
    </w:rPr>
  </w:style>
  <w:style w:type="character" w:customStyle="1" w:styleId="BalloonTextChar">
    <w:name w:val="Balloon Text Char"/>
    <w:basedOn w:val="DefaultParagraphFont"/>
    <w:link w:val="BalloonText"/>
    <w:uiPriority w:val="99"/>
    <w:semiHidden/>
    <w:rsid w:val="00A55988"/>
    <w:rPr>
      <w:rFonts w:ascii="Tahoma" w:eastAsia="Times New Roman" w:hAnsi="Tahoma" w:cs="Tahoma"/>
      <w:sz w:val="16"/>
      <w:szCs w:val="16"/>
    </w:rPr>
  </w:style>
  <w:style w:type="paragraph" w:styleId="Footer">
    <w:name w:val="footer"/>
    <w:basedOn w:val="Normal"/>
    <w:link w:val="FooterChar"/>
    <w:uiPriority w:val="99"/>
    <w:unhideWhenUsed/>
    <w:rsid w:val="00192971"/>
    <w:pPr>
      <w:tabs>
        <w:tab w:val="center" w:pos="4680"/>
        <w:tab w:val="right" w:pos="9360"/>
      </w:tabs>
    </w:pPr>
  </w:style>
  <w:style w:type="character" w:customStyle="1" w:styleId="FooterChar">
    <w:name w:val="Footer Char"/>
    <w:basedOn w:val="DefaultParagraphFont"/>
    <w:link w:val="Footer"/>
    <w:uiPriority w:val="99"/>
    <w:rsid w:val="00192971"/>
    <w:rPr>
      <w:rFonts w:eastAsia="Times New Roman"/>
    </w:rPr>
  </w:style>
  <w:style w:type="character" w:styleId="PageNumber">
    <w:name w:val="page number"/>
    <w:basedOn w:val="DefaultParagraphFont"/>
    <w:rsid w:val="00192971"/>
  </w:style>
  <w:style w:type="paragraph" w:styleId="FootnoteText">
    <w:name w:val="footnote text"/>
    <w:basedOn w:val="Normal"/>
    <w:link w:val="FootnoteTextChar"/>
    <w:semiHidden/>
    <w:rsid w:val="00192971"/>
  </w:style>
  <w:style w:type="character" w:customStyle="1" w:styleId="FootnoteTextChar">
    <w:name w:val="Footnote Text Char"/>
    <w:basedOn w:val="DefaultParagraphFont"/>
    <w:link w:val="FootnoteText"/>
    <w:semiHidden/>
    <w:rsid w:val="00192971"/>
    <w:rPr>
      <w:rFonts w:eastAsia="Times New Roman"/>
    </w:rPr>
  </w:style>
  <w:style w:type="character" w:styleId="FootnoteReference">
    <w:name w:val="footnote reference"/>
    <w:basedOn w:val="DefaultParagraphFont"/>
    <w:semiHidden/>
    <w:rsid w:val="00192971"/>
    <w:rPr>
      <w:vertAlign w:val="superscript"/>
    </w:rPr>
  </w:style>
  <w:style w:type="paragraph" w:styleId="ListParagraph">
    <w:name w:val="List Paragraph"/>
    <w:basedOn w:val="Normal"/>
    <w:uiPriority w:val="34"/>
    <w:qFormat/>
    <w:rsid w:val="00251A6F"/>
    <w:pPr>
      <w:ind w:left="720"/>
      <w:contextualSpacing/>
    </w:pPr>
  </w:style>
  <w:style w:type="paragraph" w:styleId="Header">
    <w:name w:val="header"/>
    <w:basedOn w:val="Normal"/>
    <w:link w:val="HeaderChar"/>
    <w:uiPriority w:val="99"/>
    <w:unhideWhenUsed/>
    <w:rsid w:val="00001323"/>
    <w:pPr>
      <w:tabs>
        <w:tab w:val="center" w:pos="4680"/>
        <w:tab w:val="right" w:pos="9360"/>
      </w:tabs>
    </w:pPr>
  </w:style>
  <w:style w:type="character" w:customStyle="1" w:styleId="HeaderChar">
    <w:name w:val="Header Char"/>
    <w:basedOn w:val="DefaultParagraphFont"/>
    <w:link w:val="Header"/>
    <w:uiPriority w:val="99"/>
    <w:rsid w:val="0000132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2D18-9C8F-438B-B4B7-C166FE27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bfaccenda</cp:lastModifiedBy>
  <cp:revision>4</cp:revision>
  <cp:lastPrinted>2012-07-10T16:50:00Z</cp:lastPrinted>
  <dcterms:created xsi:type="dcterms:W3CDTF">2012-07-10T17:06:00Z</dcterms:created>
  <dcterms:modified xsi:type="dcterms:W3CDTF">2012-07-17T12:04:00Z</dcterms:modified>
</cp:coreProperties>
</file>