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3D2E73" w:rsidP="00E00F6E">
      <w:pPr>
        <w:pStyle w:val="Title"/>
        <w:ind w:right="-90"/>
        <w:rPr>
          <w:szCs w:val="26"/>
        </w:rPr>
      </w:pPr>
      <w:r>
        <w:rPr>
          <w:szCs w:val="26"/>
        </w:rPr>
        <w:t xml:space="preserve"> </w:t>
      </w:r>
      <w:r w:rsidR="00E00F6E"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Pr="003472DA" w:rsidRDefault="00E00F6E" w:rsidP="00E00F6E">
      <w:pPr>
        <w:pStyle w:val="Heading1"/>
        <w:rPr>
          <w:szCs w:val="26"/>
        </w:rPr>
      </w:pPr>
      <w:r w:rsidRPr="003472DA">
        <w:rPr>
          <w:szCs w:val="26"/>
        </w:rPr>
        <w:t>Harrisburg PA 17105-3265</w:t>
      </w:r>
    </w:p>
    <w:p w:rsidR="00E00F6E" w:rsidRPr="003472DA" w:rsidRDefault="00E00F6E" w:rsidP="00E00F6E">
      <w:pPr>
        <w:jc w:val="center"/>
        <w:rPr>
          <w:szCs w:val="26"/>
        </w:rPr>
      </w:pPr>
    </w:p>
    <w:p w:rsidR="00E00F6E" w:rsidRPr="003472DA" w:rsidRDefault="00E00F6E" w:rsidP="00964AD0">
      <w:pPr>
        <w:jc w:val="right"/>
        <w:rPr>
          <w:szCs w:val="26"/>
        </w:rPr>
      </w:pPr>
      <w:r w:rsidRPr="003472DA">
        <w:rPr>
          <w:szCs w:val="26"/>
        </w:rPr>
        <w:t xml:space="preserve">Public Meeting held </w:t>
      </w:r>
      <w:r w:rsidR="0024045B">
        <w:rPr>
          <w:szCs w:val="26"/>
        </w:rPr>
        <w:t>J</w:t>
      </w:r>
      <w:r w:rsidR="00A554D4">
        <w:rPr>
          <w:szCs w:val="26"/>
        </w:rPr>
        <w:t>uly</w:t>
      </w:r>
      <w:r w:rsidR="0024045B">
        <w:rPr>
          <w:szCs w:val="26"/>
        </w:rPr>
        <w:t xml:space="preserve"> </w:t>
      </w:r>
      <w:r w:rsidR="00170C7D">
        <w:rPr>
          <w:szCs w:val="26"/>
        </w:rPr>
        <w:t>19</w:t>
      </w:r>
      <w:r w:rsidR="00764FDB">
        <w:rPr>
          <w:szCs w:val="26"/>
        </w:rPr>
        <w:t>, 201</w:t>
      </w:r>
      <w:r w:rsidR="009737E6">
        <w:rPr>
          <w:szCs w:val="26"/>
        </w:rPr>
        <w:t>2</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ind w:firstLine="720"/>
        <w:rPr>
          <w:szCs w:val="26"/>
        </w:rPr>
      </w:pPr>
      <w:r w:rsidRPr="003472DA">
        <w:rPr>
          <w:szCs w:val="26"/>
        </w:rPr>
        <w:t>Wayne E. Gardner</w:t>
      </w:r>
    </w:p>
    <w:p w:rsidR="00E00F6E" w:rsidRDefault="00E00F6E" w:rsidP="00E00F6E">
      <w:pPr>
        <w:rPr>
          <w:szCs w:val="26"/>
        </w:rPr>
      </w:pPr>
      <w:r>
        <w:rPr>
          <w:szCs w:val="26"/>
        </w:rPr>
        <w:tab/>
      </w:r>
      <w:r w:rsidRPr="003472DA">
        <w:rPr>
          <w:szCs w:val="26"/>
        </w:rPr>
        <w:t>James H. Cawley</w:t>
      </w:r>
    </w:p>
    <w:p w:rsidR="00E00F6E" w:rsidRPr="003472DA" w:rsidRDefault="00E00F6E" w:rsidP="00E00F6E">
      <w:pPr>
        <w:rPr>
          <w:szCs w:val="26"/>
        </w:rPr>
      </w:pPr>
      <w:r>
        <w:rPr>
          <w:szCs w:val="26"/>
        </w:rPr>
        <w:tab/>
        <w:t>Pamela A. Witmer</w:t>
      </w:r>
      <w:r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Default="00B23CA3" w:rsidP="00F94F57">
            <w:pPr>
              <w:tabs>
                <w:tab w:val="left" w:pos="330"/>
              </w:tabs>
              <w:ind w:left="720" w:right="-720" w:hanging="720"/>
              <w:rPr>
                <w:szCs w:val="26"/>
              </w:rPr>
            </w:pPr>
          </w:p>
          <w:p w:rsidR="007B6A3C" w:rsidRDefault="00170C7D" w:rsidP="00F94F57">
            <w:pPr>
              <w:tabs>
                <w:tab w:val="left" w:pos="330"/>
              </w:tabs>
              <w:ind w:left="720" w:right="-720" w:hanging="720"/>
              <w:rPr>
                <w:szCs w:val="26"/>
              </w:rPr>
            </w:pPr>
            <w:r>
              <w:rPr>
                <w:szCs w:val="26"/>
              </w:rPr>
              <w:t>William Diedrich</w:t>
            </w:r>
          </w:p>
          <w:p w:rsidR="007B6A3C" w:rsidRDefault="007B6A3C" w:rsidP="00F94F57">
            <w:pPr>
              <w:tabs>
                <w:tab w:val="left" w:pos="330"/>
              </w:tabs>
              <w:ind w:left="720" w:right="-720" w:hanging="720"/>
              <w:rPr>
                <w:szCs w:val="26"/>
              </w:rPr>
            </w:pPr>
          </w:p>
          <w:p w:rsidR="007B6A3C" w:rsidRDefault="00DB7CBC" w:rsidP="00203A4D">
            <w:pPr>
              <w:tabs>
                <w:tab w:val="left" w:pos="720"/>
              </w:tabs>
              <w:ind w:left="720" w:right="-720" w:hanging="720"/>
              <w:rPr>
                <w:szCs w:val="26"/>
              </w:rPr>
            </w:pPr>
            <w:r>
              <w:rPr>
                <w:szCs w:val="26"/>
              </w:rPr>
              <w:tab/>
            </w:r>
            <w:r w:rsidR="007B6A3C">
              <w:rPr>
                <w:szCs w:val="26"/>
              </w:rPr>
              <w:t>v.</w:t>
            </w:r>
          </w:p>
          <w:p w:rsidR="007B6A3C" w:rsidRDefault="007B6A3C" w:rsidP="00F94F57">
            <w:pPr>
              <w:tabs>
                <w:tab w:val="left" w:pos="330"/>
              </w:tabs>
              <w:ind w:left="720" w:right="-720" w:hanging="720"/>
              <w:rPr>
                <w:szCs w:val="26"/>
              </w:rPr>
            </w:pPr>
          </w:p>
          <w:p w:rsidR="009737E6" w:rsidRPr="003472DA" w:rsidRDefault="009737E6" w:rsidP="004A5231">
            <w:pPr>
              <w:tabs>
                <w:tab w:val="left" w:pos="330"/>
              </w:tabs>
              <w:ind w:left="720" w:right="-720" w:hanging="720"/>
              <w:rPr>
                <w:szCs w:val="26"/>
              </w:rPr>
            </w:pPr>
            <w:r>
              <w:rPr>
                <w:szCs w:val="26"/>
              </w:rPr>
              <w:t>PECO Energy Company</w:t>
            </w:r>
          </w:p>
        </w:tc>
        <w:tc>
          <w:tcPr>
            <w:tcW w:w="2700" w:type="dxa"/>
          </w:tcPr>
          <w:p w:rsidR="00671438" w:rsidRPr="0024045B" w:rsidRDefault="00671438" w:rsidP="00F94F57">
            <w:pPr>
              <w:ind w:right="-720"/>
              <w:rPr>
                <w:b/>
                <w:szCs w:val="26"/>
              </w:rPr>
            </w:pPr>
          </w:p>
          <w:p w:rsidR="00E00F6E" w:rsidRPr="0024045B" w:rsidRDefault="00AD144A" w:rsidP="009737E6">
            <w:pPr>
              <w:tabs>
                <w:tab w:val="left" w:pos="792"/>
              </w:tabs>
              <w:ind w:right="-720"/>
              <w:rPr>
                <w:szCs w:val="26"/>
              </w:rPr>
            </w:pPr>
            <w:r w:rsidRPr="0024045B">
              <w:rPr>
                <w:b/>
                <w:szCs w:val="26"/>
              </w:rPr>
              <w:t xml:space="preserve">            </w:t>
            </w:r>
            <w:r w:rsidR="00170C7D" w:rsidRPr="00170C7D">
              <w:rPr>
                <w:szCs w:val="26"/>
              </w:rPr>
              <w:t>F</w:t>
            </w:r>
            <w:r w:rsidR="007B6A3C" w:rsidRPr="00170C7D">
              <w:rPr>
                <w:szCs w:val="26"/>
              </w:rPr>
              <w:t>-</w:t>
            </w:r>
            <w:r w:rsidR="007B6A3C" w:rsidRPr="0024045B">
              <w:rPr>
                <w:szCs w:val="26"/>
              </w:rPr>
              <w:t>20</w:t>
            </w:r>
            <w:r w:rsidR="009737E6" w:rsidRPr="0024045B">
              <w:rPr>
                <w:szCs w:val="26"/>
              </w:rPr>
              <w:t>10</w:t>
            </w:r>
            <w:r w:rsidR="007B6A3C" w:rsidRPr="0024045B">
              <w:rPr>
                <w:szCs w:val="26"/>
              </w:rPr>
              <w:t>-</w:t>
            </w:r>
            <w:r w:rsidR="009737E6" w:rsidRPr="0024045B">
              <w:rPr>
                <w:szCs w:val="26"/>
              </w:rPr>
              <w:t>2</w:t>
            </w:r>
            <w:r w:rsidR="0024045B">
              <w:rPr>
                <w:szCs w:val="26"/>
              </w:rPr>
              <w:t>1</w:t>
            </w:r>
            <w:r w:rsidR="00170C7D">
              <w:rPr>
                <w:szCs w:val="26"/>
              </w:rPr>
              <w:t>91381</w:t>
            </w:r>
          </w:p>
          <w:p w:rsidR="00E00F6E" w:rsidRPr="0024045B" w:rsidRDefault="00E00F6E" w:rsidP="00F94F57">
            <w:pPr>
              <w:ind w:right="-720"/>
              <w:rPr>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9737E6">
            <w:pPr>
              <w:ind w:right="-720"/>
              <w:rPr>
                <w:b/>
                <w:szCs w:val="26"/>
              </w:rPr>
            </w:pPr>
            <w:r w:rsidRPr="0024045B">
              <w:rPr>
                <w:b/>
                <w:szCs w:val="26"/>
              </w:rPr>
              <w:t xml:space="preserve">            </w:t>
            </w:r>
          </w:p>
          <w:p w:rsidR="009737E6" w:rsidRPr="0024045B" w:rsidRDefault="009737E6" w:rsidP="0024045B">
            <w:pPr>
              <w:ind w:left="792" w:right="-720" w:hanging="792"/>
              <w:rPr>
                <w:b/>
                <w:szCs w:val="26"/>
              </w:rPr>
            </w:pPr>
            <w:r w:rsidRPr="0024045B">
              <w:rPr>
                <w:b/>
                <w:szCs w:val="26"/>
              </w:rPr>
              <w:t xml:space="preserve">            </w:t>
            </w:r>
          </w:p>
        </w:tc>
      </w:tr>
      <w:tr w:rsidR="009737E6" w:rsidRPr="0024045B" w:rsidTr="00F94F57">
        <w:tc>
          <w:tcPr>
            <w:tcW w:w="6768" w:type="dxa"/>
          </w:tcPr>
          <w:p w:rsidR="009737E6" w:rsidRPr="003472DA" w:rsidRDefault="009737E6" w:rsidP="00F94F57">
            <w:pPr>
              <w:tabs>
                <w:tab w:val="left" w:pos="330"/>
              </w:tabs>
              <w:ind w:left="720" w:right="-720" w:hanging="720"/>
              <w:rPr>
                <w:szCs w:val="26"/>
              </w:rPr>
            </w:pPr>
          </w:p>
        </w:tc>
        <w:tc>
          <w:tcPr>
            <w:tcW w:w="2700" w:type="dxa"/>
          </w:tcPr>
          <w:p w:rsidR="009737E6" w:rsidRPr="0024045B" w:rsidRDefault="009737E6" w:rsidP="00F94F57">
            <w:pPr>
              <w:ind w:right="-720"/>
              <w:rPr>
                <w:b/>
                <w:szCs w:val="26"/>
              </w:rPr>
            </w:pPr>
          </w:p>
        </w:tc>
      </w:tr>
    </w:tbl>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3C55F4"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Pr>
          <w:szCs w:val="26"/>
        </w:rPr>
        <w:t xml:space="preserve">are the Exceptions of </w:t>
      </w:r>
      <w:r w:rsidR="00170C7D">
        <w:rPr>
          <w:szCs w:val="26"/>
        </w:rPr>
        <w:t>PECO Energy Company</w:t>
      </w:r>
      <w:r w:rsidR="00611B06">
        <w:rPr>
          <w:szCs w:val="26"/>
        </w:rPr>
        <w:t xml:space="preserve"> </w:t>
      </w:r>
      <w:r w:rsidRPr="00571F5C">
        <w:rPr>
          <w:szCs w:val="26"/>
        </w:rPr>
        <w:t>(</w:t>
      </w:r>
      <w:r w:rsidR="00170C7D">
        <w:rPr>
          <w:szCs w:val="26"/>
        </w:rPr>
        <w:t>PECO</w:t>
      </w:r>
      <w:r w:rsidRPr="00571F5C">
        <w:rPr>
          <w:szCs w:val="26"/>
        </w:rPr>
        <w:t>)</w:t>
      </w:r>
      <w:r w:rsidR="00611B06">
        <w:rPr>
          <w:szCs w:val="26"/>
        </w:rPr>
        <w:t>, filed</w:t>
      </w:r>
      <w:r w:rsidR="007F5118">
        <w:rPr>
          <w:szCs w:val="26"/>
        </w:rPr>
        <w:t xml:space="preserve"> </w:t>
      </w:r>
      <w:r w:rsidRPr="00571F5C">
        <w:rPr>
          <w:szCs w:val="26"/>
        </w:rPr>
        <w:t xml:space="preserve">on </w:t>
      </w:r>
      <w:r w:rsidR="00170C7D">
        <w:rPr>
          <w:szCs w:val="26"/>
        </w:rPr>
        <w:t>April 12</w:t>
      </w:r>
      <w:r w:rsidR="00611B06">
        <w:rPr>
          <w:szCs w:val="26"/>
        </w:rPr>
        <w:t>, 2012</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170C7D">
        <w:rPr>
          <w:szCs w:val="26"/>
        </w:rPr>
        <w:t>Katrina L. Dunderdale</w:t>
      </w:r>
      <w:r w:rsidR="00101D54">
        <w:rPr>
          <w:szCs w:val="26"/>
        </w:rPr>
        <w:t>,</w:t>
      </w:r>
      <w:r w:rsidR="008F7A43">
        <w:rPr>
          <w:szCs w:val="26"/>
        </w:rPr>
        <w:t xml:space="preserve"> </w:t>
      </w:r>
      <w:r w:rsidR="00C55576">
        <w:rPr>
          <w:szCs w:val="26"/>
        </w:rPr>
        <w:t>issued</w:t>
      </w:r>
      <w:r w:rsidR="008F7A43">
        <w:rPr>
          <w:szCs w:val="26"/>
        </w:rPr>
        <w:t xml:space="preserve"> </w:t>
      </w:r>
      <w:r w:rsidR="00170C7D">
        <w:rPr>
          <w:szCs w:val="26"/>
        </w:rPr>
        <w:t>March 23</w:t>
      </w:r>
      <w:r w:rsidR="00995B85">
        <w:rPr>
          <w:szCs w:val="26"/>
        </w:rPr>
        <w:t>, 2012</w:t>
      </w:r>
      <w:r w:rsidR="00101D54">
        <w:rPr>
          <w:szCs w:val="26"/>
        </w:rPr>
        <w:t>, in the above-captioned proceeding</w:t>
      </w:r>
      <w:r w:rsidR="00B47B46">
        <w:rPr>
          <w:szCs w:val="26"/>
        </w:rPr>
        <w:t>.</w:t>
      </w:r>
      <w:r w:rsidRPr="00571F5C">
        <w:rPr>
          <w:szCs w:val="26"/>
        </w:rPr>
        <w:t xml:space="preserve"> </w:t>
      </w:r>
      <w:r w:rsidR="00B47B46">
        <w:rPr>
          <w:szCs w:val="26"/>
        </w:rPr>
        <w:t xml:space="preserve"> </w:t>
      </w:r>
      <w:r w:rsidR="00170C7D">
        <w:rPr>
          <w:szCs w:val="26"/>
        </w:rPr>
        <w:t>Replies to Exceptions have not been filed</w:t>
      </w:r>
      <w:r w:rsidRPr="00571F5C">
        <w:rPr>
          <w:szCs w:val="26"/>
        </w:rPr>
        <w:t>.</w:t>
      </w:r>
      <w:r w:rsidR="00D76068">
        <w:rPr>
          <w:szCs w:val="26"/>
        </w:rPr>
        <w:t xml:space="preserve">  </w:t>
      </w:r>
      <w:r w:rsidR="00D76068" w:rsidRPr="00A155CD">
        <w:rPr>
          <w:szCs w:val="26"/>
        </w:rPr>
        <w:t>For the reasons set forth herein, we shall</w:t>
      </w:r>
      <w:r w:rsidR="003C55F4" w:rsidRPr="00A155CD">
        <w:rPr>
          <w:szCs w:val="26"/>
        </w:rPr>
        <w:t xml:space="preserve"> </w:t>
      </w:r>
      <w:r w:rsidR="00A155CD">
        <w:rPr>
          <w:szCs w:val="26"/>
        </w:rPr>
        <w:t xml:space="preserve">grant PECO’s Exceptions, in part, deny PECO’s Exceptions, in part, and modify the Initial Decision, consistent with this Opinion and Order.   </w:t>
      </w:r>
    </w:p>
    <w:p w:rsidR="00170C7D" w:rsidRDefault="00170C7D" w:rsidP="003C55F4">
      <w:pPr>
        <w:spacing w:line="360" w:lineRule="auto"/>
        <w:ind w:left="720" w:hanging="720"/>
        <w:jc w:val="center"/>
        <w:rPr>
          <w:b/>
          <w:szCs w:val="26"/>
        </w:rPr>
      </w:pPr>
    </w:p>
    <w:p w:rsidR="00170C7D" w:rsidRDefault="00170C7D" w:rsidP="003C55F4">
      <w:pPr>
        <w:spacing w:line="360" w:lineRule="auto"/>
        <w:ind w:left="720" w:hanging="720"/>
        <w:jc w:val="center"/>
        <w:rPr>
          <w:b/>
          <w:szCs w:val="26"/>
        </w:rPr>
      </w:pPr>
    </w:p>
    <w:p w:rsidR="00524BED" w:rsidRDefault="00524BED" w:rsidP="003C55F4">
      <w:pPr>
        <w:spacing w:line="360" w:lineRule="auto"/>
        <w:ind w:left="720" w:hanging="720"/>
        <w:jc w:val="center"/>
        <w:rPr>
          <w:b/>
          <w:szCs w:val="26"/>
        </w:rPr>
      </w:pPr>
      <w:r>
        <w:rPr>
          <w:b/>
          <w:szCs w:val="26"/>
        </w:rPr>
        <w:lastRenderedPageBreak/>
        <w:t>History of the Proceeding</w:t>
      </w:r>
    </w:p>
    <w:p w:rsidR="00567496" w:rsidRDefault="00567496" w:rsidP="00524BED">
      <w:pPr>
        <w:spacing w:line="360" w:lineRule="auto"/>
        <w:rPr>
          <w:szCs w:val="26"/>
        </w:rPr>
      </w:pPr>
    </w:p>
    <w:p w:rsidR="009E6563" w:rsidRPr="009E6563" w:rsidRDefault="009E6563" w:rsidP="009E6563">
      <w:pPr>
        <w:spacing w:line="360" w:lineRule="auto"/>
        <w:ind w:firstLine="1440"/>
        <w:rPr>
          <w:szCs w:val="24"/>
        </w:rPr>
      </w:pPr>
      <w:r w:rsidRPr="009E6563">
        <w:rPr>
          <w:szCs w:val="24"/>
        </w:rPr>
        <w:t xml:space="preserve">On July 30, 2010, William Diedrich (Complainant) filed a </w:t>
      </w:r>
      <w:r w:rsidR="00BA29A3">
        <w:rPr>
          <w:szCs w:val="24"/>
        </w:rPr>
        <w:t>F</w:t>
      </w:r>
      <w:r w:rsidRPr="009E6563">
        <w:rPr>
          <w:szCs w:val="24"/>
        </w:rPr>
        <w:t xml:space="preserve">ormal </w:t>
      </w:r>
      <w:r w:rsidR="00BA29A3">
        <w:rPr>
          <w:szCs w:val="24"/>
        </w:rPr>
        <w:t>C</w:t>
      </w:r>
      <w:r w:rsidRPr="009E6563">
        <w:rPr>
          <w:szCs w:val="24"/>
        </w:rPr>
        <w:t xml:space="preserve">omplaint </w:t>
      </w:r>
      <w:r w:rsidR="00BA29A3">
        <w:rPr>
          <w:szCs w:val="24"/>
        </w:rPr>
        <w:t xml:space="preserve">(Complaint) </w:t>
      </w:r>
      <w:r w:rsidRPr="009E6563">
        <w:rPr>
          <w:szCs w:val="24"/>
        </w:rPr>
        <w:t>against PECO</w:t>
      </w:r>
      <w:r w:rsidR="00BA29A3">
        <w:rPr>
          <w:szCs w:val="24"/>
        </w:rPr>
        <w:t>,</w:t>
      </w:r>
      <w:r w:rsidRPr="009E6563">
        <w:rPr>
          <w:szCs w:val="24"/>
        </w:rPr>
        <w:t xml:space="preserve"> alleging </w:t>
      </w:r>
      <w:r w:rsidR="00B17472">
        <w:rPr>
          <w:szCs w:val="24"/>
        </w:rPr>
        <w:t xml:space="preserve">that </w:t>
      </w:r>
      <w:r w:rsidRPr="009E6563">
        <w:rPr>
          <w:szCs w:val="24"/>
        </w:rPr>
        <w:t>the electric meter was broken, PECO did not respond to fix it in a timely manner</w:t>
      </w:r>
      <w:r w:rsidR="00B17472">
        <w:rPr>
          <w:szCs w:val="24"/>
        </w:rPr>
        <w:t>,</w:t>
      </w:r>
      <w:r w:rsidRPr="009E6563">
        <w:rPr>
          <w:szCs w:val="24"/>
        </w:rPr>
        <w:t xml:space="preserve"> and </w:t>
      </w:r>
      <w:r w:rsidR="00B17472">
        <w:rPr>
          <w:szCs w:val="24"/>
        </w:rPr>
        <w:t xml:space="preserve">that PECO </w:t>
      </w:r>
      <w:r w:rsidRPr="009E6563">
        <w:rPr>
          <w:szCs w:val="24"/>
        </w:rPr>
        <w:t xml:space="preserve">then charged him late fees.  </w:t>
      </w:r>
      <w:r w:rsidR="00B17472">
        <w:rPr>
          <w:szCs w:val="24"/>
        </w:rPr>
        <w:t xml:space="preserve">The </w:t>
      </w:r>
      <w:r w:rsidRPr="009E6563">
        <w:rPr>
          <w:szCs w:val="24"/>
        </w:rPr>
        <w:t xml:space="preserve">Complainant </w:t>
      </w:r>
      <w:r w:rsidR="00B17472">
        <w:rPr>
          <w:szCs w:val="24"/>
        </w:rPr>
        <w:t xml:space="preserve">also alleged that </w:t>
      </w:r>
      <w:r w:rsidRPr="009E6563">
        <w:rPr>
          <w:szCs w:val="24"/>
        </w:rPr>
        <w:t xml:space="preserve">he should not have to pay </w:t>
      </w:r>
      <w:r w:rsidR="00B17472">
        <w:rPr>
          <w:szCs w:val="24"/>
        </w:rPr>
        <w:t>a</w:t>
      </w:r>
      <w:r w:rsidRPr="009E6563">
        <w:rPr>
          <w:szCs w:val="24"/>
        </w:rPr>
        <w:t xml:space="preserve">s much to PECO </w:t>
      </w:r>
      <w:r w:rsidR="00B17472">
        <w:rPr>
          <w:szCs w:val="24"/>
        </w:rPr>
        <w:t>because</w:t>
      </w:r>
      <w:r w:rsidRPr="009E6563">
        <w:rPr>
          <w:szCs w:val="24"/>
        </w:rPr>
        <w:t xml:space="preserve"> PECO took so long to fix the problem and </w:t>
      </w:r>
      <w:r w:rsidR="00B17472">
        <w:rPr>
          <w:szCs w:val="24"/>
        </w:rPr>
        <w:t xml:space="preserve">to </w:t>
      </w:r>
      <w:r w:rsidRPr="009E6563">
        <w:rPr>
          <w:szCs w:val="24"/>
        </w:rPr>
        <w:t xml:space="preserve">rebill him.  </w:t>
      </w:r>
    </w:p>
    <w:p w:rsidR="009E6563" w:rsidRPr="009E6563" w:rsidRDefault="009E6563" w:rsidP="009E6563">
      <w:pPr>
        <w:spacing w:line="360" w:lineRule="auto"/>
        <w:ind w:firstLine="1440"/>
        <w:rPr>
          <w:szCs w:val="24"/>
        </w:rPr>
      </w:pPr>
    </w:p>
    <w:p w:rsidR="009E6563" w:rsidRPr="009E6563" w:rsidRDefault="009E6563" w:rsidP="009E6563">
      <w:pPr>
        <w:spacing w:line="360" w:lineRule="auto"/>
        <w:ind w:firstLine="1440"/>
        <w:rPr>
          <w:szCs w:val="24"/>
        </w:rPr>
      </w:pPr>
      <w:r w:rsidRPr="009E6563">
        <w:rPr>
          <w:szCs w:val="24"/>
        </w:rPr>
        <w:t xml:space="preserve">On August 24, 2010, </w:t>
      </w:r>
      <w:r w:rsidR="00CD132C">
        <w:rPr>
          <w:szCs w:val="24"/>
        </w:rPr>
        <w:t>PECO</w:t>
      </w:r>
      <w:r w:rsidRPr="009E6563">
        <w:rPr>
          <w:szCs w:val="24"/>
        </w:rPr>
        <w:t xml:space="preserve"> filed an Answer, in which it admitted </w:t>
      </w:r>
      <w:r w:rsidR="00CD132C">
        <w:rPr>
          <w:szCs w:val="24"/>
        </w:rPr>
        <w:t xml:space="preserve">that </w:t>
      </w:r>
      <w:r w:rsidRPr="009E6563">
        <w:rPr>
          <w:szCs w:val="24"/>
        </w:rPr>
        <w:t xml:space="preserve">its meter was defective but denied </w:t>
      </w:r>
      <w:r w:rsidR="00CD132C">
        <w:rPr>
          <w:szCs w:val="24"/>
        </w:rPr>
        <w:t xml:space="preserve">that </w:t>
      </w:r>
      <w:r w:rsidRPr="009E6563">
        <w:rPr>
          <w:szCs w:val="24"/>
        </w:rPr>
        <w:t xml:space="preserve">its budget </w:t>
      </w:r>
      <w:r w:rsidR="00CD132C">
        <w:rPr>
          <w:szCs w:val="24"/>
        </w:rPr>
        <w:t xml:space="preserve">billing </w:t>
      </w:r>
      <w:r w:rsidRPr="009E6563">
        <w:rPr>
          <w:szCs w:val="24"/>
        </w:rPr>
        <w:t xml:space="preserve">adjustments were improper.  </w:t>
      </w:r>
    </w:p>
    <w:p w:rsidR="009E6563" w:rsidRPr="009E6563" w:rsidRDefault="009E6563" w:rsidP="009E6563">
      <w:pPr>
        <w:spacing w:line="360" w:lineRule="auto"/>
        <w:rPr>
          <w:szCs w:val="24"/>
        </w:rPr>
      </w:pPr>
    </w:p>
    <w:p w:rsidR="00CD132C" w:rsidRDefault="009E6563" w:rsidP="009E6563">
      <w:pPr>
        <w:spacing w:line="360" w:lineRule="auto"/>
        <w:rPr>
          <w:szCs w:val="24"/>
        </w:rPr>
      </w:pPr>
      <w:r w:rsidRPr="009E6563">
        <w:rPr>
          <w:szCs w:val="24"/>
        </w:rPr>
        <w:tab/>
      </w:r>
      <w:r w:rsidRPr="009E6563">
        <w:rPr>
          <w:szCs w:val="24"/>
        </w:rPr>
        <w:tab/>
        <w:t xml:space="preserve">On February 10, 2011, the Office of Administrative Law Judge </w:t>
      </w:r>
      <w:r w:rsidR="001A6A0C">
        <w:rPr>
          <w:szCs w:val="24"/>
        </w:rPr>
        <w:t xml:space="preserve">(OALJ) </w:t>
      </w:r>
      <w:r w:rsidRPr="009E6563">
        <w:rPr>
          <w:szCs w:val="24"/>
        </w:rPr>
        <w:t>issued a Hearing Notice, schedul</w:t>
      </w:r>
      <w:r w:rsidR="00CD132C">
        <w:rPr>
          <w:szCs w:val="24"/>
        </w:rPr>
        <w:t>ing</w:t>
      </w:r>
      <w:r w:rsidRPr="009E6563">
        <w:rPr>
          <w:szCs w:val="24"/>
        </w:rPr>
        <w:t xml:space="preserve"> an initial hearing </w:t>
      </w:r>
      <w:r w:rsidR="00CD132C">
        <w:rPr>
          <w:szCs w:val="24"/>
        </w:rPr>
        <w:t>for</w:t>
      </w:r>
      <w:r w:rsidRPr="009E6563">
        <w:rPr>
          <w:szCs w:val="24"/>
        </w:rPr>
        <w:t xml:space="preserve"> March 10, 2011.  On February 16, 2011, ALJ </w:t>
      </w:r>
      <w:r w:rsidR="00CD132C">
        <w:rPr>
          <w:szCs w:val="24"/>
        </w:rPr>
        <w:t xml:space="preserve">Cynthia W. </w:t>
      </w:r>
      <w:r w:rsidRPr="009E6563">
        <w:rPr>
          <w:szCs w:val="24"/>
        </w:rPr>
        <w:t>Fordham issued a Prehearing Order</w:t>
      </w:r>
      <w:r w:rsidR="00CD132C">
        <w:rPr>
          <w:szCs w:val="24"/>
        </w:rPr>
        <w:t xml:space="preserve"> addressing procedural matters</w:t>
      </w:r>
      <w:r w:rsidRPr="009E6563">
        <w:rPr>
          <w:szCs w:val="24"/>
        </w:rPr>
        <w:t>.</w:t>
      </w:r>
    </w:p>
    <w:p w:rsidR="009E6563" w:rsidRPr="009E6563" w:rsidRDefault="009E6563" w:rsidP="009E6563">
      <w:pPr>
        <w:spacing w:line="360" w:lineRule="auto"/>
        <w:rPr>
          <w:szCs w:val="24"/>
        </w:rPr>
      </w:pPr>
      <w:r w:rsidRPr="009E6563">
        <w:rPr>
          <w:szCs w:val="24"/>
        </w:rPr>
        <w:t xml:space="preserve">  </w:t>
      </w:r>
    </w:p>
    <w:p w:rsidR="009E6563" w:rsidRPr="009E6563" w:rsidRDefault="009E6563" w:rsidP="009E6563">
      <w:pPr>
        <w:spacing w:line="360" w:lineRule="auto"/>
        <w:rPr>
          <w:szCs w:val="24"/>
        </w:rPr>
      </w:pPr>
      <w:r w:rsidRPr="009E6563">
        <w:rPr>
          <w:szCs w:val="24"/>
        </w:rPr>
        <w:tab/>
      </w:r>
      <w:r w:rsidRPr="009E6563">
        <w:rPr>
          <w:szCs w:val="24"/>
        </w:rPr>
        <w:tab/>
        <w:t>On February 16, 2011, ALJ Fordham received a facsimile from</w:t>
      </w:r>
      <w:r w:rsidR="00CD132C">
        <w:rPr>
          <w:szCs w:val="24"/>
        </w:rPr>
        <w:t xml:space="preserve"> the</w:t>
      </w:r>
      <w:r w:rsidRPr="009E6563">
        <w:rPr>
          <w:szCs w:val="24"/>
        </w:rPr>
        <w:t xml:space="preserve"> Complainant requesting a continuance and a telephonic hearing.  On February 24, 2011, ALJ Fordham sent correspondence to the </w:t>
      </w:r>
      <w:r w:rsidR="00CD132C">
        <w:rPr>
          <w:szCs w:val="24"/>
        </w:rPr>
        <w:t>P</w:t>
      </w:r>
      <w:r w:rsidRPr="009E6563">
        <w:rPr>
          <w:szCs w:val="24"/>
        </w:rPr>
        <w:t xml:space="preserve">arties indicating </w:t>
      </w:r>
      <w:r w:rsidR="00CD132C">
        <w:rPr>
          <w:szCs w:val="24"/>
        </w:rPr>
        <w:t xml:space="preserve">that the </w:t>
      </w:r>
      <w:r w:rsidRPr="009E6563">
        <w:rPr>
          <w:szCs w:val="24"/>
        </w:rPr>
        <w:t>Complainant’s request would be denied unless he provided additional information in support of his request.</w:t>
      </w:r>
      <w:r w:rsidR="00CD132C">
        <w:rPr>
          <w:szCs w:val="24"/>
        </w:rPr>
        <w:t xml:space="preserve">  </w:t>
      </w:r>
      <w:r w:rsidRPr="009E6563">
        <w:rPr>
          <w:szCs w:val="24"/>
        </w:rPr>
        <w:t xml:space="preserve">On March 1, 2011, </w:t>
      </w:r>
      <w:r w:rsidR="00CD132C">
        <w:rPr>
          <w:szCs w:val="24"/>
        </w:rPr>
        <w:t xml:space="preserve">the </w:t>
      </w:r>
      <w:r w:rsidRPr="009E6563">
        <w:rPr>
          <w:szCs w:val="24"/>
        </w:rPr>
        <w:t>Complainant indicated</w:t>
      </w:r>
      <w:r w:rsidR="00CD132C">
        <w:rPr>
          <w:szCs w:val="24"/>
        </w:rPr>
        <w:t>,</w:t>
      </w:r>
      <w:r w:rsidRPr="009E6563">
        <w:rPr>
          <w:szCs w:val="24"/>
        </w:rPr>
        <w:t xml:space="preserve"> in writing</w:t>
      </w:r>
      <w:r w:rsidR="00CD132C">
        <w:rPr>
          <w:szCs w:val="24"/>
        </w:rPr>
        <w:t>, that</w:t>
      </w:r>
      <w:r w:rsidRPr="009E6563">
        <w:rPr>
          <w:szCs w:val="24"/>
        </w:rPr>
        <w:t xml:space="preserve"> he needed a telephonic hearing because he could not afford a day off from work.  </w:t>
      </w:r>
      <w:r w:rsidR="00CD132C">
        <w:rPr>
          <w:szCs w:val="24"/>
        </w:rPr>
        <w:t>O</w:t>
      </w:r>
      <w:r w:rsidRPr="009E6563">
        <w:rPr>
          <w:szCs w:val="24"/>
        </w:rPr>
        <w:t xml:space="preserve">n March 1, 2011, ALJ Fordham issued </w:t>
      </w:r>
      <w:r w:rsidR="00A3373F">
        <w:rPr>
          <w:szCs w:val="24"/>
        </w:rPr>
        <w:t xml:space="preserve">a second </w:t>
      </w:r>
      <w:r w:rsidRPr="009E6563">
        <w:rPr>
          <w:szCs w:val="24"/>
        </w:rPr>
        <w:t xml:space="preserve">Prehearing Order in which she converted the </w:t>
      </w:r>
      <w:r w:rsidR="00AF659D">
        <w:rPr>
          <w:szCs w:val="24"/>
        </w:rPr>
        <w:t xml:space="preserve">in-person </w:t>
      </w:r>
      <w:r w:rsidRPr="009E6563">
        <w:rPr>
          <w:szCs w:val="24"/>
        </w:rPr>
        <w:t>hearing scheduled for March 10, 2011</w:t>
      </w:r>
      <w:r w:rsidR="00AF659D">
        <w:rPr>
          <w:szCs w:val="24"/>
        </w:rPr>
        <w:t>,</w:t>
      </w:r>
      <w:r w:rsidRPr="009E6563">
        <w:rPr>
          <w:szCs w:val="24"/>
        </w:rPr>
        <w:t xml:space="preserve"> into a telephonic hearing.</w:t>
      </w:r>
    </w:p>
    <w:p w:rsidR="009E6563" w:rsidRPr="009E6563" w:rsidRDefault="009E6563" w:rsidP="009E6563">
      <w:pPr>
        <w:spacing w:line="360" w:lineRule="auto"/>
        <w:rPr>
          <w:szCs w:val="24"/>
        </w:rPr>
      </w:pPr>
    </w:p>
    <w:p w:rsidR="009E6563" w:rsidRPr="009E6563" w:rsidRDefault="00AF659D" w:rsidP="009E6563">
      <w:pPr>
        <w:spacing w:line="360" w:lineRule="auto"/>
        <w:ind w:firstLine="1440"/>
        <w:rPr>
          <w:szCs w:val="24"/>
        </w:rPr>
      </w:pPr>
      <w:r>
        <w:rPr>
          <w:szCs w:val="24"/>
        </w:rPr>
        <w:t>T</w:t>
      </w:r>
      <w:r w:rsidR="009E6563" w:rsidRPr="009E6563">
        <w:rPr>
          <w:szCs w:val="24"/>
        </w:rPr>
        <w:t xml:space="preserve">he initial telephonic hearing </w:t>
      </w:r>
      <w:r>
        <w:rPr>
          <w:szCs w:val="24"/>
        </w:rPr>
        <w:t xml:space="preserve">was held, </w:t>
      </w:r>
      <w:r w:rsidR="009E6563" w:rsidRPr="009E6563">
        <w:rPr>
          <w:szCs w:val="24"/>
        </w:rPr>
        <w:t>as scheduled</w:t>
      </w:r>
      <w:r>
        <w:rPr>
          <w:szCs w:val="24"/>
        </w:rPr>
        <w:t>,</w:t>
      </w:r>
      <w:r w:rsidR="009E6563" w:rsidRPr="009E6563">
        <w:rPr>
          <w:szCs w:val="24"/>
        </w:rPr>
        <w:t xml:space="preserve"> on March 10, 2011.  </w:t>
      </w:r>
      <w:r>
        <w:rPr>
          <w:szCs w:val="24"/>
        </w:rPr>
        <w:t>The Complainant</w:t>
      </w:r>
      <w:r w:rsidR="009E6563" w:rsidRPr="009E6563">
        <w:rPr>
          <w:szCs w:val="24"/>
        </w:rPr>
        <w:t xml:space="preserve"> appeared </w:t>
      </w:r>
      <w:r w:rsidR="009E6563" w:rsidRPr="009E6563">
        <w:rPr>
          <w:i/>
          <w:szCs w:val="24"/>
        </w:rPr>
        <w:t>pro se</w:t>
      </w:r>
      <w:r w:rsidR="009E6563" w:rsidRPr="009E6563">
        <w:rPr>
          <w:szCs w:val="24"/>
        </w:rPr>
        <w:t xml:space="preserve"> and testified on his own behalf.  </w:t>
      </w:r>
      <w:r>
        <w:rPr>
          <w:szCs w:val="24"/>
        </w:rPr>
        <w:t>PECO</w:t>
      </w:r>
      <w:r w:rsidR="009E6563" w:rsidRPr="009E6563">
        <w:rPr>
          <w:szCs w:val="24"/>
        </w:rPr>
        <w:t xml:space="preserve"> was represented by </w:t>
      </w:r>
      <w:r>
        <w:rPr>
          <w:szCs w:val="24"/>
        </w:rPr>
        <w:t>counsel,</w:t>
      </w:r>
      <w:r w:rsidR="009E6563" w:rsidRPr="009E6563">
        <w:rPr>
          <w:szCs w:val="24"/>
        </w:rPr>
        <w:t xml:space="preserve"> presented the testimon</w:t>
      </w:r>
      <w:r>
        <w:rPr>
          <w:szCs w:val="24"/>
        </w:rPr>
        <w:t>y</w:t>
      </w:r>
      <w:r w:rsidR="009E6563" w:rsidRPr="009E6563">
        <w:rPr>
          <w:szCs w:val="24"/>
        </w:rPr>
        <w:t xml:space="preserve"> of two witnesses, and offered four </w:t>
      </w:r>
      <w:r w:rsidR="009E6563" w:rsidRPr="009E6563">
        <w:rPr>
          <w:szCs w:val="24"/>
        </w:rPr>
        <w:lastRenderedPageBreak/>
        <w:t>exhibits</w:t>
      </w:r>
      <w:r>
        <w:rPr>
          <w:szCs w:val="24"/>
        </w:rPr>
        <w:t xml:space="preserve"> </w:t>
      </w:r>
      <w:r w:rsidR="00A3373F">
        <w:rPr>
          <w:szCs w:val="24"/>
        </w:rPr>
        <w:t>t</w:t>
      </w:r>
      <w:r>
        <w:rPr>
          <w:szCs w:val="24"/>
        </w:rPr>
        <w:t>h</w:t>
      </w:r>
      <w:r w:rsidR="00A3373F">
        <w:rPr>
          <w:szCs w:val="24"/>
        </w:rPr>
        <w:t>at</w:t>
      </w:r>
      <w:r>
        <w:rPr>
          <w:szCs w:val="24"/>
        </w:rPr>
        <w:t xml:space="preserve"> were</w:t>
      </w:r>
      <w:r w:rsidR="009E6563" w:rsidRPr="009E6563">
        <w:rPr>
          <w:szCs w:val="24"/>
        </w:rPr>
        <w:t xml:space="preserve"> admitted into evidence.  The transcript of the hearing </w:t>
      </w:r>
      <w:r w:rsidR="001A6A0C">
        <w:rPr>
          <w:szCs w:val="24"/>
        </w:rPr>
        <w:t>consists of</w:t>
      </w:r>
      <w:r w:rsidR="009E6563" w:rsidRPr="009E6563">
        <w:rPr>
          <w:szCs w:val="24"/>
        </w:rPr>
        <w:t xml:space="preserve"> sixty-nine pages.  </w:t>
      </w:r>
    </w:p>
    <w:p w:rsidR="009E6563" w:rsidRPr="009E6563" w:rsidRDefault="009E6563" w:rsidP="009E6563">
      <w:pPr>
        <w:tabs>
          <w:tab w:val="left" w:pos="2160"/>
        </w:tabs>
        <w:spacing w:line="360" w:lineRule="auto"/>
        <w:ind w:firstLine="1440"/>
        <w:rPr>
          <w:szCs w:val="24"/>
        </w:rPr>
      </w:pPr>
    </w:p>
    <w:p w:rsidR="009E6563" w:rsidRPr="009E6563" w:rsidRDefault="009E6563" w:rsidP="009E6563">
      <w:pPr>
        <w:tabs>
          <w:tab w:val="left" w:pos="2160"/>
        </w:tabs>
        <w:spacing w:line="360" w:lineRule="auto"/>
        <w:ind w:firstLine="1440"/>
        <w:rPr>
          <w:szCs w:val="24"/>
        </w:rPr>
      </w:pPr>
      <w:r w:rsidRPr="009E6563">
        <w:rPr>
          <w:szCs w:val="24"/>
        </w:rPr>
        <w:t>On February 7, 2012, the OALJ issued a Judge Change Notice authorizing Administrative Law Judge Katrina L. Dunderdale to issue a decision in this matter.  On February 21, 2012, the presiding officer closed the hearing record by Interim Order Closing the Hearing Record.</w:t>
      </w:r>
    </w:p>
    <w:p w:rsidR="009E6563" w:rsidRPr="009E6563" w:rsidRDefault="009E6563" w:rsidP="009E6563">
      <w:pPr>
        <w:tabs>
          <w:tab w:val="left" w:pos="2160"/>
        </w:tabs>
        <w:spacing w:line="360" w:lineRule="auto"/>
        <w:ind w:firstLine="1440"/>
        <w:rPr>
          <w:szCs w:val="24"/>
        </w:rPr>
      </w:pPr>
    </w:p>
    <w:p w:rsidR="0052085B" w:rsidRDefault="00C962DD" w:rsidP="007B5775">
      <w:pPr>
        <w:tabs>
          <w:tab w:val="left" w:pos="-1440"/>
          <w:tab w:val="left" w:pos="-720"/>
        </w:tabs>
        <w:suppressAutoHyphens/>
        <w:spacing w:line="360" w:lineRule="auto"/>
        <w:ind w:firstLine="1440"/>
        <w:rPr>
          <w:szCs w:val="24"/>
        </w:rPr>
      </w:pPr>
      <w:r>
        <w:rPr>
          <w:szCs w:val="24"/>
        </w:rPr>
        <w:t xml:space="preserve">In the Initial Decision, issued on </w:t>
      </w:r>
      <w:r w:rsidR="001A6A0C">
        <w:rPr>
          <w:szCs w:val="24"/>
        </w:rPr>
        <w:t>March 23</w:t>
      </w:r>
      <w:r>
        <w:rPr>
          <w:szCs w:val="24"/>
        </w:rPr>
        <w:t xml:space="preserve">, 2012, the ALJ </w:t>
      </w:r>
      <w:r w:rsidR="001A6A0C">
        <w:rPr>
          <w:szCs w:val="24"/>
        </w:rPr>
        <w:t>sustained</w:t>
      </w:r>
      <w:r>
        <w:rPr>
          <w:szCs w:val="24"/>
        </w:rPr>
        <w:t xml:space="preserve"> the Complaint</w:t>
      </w:r>
      <w:r w:rsidR="001A6A0C">
        <w:rPr>
          <w:szCs w:val="24"/>
        </w:rPr>
        <w:t>, in part, denied the Complaint, in part, and directed that PECO pay a civil</w:t>
      </w:r>
      <w:r>
        <w:rPr>
          <w:szCs w:val="24"/>
        </w:rPr>
        <w:t xml:space="preserve"> </w:t>
      </w:r>
      <w:r w:rsidR="001A6A0C">
        <w:rPr>
          <w:szCs w:val="24"/>
        </w:rPr>
        <w:t xml:space="preserve">penalty of $1,000.  </w:t>
      </w:r>
      <w:r>
        <w:rPr>
          <w:szCs w:val="24"/>
        </w:rPr>
        <w:t xml:space="preserve">As previously noted, PECO filed Exceptions on </w:t>
      </w:r>
      <w:r w:rsidR="001A6A0C">
        <w:rPr>
          <w:szCs w:val="24"/>
        </w:rPr>
        <w:t>April 12</w:t>
      </w:r>
      <w:r>
        <w:rPr>
          <w:szCs w:val="24"/>
        </w:rPr>
        <w:t xml:space="preserve">, 2012. </w:t>
      </w:r>
    </w:p>
    <w:p w:rsidR="00A3373F" w:rsidRDefault="00A3373F" w:rsidP="007B5775">
      <w:pPr>
        <w:tabs>
          <w:tab w:val="left" w:pos="-1440"/>
          <w:tab w:val="left" w:pos="-720"/>
        </w:tabs>
        <w:suppressAutoHyphens/>
        <w:spacing w:line="360" w:lineRule="auto"/>
        <w:ind w:firstLine="1440"/>
        <w:rPr>
          <w:szCs w:val="24"/>
        </w:rPr>
      </w:pPr>
    </w:p>
    <w:p w:rsidR="00E33352" w:rsidRDefault="002561C5" w:rsidP="00367C10">
      <w:pPr>
        <w:tabs>
          <w:tab w:val="left" w:pos="-1440"/>
          <w:tab w:val="left" w:pos="-720"/>
        </w:tabs>
        <w:suppressAutoHyphens/>
        <w:spacing w:line="360" w:lineRule="auto"/>
        <w:jc w:val="center"/>
        <w:rPr>
          <w:b/>
          <w:szCs w:val="26"/>
        </w:rPr>
      </w:pPr>
      <w:r w:rsidRPr="002561C5">
        <w:rPr>
          <w:b/>
          <w:szCs w:val="26"/>
        </w:rPr>
        <w:t>Discussion</w:t>
      </w:r>
    </w:p>
    <w:p w:rsidR="002561C5" w:rsidRDefault="002561C5" w:rsidP="002561C5">
      <w:pPr>
        <w:spacing w:line="360" w:lineRule="auto"/>
        <w:jc w:val="center"/>
        <w:rPr>
          <w:b/>
          <w:szCs w:val="26"/>
        </w:rPr>
      </w:pPr>
    </w:p>
    <w:p w:rsidR="00C42659" w:rsidRPr="00C42659" w:rsidRDefault="00C42659" w:rsidP="00C42659">
      <w:pPr>
        <w:widowControl w:val="0"/>
        <w:spacing w:line="360" w:lineRule="auto"/>
        <w:ind w:firstLine="1440"/>
        <w:rPr>
          <w:szCs w:val="26"/>
        </w:rPr>
      </w:pPr>
      <w:r w:rsidRPr="00C42659">
        <w:rPr>
          <w:szCs w:val="26"/>
        </w:rPr>
        <w:t xml:space="preserve">As the proponent of a rule or order, the Complainant in this proceeding bears the burden of proof pursuant to Section 332(a) of the </w:t>
      </w:r>
      <w:r w:rsidR="00AD0786">
        <w:rPr>
          <w:szCs w:val="26"/>
        </w:rPr>
        <w:t xml:space="preserve">Public Utility </w:t>
      </w:r>
      <w:r w:rsidR="005E250D">
        <w:rPr>
          <w:szCs w:val="26"/>
        </w:rPr>
        <w:t>Code</w:t>
      </w:r>
      <w:r w:rsidR="00AD0786">
        <w:rPr>
          <w:szCs w:val="26"/>
        </w:rPr>
        <w:t xml:space="preserve"> (Code)</w:t>
      </w:r>
      <w:r w:rsidR="00443DD7">
        <w:rPr>
          <w:szCs w:val="26"/>
        </w:rPr>
        <w:t>,</w:t>
      </w:r>
      <w:r w:rsidRPr="00C42659">
        <w:rPr>
          <w:szCs w:val="26"/>
        </w:rPr>
        <w:t xml:space="preserve"> 66 Pa. C.S. § 332(a).  To establish a sufficient case and satisfy the burden of proof, the Complainant must show that the Respondent is responsible or accountable for the problem described in the Complaint.  </w:t>
      </w:r>
      <w:r w:rsidRPr="00C42659">
        <w:rPr>
          <w:i/>
          <w:szCs w:val="26"/>
        </w:rPr>
        <w:t>Patterson v. The Bell Telephone Company of Pennsylvania</w:t>
      </w:r>
      <w:r w:rsidRPr="00C42659">
        <w:rPr>
          <w:szCs w:val="26"/>
        </w:rPr>
        <w:t xml:space="preserve">, 72 Pa. P.U.C. 196 (1990).  Such a showing must be by a preponderance of the evidence.  </w:t>
      </w:r>
      <w:r w:rsidRPr="00C42659">
        <w:rPr>
          <w:i/>
          <w:iCs/>
          <w:szCs w:val="26"/>
        </w:rPr>
        <w:t>Samuel J. Lansberry, Inc. v. Pa. PUC</w:t>
      </w:r>
      <w:r w:rsidRPr="00C42659">
        <w:rPr>
          <w:szCs w:val="26"/>
        </w:rPr>
        <w:t xml:space="preserve">, 578 A.2d 600 (Pa. Cmwlth. 1990), </w:t>
      </w:r>
      <w:r w:rsidRPr="00C42659">
        <w:rPr>
          <w:i/>
          <w:szCs w:val="26"/>
        </w:rPr>
        <w:t>alloc. denied,</w:t>
      </w:r>
      <w:r w:rsidRPr="00C42659">
        <w:rPr>
          <w:szCs w:val="26"/>
        </w:rPr>
        <w:t xml:space="preserve"> 529 Pa. 654, 602 A.2d 863 (1992).  That is, the Complainant’s evidence must be more convincing, by even the smallest amount, than that presented by the Respondent.  </w:t>
      </w:r>
      <w:r w:rsidRPr="00C42659">
        <w:rPr>
          <w:i/>
          <w:szCs w:val="26"/>
        </w:rPr>
        <w:t>Se-Ling Hosiery, Inc. v. Margulies</w:t>
      </w:r>
      <w:r w:rsidRPr="00C4265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42659">
        <w:rPr>
          <w:i/>
          <w:szCs w:val="26"/>
        </w:rPr>
        <w:t xml:space="preserve">Norfolk &amp; Western Ry. Co. v. Pa. PUC, </w:t>
      </w:r>
      <w:r w:rsidRPr="00C42659">
        <w:rPr>
          <w:szCs w:val="26"/>
        </w:rPr>
        <w:t>489 Pa. 109, 413 A.2d 1037 (1980).</w:t>
      </w:r>
    </w:p>
    <w:p w:rsidR="00C42659" w:rsidRPr="00C42659" w:rsidRDefault="00C42659" w:rsidP="00C42659">
      <w:pPr>
        <w:widowControl w:val="0"/>
        <w:spacing w:line="360" w:lineRule="auto"/>
        <w:rPr>
          <w:szCs w:val="26"/>
        </w:rPr>
      </w:pPr>
    </w:p>
    <w:p w:rsidR="005E2B87" w:rsidRDefault="00C42659" w:rsidP="00C42659">
      <w:pPr>
        <w:widowControl w:val="0"/>
        <w:spacing w:line="360" w:lineRule="auto"/>
        <w:ind w:firstLine="1440"/>
      </w:pPr>
      <w:r w:rsidRPr="00C42659">
        <w:lastRenderedPageBreak/>
        <w:t xml:space="preserve">Upon the presentation by a complainant of evidence sufficient to initially satisfy the burden of proof, the burden of going forward with the evidence to rebut the evidence of the customer shifts to the respondent. </w:t>
      </w:r>
      <w:r w:rsidR="00DF7F58">
        <w:t xml:space="preserve"> </w:t>
      </w:r>
      <w:r w:rsidRPr="00C42659">
        <w:t xml:space="preserve">If the evidence presented by the respondent is of co-equal value or “weight,” the burden of proof has not been satisfied. The complainant now has to provide some additional evidence to rebut that of the respondent. </w:t>
      </w:r>
      <w:r w:rsidRPr="00C42659">
        <w:rPr>
          <w:iCs/>
        </w:rPr>
        <w:t xml:space="preserve"> </w:t>
      </w:r>
      <w:hyperlink r:id="rId9" w:history="1">
        <w:r w:rsidRPr="00DF7F58">
          <w:rPr>
            <w:rFonts w:ascii="Times New (W1)" w:hAnsi="Times New (W1)"/>
            <w:i/>
          </w:rPr>
          <w:t>Burleson v. Pa. PUC</w:t>
        </w:r>
        <w:r w:rsidRPr="00DF7F58">
          <w:rPr>
            <w:rFonts w:ascii="Times New (W1)" w:hAnsi="Times New (W1)"/>
          </w:rPr>
          <w:t xml:space="preserve">, 443 A.2d 1373 (Pa. Cmwlth. 1982), </w:t>
        </w:r>
        <w:r w:rsidRPr="000C213E">
          <w:rPr>
            <w:rFonts w:ascii="Times New (W1)" w:hAnsi="Times New (W1)"/>
            <w:i/>
          </w:rPr>
          <w:t>aff’d</w:t>
        </w:r>
        <w:r w:rsidRPr="00DF7F58">
          <w:rPr>
            <w:rFonts w:ascii="Times New (W1)" w:hAnsi="Times New (W1)"/>
          </w:rPr>
          <w:t>, 501 Pa. 433, 461 A.2d 1234 (1983).</w:t>
        </w:r>
      </w:hyperlink>
      <w:r w:rsidR="00DF7F58">
        <w:rPr>
          <w:rFonts w:ascii="Times New (W1)" w:hAnsi="Times New (W1)"/>
          <w:iCs/>
        </w:rPr>
        <w:t xml:space="preserve">  </w:t>
      </w:r>
      <w:r w:rsidRPr="00C42659">
        <w:t xml:space="preserve">While the burden of </w:t>
      </w:r>
      <w:r w:rsidR="00022EC2">
        <w:t>going forward with the evidence</w:t>
      </w:r>
      <w:r w:rsidRPr="00C42659">
        <w:t xml:space="preserve"> may </w:t>
      </w:r>
      <w:r w:rsidRPr="00DF7F58">
        <w:rPr>
          <w:bCs/>
        </w:rPr>
        <w:t>shift</w:t>
      </w:r>
      <w:r w:rsidRPr="00C42659">
        <w:t xml:space="preserve"> back and forth during a proceeding, the </w:t>
      </w:r>
      <w:r w:rsidRPr="00DF7F58">
        <w:rPr>
          <w:bCs/>
        </w:rPr>
        <w:t>burden of proof</w:t>
      </w:r>
      <w:r w:rsidRPr="00C42659">
        <w:t xml:space="preserve"> never </w:t>
      </w:r>
      <w:r w:rsidRPr="00DF7F58">
        <w:rPr>
          <w:bCs/>
        </w:rPr>
        <w:t>shifts. The burden of proof</w:t>
      </w:r>
      <w:r w:rsidRPr="00C42659">
        <w:t xml:space="preserve"> always remains on the party seeking affirmative relief from the Commission.  </w:t>
      </w:r>
      <w:r w:rsidRPr="00C42659">
        <w:rPr>
          <w:i/>
        </w:rPr>
        <w:t xml:space="preserve">Milkie v. Pa. PUC, </w:t>
      </w:r>
      <w:r w:rsidRPr="00C42659">
        <w:t>768 A.2d 1217 (Pa. Cmwlth. 2001).</w:t>
      </w:r>
      <w:r w:rsidR="005E2B87">
        <w:t xml:space="preserve">  </w:t>
      </w:r>
    </w:p>
    <w:p w:rsidR="00A71FBA" w:rsidRDefault="00A71FBA" w:rsidP="00C42659">
      <w:pPr>
        <w:widowControl w:val="0"/>
        <w:spacing w:line="360" w:lineRule="auto"/>
        <w:ind w:firstLine="1440"/>
      </w:pPr>
    </w:p>
    <w:p w:rsidR="00C42659" w:rsidRPr="00C42659" w:rsidRDefault="00C42659" w:rsidP="00C42659">
      <w:pPr>
        <w:widowControl w:val="0"/>
        <w:spacing w:line="360" w:lineRule="auto"/>
        <w:ind w:firstLine="1440"/>
        <w:rPr>
          <w:szCs w:val="26"/>
        </w:rPr>
      </w:pPr>
      <w:r w:rsidRPr="00C42659">
        <w:rPr>
          <w:szCs w:val="26"/>
        </w:rPr>
        <w:t xml:space="preserve">ALJ </w:t>
      </w:r>
      <w:r w:rsidR="00647754">
        <w:rPr>
          <w:szCs w:val="26"/>
        </w:rPr>
        <w:t>Dunderdale</w:t>
      </w:r>
      <w:r w:rsidR="00DF7F58">
        <w:rPr>
          <w:szCs w:val="26"/>
        </w:rPr>
        <w:t xml:space="preserve"> </w:t>
      </w:r>
      <w:r w:rsidRPr="00C42659">
        <w:rPr>
          <w:szCs w:val="26"/>
        </w:rPr>
        <w:t xml:space="preserve">made </w:t>
      </w:r>
      <w:r w:rsidR="00647754">
        <w:rPr>
          <w:szCs w:val="26"/>
        </w:rPr>
        <w:t>twenty</w:t>
      </w:r>
      <w:r w:rsidR="005E2B87">
        <w:rPr>
          <w:szCs w:val="26"/>
        </w:rPr>
        <w:t xml:space="preserve"> </w:t>
      </w:r>
      <w:r w:rsidRPr="00C42659">
        <w:rPr>
          <w:szCs w:val="26"/>
        </w:rPr>
        <w:t>Findings of Fact and reached</w:t>
      </w:r>
      <w:r w:rsidR="00DF7F58">
        <w:rPr>
          <w:szCs w:val="26"/>
        </w:rPr>
        <w:t xml:space="preserve"> </w:t>
      </w:r>
      <w:r w:rsidR="00647754">
        <w:rPr>
          <w:szCs w:val="26"/>
        </w:rPr>
        <w:t>five</w:t>
      </w:r>
      <w:r w:rsidRPr="00C42659">
        <w:rPr>
          <w:szCs w:val="26"/>
        </w:rPr>
        <w:t xml:space="preserve"> Conclusions of Law.</w:t>
      </w:r>
      <w:r w:rsidR="00DF7F58">
        <w:rPr>
          <w:szCs w:val="26"/>
        </w:rPr>
        <w:t xml:space="preserve">  I.D. at </w:t>
      </w:r>
      <w:r w:rsidR="00647754">
        <w:rPr>
          <w:szCs w:val="26"/>
        </w:rPr>
        <w:t>2</w:t>
      </w:r>
      <w:r w:rsidR="00DF7F58">
        <w:rPr>
          <w:szCs w:val="26"/>
        </w:rPr>
        <w:t>-</w:t>
      </w:r>
      <w:r w:rsidR="00647754">
        <w:rPr>
          <w:szCs w:val="26"/>
        </w:rPr>
        <w:t>6</w:t>
      </w:r>
      <w:r w:rsidR="00DF7F58">
        <w:rPr>
          <w:szCs w:val="26"/>
        </w:rPr>
        <w:t xml:space="preserve">, </w:t>
      </w:r>
      <w:r w:rsidR="00647754">
        <w:rPr>
          <w:szCs w:val="26"/>
        </w:rPr>
        <w:t>15</w:t>
      </w:r>
      <w:r w:rsidR="00DF7F58">
        <w:rPr>
          <w:szCs w:val="26"/>
        </w:rPr>
        <w:t>.</w:t>
      </w:r>
      <w:r w:rsidRPr="00C42659">
        <w:rPr>
          <w:szCs w:val="26"/>
        </w:rPr>
        <w:t xml:space="preserve">  The Findings of Fact and Conclusions of Law are incorporated herein by reference and are adopted without comment unless they are either expressly or by necessary implication rejected or modified by this Opinion and Order.</w:t>
      </w:r>
    </w:p>
    <w:p w:rsidR="00C42659" w:rsidRPr="00C42659" w:rsidRDefault="00C42659" w:rsidP="00C42659">
      <w:pPr>
        <w:widowControl w:val="0"/>
        <w:spacing w:line="360" w:lineRule="auto"/>
        <w:rPr>
          <w:szCs w:val="26"/>
        </w:rPr>
      </w:pPr>
    </w:p>
    <w:p w:rsidR="00D83968" w:rsidRDefault="00C42659" w:rsidP="00C42659">
      <w:pPr>
        <w:spacing w:line="360" w:lineRule="auto"/>
        <w:ind w:firstLine="1440"/>
        <w:rPr>
          <w:color w:val="000000"/>
          <w:szCs w:val="26"/>
        </w:rPr>
      </w:pPr>
      <w:r w:rsidRPr="00C42659">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1F73C2">
          <w:rPr>
            <w:i/>
            <w:iCs/>
            <w:color w:val="000000"/>
            <w:szCs w:val="26"/>
          </w:rPr>
          <w:t xml:space="preserve">Consolidated Rail Corp. v. Pa. PUC, </w:t>
        </w:r>
        <w:r w:rsidRPr="001F73C2">
          <w:rPr>
            <w:color w:val="000000"/>
            <w:szCs w:val="26"/>
          </w:rPr>
          <w:t>625 A.2d 741 (Pa. Cmwlth. 1993);</w:t>
        </w:r>
      </w:hyperlink>
      <w:r w:rsidRPr="00C42659">
        <w:rPr>
          <w:color w:val="000000"/>
          <w:szCs w:val="26"/>
        </w:rPr>
        <w:t xml:space="preserve"> </w:t>
      </w:r>
      <w:r w:rsidRPr="00C42659">
        <w:rPr>
          <w:i/>
          <w:color w:val="000000"/>
          <w:szCs w:val="26"/>
        </w:rPr>
        <w:t xml:space="preserve">also </w:t>
      </w:r>
      <w:r w:rsidRPr="00C42659">
        <w:rPr>
          <w:i/>
          <w:iCs/>
          <w:color w:val="000000"/>
          <w:szCs w:val="26"/>
        </w:rPr>
        <w:t xml:space="preserve">see, generally, </w:t>
      </w:r>
      <w:hyperlink r:id="rId11" w:history="1">
        <w:r w:rsidRPr="001F73C2">
          <w:rPr>
            <w:i/>
            <w:iCs/>
            <w:color w:val="000000"/>
            <w:szCs w:val="26"/>
          </w:rPr>
          <w:t>University of Pennsylvania v. Pa. PUC</w:t>
        </w:r>
        <w:r w:rsidRPr="001F73C2">
          <w:rPr>
            <w:color w:val="000000"/>
            <w:szCs w:val="26"/>
          </w:rPr>
          <w:t>, 485 A.2d 1217 (Pa. Cmwlth. 1984).</w:t>
        </w:r>
      </w:hyperlink>
    </w:p>
    <w:p w:rsidR="00B922E1" w:rsidRDefault="00B922E1" w:rsidP="005E1B9D">
      <w:pPr>
        <w:spacing w:line="360" w:lineRule="auto"/>
        <w:ind w:firstLine="1440"/>
        <w:rPr>
          <w:b/>
          <w:szCs w:val="26"/>
        </w:rPr>
      </w:pPr>
    </w:p>
    <w:p w:rsidR="00056646" w:rsidRDefault="00662253" w:rsidP="00BF7703">
      <w:pPr>
        <w:spacing w:line="360" w:lineRule="auto"/>
        <w:ind w:firstLine="1440"/>
        <w:rPr>
          <w:szCs w:val="26"/>
        </w:rPr>
      </w:pPr>
      <w:r>
        <w:rPr>
          <w:szCs w:val="26"/>
        </w:rPr>
        <w:t xml:space="preserve">In the Initial Decision, the ALJ </w:t>
      </w:r>
      <w:r w:rsidR="00AD0786">
        <w:rPr>
          <w:szCs w:val="26"/>
        </w:rPr>
        <w:t>sustained</w:t>
      </w:r>
      <w:r w:rsidR="00A3373F">
        <w:rPr>
          <w:szCs w:val="26"/>
        </w:rPr>
        <w:t>, in part,</w:t>
      </w:r>
      <w:r w:rsidR="00AD0786">
        <w:rPr>
          <w:szCs w:val="26"/>
        </w:rPr>
        <w:t xml:space="preserve"> the Complainant’s high bill complaint</w:t>
      </w:r>
      <w:r w:rsidR="00C366FB">
        <w:rPr>
          <w:szCs w:val="26"/>
        </w:rPr>
        <w:t xml:space="preserve">.  The ALJ concluded that the evidence showed that </w:t>
      </w:r>
      <w:r w:rsidR="00AD0786">
        <w:rPr>
          <w:szCs w:val="26"/>
        </w:rPr>
        <w:t xml:space="preserve">PECO’s </w:t>
      </w:r>
      <w:r w:rsidR="00C366FB">
        <w:rPr>
          <w:szCs w:val="26"/>
        </w:rPr>
        <w:t>meter</w:t>
      </w:r>
      <w:r w:rsidR="00AD0786">
        <w:rPr>
          <w:szCs w:val="26"/>
        </w:rPr>
        <w:t xml:space="preserve"> was defective in May 2009 and</w:t>
      </w:r>
      <w:r w:rsidR="00C366FB">
        <w:rPr>
          <w:szCs w:val="26"/>
        </w:rPr>
        <w:t>, as a result,</w:t>
      </w:r>
      <w:r w:rsidR="00AD0786">
        <w:rPr>
          <w:szCs w:val="26"/>
        </w:rPr>
        <w:t xml:space="preserve"> </w:t>
      </w:r>
      <w:r w:rsidR="00C366FB">
        <w:rPr>
          <w:szCs w:val="26"/>
        </w:rPr>
        <w:t xml:space="preserve">PECO overcharged the Complainant for electric services it supplied from October 2008 to May 2009.  I.D. at 9, 12.  </w:t>
      </w:r>
      <w:r w:rsidR="00056646">
        <w:rPr>
          <w:szCs w:val="26"/>
        </w:rPr>
        <w:t>The ALJ stated that PECO should have tested the meter after its removal in May 2009</w:t>
      </w:r>
      <w:r w:rsidR="00A3373F">
        <w:rPr>
          <w:szCs w:val="26"/>
        </w:rPr>
        <w:t>,</w:t>
      </w:r>
      <w:r w:rsidR="00056646">
        <w:rPr>
          <w:szCs w:val="26"/>
        </w:rPr>
        <w:t xml:space="preserve"> because this would have proven the meter was not defective, and in a high bill investigation, PECO was on </w:t>
      </w:r>
      <w:r w:rsidR="00056646">
        <w:rPr>
          <w:szCs w:val="26"/>
        </w:rPr>
        <w:lastRenderedPageBreak/>
        <w:t>notice that the issue of a defective meter was paramount.  She reasoned that, because the meter was solely in PECO’s control and possession, there was a negative inference to be drawn from PECO’s failure to test the meter and produce the test results at the hearing.</w:t>
      </w:r>
      <w:r w:rsidR="00056646" w:rsidRPr="00056646">
        <w:rPr>
          <w:i/>
          <w:szCs w:val="26"/>
        </w:rPr>
        <w:t xml:space="preserve"> Id</w:t>
      </w:r>
      <w:r w:rsidR="00056646">
        <w:rPr>
          <w:szCs w:val="26"/>
        </w:rPr>
        <w:t xml:space="preserve">. at 10.          </w:t>
      </w:r>
    </w:p>
    <w:p w:rsidR="00056646" w:rsidRDefault="00056646" w:rsidP="00BF7703">
      <w:pPr>
        <w:spacing w:line="360" w:lineRule="auto"/>
        <w:ind w:firstLine="1440"/>
        <w:rPr>
          <w:szCs w:val="26"/>
        </w:rPr>
      </w:pPr>
    </w:p>
    <w:p w:rsidR="00A3373F" w:rsidRDefault="00C366FB" w:rsidP="00800510">
      <w:pPr>
        <w:spacing w:line="360" w:lineRule="auto"/>
        <w:ind w:firstLine="1440"/>
      </w:pPr>
      <w:r>
        <w:rPr>
          <w:szCs w:val="26"/>
        </w:rPr>
        <w:t>The ALJ also found</w:t>
      </w:r>
      <w:r w:rsidR="00AD0786">
        <w:rPr>
          <w:szCs w:val="26"/>
        </w:rPr>
        <w:t xml:space="preserve"> that PECO’s actions </w:t>
      </w:r>
      <w:r>
        <w:rPr>
          <w:szCs w:val="26"/>
        </w:rPr>
        <w:t xml:space="preserve">in telling the Complainant not to make a payment until he received the Utility Report, which PECO did not issue until October 2009, </w:t>
      </w:r>
      <w:r w:rsidR="00AD0786">
        <w:rPr>
          <w:szCs w:val="26"/>
        </w:rPr>
        <w:t xml:space="preserve">caused </w:t>
      </w:r>
      <w:r>
        <w:rPr>
          <w:szCs w:val="26"/>
        </w:rPr>
        <w:t>the Complainant to build up an</w:t>
      </w:r>
      <w:r w:rsidR="00AD0786">
        <w:rPr>
          <w:szCs w:val="26"/>
        </w:rPr>
        <w:t xml:space="preserve"> arrearage on </w:t>
      </w:r>
      <w:r>
        <w:rPr>
          <w:szCs w:val="26"/>
        </w:rPr>
        <w:t>his</w:t>
      </w:r>
      <w:r w:rsidR="00AD0786">
        <w:rPr>
          <w:szCs w:val="26"/>
        </w:rPr>
        <w:t xml:space="preserve"> account.  </w:t>
      </w:r>
      <w:r w:rsidR="00056646">
        <w:rPr>
          <w:i/>
          <w:szCs w:val="26"/>
        </w:rPr>
        <w:t>Id.</w:t>
      </w:r>
      <w:r w:rsidR="00C74C66">
        <w:rPr>
          <w:szCs w:val="26"/>
        </w:rPr>
        <w:t> at </w:t>
      </w:r>
      <w:r>
        <w:rPr>
          <w:szCs w:val="26"/>
        </w:rPr>
        <w:t>1</w:t>
      </w:r>
      <w:r w:rsidR="00C74C66">
        <w:rPr>
          <w:szCs w:val="26"/>
        </w:rPr>
        <w:t>1, </w:t>
      </w:r>
      <w:r>
        <w:rPr>
          <w:szCs w:val="26"/>
        </w:rPr>
        <w:t xml:space="preserve">12.  </w:t>
      </w:r>
      <w:r w:rsidR="00AD0786">
        <w:rPr>
          <w:szCs w:val="26"/>
        </w:rPr>
        <w:t xml:space="preserve">She </w:t>
      </w:r>
      <w:r w:rsidR="00056646">
        <w:rPr>
          <w:szCs w:val="26"/>
        </w:rPr>
        <w:t xml:space="preserve">further </w:t>
      </w:r>
      <w:r w:rsidR="00AD0786">
        <w:rPr>
          <w:szCs w:val="26"/>
        </w:rPr>
        <w:t>found that PECO failed to provide reasonable and adequate service under Section 1501 of the Code</w:t>
      </w:r>
      <w:r w:rsidR="007E385F">
        <w:rPr>
          <w:szCs w:val="26"/>
        </w:rPr>
        <w:t>, 66 Pa. C.S. § 1501,</w:t>
      </w:r>
      <w:r w:rsidR="00AD0786">
        <w:rPr>
          <w:szCs w:val="26"/>
        </w:rPr>
        <w:t xml:space="preserve"> when it delayed multiple times in handling the high bill investigation.</w:t>
      </w:r>
      <w:r w:rsidR="00056646">
        <w:rPr>
          <w:szCs w:val="26"/>
        </w:rPr>
        <w:t xml:space="preserve">  </w:t>
      </w:r>
      <w:r w:rsidR="00056646" w:rsidRPr="00056646">
        <w:rPr>
          <w:i/>
          <w:szCs w:val="26"/>
        </w:rPr>
        <w:t>Id</w:t>
      </w:r>
      <w:r w:rsidR="00056646">
        <w:rPr>
          <w:szCs w:val="26"/>
        </w:rPr>
        <w:t>. at 12.</w:t>
      </w:r>
      <w:r w:rsidR="00FB5E6C">
        <w:rPr>
          <w:szCs w:val="26"/>
        </w:rPr>
        <w:t xml:space="preserve">  The ALJ stated that it took PECO </w:t>
      </w:r>
      <w:r w:rsidR="004E4E92">
        <w:rPr>
          <w:szCs w:val="26"/>
        </w:rPr>
        <w:t>six months to complete the high bill complaint investigation</w:t>
      </w:r>
      <w:r w:rsidR="00FB5E6C">
        <w:rPr>
          <w:szCs w:val="26"/>
        </w:rPr>
        <w:t xml:space="preserve">.  </w:t>
      </w:r>
      <w:r w:rsidR="00904DC3" w:rsidRPr="00904DC3">
        <w:rPr>
          <w:i/>
          <w:szCs w:val="26"/>
        </w:rPr>
        <w:t>Id</w:t>
      </w:r>
      <w:r w:rsidR="00904DC3">
        <w:rPr>
          <w:szCs w:val="26"/>
        </w:rPr>
        <w:t>. at 11.</w:t>
      </w:r>
      <w:r w:rsidR="00146C68">
        <w:rPr>
          <w:szCs w:val="26"/>
        </w:rPr>
        <w:t xml:space="preserve">  The ALJ analyzed the Commission’s </w:t>
      </w:r>
      <w:r w:rsidR="00E768E8">
        <w:rPr>
          <w:rFonts w:cs="Calibri"/>
        </w:rPr>
        <w:t>Policy Statement at 52 Pa. Code §</w:t>
      </w:r>
      <w:r w:rsidR="00E768E8">
        <w:t xml:space="preserve"> 69.1201</w:t>
      </w:r>
      <w:r w:rsidR="00177D81">
        <w:t xml:space="preserve"> (</w:t>
      </w:r>
      <w:r w:rsidR="00177D81">
        <w:rPr>
          <w:i/>
        </w:rPr>
        <w:t>Policy Statement</w:t>
      </w:r>
      <w:r w:rsidR="00177D81">
        <w:t>)</w:t>
      </w:r>
      <w:r w:rsidR="00F04E84">
        <w:t>, which</w:t>
      </w:r>
      <w:r w:rsidR="00E768E8">
        <w:t xml:space="preserve"> sets forth ten factors that we may consider in evaluating whether a fine for violating a Commission order, regulation or statute is appropriate, as well as if a proposed settlement for a violation is reasonable and approval of the settlement agreement is in the public interest.</w:t>
      </w:r>
      <w:r w:rsidR="00F04E84">
        <w:t xml:space="preserve">  Based on her analysis, the ALJ concluded that a civil penalty of $1,000 was appropriate.  </w:t>
      </w:r>
      <w:r w:rsidR="00F04E84" w:rsidRPr="00F04E84">
        <w:rPr>
          <w:i/>
        </w:rPr>
        <w:t>Id</w:t>
      </w:r>
      <w:r w:rsidR="00F04E84">
        <w:t xml:space="preserve">. at 12-15. </w:t>
      </w:r>
    </w:p>
    <w:p w:rsidR="00E768E8" w:rsidRDefault="00F04E84" w:rsidP="00800510">
      <w:pPr>
        <w:spacing w:line="360" w:lineRule="auto"/>
        <w:ind w:firstLine="1440"/>
      </w:pPr>
      <w:r>
        <w:t xml:space="preserve">   </w:t>
      </w:r>
    </w:p>
    <w:p w:rsidR="00033027" w:rsidRDefault="006163CF" w:rsidP="00BF7703">
      <w:pPr>
        <w:spacing w:line="360" w:lineRule="auto"/>
        <w:ind w:firstLine="1440"/>
        <w:rPr>
          <w:szCs w:val="26"/>
        </w:rPr>
      </w:pPr>
      <w:r>
        <w:rPr>
          <w:szCs w:val="26"/>
        </w:rPr>
        <w:t>Moreover, the ALJ denied the Complaint, in part</w:t>
      </w:r>
      <w:r w:rsidR="00C10968">
        <w:rPr>
          <w:szCs w:val="26"/>
        </w:rPr>
        <w:t>, on the basis that PECO provided an adjustment of the Complainant’s bills that was reasonable and adequate under the circumstances</w:t>
      </w:r>
      <w:r>
        <w:rPr>
          <w:szCs w:val="26"/>
        </w:rPr>
        <w:t>.</w:t>
      </w:r>
      <w:r w:rsidR="00C10968">
        <w:rPr>
          <w:szCs w:val="26"/>
        </w:rPr>
        <w:t xml:space="preserve">  </w:t>
      </w:r>
      <w:r w:rsidR="00C10968" w:rsidRPr="00C10968">
        <w:rPr>
          <w:i/>
          <w:szCs w:val="26"/>
        </w:rPr>
        <w:t>Id</w:t>
      </w:r>
      <w:r w:rsidR="00C10968">
        <w:rPr>
          <w:szCs w:val="26"/>
        </w:rPr>
        <w:t>. at 12.  She noted that PECO determined what the Complainant’s electricity consumption most likely was based on the historical record of the Complainant’s consumption in the previous year over the same months and made a percentage reduction in the Complainant’s bills based on that assumption.  She additionally found that the Complainant did not meet his burden of proving that the late charges assessed by PECO were assessed in error.</w:t>
      </w:r>
      <w:r w:rsidR="00C10968" w:rsidRPr="00C10968">
        <w:rPr>
          <w:i/>
          <w:szCs w:val="26"/>
        </w:rPr>
        <w:t xml:space="preserve"> </w:t>
      </w:r>
      <w:r w:rsidR="00C10968">
        <w:rPr>
          <w:i/>
          <w:szCs w:val="26"/>
        </w:rPr>
        <w:t xml:space="preserve"> </w:t>
      </w:r>
      <w:r w:rsidR="00C10968" w:rsidRPr="00C10968">
        <w:rPr>
          <w:i/>
          <w:szCs w:val="26"/>
        </w:rPr>
        <w:t>Id</w:t>
      </w:r>
      <w:r w:rsidR="00C10968">
        <w:rPr>
          <w:szCs w:val="26"/>
        </w:rPr>
        <w:t xml:space="preserve">. at 11. </w:t>
      </w:r>
    </w:p>
    <w:p w:rsidR="00033027" w:rsidRDefault="00033027" w:rsidP="00BF7703">
      <w:pPr>
        <w:spacing w:line="360" w:lineRule="auto"/>
        <w:ind w:firstLine="1440"/>
        <w:rPr>
          <w:szCs w:val="26"/>
        </w:rPr>
      </w:pPr>
    </w:p>
    <w:p w:rsidR="00C46B1B" w:rsidRDefault="00510115" w:rsidP="00BF7703">
      <w:pPr>
        <w:spacing w:line="360" w:lineRule="auto"/>
        <w:ind w:firstLine="1440"/>
        <w:rPr>
          <w:szCs w:val="26"/>
        </w:rPr>
      </w:pPr>
      <w:r>
        <w:rPr>
          <w:szCs w:val="26"/>
        </w:rPr>
        <w:lastRenderedPageBreak/>
        <w:t xml:space="preserve">In its first Exception, PECO avers that the Initial Decision misstates the length of time it took PECO to complete the high bill investigation.  PECO submits that the record shows the high bill investigation was actually completed in five weeks, not six months as stated in the Initial Decision.  It states that the ALJ incorrectly looked at the date that the Complainant contacted PECO to request a high bill investigation, April 20, 2009, as the start of the dispute and the date that the utility report was issued, October 26, 2009, as the closing date of the dispute.  </w:t>
      </w:r>
      <w:r w:rsidR="00C1182F">
        <w:rPr>
          <w:szCs w:val="26"/>
        </w:rPr>
        <w:t>Exc. at 5.</w:t>
      </w:r>
      <w:r w:rsidR="00C46B1B">
        <w:rPr>
          <w:szCs w:val="26"/>
        </w:rPr>
        <w:t xml:space="preserve">  PECO believes that the ALJ’s conclusions resulted in the improper finding that PECO was untimely in its response to the high bill complaint and that PECO failed to provide reasonable and adequate customer service.     </w:t>
      </w:r>
      <w:r w:rsidR="00C1182F">
        <w:rPr>
          <w:szCs w:val="26"/>
        </w:rPr>
        <w:t xml:space="preserve">  </w:t>
      </w:r>
    </w:p>
    <w:p w:rsidR="00C46B1B" w:rsidRDefault="00C46B1B" w:rsidP="00BF7703">
      <w:pPr>
        <w:spacing w:line="360" w:lineRule="auto"/>
        <w:ind w:firstLine="1440"/>
        <w:rPr>
          <w:szCs w:val="26"/>
        </w:rPr>
      </w:pPr>
    </w:p>
    <w:p w:rsidR="005B7BA6" w:rsidRDefault="00510115" w:rsidP="00BF7703">
      <w:pPr>
        <w:spacing w:line="360" w:lineRule="auto"/>
        <w:ind w:firstLine="1440"/>
        <w:rPr>
          <w:szCs w:val="26"/>
        </w:rPr>
      </w:pPr>
      <w:r>
        <w:rPr>
          <w:szCs w:val="26"/>
        </w:rPr>
        <w:t xml:space="preserve">According to PECO, the high bill investigation was completed </w:t>
      </w:r>
      <w:r w:rsidR="00C1182F">
        <w:rPr>
          <w:szCs w:val="26"/>
        </w:rPr>
        <w:t xml:space="preserve">during PECO’s field investigation </w:t>
      </w:r>
      <w:r>
        <w:rPr>
          <w:szCs w:val="26"/>
        </w:rPr>
        <w:t>on May 28, 2009, as shown in PECO Exhibit 7</w:t>
      </w:r>
      <w:r w:rsidR="00C1182F">
        <w:rPr>
          <w:szCs w:val="26"/>
        </w:rPr>
        <w:t>.  PECO states that</w:t>
      </w:r>
      <w:r>
        <w:rPr>
          <w:szCs w:val="26"/>
        </w:rPr>
        <w:t xml:space="preserve"> the results </w:t>
      </w:r>
      <w:r w:rsidR="00C1182F">
        <w:rPr>
          <w:szCs w:val="26"/>
        </w:rPr>
        <w:t xml:space="preserve">of the investigation and the rebilling remedy </w:t>
      </w:r>
      <w:r>
        <w:rPr>
          <w:szCs w:val="26"/>
        </w:rPr>
        <w:t xml:space="preserve">were conveyed </w:t>
      </w:r>
      <w:r w:rsidR="00C1182F">
        <w:rPr>
          <w:szCs w:val="26"/>
        </w:rPr>
        <w:t xml:space="preserve">orally </w:t>
      </w:r>
      <w:r>
        <w:rPr>
          <w:szCs w:val="26"/>
        </w:rPr>
        <w:t xml:space="preserve">to the Complainant </w:t>
      </w:r>
      <w:r w:rsidR="00C1182F">
        <w:rPr>
          <w:szCs w:val="26"/>
        </w:rPr>
        <w:t xml:space="preserve">by a PECO employee </w:t>
      </w:r>
      <w:r>
        <w:rPr>
          <w:szCs w:val="26"/>
        </w:rPr>
        <w:t xml:space="preserve">at that time and </w:t>
      </w:r>
      <w:r w:rsidR="00C1182F">
        <w:rPr>
          <w:szCs w:val="26"/>
        </w:rPr>
        <w:t xml:space="preserve">that </w:t>
      </w:r>
      <w:r>
        <w:rPr>
          <w:szCs w:val="26"/>
        </w:rPr>
        <w:t>the Complainant indicated that he was satisfied.</w:t>
      </w:r>
      <w:r w:rsidR="00C1182F">
        <w:rPr>
          <w:szCs w:val="26"/>
        </w:rPr>
        <w:t xml:space="preserve">  As such, PECO believes that it was not required to issue a written utility report at that time pursuant to 52 Pa. Code § 56.151.  </w:t>
      </w:r>
      <w:r w:rsidR="00C1182F" w:rsidRPr="00C1182F">
        <w:rPr>
          <w:i/>
          <w:szCs w:val="26"/>
        </w:rPr>
        <w:t>Id</w:t>
      </w:r>
      <w:r w:rsidR="00C1182F">
        <w:rPr>
          <w:szCs w:val="26"/>
        </w:rPr>
        <w:t xml:space="preserve">. at 6.  </w:t>
      </w:r>
    </w:p>
    <w:p w:rsidR="005B7BA6" w:rsidRDefault="005B7BA6" w:rsidP="00BF7703">
      <w:pPr>
        <w:spacing w:line="360" w:lineRule="auto"/>
        <w:ind w:firstLine="1440"/>
        <w:rPr>
          <w:szCs w:val="26"/>
        </w:rPr>
      </w:pPr>
    </w:p>
    <w:p w:rsidR="00DE6B1A" w:rsidRDefault="005B7BA6" w:rsidP="00BF7703">
      <w:pPr>
        <w:spacing w:line="360" w:lineRule="auto"/>
        <w:ind w:firstLine="1440"/>
        <w:rPr>
          <w:szCs w:val="26"/>
        </w:rPr>
      </w:pPr>
      <w:r>
        <w:rPr>
          <w:szCs w:val="26"/>
        </w:rPr>
        <w:t xml:space="preserve">PECO additionally indicates that another PECO employee issued a further oral utility report to the Complainant on June 22, 2009, to again explain the results of the investigation and the rebilling remedy.  </w:t>
      </w:r>
      <w:r w:rsidR="005E167A">
        <w:rPr>
          <w:szCs w:val="26"/>
        </w:rPr>
        <w:t xml:space="preserve">PECO </w:t>
      </w:r>
      <w:r>
        <w:rPr>
          <w:szCs w:val="26"/>
        </w:rPr>
        <w:t>s</w:t>
      </w:r>
      <w:r w:rsidR="005E167A">
        <w:rPr>
          <w:szCs w:val="26"/>
        </w:rPr>
        <w:t>t</w:t>
      </w:r>
      <w:r>
        <w:rPr>
          <w:szCs w:val="26"/>
        </w:rPr>
        <w:t>at</w:t>
      </w:r>
      <w:r w:rsidR="005E167A">
        <w:rPr>
          <w:szCs w:val="26"/>
        </w:rPr>
        <w:t>es that, as demonstrated by PECO Exhibit 1, the rebilling was effectuated in PECO’s billing system on August 2</w:t>
      </w:r>
      <w:r w:rsidR="00C46B1B">
        <w:rPr>
          <w:szCs w:val="26"/>
        </w:rPr>
        <w:t>6</w:t>
      </w:r>
      <w:r w:rsidR="005E167A">
        <w:rPr>
          <w:szCs w:val="26"/>
        </w:rPr>
        <w:t xml:space="preserve">, 2009, and resulted in the Complainant’s charges for the period from October 2008 through May 2009 being reduced from $1,379.15 to $762.22.  </w:t>
      </w:r>
      <w:r>
        <w:rPr>
          <w:szCs w:val="26"/>
        </w:rPr>
        <w:t>PECO avers that, at some point after the rebill, the Complainant disputed the amount of the rebill.  As a result, PECO explained the rebilling to the Complainant orally on multiple occasions and then issued a written utility report on October 26, 2009, which served to close that billing dispute.</w:t>
      </w:r>
      <w:r w:rsidRPr="005B7BA6">
        <w:rPr>
          <w:i/>
          <w:szCs w:val="26"/>
        </w:rPr>
        <w:t xml:space="preserve"> </w:t>
      </w:r>
      <w:r>
        <w:rPr>
          <w:i/>
          <w:szCs w:val="26"/>
        </w:rPr>
        <w:t xml:space="preserve"> </w:t>
      </w:r>
      <w:r w:rsidRPr="005E167A">
        <w:rPr>
          <w:i/>
          <w:szCs w:val="26"/>
        </w:rPr>
        <w:t>Id</w:t>
      </w:r>
      <w:r>
        <w:rPr>
          <w:szCs w:val="26"/>
        </w:rPr>
        <w:t xml:space="preserve">. at 7.  </w:t>
      </w:r>
    </w:p>
    <w:p w:rsidR="00DE6B1A" w:rsidRDefault="00DE6B1A" w:rsidP="00BF7703">
      <w:pPr>
        <w:spacing w:line="360" w:lineRule="auto"/>
        <w:ind w:firstLine="1440"/>
        <w:rPr>
          <w:szCs w:val="26"/>
        </w:rPr>
      </w:pPr>
    </w:p>
    <w:p w:rsidR="004D650D" w:rsidRDefault="007E385F" w:rsidP="00BF7703">
      <w:pPr>
        <w:spacing w:line="360" w:lineRule="auto"/>
        <w:ind w:firstLine="1440"/>
        <w:rPr>
          <w:szCs w:val="26"/>
        </w:rPr>
      </w:pPr>
      <w:r>
        <w:rPr>
          <w:szCs w:val="26"/>
        </w:rPr>
        <w:lastRenderedPageBreak/>
        <w:t>Based on our review of this issue, we find that the ALJ correctly determined that PECO failed to provide reasonable and adequate service under Section 1501 of the Code when it delayed multiple times in handling the high bill investigation.</w:t>
      </w:r>
      <w:r w:rsidR="00F61BCF">
        <w:rPr>
          <w:szCs w:val="26"/>
        </w:rPr>
        <w:t xml:space="preserve">  While PECO did act in a reasonable manner by replacing the meter and communicating the rebilling remedy to the Complainant during its field investigation on May 28, 2009, it did not effectuate the rebilling remedy until August 26, 2009, four months after the Complainant initially contacted PECO to request that it conduct a high bill investigation.</w:t>
      </w:r>
      <w:r w:rsidR="00E57225">
        <w:rPr>
          <w:szCs w:val="26"/>
        </w:rPr>
        <w:t xml:space="preserve">  Moreover, the written utility report</w:t>
      </w:r>
      <w:r w:rsidR="00F61BCF">
        <w:rPr>
          <w:szCs w:val="26"/>
        </w:rPr>
        <w:t xml:space="preserve"> </w:t>
      </w:r>
      <w:r w:rsidR="00E57225">
        <w:rPr>
          <w:szCs w:val="26"/>
        </w:rPr>
        <w:t>was not issued until October 26, 2009, six months after the Complainant’s initial contact with PECO.  In the meantime, the Complainant buil</w:t>
      </w:r>
      <w:r w:rsidR="004E4BD5">
        <w:rPr>
          <w:szCs w:val="26"/>
        </w:rPr>
        <w:t>t</w:t>
      </w:r>
      <w:r w:rsidR="00E57225">
        <w:rPr>
          <w:szCs w:val="26"/>
        </w:rPr>
        <w:t xml:space="preserve"> up an arrearage on his account </w:t>
      </w:r>
      <w:r w:rsidR="004E4BD5">
        <w:rPr>
          <w:szCs w:val="26"/>
        </w:rPr>
        <w:t xml:space="preserve">from August 2009 to October 2009, </w:t>
      </w:r>
      <w:r w:rsidR="00E57225">
        <w:rPr>
          <w:szCs w:val="26"/>
        </w:rPr>
        <w:t>because, according to the Complainant’s testimony, PECO advised him in July 2009 not to send in any payments until the matter with the electric meter was resolved.  Tr. at 8.  PECO did not present any evidence to refute the Complainant’s testimony on this issue.</w:t>
      </w:r>
      <w:r w:rsidR="00C7668F">
        <w:rPr>
          <w:szCs w:val="26"/>
        </w:rPr>
        <w:t xml:space="preserve">  It was not until the utility report was issued that PECO informed the Complainant of the amount due on his account in order to avoid delinquency.</w:t>
      </w:r>
      <w:r w:rsidR="002F5E58">
        <w:rPr>
          <w:szCs w:val="26"/>
        </w:rPr>
        <w:t xml:space="preserve">  </w:t>
      </w:r>
      <w:r w:rsidR="00C7668F">
        <w:rPr>
          <w:szCs w:val="26"/>
        </w:rPr>
        <w:t xml:space="preserve">PECO Exhibit 5.  </w:t>
      </w:r>
      <w:r w:rsidR="002F5E58">
        <w:rPr>
          <w:szCs w:val="26"/>
        </w:rPr>
        <w:t xml:space="preserve">Accordingly, we shall deny PECO’s first Exception.  </w:t>
      </w:r>
      <w:r w:rsidR="00E57225">
        <w:rPr>
          <w:szCs w:val="26"/>
        </w:rPr>
        <w:t xml:space="preserve">  </w:t>
      </w:r>
    </w:p>
    <w:p w:rsidR="002F5E58" w:rsidRDefault="002F5E58" w:rsidP="00BF7703">
      <w:pPr>
        <w:spacing w:line="360" w:lineRule="auto"/>
        <w:ind w:firstLine="1440"/>
        <w:rPr>
          <w:szCs w:val="26"/>
        </w:rPr>
      </w:pPr>
    </w:p>
    <w:p w:rsidR="009F6B59" w:rsidRDefault="00DE6B1A" w:rsidP="00BF7703">
      <w:pPr>
        <w:spacing w:line="360" w:lineRule="auto"/>
        <w:ind w:firstLine="1440"/>
        <w:rPr>
          <w:szCs w:val="26"/>
        </w:rPr>
      </w:pPr>
      <w:r>
        <w:rPr>
          <w:szCs w:val="26"/>
        </w:rPr>
        <w:t xml:space="preserve">In its second Exception, PECO states that the Initial Decision’s “negative inference” as a basis for factual findings of a defective meter and overbilling is improper.  </w:t>
      </w:r>
      <w:r w:rsidR="00BB78A0">
        <w:rPr>
          <w:szCs w:val="26"/>
        </w:rPr>
        <w:t xml:space="preserve">PECO avers that the Complainant did not provide any evidence, actual or circumstantial, that the meter was defective or that the billing was improper.  </w:t>
      </w:r>
      <w:r w:rsidR="00BB78A0" w:rsidRPr="00BB78A0">
        <w:rPr>
          <w:i/>
          <w:szCs w:val="26"/>
        </w:rPr>
        <w:t>Id</w:t>
      </w:r>
      <w:r w:rsidR="00BB78A0">
        <w:rPr>
          <w:szCs w:val="26"/>
        </w:rPr>
        <w:t xml:space="preserve">. at 8.  PECO explains that the meter could not be tested by the field representative because the digital display was not visible.  It further explained that the meter itself was not defective and was sending actual consumption readings to PECO, but that the digital display was defective and was therefore replaced.  </w:t>
      </w:r>
      <w:r w:rsidR="00BB78A0" w:rsidRPr="00BB78A0">
        <w:rPr>
          <w:i/>
          <w:szCs w:val="26"/>
        </w:rPr>
        <w:t>Id</w:t>
      </w:r>
      <w:r w:rsidR="00BB78A0">
        <w:rPr>
          <w:szCs w:val="26"/>
        </w:rPr>
        <w:t xml:space="preserve">. at 9.  </w:t>
      </w:r>
    </w:p>
    <w:p w:rsidR="009F6B59" w:rsidRDefault="009F6B59" w:rsidP="00BF7703">
      <w:pPr>
        <w:spacing w:line="360" w:lineRule="auto"/>
        <w:ind w:firstLine="1440"/>
        <w:rPr>
          <w:szCs w:val="26"/>
        </w:rPr>
      </w:pPr>
    </w:p>
    <w:p w:rsidR="00507EF4" w:rsidRDefault="009F6B59" w:rsidP="00BF7703">
      <w:pPr>
        <w:spacing w:line="360" w:lineRule="auto"/>
        <w:ind w:firstLine="1440"/>
        <w:rPr>
          <w:szCs w:val="26"/>
        </w:rPr>
      </w:pPr>
      <w:r>
        <w:rPr>
          <w:szCs w:val="26"/>
        </w:rPr>
        <w:t xml:space="preserve">PECO additionally avers that the Complainant did not satisfy any of the criteria for establishing a </w:t>
      </w:r>
      <w:r w:rsidRPr="009F6B59">
        <w:rPr>
          <w:i/>
          <w:szCs w:val="26"/>
        </w:rPr>
        <w:t>prima facie</w:t>
      </w:r>
      <w:r>
        <w:rPr>
          <w:szCs w:val="26"/>
        </w:rPr>
        <w:t xml:space="preserve"> case of a high bill.  According to PECO, the Complainant did not demonstrate any marked increase in his bills for a specific period or </w:t>
      </w:r>
      <w:r>
        <w:rPr>
          <w:szCs w:val="26"/>
        </w:rPr>
        <w:lastRenderedPageBreak/>
        <w:t>explain any changes in usage patterns.  PECO submits that the Complainant’s account activity statement demonstrated that the Complainant’s consumption patterns were fairly consistent between 2008 and 2010, and no period reflects an abnormally high usage.  It asserts that the ALJ’s reliance on the lack of a meter test alone as the basis for concluding that the Complainant was overbilled conflicts with the Commission’s established legal standards for resolving high bill complaints.</w:t>
      </w:r>
      <w:r w:rsidR="00CD1104">
        <w:rPr>
          <w:szCs w:val="26"/>
        </w:rPr>
        <w:t xml:space="preserve">  </w:t>
      </w:r>
      <w:r w:rsidR="00CD1104" w:rsidRPr="00CD1104">
        <w:rPr>
          <w:i/>
          <w:szCs w:val="26"/>
        </w:rPr>
        <w:t>Id</w:t>
      </w:r>
      <w:r w:rsidR="00CD1104">
        <w:rPr>
          <w:szCs w:val="26"/>
        </w:rPr>
        <w:t>. at 10.</w:t>
      </w:r>
      <w:r w:rsidR="00F01958">
        <w:rPr>
          <w:szCs w:val="26"/>
        </w:rPr>
        <w:t xml:space="preserve">  Furthermore, PECO believes that, as a factual matter, the ALJ’s finding that the Complainant’s meter was malfunctioning and that the Complainant was overbilled is moot because the ALJ concluded that PECO’s rebilling remedy was a reasonable response to the problem.  </w:t>
      </w:r>
      <w:r w:rsidR="00F01958" w:rsidRPr="00F01958">
        <w:rPr>
          <w:i/>
          <w:szCs w:val="26"/>
        </w:rPr>
        <w:t>Id</w:t>
      </w:r>
      <w:r w:rsidR="00F01958">
        <w:rPr>
          <w:szCs w:val="26"/>
        </w:rPr>
        <w:t>. at 11.</w:t>
      </w:r>
    </w:p>
    <w:p w:rsidR="00505E84" w:rsidRDefault="00505E84" w:rsidP="00BF7703">
      <w:pPr>
        <w:spacing w:line="360" w:lineRule="auto"/>
        <w:ind w:firstLine="1440"/>
        <w:rPr>
          <w:szCs w:val="26"/>
        </w:rPr>
      </w:pPr>
    </w:p>
    <w:p w:rsidR="00507EF4" w:rsidRDefault="004E4BD5" w:rsidP="00BF7703">
      <w:pPr>
        <w:spacing w:line="360" w:lineRule="auto"/>
        <w:ind w:firstLine="1440"/>
      </w:pPr>
      <w:r>
        <w:rPr>
          <w:szCs w:val="26"/>
        </w:rPr>
        <w:t xml:space="preserve">Based on our review of the record in this proceeding, we have determined that the Complainant did not present enough evidence to establish a </w:t>
      </w:r>
      <w:r w:rsidRPr="00B51602">
        <w:rPr>
          <w:i/>
          <w:szCs w:val="26"/>
        </w:rPr>
        <w:t>prima facie</w:t>
      </w:r>
      <w:r>
        <w:rPr>
          <w:szCs w:val="26"/>
        </w:rPr>
        <w:t xml:space="preserve"> case to show that his bills were unreasonably high.  </w:t>
      </w:r>
      <w:r w:rsidR="00505E84">
        <w:rPr>
          <w:szCs w:val="26"/>
        </w:rPr>
        <w:t xml:space="preserve">The burden of proof for “high bill” complaints has been explained in </w:t>
      </w:r>
      <w:r w:rsidR="00505E84" w:rsidRPr="00DA2CEC">
        <w:rPr>
          <w:i/>
          <w:szCs w:val="26"/>
        </w:rPr>
        <w:t>Waldron v. Philadelphia Electric Company</w:t>
      </w:r>
      <w:r w:rsidR="00505E84" w:rsidRPr="00DA2CEC">
        <w:rPr>
          <w:szCs w:val="26"/>
        </w:rPr>
        <w:t>, 54 Pa. P.U.C. 98 (1980)</w:t>
      </w:r>
      <w:r w:rsidR="00505E84">
        <w:rPr>
          <w:szCs w:val="26"/>
        </w:rPr>
        <w:t xml:space="preserve">, and its progeny.  </w:t>
      </w:r>
      <w:r w:rsidR="00505E84" w:rsidRPr="00297213">
        <w:t xml:space="preserve">In </w:t>
      </w:r>
      <w:r w:rsidR="00505E84" w:rsidRPr="00297213">
        <w:rPr>
          <w:i/>
          <w:szCs w:val="26"/>
        </w:rPr>
        <w:t>Waldron</w:t>
      </w:r>
      <w:r w:rsidR="00505E84" w:rsidRPr="00297213">
        <w:t xml:space="preserve">, the Commission adopted the Michigan Public Service Commission’s (PSC’s) policy annunciated in </w:t>
      </w:r>
      <w:r w:rsidR="00505E84" w:rsidRPr="00297213">
        <w:rPr>
          <w:i/>
        </w:rPr>
        <w:t>Hallifax</w:t>
      </w:r>
      <w:r w:rsidR="00505E84">
        <w:rPr>
          <w:i/>
        </w:rPr>
        <w:t xml:space="preserve"> </w:t>
      </w:r>
      <w:r w:rsidR="00505E84" w:rsidRPr="00297213">
        <w:rPr>
          <w:i/>
        </w:rPr>
        <w:t>v. O &amp; A Electric Co-Op</w:t>
      </w:r>
      <w:r w:rsidR="00505E84" w:rsidRPr="00297213">
        <w:t xml:space="preserve">, Case No. U-5825, May 1979, which stated that, while the accuracy of the meter is an important factor in resolving billing disputes, it is not the sole criterion.  </w:t>
      </w:r>
      <w:r w:rsidR="00505E84">
        <w:t xml:space="preserve">The Commission stated </w:t>
      </w:r>
      <w:r w:rsidR="00505E84" w:rsidRPr="00297213">
        <w:t>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00505E84" w:rsidRPr="00297213" w:rsidDel="000555B3">
        <w:rPr>
          <w:rFonts w:eastAsiaTheme="minorEastAsia"/>
          <w:vertAlign w:val="superscript"/>
        </w:rPr>
        <w:t xml:space="preserve"> </w:t>
      </w:r>
      <w:r w:rsidR="00505E84" w:rsidRPr="00297213">
        <w:t xml:space="preserve">  </w:t>
      </w:r>
      <w:r w:rsidR="00505E84" w:rsidRPr="00297213">
        <w:rPr>
          <w:i/>
        </w:rPr>
        <w:t>Waldron</w:t>
      </w:r>
      <w:r w:rsidR="00505E84" w:rsidRPr="00297213">
        <w:t xml:space="preserve"> at 100.</w:t>
      </w:r>
    </w:p>
    <w:p w:rsidR="00505E84" w:rsidRDefault="00505E84" w:rsidP="00BF7703">
      <w:pPr>
        <w:spacing w:line="360" w:lineRule="auto"/>
        <w:ind w:firstLine="1440"/>
      </w:pPr>
    </w:p>
    <w:p w:rsidR="001669A9" w:rsidRDefault="00505E84" w:rsidP="001669A9">
      <w:pPr>
        <w:spacing w:line="360" w:lineRule="auto"/>
        <w:ind w:firstLine="1440"/>
        <w:rPr>
          <w:rFonts w:cs="Arial"/>
          <w:color w:val="000000"/>
          <w:szCs w:val="26"/>
        </w:rPr>
      </w:pPr>
      <w:r>
        <w:rPr>
          <w:rFonts w:cs="Arial"/>
          <w:color w:val="000000"/>
          <w:szCs w:val="26"/>
        </w:rPr>
        <w:t xml:space="preserve">The Commission recently explained the burden of proof set forth in </w:t>
      </w:r>
      <w:r w:rsidRPr="00505E84">
        <w:rPr>
          <w:rFonts w:cs="Arial"/>
          <w:i/>
          <w:color w:val="000000"/>
          <w:szCs w:val="26"/>
        </w:rPr>
        <w:t>Waldron</w:t>
      </w:r>
      <w:r>
        <w:rPr>
          <w:rFonts w:cs="Arial"/>
          <w:color w:val="000000"/>
          <w:szCs w:val="26"/>
        </w:rPr>
        <w:t xml:space="preserve"> as follows:  </w:t>
      </w:r>
    </w:p>
    <w:p w:rsidR="001669A9" w:rsidRDefault="001669A9" w:rsidP="001669A9">
      <w:pPr>
        <w:spacing w:line="360" w:lineRule="auto"/>
        <w:ind w:firstLine="1440"/>
        <w:rPr>
          <w:rFonts w:cs="Arial"/>
          <w:color w:val="000000"/>
          <w:szCs w:val="26"/>
        </w:rPr>
      </w:pPr>
    </w:p>
    <w:p w:rsidR="001669A9" w:rsidRDefault="00505E84" w:rsidP="00BA69E9">
      <w:pPr>
        <w:ind w:left="1440" w:right="1440"/>
        <w:rPr>
          <w:rFonts w:cs="Arial"/>
          <w:szCs w:val="26"/>
        </w:rPr>
      </w:pPr>
      <w:r>
        <w:rPr>
          <w:rFonts w:cs="Arial"/>
          <w:color w:val="000000"/>
          <w:szCs w:val="26"/>
        </w:rPr>
        <w:t>[T]</w:t>
      </w:r>
      <w:r w:rsidRPr="00505E84">
        <w:rPr>
          <w:rFonts w:cs="Arial"/>
          <w:color w:val="000000"/>
          <w:szCs w:val="26"/>
        </w:rPr>
        <w:t xml:space="preserve">he </w:t>
      </w:r>
      <w:r w:rsidRPr="00505E84">
        <w:rPr>
          <w:rFonts w:cs="Arial"/>
          <w:i/>
          <w:color w:val="000000"/>
          <w:szCs w:val="26"/>
        </w:rPr>
        <w:t xml:space="preserve">Waldron </w:t>
      </w:r>
      <w:r w:rsidRPr="00505E84">
        <w:rPr>
          <w:rFonts w:cs="Arial"/>
          <w:color w:val="000000"/>
          <w:szCs w:val="26"/>
        </w:rPr>
        <w:t xml:space="preserve">Rule allows a complainant to establish a </w:t>
      </w:r>
      <w:r w:rsidRPr="00505E84">
        <w:rPr>
          <w:rFonts w:cs="Arial"/>
          <w:i/>
          <w:color w:val="000000"/>
          <w:szCs w:val="26"/>
        </w:rPr>
        <w:t xml:space="preserve">prima facie </w:t>
      </w:r>
      <w:r w:rsidRPr="00505E84">
        <w:rPr>
          <w:rFonts w:cs="Arial"/>
          <w:color w:val="000000"/>
          <w:szCs w:val="26"/>
        </w:rPr>
        <w:t xml:space="preserve">case in a “high bill” complaint by showing that the disputed bill is abnormally high when compared to prior usage patterns and his or her pattern of usage has not changed </w:t>
      </w:r>
      <w:r w:rsidRPr="00505E84">
        <w:rPr>
          <w:rFonts w:cs="Arial"/>
          <w:i/>
          <w:color w:val="000000"/>
          <w:szCs w:val="26"/>
        </w:rPr>
        <w:lastRenderedPageBreak/>
        <w:t>or</w:t>
      </w:r>
      <w:r w:rsidRPr="00505E84">
        <w:rPr>
          <w:rFonts w:cs="Arial"/>
          <w:color w:val="000000"/>
          <w:szCs w:val="26"/>
        </w:rPr>
        <w:t> </w:t>
      </w:r>
      <w:r w:rsidRPr="00505E84">
        <w:rPr>
          <w:rFonts w:cs="Arial"/>
          <w:i/>
          <w:color w:val="000000"/>
          <w:szCs w:val="26"/>
        </w:rPr>
        <w:t>by providing other relevant evidence showing that the disputed bill is unreasonably high</w:t>
      </w:r>
      <w:r w:rsidRPr="00505E84">
        <w:rPr>
          <w:rFonts w:cs="Arial"/>
          <w:color w:val="000000"/>
          <w:szCs w:val="26"/>
        </w:rPr>
        <w:t>.  In evaluating a “high bill” complaint,</w:t>
      </w:r>
      <w:r w:rsidRPr="00505E84">
        <w:rPr>
          <w:rFonts w:cs="Arial"/>
          <w:szCs w:val="26"/>
        </w:rPr>
        <w:t xml:space="preserve"> the Commission may consider such evidence as “the billing history of the account, any change in usage patterns (such as a change in the number of occupants residing in the household or potential energy utilization), </w:t>
      </w:r>
      <w:r w:rsidRPr="00505E84">
        <w:rPr>
          <w:rFonts w:cs="Arial"/>
          <w:i/>
          <w:szCs w:val="26"/>
        </w:rPr>
        <w:t>and</w:t>
      </w:r>
      <w:r w:rsidRPr="00505E84">
        <w:rPr>
          <w:rFonts w:cs="Arial"/>
          <w:b/>
          <w:i/>
          <w:szCs w:val="26"/>
        </w:rPr>
        <w:t xml:space="preserve"> </w:t>
      </w:r>
      <w:r w:rsidRPr="00505E84">
        <w:rPr>
          <w:rFonts w:cs="Arial"/>
          <w:i/>
          <w:szCs w:val="26"/>
        </w:rPr>
        <w:t>any other relevant facts or circumstances that come to light during the proceeding</w:t>
      </w:r>
      <w:r w:rsidRPr="00505E84">
        <w:rPr>
          <w:rFonts w:cs="Arial"/>
          <w:szCs w:val="26"/>
        </w:rPr>
        <w:t>.”</w:t>
      </w:r>
    </w:p>
    <w:p w:rsidR="001669A9" w:rsidRDefault="001669A9" w:rsidP="001669A9">
      <w:pPr>
        <w:ind w:left="1440" w:right="1440"/>
        <w:rPr>
          <w:rFonts w:cs="Arial"/>
          <w:szCs w:val="26"/>
        </w:rPr>
      </w:pPr>
    </w:p>
    <w:p w:rsidR="00B51602" w:rsidRDefault="00505E84" w:rsidP="001669A9">
      <w:pPr>
        <w:spacing w:line="360" w:lineRule="auto"/>
        <w:rPr>
          <w:szCs w:val="26"/>
        </w:rPr>
      </w:pPr>
      <w:r>
        <w:rPr>
          <w:i/>
          <w:szCs w:val="26"/>
        </w:rPr>
        <w:t xml:space="preserve">Nehemiah </w:t>
      </w:r>
      <w:r w:rsidR="00352908">
        <w:rPr>
          <w:i/>
          <w:szCs w:val="26"/>
        </w:rPr>
        <w:t xml:space="preserve">B. Thomas </w:t>
      </w:r>
      <w:r>
        <w:rPr>
          <w:i/>
          <w:szCs w:val="26"/>
        </w:rPr>
        <w:t>v.</w:t>
      </w:r>
      <w:r w:rsidR="00352908">
        <w:rPr>
          <w:i/>
          <w:szCs w:val="26"/>
        </w:rPr>
        <w:t xml:space="preserve"> PECO Energy Company</w:t>
      </w:r>
      <w:r w:rsidR="00352908">
        <w:rPr>
          <w:szCs w:val="26"/>
        </w:rPr>
        <w:t xml:space="preserve">, Docket No. C-2010-2187197, at 5 (Order entered November 15, 2011). </w:t>
      </w:r>
    </w:p>
    <w:p w:rsidR="00B51602" w:rsidRDefault="00B51602" w:rsidP="001669A9">
      <w:pPr>
        <w:spacing w:line="360" w:lineRule="auto"/>
        <w:rPr>
          <w:szCs w:val="26"/>
        </w:rPr>
      </w:pPr>
    </w:p>
    <w:p w:rsidR="004E4BD5" w:rsidRDefault="00B51602" w:rsidP="001669A9">
      <w:pPr>
        <w:spacing w:line="360" w:lineRule="auto"/>
        <w:rPr>
          <w:szCs w:val="26"/>
        </w:rPr>
      </w:pPr>
      <w:r>
        <w:rPr>
          <w:szCs w:val="26"/>
        </w:rPr>
        <w:tab/>
      </w:r>
      <w:r>
        <w:rPr>
          <w:szCs w:val="26"/>
        </w:rPr>
        <w:tab/>
        <w:t xml:space="preserve">  </w:t>
      </w:r>
      <w:r w:rsidR="00AD6AEF">
        <w:rPr>
          <w:szCs w:val="26"/>
        </w:rPr>
        <w:t>Aside from his testimony that he believed his bills were higher than they should have been, the Complainant did not present any evidence to show a marked increase in his bills during a specific period of time, that his pattern of usage had changed, or any other relevant facts or circumstances to show that his bills were unreasonably high.  Additionally, there is no conclusive evidence in the record to demonstrate that PECO’s meter was not registering the correct consumption readings.  PECO presented credible testimony that</w:t>
      </w:r>
      <w:r w:rsidR="000509B2">
        <w:rPr>
          <w:szCs w:val="26"/>
        </w:rPr>
        <w:t xml:space="preserve">, while the digital display on the meter was defective, the meter was sending actual consumption readings to PECO.  </w:t>
      </w:r>
      <w:r w:rsidR="008D3DE5">
        <w:rPr>
          <w:szCs w:val="26"/>
        </w:rPr>
        <w:t xml:space="preserve">Tr. at 25.  </w:t>
      </w:r>
      <w:r w:rsidR="00C45C54">
        <w:rPr>
          <w:szCs w:val="26"/>
        </w:rPr>
        <w:t xml:space="preserve">In any case, we believe that PECO has adequately resolved the billing dispute by </w:t>
      </w:r>
      <w:r w:rsidR="004E4BD5">
        <w:rPr>
          <w:szCs w:val="26"/>
        </w:rPr>
        <w:t>reducing the Complainant’s bills</w:t>
      </w:r>
      <w:r w:rsidR="00C45C54">
        <w:rPr>
          <w:szCs w:val="26"/>
        </w:rPr>
        <w:t xml:space="preserve"> </w:t>
      </w:r>
      <w:r w:rsidR="004E4BD5">
        <w:rPr>
          <w:szCs w:val="26"/>
        </w:rPr>
        <w:t>for the</w:t>
      </w:r>
      <w:r w:rsidR="00C45C54">
        <w:rPr>
          <w:szCs w:val="26"/>
        </w:rPr>
        <w:t xml:space="preserve"> period from October 2008 through May 2009 based on an estimate of how much electricity the Complainant used during a similar time period from October 2007 through May 2008.  Tr. at 25, 42-43; PECO Exhibits 3, 5, and 7.  </w:t>
      </w:r>
      <w:r w:rsidR="00E14D89">
        <w:rPr>
          <w:szCs w:val="26"/>
        </w:rPr>
        <w:t>For these reasons, PECO’s second Exception is granted.</w:t>
      </w:r>
    </w:p>
    <w:p w:rsidR="00505E84" w:rsidRPr="00505E84" w:rsidRDefault="00E14D89" w:rsidP="001669A9">
      <w:pPr>
        <w:spacing w:line="360" w:lineRule="auto"/>
        <w:rPr>
          <w:i/>
          <w:szCs w:val="26"/>
        </w:rPr>
      </w:pPr>
      <w:r>
        <w:rPr>
          <w:szCs w:val="26"/>
        </w:rPr>
        <w:t xml:space="preserve">   </w:t>
      </w:r>
      <w:r w:rsidR="00C45C54">
        <w:rPr>
          <w:szCs w:val="26"/>
        </w:rPr>
        <w:t xml:space="preserve">     </w:t>
      </w:r>
      <w:r w:rsidR="00AD6AEF">
        <w:rPr>
          <w:szCs w:val="26"/>
        </w:rPr>
        <w:t xml:space="preserve">       </w:t>
      </w:r>
      <w:r w:rsidR="00B51602">
        <w:rPr>
          <w:szCs w:val="26"/>
        </w:rPr>
        <w:t xml:space="preserve">     </w:t>
      </w:r>
      <w:r w:rsidR="00352908">
        <w:rPr>
          <w:szCs w:val="26"/>
        </w:rPr>
        <w:t xml:space="preserve"> </w:t>
      </w:r>
      <w:r w:rsidR="00505E84">
        <w:rPr>
          <w:i/>
          <w:szCs w:val="26"/>
        </w:rPr>
        <w:t xml:space="preserve"> </w:t>
      </w:r>
    </w:p>
    <w:p w:rsidR="00CE302A" w:rsidRDefault="006A332F" w:rsidP="00BF7703">
      <w:pPr>
        <w:spacing w:line="360" w:lineRule="auto"/>
        <w:ind w:firstLine="1440"/>
        <w:rPr>
          <w:szCs w:val="26"/>
        </w:rPr>
      </w:pPr>
      <w:r>
        <w:rPr>
          <w:szCs w:val="26"/>
        </w:rPr>
        <w:t xml:space="preserve">In its third Exception, PECO </w:t>
      </w:r>
      <w:r w:rsidR="00D1091E">
        <w:rPr>
          <w:szCs w:val="26"/>
        </w:rPr>
        <w:t>avers that the ALJ incorrectly concluded that the arrearage on the Complainant’s account was caused by PECO.  PECO states that, although the Complainant claims that he always sent a payment to PECO, this claim is contradicted by PECO’s Exhibit 1, the Complainant’s account activity statement, which shows that the Complainant did not make payments between August and October 2009.</w:t>
      </w:r>
      <w:r w:rsidR="004339E3">
        <w:rPr>
          <w:szCs w:val="26"/>
        </w:rPr>
        <w:t xml:space="preserve"> </w:t>
      </w:r>
      <w:r w:rsidR="004339E3" w:rsidRPr="004339E3">
        <w:rPr>
          <w:i/>
          <w:szCs w:val="26"/>
        </w:rPr>
        <w:t>Id</w:t>
      </w:r>
      <w:r w:rsidR="004339E3">
        <w:rPr>
          <w:szCs w:val="26"/>
        </w:rPr>
        <w:t>. at 11-12.</w:t>
      </w:r>
      <w:r w:rsidR="00D1091E">
        <w:rPr>
          <w:szCs w:val="26"/>
        </w:rPr>
        <w:t xml:space="preserve">  PECO further states that the Complainant’s claim that he made payments </w:t>
      </w:r>
      <w:r w:rsidR="00D1091E">
        <w:rPr>
          <w:szCs w:val="26"/>
        </w:rPr>
        <w:lastRenderedPageBreak/>
        <w:t xml:space="preserve">despite being told by a PECO representative not to send in any payments has no independent collaboration and is not credible.  </w:t>
      </w:r>
      <w:r w:rsidR="004339E3">
        <w:rPr>
          <w:szCs w:val="26"/>
        </w:rPr>
        <w:t xml:space="preserve">According to PECO, the evidence reflects that the Complainant’s account balance accrued because he continued to pay $301 per month even though he was aware that he was no longer on budget billing and his usage was greater than $300 per month, and he did not make any payments on his account between August and October 2009.  </w:t>
      </w:r>
      <w:r w:rsidR="004339E3" w:rsidRPr="004339E3">
        <w:rPr>
          <w:i/>
          <w:szCs w:val="26"/>
        </w:rPr>
        <w:t>Id</w:t>
      </w:r>
      <w:r w:rsidR="004339E3">
        <w:rPr>
          <w:szCs w:val="26"/>
        </w:rPr>
        <w:t>. at 12.</w:t>
      </w:r>
      <w:r w:rsidR="00052FFA">
        <w:rPr>
          <w:szCs w:val="26"/>
        </w:rPr>
        <w:t xml:space="preserve">  </w:t>
      </w:r>
    </w:p>
    <w:p w:rsidR="00052FFA" w:rsidRDefault="00052FFA" w:rsidP="00BF7703">
      <w:pPr>
        <w:spacing w:line="360" w:lineRule="auto"/>
        <w:ind w:firstLine="1440"/>
        <w:rPr>
          <w:szCs w:val="26"/>
        </w:rPr>
      </w:pPr>
    </w:p>
    <w:p w:rsidR="00052FFA" w:rsidRDefault="00CE302A" w:rsidP="00052FFA">
      <w:pPr>
        <w:spacing w:line="360" w:lineRule="auto"/>
        <w:ind w:firstLine="1440"/>
        <w:rPr>
          <w:szCs w:val="26"/>
        </w:rPr>
      </w:pPr>
      <w:r>
        <w:rPr>
          <w:szCs w:val="26"/>
        </w:rPr>
        <w:t>As we previously stated, we believe the Complainant built up an arrearage on his account between August and October 2009</w:t>
      </w:r>
      <w:r w:rsidR="003C3F2C">
        <w:rPr>
          <w:szCs w:val="26"/>
        </w:rPr>
        <w:t>,</w:t>
      </w:r>
      <w:r>
        <w:rPr>
          <w:szCs w:val="26"/>
        </w:rPr>
        <w:t xml:space="preserve"> because PECO advised him in July 2009 not to send in any payments until the matter with the electric meter was resolved.  Tr. at 8.  We find the Complainant’s testimony to be credible, particularly because the</w:t>
      </w:r>
      <w:r w:rsidR="003C3F2C">
        <w:rPr>
          <w:szCs w:val="26"/>
        </w:rPr>
        <w:t xml:space="preserve"> Complainant’s account activity statement reflects that the</w:t>
      </w:r>
      <w:r>
        <w:rPr>
          <w:szCs w:val="26"/>
        </w:rPr>
        <w:t xml:space="preserve"> Complainant had been consistently paying his budget bill amounts in the months leading up to August 2009.  The Complainant’s account activity statement </w:t>
      </w:r>
      <w:r w:rsidR="003C3F2C">
        <w:rPr>
          <w:szCs w:val="26"/>
        </w:rPr>
        <w:t>supports the Complainant’s position</w:t>
      </w:r>
      <w:r>
        <w:rPr>
          <w:szCs w:val="26"/>
        </w:rPr>
        <w:t xml:space="preserve"> that he stopped making payments after speaking with a PECO representative in July 2009 and began making payments again</w:t>
      </w:r>
      <w:r w:rsidR="003C3F2C">
        <w:rPr>
          <w:szCs w:val="26"/>
        </w:rPr>
        <w:t xml:space="preserve"> in November 2009</w:t>
      </w:r>
      <w:r>
        <w:rPr>
          <w:szCs w:val="26"/>
        </w:rPr>
        <w:t xml:space="preserve"> after receiving the utility report from PECO.  PECO Exhibit 1.  While there appear</w:t>
      </w:r>
      <w:r w:rsidR="003C3F2C">
        <w:rPr>
          <w:szCs w:val="26"/>
        </w:rPr>
        <w:t>s</w:t>
      </w:r>
      <w:r>
        <w:rPr>
          <w:szCs w:val="26"/>
        </w:rPr>
        <w:t xml:space="preserve"> to be some confusion regarding whether or not the Complainant should have been paying budget bills or regular bills during this time period, the only time period during which the Complainant did not make any payments was </w:t>
      </w:r>
      <w:r w:rsidR="003C3F2C">
        <w:rPr>
          <w:szCs w:val="26"/>
        </w:rPr>
        <w:t xml:space="preserve">from </w:t>
      </w:r>
      <w:r w:rsidR="00520348">
        <w:rPr>
          <w:szCs w:val="26"/>
        </w:rPr>
        <w:t xml:space="preserve">August through October 2009.  </w:t>
      </w:r>
      <w:r>
        <w:rPr>
          <w:szCs w:val="26"/>
        </w:rPr>
        <w:t>PECO did not present any evidence to refute the Complainant’s testimony on this issue.</w:t>
      </w:r>
      <w:r w:rsidR="00052FFA" w:rsidRPr="00052FFA">
        <w:rPr>
          <w:szCs w:val="26"/>
        </w:rPr>
        <w:t xml:space="preserve"> </w:t>
      </w:r>
      <w:r w:rsidR="00052FFA">
        <w:rPr>
          <w:szCs w:val="26"/>
        </w:rPr>
        <w:t xml:space="preserve"> As such, we shall deny PECO’s third Exception.     </w:t>
      </w:r>
    </w:p>
    <w:p w:rsidR="00146C68" w:rsidRDefault="00052FFA" w:rsidP="00BF7703">
      <w:pPr>
        <w:spacing w:line="360" w:lineRule="auto"/>
        <w:ind w:firstLine="1440"/>
        <w:rPr>
          <w:szCs w:val="26"/>
        </w:rPr>
      </w:pPr>
      <w:r>
        <w:rPr>
          <w:szCs w:val="26"/>
        </w:rPr>
        <w:t xml:space="preserve">  </w:t>
      </w:r>
      <w:r w:rsidR="00520348">
        <w:rPr>
          <w:szCs w:val="26"/>
        </w:rPr>
        <w:t xml:space="preserve">  </w:t>
      </w:r>
      <w:r w:rsidR="004339E3">
        <w:rPr>
          <w:szCs w:val="26"/>
        </w:rPr>
        <w:t xml:space="preserve">  </w:t>
      </w:r>
    </w:p>
    <w:p w:rsidR="00721B04" w:rsidRDefault="00146C68" w:rsidP="00BF7703">
      <w:pPr>
        <w:spacing w:line="360" w:lineRule="auto"/>
        <w:ind w:firstLine="1440"/>
        <w:rPr>
          <w:szCs w:val="26"/>
        </w:rPr>
      </w:pPr>
      <w:r>
        <w:rPr>
          <w:szCs w:val="26"/>
        </w:rPr>
        <w:t>In its fourth Exception, PECO asserts that a civil penalty is not warranted in this case.  PECO states that the ALJ’s finding that it provided unreasonable service is based on the unsupported conclusion that it did not complete the high bill investigation in a timely manner.</w:t>
      </w:r>
      <w:r w:rsidR="00177D81">
        <w:rPr>
          <w:szCs w:val="26"/>
        </w:rPr>
        <w:t xml:space="preserve">  It also states that seven of the ten criteria in the </w:t>
      </w:r>
      <w:r w:rsidR="00177D81" w:rsidRPr="00177D81">
        <w:rPr>
          <w:i/>
          <w:szCs w:val="26"/>
        </w:rPr>
        <w:t>Policy Statement</w:t>
      </w:r>
      <w:r w:rsidR="00177D81">
        <w:rPr>
          <w:szCs w:val="26"/>
        </w:rPr>
        <w:t xml:space="preserve"> for imposing a civil penalty have not been satisfied.  </w:t>
      </w:r>
      <w:r w:rsidR="00177D81" w:rsidRPr="00177D81">
        <w:rPr>
          <w:i/>
          <w:szCs w:val="26"/>
        </w:rPr>
        <w:t>Id</w:t>
      </w:r>
      <w:r w:rsidR="00177D81">
        <w:rPr>
          <w:szCs w:val="26"/>
        </w:rPr>
        <w:t xml:space="preserve">.  </w:t>
      </w:r>
      <w:r w:rsidR="00BD0048">
        <w:rPr>
          <w:szCs w:val="26"/>
        </w:rPr>
        <w:t xml:space="preserve">Further, PECO believes that the ALJ’s conclusions regarding the three criteria she relied upon to recommend a civil </w:t>
      </w:r>
      <w:r w:rsidR="00BD0048">
        <w:rPr>
          <w:szCs w:val="26"/>
        </w:rPr>
        <w:lastRenderedPageBreak/>
        <w:t xml:space="preserve">penalty are </w:t>
      </w:r>
      <w:r w:rsidR="00395BD7">
        <w:rPr>
          <w:szCs w:val="26"/>
        </w:rPr>
        <w:t xml:space="preserve">unwarranted.  PECO specifically disagrees with the ALJ’s conclusion that the consequences of its actions were serious because they resulted in overcharging the Complainant and causing the Complainant to accumulate an arrearage on his account.  PECO avers that there is no evidence that it overcharged the Complainant and that, in any event, it rebilled the Complainant as a courtesy so that any billing issues were corrected before the Complaint was filed.  </w:t>
      </w:r>
      <w:r w:rsidR="00B33924">
        <w:rPr>
          <w:szCs w:val="26"/>
        </w:rPr>
        <w:t>PECO also avers that the ALJ’s finding of “intentional conduct” is based on an incorrect understanding of the length of the high bill investigation and should, therefore, be rejected by the Commission.</w:t>
      </w:r>
      <w:r w:rsidR="007A72C4">
        <w:rPr>
          <w:szCs w:val="26"/>
        </w:rPr>
        <w:t xml:space="preserve">  </w:t>
      </w:r>
      <w:r w:rsidR="007A72C4" w:rsidRPr="007A72C4">
        <w:rPr>
          <w:i/>
          <w:szCs w:val="26"/>
        </w:rPr>
        <w:t>Id</w:t>
      </w:r>
      <w:r w:rsidR="007A72C4">
        <w:rPr>
          <w:szCs w:val="26"/>
        </w:rPr>
        <w:t>. at 13.</w:t>
      </w:r>
      <w:r w:rsidR="00052FFA">
        <w:rPr>
          <w:szCs w:val="26"/>
        </w:rPr>
        <w:t xml:space="preserve">  </w:t>
      </w:r>
    </w:p>
    <w:p w:rsidR="00721B04" w:rsidRDefault="00721B04" w:rsidP="00BF7703">
      <w:pPr>
        <w:spacing w:line="360" w:lineRule="auto"/>
        <w:ind w:firstLine="1440"/>
        <w:rPr>
          <w:szCs w:val="26"/>
        </w:rPr>
      </w:pPr>
    </w:p>
    <w:p w:rsidR="00033027" w:rsidRDefault="00721B04" w:rsidP="00BF7703">
      <w:pPr>
        <w:spacing w:line="360" w:lineRule="auto"/>
        <w:ind w:firstLine="1440"/>
        <w:rPr>
          <w:szCs w:val="26"/>
        </w:rPr>
      </w:pPr>
      <w:r>
        <w:rPr>
          <w:szCs w:val="26"/>
        </w:rPr>
        <w:t xml:space="preserve">We find that PECO’s Exception has </w:t>
      </w:r>
      <w:r w:rsidR="00A43D16">
        <w:rPr>
          <w:szCs w:val="26"/>
        </w:rPr>
        <w:t xml:space="preserve">some </w:t>
      </w:r>
      <w:r>
        <w:rPr>
          <w:szCs w:val="26"/>
        </w:rPr>
        <w:t xml:space="preserve">merit as we do not believe the facts in this case warrant a </w:t>
      </w:r>
      <w:r w:rsidR="00A43D16">
        <w:rPr>
          <w:szCs w:val="26"/>
        </w:rPr>
        <w:t xml:space="preserve">$1,000 </w:t>
      </w:r>
      <w:r>
        <w:rPr>
          <w:szCs w:val="26"/>
        </w:rPr>
        <w:t xml:space="preserve">civil penalty based on our evaluation of the criteria in the </w:t>
      </w:r>
      <w:r>
        <w:rPr>
          <w:i/>
          <w:szCs w:val="26"/>
        </w:rPr>
        <w:t>Policy Statement</w:t>
      </w:r>
      <w:r>
        <w:rPr>
          <w:szCs w:val="26"/>
        </w:rPr>
        <w:t>.</w:t>
      </w:r>
      <w:r w:rsidR="00964729">
        <w:rPr>
          <w:rStyle w:val="FootnoteReference"/>
          <w:szCs w:val="26"/>
        </w:rPr>
        <w:footnoteReference w:id="1"/>
      </w:r>
      <w:r>
        <w:rPr>
          <w:szCs w:val="26"/>
        </w:rPr>
        <w:t xml:space="preserve">  </w:t>
      </w:r>
      <w:r w:rsidR="00A43D16">
        <w:rPr>
          <w:szCs w:val="26"/>
        </w:rPr>
        <w:t xml:space="preserve">While we agree with the ALJ that PECO’s delays in handling the high bill investigation constituted unreasonable service and contributed to the Complainant’s arrearages from August through October 2009, we do not believe that PECO’s actions were intentional.  PECO </w:t>
      </w:r>
      <w:r w:rsidR="001A6BD4">
        <w:rPr>
          <w:szCs w:val="26"/>
        </w:rPr>
        <w:t xml:space="preserve">replaced the meter when it conducted its field investigation, </w:t>
      </w:r>
      <w:r w:rsidR="00A43D16">
        <w:rPr>
          <w:szCs w:val="26"/>
        </w:rPr>
        <w:t xml:space="preserve">communicated with the </w:t>
      </w:r>
      <w:r w:rsidR="001A6BD4">
        <w:rPr>
          <w:szCs w:val="26"/>
        </w:rPr>
        <w:t xml:space="preserve">Complainant throughout the high bill investigation, and </w:t>
      </w:r>
      <w:r w:rsidR="00186927">
        <w:rPr>
          <w:szCs w:val="26"/>
        </w:rPr>
        <w:t>reduced</w:t>
      </w:r>
      <w:r w:rsidR="001A6BD4">
        <w:rPr>
          <w:szCs w:val="26"/>
        </w:rPr>
        <w:t xml:space="preserve"> the Complainant</w:t>
      </w:r>
      <w:r w:rsidR="00186927">
        <w:rPr>
          <w:szCs w:val="26"/>
        </w:rPr>
        <w:t xml:space="preserve">’s bills </w:t>
      </w:r>
      <w:r w:rsidR="001A6BD4">
        <w:rPr>
          <w:szCs w:val="26"/>
        </w:rPr>
        <w:t xml:space="preserve">for the time period of August through October 2009.  </w:t>
      </w:r>
      <w:r w:rsidR="003C3F2C">
        <w:rPr>
          <w:szCs w:val="26"/>
        </w:rPr>
        <w:t xml:space="preserve">Additionally, the evidence in this case does not support </w:t>
      </w:r>
      <w:r w:rsidR="00186927">
        <w:rPr>
          <w:szCs w:val="26"/>
        </w:rPr>
        <w:t xml:space="preserve">a finding </w:t>
      </w:r>
      <w:r w:rsidR="003C3F2C">
        <w:rPr>
          <w:szCs w:val="26"/>
        </w:rPr>
        <w:t xml:space="preserve">that the Complainant’s bills were unreasonably high.  </w:t>
      </w:r>
      <w:r w:rsidR="00EC7E43">
        <w:rPr>
          <w:szCs w:val="26"/>
        </w:rPr>
        <w:t>Based on our evaluation of the criteria, in view of the violations we have found</w:t>
      </w:r>
      <w:r w:rsidR="001A6BD4">
        <w:rPr>
          <w:szCs w:val="26"/>
        </w:rPr>
        <w:t>, we find that a civil penalty of $250 is more appropriate.</w:t>
      </w:r>
      <w:r w:rsidR="00186927">
        <w:rPr>
          <w:rStyle w:val="FootnoteReference"/>
          <w:szCs w:val="26"/>
        </w:rPr>
        <w:footnoteReference w:id="2"/>
      </w:r>
      <w:r w:rsidR="001A6BD4">
        <w:rPr>
          <w:szCs w:val="26"/>
        </w:rPr>
        <w:t xml:space="preserve">        </w:t>
      </w:r>
      <w:r w:rsidR="00A43D16">
        <w:rPr>
          <w:szCs w:val="26"/>
        </w:rPr>
        <w:t xml:space="preserve">        </w:t>
      </w:r>
      <w:r>
        <w:rPr>
          <w:szCs w:val="26"/>
        </w:rPr>
        <w:t xml:space="preserve"> </w:t>
      </w:r>
      <w:r w:rsidR="007A72C4">
        <w:rPr>
          <w:szCs w:val="26"/>
        </w:rPr>
        <w:t xml:space="preserve">    </w:t>
      </w:r>
      <w:r w:rsidR="00B33924">
        <w:rPr>
          <w:szCs w:val="26"/>
        </w:rPr>
        <w:t xml:space="preserve"> </w:t>
      </w:r>
      <w:r w:rsidR="00395BD7">
        <w:rPr>
          <w:szCs w:val="26"/>
        </w:rPr>
        <w:t xml:space="preserve">    </w:t>
      </w:r>
      <w:r w:rsidR="00BD0048">
        <w:rPr>
          <w:szCs w:val="26"/>
        </w:rPr>
        <w:t xml:space="preserve"> </w:t>
      </w:r>
      <w:r w:rsidR="00177D81">
        <w:rPr>
          <w:szCs w:val="26"/>
        </w:rPr>
        <w:t xml:space="preserve">  </w:t>
      </w:r>
      <w:r w:rsidR="00146C68">
        <w:rPr>
          <w:szCs w:val="26"/>
        </w:rPr>
        <w:t xml:space="preserve">       </w:t>
      </w:r>
      <w:r w:rsidR="004339E3">
        <w:rPr>
          <w:szCs w:val="26"/>
        </w:rPr>
        <w:t xml:space="preserve">  </w:t>
      </w:r>
      <w:r w:rsidR="00D1091E">
        <w:rPr>
          <w:szCs w:val="26"/>
        </w:rPr>
        <w:t xml:space="preserve">    </w:t>
      </w:r>
      <w:r w:rsidR="00F01958">
        <w:rPr>
          <w:szCs w:val="26"/>
        </w:rPr>
        <w:t xml:space="preserve">  </w:t>
      </w:r>
      <w:r w:rsidR="00CD1104">
        <w:rPr>
          <w:szCs w:val="26"/>
        </w:rPr>
        <w:t xml:space="preserve">  </w:t>
      </w:r>
      <w:r w:rsidR="009F6B59">
        <w:rPr>
          <w:szCs w:val="26"/>
        </w:rPr>
        <w:t xml:space="preserve">     </w:t>
      </w:r>
      <w:r w:rsidR="00BB78A0">
        <w:rPr>
          <w:szCs w:val="26"/>
        </w:rPr>
        <w:t xml:space="preserve">         </w:t>
      </w:r>
      <w:r w:rsidR="005B7BA6">
        <w:rPr>
          <w:szCs w:val="26"/>
        </w:rPr>
        <w:t xml:space="preserve">    </w:t>
      </w:r>
      <w:r w:rsidR="005E167A">
        <w:rPr>
          <w:szCs w:val="26"/>
        </w:rPr>
        <w:t xml:space="preserve">       </w:t>
      </w:r>
      <w:r w:rsidR="00C1182F">
        <w:rPr>
          <w:szCs w:val="26"/>
        </w:rPr>
        <w:t xml:space="preserve">    </w:t>
      </w:r>
      <w:r w:rsidR="00510115">
        <w:rPr>
          <w:szCs w:val="26"/>
        </w:rPr>
        <w:t xml:space="preserve">       </w:t>
      </w:r>
    </w:p>
    <w:p w:rsidR="00926F92" w:rsidRDefault="00C10968" w:rsidP="00BF7703">
      <w:pPr>
        <w:spacing w:line="360" w:lineRule="auto"/>
        <w:ind w:firstLine="1440"/>
        <w:rPr>
          <w:szCs w:val="26"/>
        </w:rPr>
      </w:pPr>
      <w:r>
        <w:rPr>
          <w:szCs w:val="26"/>
        </w:rPr>
        <w:t xml:space="preserve">          </w:t>
      </w:r>
      <w:r w:rsidR="00056646">
        <w:rPr>
          <w:szCs w:val="26"/>
        </w:rPr>
        <w:t xml:space="preserve"> </w:t>
      </w:r>
      <w:r w:rsidR="00AD0786">
        <w:rPr>
          <w:szCs w:val="26"/>
        </w:rPr>
        <w:t xml:space="preserve">    </w:t>
      </w:r>
    </w:p>
    <w:p w:rsidR="00BC1B7D" w:rsidRDefault="005C446F" w:rsidP="009F11DD">
      <w:pPr>
        <w:spacing w:line="360" w:lineRule="auto"/>
        <w:jc w:val="center"/>
        <w:rPr>
          <w:rFonts w:ascii="Times New (W1)" w:hAnsi="Times New (W1)"/>
          <w:b/>
          <w:szCs w:val="22"/>
        </w:rPr>
      </w:pPr>
      <w:r>
        <w:rPr>
          <w:rFonts w:ascii="Times New (W1)" w:hAnsi="Times New (W1)"/>
          <w:b/>
          <w:szCs w:val="22"/>
        </w:rPr>
        <w:t>Conclusion</w:t>
      </w:r>
    </w:p>
    <w:p w:rsidR="005C446F" w:rsidRDefault="005C446F" w:rsidP="005C446F">
      <w:pPr>
        <w:spacing w:line="360" w:lineRule="auto"/>
        <w:jc w:val="center"/>
        <w:rPr>
          <w:rFonts w:ascii="Times New (W1)" w:hAnsi="Times New (W1)"/>
          <w:b/>
          <w:szCs w:val="22"/>
        </w:rPr>
      </w:pPr>
    </w:p>
    <w:p w:rsidR="00066A76" w:rsidRPr="007828A8" w:rsidRDefault="000A4744" w:rsidP="00066A76">
      <w:pPr>
        <w:spacing w:line="360" w:lineRule="auto"/>
        <w:rPr>
          <w:szCs w:val="26"/>
        </w:rPr>
      </w:pPr>
      <w:r w:rsidRPr="00A55BFB">
        <w:rPr>
          <w:b/>
          <w:szCs w:val="22"/>
        </w:rPr>
        <w:tab/>
      </w:r>
      <w:r w:rsidRPr="00A55BFB">
        <w:rPr>
          <w:b/>
          <w:szCs w:val="22"/>
        </w:rPr>
        <w:tab/>
      </w:r>
      <w:r w:rsidRPr="00A55BFB">
        <w:rPr>
          <w:szCs w:val="22"/>
        </w:rPr>
        <w:t xml:space="preserve">Based upon our review of the </w:t>
      </w:r>
      <w:r w:rsidR="005C5EA3">
        <w:rPr>
          <w:szCs w:val="22"/>
        </w:rPr>
        <w:t xml:space="preserve">Exceptions, the Initial Decision, and the record in this proceeding, we shall </w:t>
      </w:r>
      <w:r w:rsidR="007F3FFE">
        <w:rPr>
          <w:szCs w:val="22"/>
        </w:rPr>
        <w:t>grant PECO’s E</w:t>
      </w:r>
      <w:r w:rsidR="00706E07">
        <w:rPr>
          <w:szCs w:val="22"/>
        </w:rPr>
        <w:t>xceptions, in part, deny PECO’s</w:t>
      </w:r>
      <w:r w:rsidR="00645526">
        <w:rPr>
          <w:szCs w:val="22"/>
        </w:rPr>
        <w:t xml:space="preserve"> </w:t>
      </w:r>
      <w:r w:rsidR="00645526">
        <w:rPr>
          <w:szCs w:val="22"/>
        </w:rPr>
        <w:lastRenderedPageBreak/>
        <w:t>Except</w:t>
      </w:r>
      <w:r w:rsidR="005C5EA3">
        <w:rPr>
          <w:szCs w:val="22"/>
        </w:rPr>
        <w:t>ions</w:t>
      </w:r>
      <w:r w:rsidR="007F3FFE">
        <w:rPr>
          <w:szCs w:val="22"/>
        </w:rPr>
        <w:t>, in part,</w:t>
      </w:r>
      <w:r w:rsidR="005C5EA3">
        <w:rPr>
          <w:szCs w:val="22"/>
        </w:rPr>
        <w:t xml:space="preserve"> and modify the Initial Decision, consistent with this Opinion and Order</w:t>
      </w:r>
      <w:r w:rsidR="003E3C1F">
        <w:rPr>
          <w:szCs w:val="22"/>
        </w:rPr>
        <w:t xml:space="preserve">.  We also direct </w:t>
      </w:r>
      <w:r w:rsidR="007C7685">
        <w:rPr>
          <w:szCs w:val="22"/>
        </w:rPr>
        <w:t xml:space="preserve">that </w:t>
      </w:r>
      <w:r w:rsidR="003E3C1F">
        <w:rPr>
          <w:szCs w:val="22"/>
        </w:rPr>
        <w:t xml:space="preserve">PECO </w:t>
      </w:r>
      <w:r w:rsidR="007C7685">
        <w:rPr>
          <w:szCs w:val="22"/>
        </w:rPr>
        <w:t xml:space="preserve">shall </w:t>
      </w:r>
      <w:r w:rsidR="003E3C1F">
        <w:rPr>
          <w:szCs w:val="22"/>
        </w:rPr>
        <w:t>pay a civil penalty of $250 within thirty days of the entry of this Opinion and Order</w:t>
      </w:r>
      <w:r w:rsidR="0044197C" w:rsidRPr="00A55BFB">
        <w:rPr>
          <w:szCs w:val="22"/>
        </w:rPr>
        <w:t xml:space="preserve">; </w:t>
      </w:r>
      <w:r w:rsidR="00066A76" w:rsidRPr="007828A8">
        <w:rPr>
          <w:b/>
          <w:szCs w:val="26"/>
        </w:rPr>
        <w:t>THEREFORE,</w:t>
      </w:r>
      <w:r w:rsidR="00066A76" w:rsidRPr="007828A8">
        <w:rPr>
          <w:szCs w:val="26"/>
        </w:rPr>
        <w:t xml:space="preserve"> </w:t>
      </w:r>
    </w:p>
    <w:p w:rsidR="00645526" w:rsidRDefault="00066A76" w:rsidP="00645526">
      <w:pPr>
        <w:spacing w:line="360" w:lineRule="auto"/>
        <w:rPr>
          <w:szCs w:val="26"/>
        </w:rPr>
      </w:pPr>
      <w:r w:rsidRPr="00066A76">
        <w:rPr>
          <w:szCs w:val="26"/>
        </w:rPr>
        <w:tab/>
      </w:r>
      <w:r w:rsidRPr="00066A76">
        <w:rPr>
          <w:szCs w:val="26"/>
        </w:rPr>
        <w:tab/>
      </w:r>
    </w:p>
    <w:p w:rsidR="00066A76" w:rsidRPr="00066A76" w:rsidRDefault="00066A76" w:rsidP="00645526">
      <w:pPr>
        <w:spacing w:line="360" w:lineRule="auto"/>
        <w:ind w:left="720" w:firstLine="720"/>
        <w:rPr>
          <w:b/>
          <w:szCs w:val="26"/>
        </w:rPr>
      </w:pPr>
      <w:r w:rsidRPr="00066A76">
        <w:rPr>
          <w:b/>
          <w:szCs w:val="26"/>
        </w:rPr>
        <w:t>IT IS ORDERED:</w:t>
      </w:r>
    </w:p>
    <w:p w:rsidR="00066A76" w:rsidRPr="00066A76" w:rsidRDefault="00066A76" w:rsidP="00066A76">
      <w:pPr>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A155CD">
        <w:rPr>
          <w:szCs w:val="26"/>
        </w:rPr>
        <w:t>PECO Energy Company</w:t>
      </w:r>
      <w:r w:rsidR="00151C0A">
        <w:rPr>
          <w:szCs w:val="26"/>
        </w:rPr>
        <w:t xml:space="preserve">, filed on </w:t>
      </w:r>
      <w:r w:rsidR="00206D72">
        <w:rPr>
          <w:szCs w:val="26"/>
        </w:rPr>
        <w:t>April 12</w:t>
      </w:r>
      <w:r w:rsidR="00151C0A">
        <w:rPr>
          <w:szCs w:val="26"/>
        </w:rPr>
        <w:t>, 2012,</w:t>
      </w:r>
      <w:r w:rsidR="009F11DD">
        <w:rPr>
          <w:szCs w:val="26"/>
        </w:rPr>
        <w:t xml:space="preserve"> </w:t>
      </w:r>
      <w:r w:rsidR="00151C0A">
        <w:rPr>
          <w:szCs w:val="26"/>
        </w:rPr>
        <w:t xml:space="preserve">are </w:t>
      </w:r>
      <w:r w:rsidR="00206D72">
        <w:rPr>
          <w:szCs w:val="26"/>
        </w:rPr>
        <w:t xml:space="preserve">granted, in part, and </w:t>
      </w:r>
      <w:r>
        <w:rPr>
          <w:szCs w:val="26"/>
        </w:rPr>
        <w:t>denied</w:t>
      </w:r>
      <w:r w:rsidR="00151C0A">
        <w:rPr>
          <w:szCs w:val="26"/>
        </w:rPr>
        <w:t>,</w:t>
      </w:r>
      <w:r>
        <w:rPr>
          <w:szCs w:val="26"/>
        </w:rPr>
        <w:t xml:space="preserve"> </w:t>
      </w:r>
      <w:r w:rsidR="00206D72">
        <w:rPr>
          <w:szCs w:val="26"/>
        </w:rPr>
        <w:t xml:space="preserve">in part, </w:t>
      </w:r>
      <w:r>
        <w:rPr>
          <w:szCs w:val="26"/>
        </w:rPr>
        <w:t>consistent with this Opinion and Order.</w:t>
      </w:r>
    </w:p>
    <w:p w:rsidR="009F11DD" w:rsidRDefault="009F11DD" w:rsidP="00066A76">
      <w:pPr>
        <w:spacing w:line="360" w:lineRule="auto"/>
        <w:rPr>
          <w:szCs w:val="26"/>
        </w:rPr>
      </w:pPr>
    </w:p>
    <w:p w:rsidR="00066A76" w:rsidRDefault="00066A76" w:rsidP="00066A76">
      <w:pPr>
        <w:spacing w:line="360" w:lineRule="auto"/>
        <w:rPr>
          <w:szCs w:val="26"/>
        </w:rPr>
      </w:pPr>
      <w:r>
        <w:rPr>
          <w:szCs w:val="26"/>
        </w:rPr>
        <w:tab/>
      </w:r>
      <w:r>
        <w:rPr>
          <w:szCs w:val="26"/>
        </w:rPr>
        <w:tab/>
        <w:t>2.</w:t>
      </w:r>
      <w:r>
        <w:rPr>
          <w:szCs w:val="26"/>
        </w:rPr>
        <w:tab/>
        <w:t xml:space="preserve">That the Initial Decision of Administrative Law Judge </w:t>
      </w:r>
      <w:r w:rsidR="00206D72">
        <w:rPr>
          <w:szCs w:val="26"/>
        </w:rPr>
        <w:t>Katrina L. Dunderdale</w:t>
      </w:r>
      <w:r>
        <w:rPr>
          <w:szCs w:val="26"/>
        </w:rPr>
        <w:t xml:space="preserve">, issued </w:t>
      </w:r>
      <w:r w:rsidR="00206D72">
        <w:rPr>
          <w:szCs w:val="26"/>
        </w:rPr>
        <w:t>March 23</w:t>
      </w:r>
      <w:r w:rsidR="00151C0A">
        <w:rPr>
          <w:szCs w:val="26"/>
        </w:rPr>
        <w:t>, 2012</w:t>
      </w:r>
      <w:r>
        <w:rPr>
          <w:szCs w:val="26"/>
        </w:rPr>
        <w:t xml:space="preserve">, is </w:t>
      </w:r>
      <w:r w:rsidR="009F11DD">
        <w:rPr>
          <w:szCs w:val="26"/>
        </w:rPr>
        <w:t>modified</w:t>
      </w:r>
      <w:r>
        <w:rPr>
          <w:szCs w:val="26"/>
        </w:rPr>
        <w:t xml:space="preserve">, consistent with this Opinion and Order.  </w:t>
      </w:r>
    </w:p>
    <w:p w:rsidR="00066A76" w:rsidRDefault="00066A76" w:rsidP="00066A76">
      <w:pPr>
        <w:spacing w:line="360" w:lineRule="auto"/>
        <w:rPr>
          <w:szCs w:val="26"/>
        </w:rPr>
      </w:pPr>
    </w:p>
    <w:p w:rsidR="00691A22" w:rsidRDefault="00066A76" w:rsidP="00691A22">
      <w:pPr>
        <w:spacing w:line="360" w:lineRule="auto"/>
        <w:rPr>
          <w:szCs w:val="26"/>
        </w:rPr>
      </w:pPr>
      <w:r>
        <w:rPr>
          <w:szCs w:val="26"/>
        </w:rPr>
        <w:tab/>
      </w:r>
      <w:r>
        <w:rPr>
          <w:szCs w:val="26"/>
        </w:rPr>
        <w:tab/>
      </w:r>
      <w:r w:rsidR="00691A22">
        <w:rPr>
          <w:szCs w:val="26"/>
        </w:rPr>
        <w:t>3.</w:t>
      </w:r>
      <w:r w:rsidR="00691A22">
        <w:rPr>
          <w:szCs w:val="26"/>
        </w:rPr>
        <w:tab/>
        <w:t xml:space="preserve">That the Complaint filed by </w:t>
      </w:r>
      <w:r w:rsidR="00206D72">
        <w:rPr>
          <w:szCs w:val="26"/>
        </w:rPr>
        <w:t>William Diedrich</w:t>
      </w:r>
      <w:r w:rsidR="00691A22">
        <w:rPr>
          <w:szCs w:val="26"/>
        </w:rPr>
        <w:t xml:space="preserve"> against PECO Energy Company at Docket No. </w:t>
      </w:r>
      <w:r w:rsidR="00206D72">
        <w:rPr>
          <w:szCs w:val="26"/>
        </w:rPr>
        <w:t>F</w:t>
      </w:r>
      <w:r w:rsidR="00691A22">
        <w:rPr>
          <w:szCs w:val="26"/>
        </w:rPr>
        <w:t>-2010-2</w:t>
      </w:r>
      <w:r w:rsidR="00206D72">
        <w:rPr>
          <w:szCs w:val="26"/>
        </w:rPr>
        <w:t>191381</w:t>
      </w:r>
      <w:r w:rsidR="00691A22">
        <w:rPr>
          <w:szCs w:val="26"/>
        </w:rPr>
        <w:t xml:space="preserve"> is </w:t>
      </w:r>
      <w:r w:rsidR="00206D72">
        <w:rPr>
          <w:szCs w:val="26"/>
        </w:rPr>
        <w:t>sustained, in part, and denied, in part, consistent with this Opinion and Order</w:t>
      </w:r>
      <w:r w:rsidR="00691A22">
        <w:rPr>
          <w:szCs w:val="26"/>
        </w:rPr>
        <w:t>.</w:t>
      </w:r>
    </w:p>
    <w:p w:rsidR="00661C22" w:rsidRDefault="00661C22" w:rsidP="00691A22">
      <w:pPr>
        <w:spacing w:line="360" w:lineRule="auto"/>
        <w:rPr>
          <w:szCs w:val="26"/>
        </w:rPr>
      </w:pPr>
    </w:p>
    <w:p w:rsidR="00F03288" w:rsidRPr="00FD6786" w:rsidRDefault="00206D72" w:rsidP="00F03288">
      <w:pPr>
        <w:spacing w:line="360" w:lineRule="auto"/>
        <w:rPr>
          <w:szCs w:val="24"/>
        </w:rPr>
      </w:pPr>
      <w:r>
        <w:rPr>
          <w:szCs w:val="26"/>
        </w:rPr>
        <w:tab/>
      </w:r>
      <w:r>
        <w:rPr>
          <w:szCs w:val="26"/>
        </w:rPr>
        <w:tab/>
      </w:r>
      <w:r w:rsidR="00F03288">
        <w:rPr>
          <w:szCs w:val="24"/>
        </w:rPr>
        <w:t>4</w:t>
      </w:r>
      <w:r w:rsidR="00F03288" w:rsidRPr="00FD6786">
        <w:rPr>
          <w:szCs w:val="24"/>
        </w:rPr>
        <w:t>.</w:t>
      </w:r>
      <w:r w:rsidR="00F03288" w:rsidRPr="00FD6786">
        <w:rPr>
          <w:szCs w:val="24"/>
        </w:rPr>
        <w:tab/>
        <w:t>That</w:t>
      </w:r>
      <w:r w:rsidR="00F03288">
        <w:rPr>
          <w:szCs w:val="24"/>
        </w:rPr>
        <w:t>,</w:t>
      </w:r>
      <w:r w:rsidR="00F03288" w:rsidRPr="00FD6786">
        <w:rPr>
          <w:szCs w:val="24"/>
        </w:rPr>
        <w:t xml:space="preserve"> within </w:t>
      </w:r>
      <w:r w:rsidR="00F03288">
        <w:rPr>
          <w:szCs w:val="24"/>
        </w:rPr>
        <w:t>thirty</w:t>
      </w:r>
      <w:r w:rsidR="00F03288" w:rsidRPr="00FD6786">
        <w:rPr>
          <w:szCs w:val="24"/>
        </w:rPr>
        <w:t xml:space="preserve"> days of the entry date of th</w:t>
      </w:r>
      <w:r w:rsidR="00F03288">
        <w:rPr>
          <w:szCs w:val="24"/>
        </w:rPr>
        <w:t>is Opinion and</w:t>
      </w:r>
      <w:r w:rsidR="00F03288" w:rsidRPr="00FD6786">
        <w:rPr>
          <w:szCs w:val="24"/>
        </w:rPr>
        <w:t xml:space="preserve"> Order, pursuant to Section 3301 of the Public Utility Code, 66 Pa. C.S. § 3301, </w:t>
      </w:r>
      <w:r w:rsidR="00F03288">
        <w:rPr>
          <w:szCs w:val="24"/>
        </w:rPr>
        <w:t xml:space="preserve">PECO </w:t>
      </w:r>
      <w:r w:rsidR="00F03288" w:rsidRPr="00FD6786">
        <w:rPr>
          <w:szCs w:val="24"/>
        </w:rPr>
        <w:t xml:space="preserve">Energy </w:t>
      </w:r>
      <w:r w:rsidR="00F03288">
        <w:rPr>
          <w:szCs w:val="24"/>
        </w:rPr>
        <w:t>Company sha</w:t>
      </w:r>
      <w:r w:rsidR="00F03288" w:rsidRPr="00FD6786">
        <w:rPr>
          <w:szCs w:val="24"/>
        </w:rPr>
        <w:t>ll remit a civil penalty of $</w:t>
      </w:r>
      <w:r w:rsidR="00F03288">
        <w:rPr>
          <w:szCs w:val="24"/>
        </w:rPr>
        <w:t>25</w:t>
      </w:r>
      <w:r w:rsidR="00F03288" w:rsidRPr="00FD6786">
        <w:rPr>
          <w:szCs w:val="24"/>
        </w:rPr>
        <w:t>0 payable by check, money order</w:t>
      </w:r>
      <w:r w:rsidR="00F03288">
        <w:rPr>
          <w:szCs w:val="24"/>
        </w:rPr>
        <w:t>,</w:t>
      </w:r>
      <w:r w:rsidR="00F03288" w:rsidRPr="00FD6786">
        <w:rPr>
          <w:szCs w:val="24"/>
        </w:rPr>
        <w:t xml:space="preserve"> or certified funds, to:</w:t>
      </w:r>
    </w:p>
    <w:p w:rsidR="00F03288" w:rsidRPr="00FD6786" w:rsidRDefault="00F03288" w:rsidP="00F03288">
      <w:pPr>
        <w:ind w:firstLine="1440"/>
        <w:rPr>
          <w:szCs w:val="24"/>
        </w:rPr>
      </w:pPr>
      <w:r w:rsidRPr="00FD6786">
        <w:rPr>
          <w:szCs w:val="24"/>
        </w:rPr>
        <w:t>Secretary</w:t>
      </w:r>
    </w:p>
    <w:p w:rsidR="00F03288" w:rsidRPr="00FD6786" w:rsidRDefault="00F03288" w:rsidP="00F03288">
      <w:pPr>
        <w:ind w:firstLine="1440"/>
        <w:rPr>
          <w:szCs w:val="24"/>
        </w:rPr>
      </w:pPr>
      <w:r w:rsidRPr="00FD6786">
        <w:rPr>
          <w:szCs w:val="24"/>
        </w:rPr>
        <w:t>Pennsylvania Public Utility Commission</w:t>
      </w:r>
    </w:p>
    <w:p w:rsidR="00F03288" w:rsidRPr="00FD6786" w:rsidRDefault="00F03288" w:rsidP="00F03288">
      <w:pPr>
        <w:ind w:firstLine="1440"/>
        <w:rPr>
          <w:szCs w:val="24"/>
        </w:rPr>
      </w:pPr>
      <w:r w:rsidRPr="00FD6786">
        <w:rPr>
          <w:szCs w:val="24"/>
        </w:rPr>
        <w:t>P.O. Box 3265</w:t>
      </w:r>
    </w:p>
    <w:p w:rsidR="00F03288" w:rsidRPr="00FD6786" w:rsidRDefault="00F03288" w:rsidP="00F03288">
      <w:pPr>
        <w:ind w:firstLine="1440"/>
        <w:rPr>
          <w:szCs w:val="24"/>
        </w:rPr>
      </w:pPr>
      <w:r w:rsidRPr="00FD6786">
        <w:rPr>
          <w:szCs w:val="24"/>
        </w:rPr>
        <w:t>Harrisburg, PA, 17105-3265</w:t>
      </w:r>
    </w:p>
    <w:p w:rsidR="00F03288" w:rsidRPr="00FD6786" w:rsidRDefault="00F03288" w:rsidP="00F03288">
      <w:pPr>
        <w:spacing w:line="360" w:lineRule="auto"/>
        <w:ind w:firstLine="1440"/>
        <w:rPr>
          <w:szCs w:val="24"/>
        </w:rPr>
      </w:pPr>
    </w:p>
    <w:p w:rsidR="00F03288" w:rsidRPr="0090056F" w:rsidRDefault="00F03288" w:rsidP="00F03288">
      <w:pPr>
        <w:spacing w:line="360" w:lineRule="auto"/>
        <w:ind w:firstLine="1440"/>
      </w:pPr>
      <w:r>
        <w:rPr>
          <w:szCs w:val="26"/>
        </w:rPr>
        <w:t>5.</w:t>
      </w:r>
      <w:r>
        <w:rPr>
          <w:szCs w:val="26"/>
        </w:rPr>
        <w:tab/>
      </w:r>
      <w:r w:rsidRPr="0090056F">
        <w:t xml:space="preserve">That a copy of this Opinion and Order </w:t>
      </w:r>
      <w:r>
        <w:t xml:space="preserve">shall </w:t>
      </w:r>
      <w:r w:rsidRPr="0090056F">
        <w:t>be served upon the Financial and Assessment Chief, Office of Administrative Services.</w:t>
      </w:r>
    </w:p>
    <w:p w:rsidR="00F03288" w:rsidRDefault="00F03288" w:rsidP="00F03288">
      <w:pPr>
        <w:spacing w:line="360" w:lineRule="auto"/>
        <w:rPr>
          <w:szCs w:val="26"/>
        </w:rPr>
      </w:pPr>
    </w:p>
    <w:p w:rsidR="00684B84" w:rsidRDefault="00130FC1" w:rsidP="00691A22">
      <w:pPr>
        <w:spacing w:line="360" w:lineRule="auto"/>
        <w:rPr>
          <w:szCs w:val="26"/>
        </w:rPr>
      </w:pPr>
      <w:r>
        <w:rPr>
          <w:szCs w:val="26"/>
        </w:rPr>
        <w:tab/>
      </w:r>
      <w:r w:rsidR="00691A22">
        <w:rPr>
          <w:szCs w:val="26"/>
        </w:rPr>
        <w:tab/>
      </w:r>
    </w:p>
    <w:p w:rsidR="00684B84" w:rsidRDefault="00684B84" w:rsidP="00691A22">
      <w:pPr>
        <w:spacing w:line="360" w:lineRule="auto"/>
        <w:rPr>
          <w:szCs w:val="26"/>
        </w:rPr>
      </w:pPr>
    </w:p>
    <w:p w:rsidR="00066A76" w:rsidRDefault="00F03288" w:rsidP="00684B84">
      <w:pPr>
        <w:spacing w:line="360" w:lineRule="auto"/>
        <w:ind w:left="720" w:firstLine="720"/>
        <w:rPr>
          <w:szCs w:val="26"/>
        </w:rPr>
      </w:pPr>
      <w:r>
        <w:rPr>
          <w:szCs w:val="26"/>
        </w:rPr>
        <w:lastRenderedPageBreak/>
        <w:t>6</w:t>
      </w:r>
      <w:r w:rsidR="00691A22">
        <w:rPr>
          <w:szCs w:val="26"/>
        </w:rPr>
        <w:t>.</w:t>
      </w:r>
      <w:r w:rsidR="00691A22">
        <w:rPr>
          <w:szCs w:val="26"/>
        </w:rPr>
        <w:tab/>
        <w:t xml:space="preserve">That this case shall be marked closed.    </w:t>
      </w:r>
    </w:p>
    <w:p w:rsidR="00691A22" w:rsidRPr="00066A76" w:rsidRDefault="00691A22" w:rsidP="00691A22">
      <w:pPr>
        <w:spacing w:line="360" w:lineRule="auto"/>
        <w:rPr>
          <w:szCs w:val="26"/>
        </w:rPr>
      </w:pPr>
    </w:p>
    <w:p w:rsidR="00066A76" w:rsidRPr="00066A76" w:rsidRDefault="007B3D1A" w:rsidP="00066A76">
      <w:pPr>
        <w:spacing w:line="360" w:lineRule="auto"/>
        <w:rPr>
          <w:szCs w:val="24"/>
        </w:rPr>
      </w:pPr>
      <w:r>
        <w:rPr>
          <w:noProof/>
        </w:rPr>
        <w:drawing>
          <wp:anchor distT="0" distB="0" distL="114300" distR="114300" simplePos="0" relativeHeight="251658240" behindDoc="1" locked="0" layoutInCell="1" allowOverlap="1" wp14:anchorId="6CD1D98F" wp14:editId="49942269">
            <wp:simplePos x="0" y="0"/>
            <wp:positionH relativeFrom="column">
              <wp:posOffset>2781300</wp:posOffset>
            </wp:positionH>
            <wp:positionV relativeFrom="paragraph">
              <wp:posOffset>97155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 xml:space="preserve">ORDER ADOPTED:  </w:t>
      </w:r>
      <w:r w:rsidR="00691A22">
        <w:rPr>
          <w:szCs w:val="24"/>
        </w:rPr>
        <w:t>Ju</w:t>
      </w:r>
      <w:r w:rsidR="00055A3E">
        <w:rPr>
          <w:szCs w:val="24"/>
        </w:rPr>
        <w:t>ly</w:t>
      </w:r>
      <w:r w:rsidR="00691A22">
        <w:rPr>
          <w:szCs w:val="24"/>
        </w:rPr>
        <w:t xml:space="preserve"> 1</w:t>
      </w:r>
      <w:r w:rsidR="00055A3E">
        <w:rPr>
          <w:szCs w:val="24"/>
        </w:rPr>
        <w:t>9</w:t>
      </w:r>
      <w:r w:rsidRPr="00066A76">
        <w:rPr>
          <w:szCs w:val="24"/>
        </w:rPr>
        <w:t>, 201</w:t>
      </w:r>
      <w:r w:rsidR="00C442B4">
        <w:rPr>
          <w:szCs w:val="24"/>
        </w:rPr>
        <w:t>2</w:t>
      </w:r>
      <w:r w:rsidRPr="00066A76">
        <w:rPr>
          <w:szCs w:val="24"/>
        </w:rPr>
        <w:t xml:space="preserve"> </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7B3D1A">
        <w:rPr>
          <w:rFonts w:ascii="Times New (W1)" w:hAnsi="Times New (W1)"/>
          <w:szCs w:val="22"/>
        </w:rPr>
        <w:t>July 19, 2012</w:t>
      </w:r>
      <w:bookmarkStart w:id="0" w:name="_GoBack"/>
      <w:bookmarkEnd w:id="0"/>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EA" w:rsidRDefault="00FD2DEA" w:rsidP="00567496">
      <w:r>
        <w:separator/>
      </w:r>
    </w:p>
  </w:endnote>
  <w:endnote w:type="continuationSeparator" w:id="0">
    <w:p w:rsidR="00FD2DEA" w:rsidRDefault="00FD2DEA"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F94F57" w:rsidRDefault="00F94F57">
        <w:pPr>
          <w:pStyle w:val="Footer"/>
          <w:jc w:val="center"/>
        </w:pPr>
        <w:r>
          <w:fldChar w:fldCharType="begin"/>
        </w:r>
        <w:r>
          <w:instrText xml:space="preserve"> PAGE   \* MERGEFORMAT </w:instrText>
        </w:r>
        <w:r>
          <w:fldChar w:fldCharType="separate"/>
        </w:r>
        <w:r w:rsidR="007B3D1A">
          <w:rPr>
            <w:noProof/>
          </w:rPr>
          <w:t>13</w:t>
        </w:r>
        <w:r>
          <w:rPr>
            <w:noProof/>
          </w:rPr>
          <w:fldChar w:fldCharType="end"/>
        </w:r>
      </w:p>
    </w:sdtContent>
  </w:sdt>
  <w:p w:rsidR="00F94F57" w:rsidRDefault="00F94F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EA" w:rsidRDefault="00FD2DEA" w:rsidP="00567496">
      <w:r>
        <w:separator/>
      </w:r>
    </w:p>
  </w:footnote>
  <w:footnote w:type="continuationSeparator" w:id="0">
    <w:p w:rsidR="00FD2DEA" w:rsidRDefault="00FD2DEA" w:rsidP="00567496">
      <w:r>
        <w:continuationSeparator/>
      </w:r>
    </w:p>
  </w:footnote>
  <w:footnote w:id="1">
    <w:p w:rsidR="00964729" w:rsidRPr="00BA69E9" w:rsidRDefault="00964729" w:rsidP="00BA69E9">
      <w:pPr>
        <w:pStyle w:val="FootnoteText"/>
        <w:ind w:firstLine="720"/>
        <w:rPr>
          <w:sz w:val="26"/>
        </w:rPr>
      </w:pPr>
      <w:r w:rsidRPr="00BA69E9">
        <w:rPr>
          <w:rStyle w:val="FootnoteReference"/>
          <w:sz w:val="26"/>
        </w:rPr>
        <w:footnoteRef/>
      </w:r>
      <w:r w:rsidRPr="00BA69E9">
        <w:rPr>
          <w:sz w:val="26"/>
        </w:rPr>
        <w:t xml:space="preserve"> </w:t>
      </w:r>
      <w:r w:rsidRPr="00BA69E9">
        <w:rPr>
          <w:sz w:val="26"/>
        </w:rPr>
        <w:tab/>
        <w:t xml:space="preserve">The </w:t>
      </w:r>
      <w:r w:rsidR="00DA5CC5">
        <w:rPr>
          <w:sz w:val="26"/>
        </w:rPr>
        <w:t xml:space="preserve">ten criteria set forth in the </w:t>
      </w:r>
      <w:r w:rsidRPr="00BA69E9">
        <w:rPr>
          <w:sz w:val="26"/>
        </w:rPr>
        <w:t xml:space="preserve">Policy Statement are discussed in detail on pages twelve through fifteen of the ALJ’s Initial Decision.   </w:t>
      </w:r>
    </w:p>
  </w:footnote>
  <w:footnote w:id="2">
    <w:p w:rsidR="00186927" w:rsidRPr="0053754B" w:rsidRDefault="00186927" w:rsidP="00186927">
      <w:pPr>
        <w:pStyle w:val="FootnoteText"/>
        <w:ind w:firstLine="720"/>
        <w:rPr>
          <w:sz w:val="26"/>
        </w:rPr>
      </w:pPr>
      <w:r w:rsidRPr="0053754B">
        <w:rPr>
          <w:rStyle w:val="FootnoteReference"/>
          <w:sz w:val="26"/>
        </w:rPr>
        <w:footnoteRef/>
      </w:r>
      <w:r w:rsidRPr="0053754B">
        <w:rPr>
          <w:sz w:val="26"/>
        </w:rPr>
        <w:t xml:space="preserve"> </w:t>
      </w:r>
      <w:r w:rsidRPr="0053754B">
        <w:rPr>
          <w:sz w:val="26"/>
        </w:rPr>
        <w:tab/>
        <w:t xml:space="preserve">We note that PECO sent a check for $1,000 to the Commission on April 16, 2012.  That check will be returned to PECO as it was sent before this matter </w:t>
      </w:r>
      <w:r w:rsidR="0053754B">
        <w:rPr>
          <w:sz w:val="26"/>
        </w:rPr>
        <w:t xml:space="preserve">had </w:t>
      </w:r>
      <w:r w:rsidRPr="0053754B">
        <w:rPr>
          <w:sz w:val="26"/>
        </w:rPr>
        <w:t xml:space="preserve">concluded.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31B7"/>
    <w:rsid w:val="000036E9"/>
    <w:rsid w:val="00004052"/>
    <w:rsid w:val="00004858"/>
    <w:rsid w:val="00004E2C"/>
    <w:rsid w:val="00004F7C"/>
    <w:rsid w:val="00006415"/>
    <w:rsid w:val="00006ECB"/>
    <w:rsid w:val="00006EFA"/>
    <w:rsid w:val="00013322"/>
    <w:rsid w:val="0001578F"/>
    <w:rsid w:val="00016924"/>
    <w:rsid w:val="00016B40"/>
    <w:rsid w:val="00017680"/>
    <w:rsid w:val="000211D0"/>
    <w:rsid w:val="00021A4A"/>
    <w:rsid w:val="000222AE"/>
    <w:rsid w:val="00022504"/>
    <w:rsid w:val="0002280B"/>
    <w:rsid w:val="000228FE"/>
    <w:rsid w:val="00022EC2"/>
    <w:rsid w:val="00023CB6"/>
    <w:rsid w:val="00023D09"/>
    <w:rsid w:val="000249BD"/>
    <w:rsid w:val="00026AFF"/>
    <w:rsid w:val="00027499"/>
    <w:rsid w:val="00027B21"/>
    <w:rsid w:val="0003033F"/>
    <w:rsid w:val="0003064C"/>
    <w:rsid w:val="00031713"/>
    <w:rsid w:val="00031787"/>
    <w:rsid w:val="0003181E"/>
    <w:rsid w:val="00031B5D"/>
    <w:rsid w:val="0003253F"/>
    <w:rsid w:val="00032E09"/>
    <w:rsid w:val="00033027"/>
    <w:rsid w:val="0003338F"/>
    <w:rsid w:val="00034F46"/>
    <w:rsid w:val="00034F90"/>
    <w:rsid w:val="000422E7"/>
    <w:rsid w:val="00042CC3"/>
    <w:rsid w:val="000447CE"/>
    <w:rsid w:val="00044CEB"/>
    <w:rsid w:val="00045551"/>
    <w:rsid w:val="00045911"/>
    <w:rsid w:val="00046962"/>
    <w:rsid w:val="00047785"/>
    <w:rsid w:val="000506DB"/>
    <w:rsid w:val="000509B2"/>
    <w:rsid w:val="00050CF6"/>
    <w:rsid w:val="00051324"/>
    <w:rsid w:val="000519B5"/>
    <w:rsid w:val="00052468"/>
    <w:rsid w:val="00052D75"/>
    <w:rsid w:val="00052FFA"/>
    <w:rsid w:val="000550E9"/>
    <w:rsid w:val="00055623"/>
    <w:rsid w:val="00055A3E"/>
    <w:rsid w:val="00056646"/>
    <w:rsid w:val="00057D94"/>
    <w:rsid w:val="0006109C"/>
    <w:rsid w:val="00061888"/>
    <w:rsid w:val="00063D15"/>
    <w:rsid w:val="00063E1C"/>
    <w:rsid w:val="00064136"/>
    <w:rsid w:val="00064894"/>
    <w:rsid w:val="000658EB"/>
    <w:rsid w:val="00065A18"/>
    <w:rsid w:val="00065F0E"/>
    <w:rsid w:val="00066A76"/>
    <w:rsid w:val="00066AE5"/>
    <w:rsid w:val="0007219D"/>
    <w:rsid w:val="000728F9"/>
    <w:rsid w:val="000732CB"/>
    <w:rsid w:val="000740B8"/>
    <w:rsid w:val="00074262"/>
    <w:rsid w:val="00074274"/>
    <w:rsid w:val="000749FD"/>
    <w:rsid w:val="0007550D"/>
    <w:rsid w:val="00075FD6"/>
    <w:rsid w:val="00075FFF"/>
    <w:rsid w:val="00076343"/>
    <w:rsid w:val="0007652E"/>
    <w:rsid w:val="00076FCE"/>
    <w:rsid w:val="000777B3"/>
    <w:rsid w:val="000805CB"/>
    <w:rsid w:val="00081D32"/>
    <w:rsid w:val="00081EEF"/>
    <w:rsid w:val="0008220C"/>
    <w:rsid w:val="00082E1B"/>
    <w:rsid w:val="000842FB"/>
    <w:rsid w:val="000851ED"/>
    <w:rsid w:val="00085ED7"/>
    <w:rsid w:val="00087216"/>
    <w:rsid w:val="000878DB"/>
    <w:rsid w:val="00090183"/>
    <w:rsid w:val="000917D1"/>
    <w:rsid w:val="00092F02"/>
    <w:rsid w:val="00093996"/>
    <w:rsid w:val="00093FE1"/>
    <w:rsid w:val="00094193"/>
    <w:rsid w:val="00094355"/>
    <w:rsid w:val="000950BB"/>
    <w:rsid w:val="00096209"/>
    <w:rsid w:val="000971B5"/>
    <w:rsid w:val="000979D4"/>
    <w:rsid w:val="000A06B5"/>
    <w:rsid w:val="000A0A6B"/>
    <w:rsid w:val="000A0C77"/>
    <w:rsid w:val="000A13F2"/>
    <w:rsid w:val="000A1613"/>
    <w:rsid w:val="000A18F9"/>
    <w:rsid w:val="000A1BE6"/>
    <w:rsid w:val="000A4744"/>
    <w:rsid w:val="000A4F3F"/>
    <w:rsid w:val="000A6F8A"/>
    <w:rsid w:val="000A718D"/>
    <w:rsid w:val="000A7DED"/>
    <w:rsid w:val="000B0210"/>
    <w:rsid w:val="000B12E3"/>
    <w:rsid w:val="000B1971"/>
    <w:rsid w:val="000B1E0D"/>
    <w:rsid w:val="000B1F90"/>
    <w:rsid w:val="000B531C"/>
    <w:rsid w:val="000B599B"/>
    <w:rsid w:val="000B6883"/>
    <w:rsid w:val="000B6C4C"/>
    <w:rsid w:val="000B710E"/>
    <w:rsid w:val="000B75DD"/>
    <w:rsid w:val="000C0E0E"/>
    <w:rsid w:val="000C213E"/>
    <w:rsid w:val="000C35F6"/>
    <w:rsid w:val="000C459A"/>
    <w:rsid w:val="000C5F40"/>
    <w:rsid w:val="000C69AD"/>
    <w:rsid w:val="000C7089"/>
    <w:rsid w:val="000C7A35"/>
    <w:rsid w:val="000D0D98"/>
    <w:rsid w:val="000D1091"/>
    <w:rsid w:val="000D2A6B"/>
    <w:rsid w:val="000D380B"/>
    <w:rsid w:val="000D383A"/>
    <w:rsid w:val="000D3DCC"/>
    <w:rsid w:val="000D43BE"/>
    <w:rsid w:val="000D476B"/>
    <w:rsid w:val="000D48F9"/>
    <w:rsid w:val="000D520C"/>
    <w:rsid w:val="000D5D86"/>
    <w:rsid w:val="000D6CEF"/>
    <w:rsid w:val="000D74EC"/>
    <w:rsid w:val="000D7FD2"/>
    <w:rsid w:val="000E007A"/>
    <w:rsid w:val="000E01F7"/>
    <w:rsid w:val="000E0269"/>
    <w:rsid w:val="000E0764"/>
    <w:rsid w:val="000E0FA7"/>
    <w:rsid w:val="000E124B"/>
    <w:rsid w:val="000E22AE"/>
    <w:rsid w:val="000E285A"/>
    <w:rsid w:val="000E35F4"/>
    <w:rsid w:val="000E3C3B"/>
    <w:rsid w:val="000E4883"/>
    <w:rsid w:val="000E5496"/>
    <w:rsid w:val="000E6231"/>
    <w:rsid w:val="000E75E1"/>
    <w:rsid w:val="000E7645"/>
    <w:rsid w:val="000E7975"/>
    <w:rsid w:val="000E7C57"/>
    <w:rsid w:val="000F0EA5"/>
    <w:rsid w:val="000F2AEE"/>
    <w:rsid w:val="000F3544"/>
    <w:rsid w:val="000F415F"/>
    <w:rsid w:val="000F45BD"/>
    <w:rsid w:val="000F461C"/>
    <w:rsid w:val="000F46D2"/>
    <w:rsid w:val="000F501F"/>
    <w:rsid w:val="000F50A2"/>
    <w:rsid w:val="000F50C8"/>
    <w:rsid w:val="000F5F90"/>
    <w:rsid w:val="000F7411"/>
    <w:rsid w:val="000F7DAE"/>
    <w:rsid w:val="00100BCA"/>
    <w:rsid w:val="0010174E"/>
    <w:rsid w:val="00101D54"/>
    <w:rsid w:val="00102F7E"/>
    <w:rsid w:val="00104159"/>
    <w:rsid w:val="00105BF5"/>
    <w:rsid w:val="00105E00"/>
    <w:rsid w:val="00105F1D"/>
    <w:rsid w:val="00106B30"/>
    <w:rsid w:val="00107493"/>
    <w:rsid w:val="00107BD9"/>
    <w:rsid w:val="00112874"/>
    <w:rsid w:val="00115130"/>
    <w:rsid w:val="00115D05"/>
    <w:rsid w:val="00115FB0"/>
    <w:rsid w:val="00116C7B"/>
    <w:rsid w:val="0011729D"/>
    <w:rsid w:val="001172E7"/>
    <w:rsid w:val="00117A81"/>
    <w:rsid w:val="00120481"/>
    <w:rsid w:val="001212C2"/>
    <w:rsid w:val="00121D4A"/>
    <w:rsid w:val="00121DD2"/>
    <w:rsid w:val="00122DEA"/>
    <w:rsid w:val="0012301B"/>
    <w:rsid w:val="00123544"/>
    <w:rsid w:val="001248B9"/>
    <w:rsid w:val="00124CAA"/>
    <w:rsid w:val="00124D07"/>
    <w:rsid w:val="001251FA"/>
    <w:rsid w:val="00126313"/>
    <w:rsid w:val="00126693"/>
    <w:rsid w:val="00127A3B"/>
    <w:rsid w:val="00127ADA"/>
    <w:rsid w:val="00130039"/>
    <w:rsid w:val="00130A5C"/>
    <w:rsid w:val="00130A80"/>
    <w:rsid w:val="00130E3F"/>
    <w:rsid w:val="00130FC1"/>
    <w:rsid w:val="00131318"/>
    <w:rsid w:val="001318EC"/>
    <w:rsid w:val="001324BC"/>
    <w:rsid w:val="0013263B"/>
    <w:rsid w:val="0013296C"/>
    <w:rsid w:val="0013363F"/>
    <w:rsid w:val="00134BFA"/>
    <w:rsid w:val="00135DD1"/>
    <w:rsid w:val="00137474"/>
    <w:rsid w:val="00137993"/>
    <w:rsid w:val="00140308"/>
    <w:rsid w:val="00141235"/>
    <w:rsid w:val="0014343B"/>
    <w:rsid w:val="00143548"/>
    <w:rsid w:val="00143873"/>
    <w:rsid w:val="00143B1D"/>
    <w:rsid w:val="00144359"/>
    <w:rsid w:val="00146C68"/>
    <w:rsid w:val="0014737F"/>
    <w:rsid w:val="00150526"/>
    <w:rsid w:val="00150E8C"/>
    <w:rsid w:val="00151710"/>
    <w:rsid w:val="00151C0A"/>
    <w:rsid w:val="00151E19"/>
    <w:rsid w:val="001520DA"/>
    <w:rsid w:val="00152175"/>
    <w:rsid w:val="00153381"/>
    <w:rsid w:val="00153DA6"/>
    <w:rsid w:val="00153E8D"/>
    <w:rsid w:val="00153F8F"/>
    <w:rsid w:val="00154722"/>
    <w:rsid w:val="001550A1"/>
    <w:rsid w:val="0015535F"/>
    <w:rsid w:val="00155EDA"/>
    <w:rsid w:val="00156581"/>
    <w:rsid w:val="00162263"/>
    <w:rsid w:val="001623B6"/>
    <w:rsid w:val="001624A6"/>
    <w:rsid w:val="00163290"/>
    <w:rsid w:val="0016372F"/>
    <w:rsid w:val="001648F1"/>
    <w:rsid w:val="0016528B"/>
    <w:rsid w:val="0016597F"/>
    <w:rsid w:val="001660A3"/>
    <w:rsid w:val="001669A9"/>
    <w:rsid w:val="00167166"/>
    <w:rsid w:val="00167B7B"/>
    <w:rsid w:val="00167E4A"/>
    <w:rsid w:val="001701B4"/>
    <w:rsid w:val="00170C7D"/>
    <w:rsid w:val="00172E5B"/>
    <w:rsid w:val="00173196"/>
    <w:rsid w:val="0017378E"/>
    <w:rsid w:val="00174348"/>
    <w:rsid w:val="001743B6"/>
    <w:rsid w:val="00174916"/>
    <w:rsid w:val="001757B6"/>
    <w:rsid w:val="00175ED3"/>
    <w:rsid w:val="001766B5"/>
    <w:rsid w:val="00177D81"/>
    <w:rsid w:val="0018006C"/>
    <w:rsid w:val="00180D82"/>
    <w:rsid w:val="00182093"/>
    <w:rsid w:val="00184831"/>
    <w:rsid w:val="00185FB2"/>
    <w:rsid w:val="00186927"/>
    <w:rsid w:val="00187958"/>
    <w:rsid w:val="0019027A"/>
    <w:rsid w:val="0019028A"/>
    <w:rsid w:val="00191C9B"/>
    <w:rsid w:val="001920B5"/>
    <w:rsid w:val="00192C94"/>
    <w:rsid w:val="0019507A"/>
    <w:rsid w:val="001958F7"/>
    <w:rsid w:val="001960EE"/>
    <w:rsid w:val="001966F5"/>
    <w:rsid w:val="001A0BA6"/>
    <w:rsid w:val="001A1EF3"/>
    <w:rsid w:val="001A253A"/>
    <w:rsid w:val="001A272B"/>
    <w:rsid w:val="001A2965"/>
    <w:rsid w:val="001A410D"/>
    <w:rsid w:val="001A462A"/>
    <w:rsid w:val="001A4EB7"/>
    <w:rsid w:val="001A6A0C"/>
    <w:rsid w:val="001A6A14"/>
    <w:rsid w:val="001A6BD4"/>
    <w:rsid w:val="001A6C53"/>
    <w:rsid w:val="001A7031"/>
    <w:rsid w:val="001A7064"/>
    <w:rsid w:val="001A7E39"/>
    <w:rsid w:val="001B0475"/>
    <w:rsid w:val="001B1E6E"/>
    <w:rsid w:val="001B2A8A"/>
    <w:rsid w:val="001B4D9F"/>
    <w:rsid w:val="001B4DBE"/>
    <w:rsid w:val="001B52E2"/>
    <w:rsid w:val="001B5DE4"/>
    <w:rsid w:val="001B5ECD"/>
    <w:rsid w:val="001C1CD8"/>
    <w:rsid w:val="001C1DA1"/>
    <w:rsid w:val="001C27CC"/>
    <w:rsid w:val="001C2933"/>
    <w:rsid w:val="001C2D37"/>
    <w:rsid w:val="001C3981"/>
    <w:rsid w:val="001C3A12"/>
    <w:rsid w:val="001C3E1E"/>
    <w:rsid w:val="001C4360"/>
    <w:rsid w:val="001C44D7"/>
    <w:rsid w:val="001C44FF"/>
    <w:rsid w:val="001C5EF8"/>
    <w:rsid w:val="001C6120"/>
    <w:rsid w:val="001C70A3"/>
    <w:rsid w:val="001C7B31"/>
    <w:rsid w:val="001D0B37"/>
    <w:rsid w:val="001D2F20"/>
    <w:rsid w:val="001D3050"/>
    <w:rsid w:val="001D6158"/>
    <w:rsid w:val="001D62D6"/>
    <w:rsid w:val="001D6915"/>
    <w:rsid w:val="001D6F21"/>
    <w:rsid w:val="001E00F5"/>
    <w:rsid w:val="001E197D"/>
    <w:rsid w:val="001E19B2"/>
    <w:rsid w:val="001E31CE"/>
    <w:rsid w:val="001E3599"/>
    <w:rsid w:val="001E3A20"/>
    <w:rsid w:val="001E5224"/>
    <w:rsid w:val="001E6D2C"/>
    <w:rsid w:val="001E700E"/>
    <w:rsid w:val="001E7106"/>
    <w:rsid w:val="001E7A0C"/>
    <w:rsid w:val="001E7D0A"/>
    <w:rsid w:val="001F017D"/>
    <w:rsid w:val="001F0B51"/>
    <w:rsid w:val="001F0E9C"/>
    <w:rsid w:val="001F1078"/>
    <w:rsid w:val="001F1B72"/>
    <w:rsid w:val="001F1D88"/>
    <w:rsid w:val="001F2E5D"/>
    <w:rsid w:val="001F528A"/>
    <w:rsid w:val="001F56EC"/>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A77"/>
    <w:rsid w:val="002056F8"/>
    <w:rsid w:val="00205C93"/>
    <w:rsid w:val="00206D72"/>
    <w:rsid w:val="0020767E"/>
    <w:rsid w:val="0021316F"/>
    <w:rsid w:val="002133BD"/>
    <w:rsid w:val="00213844"/>
    <w:rsid w:val="00213CEC"/>
    <w:rsid w:val="0021490C"/>
    <w:rsid w:val="002166B8"/>
    <w:rsid w:val="00216CD0"/>
    <w:rsid w:val="002177A7"/>
    <w:rsid w:val="00220742"/>
    <w:rsid w:val="00221908"/>
    <w:rsid w:val="00222A33"/>
    <w:rsid w:val="00222E46"/>
    <w:rsid w:val="00223250"/>
    <w:rsid w:val="00223617"/>
    <w:rsid w:val="00223721"/>
    <w:rsid w:val="0022400D"/>
    <w:rsid w:val="002246D7"/>
    <w:rsid w:val="00225062"/>
    <w:rsid w:val="00225DD2"/>
    <w:rsid w:val="0022643D"/>
    <w:rsid w:val="00226A1A"/>
    <w:rsid w:val="00227DF9"/>
    <w:rsid w:val="00227EA0"/>
    <w:rsid w:val="00227F83"/>
    <w:rsid w:val="00230192"/>
    <w:rsid w:val="00230DE7"/>
    <w:rsid w:val="00231DE5"/>
    <w:rsid w:val="00232173"/>
    <w:rsid w:val="00232902"/>
    <w:rsid w:val="00232D7D"/>
    <w:rsid w:val="0023365D"/>
    <w:rsid w:val="00234136"/>
    <w:rsid w:val="002362E6"/>
    <w:rsid w:val="00236652"/>
    <w:rsid w:val="002403F6"/>
    <w:rsid w:val="0024045B"/>
    <w:rsid w:val="00240734"/>
    <w:rsid w:val="0024138C"/>
    <w:rsid w:val="00241868"/>
    <w:rsid w:val="00243200"/>
    <w:rsid w:val="002432FA"/>
    <w:rsid w:val="002439CE"/>
    <w:rsid w:val="00245113"/>
    <w:rsid w:val="00245BA0"/>
    <w:rsid w:val="00246B19"/>
    <w:rsid w:val="00246E31"/>
    <w:rsid w:val="00247038"/>
    <w:rsid w:val="00250871"/>
    <w:rsid w:val="00250EEF"/>
    <w:rsid w:val="0025268A"/>
    <w:rsid w:val="00252AD1"/>
    <w:rsid w:val="00252DDE"/>
    <w:rsid w:val="00253336"/>
    <w:rsid w:val="00253D39"/>
    <w:rsid w:val="002547BA"/>
    <w:rsid w:val="00254CFC"/>
    <w:rsid w:val="002554F7"/>
    <w:rsid w:val="00255974"/>
    <w:rsid w:val="002561C5"/>
    <w:rsid w:val="00256216"/>
    <w:rsid w:val="00256810"/>
    <w:rsid w:val="00256AF5"/>
    <w:rsid w:val="002609B8"/>
    <w:rsid w:val="00261A12"/>
    <w:rsid w:val="00261F96"/>
    <w:rsid w:val="002624CD"/>
    <w:rsid w:val="00262B0C"/>
    <w:rsid w:val="002634A2"/>
    <w:rsid w:val="00264338"/>
    <w:rsid w:val="0026462F"/>
    <w:rsid w:val="00265908"/>
    <w:rsid w:val="00266F27"/>
    <w:rsid w:val="00267054"/>
    <w:rsid w:val="002675F5"/>
    <w:rsid w:val="0026779F"/>
    <w:rsid w:val="002679A8"/>
    <w:rsid w:val="00267BD9"/>
    <w:rsid w:val="00267E5C"/>
    <w:rsid w:val="00270E51"/>
    <w:rsid w:val="00271F56"/>
    <w:rsid w:val="00272126"/>
    <w:rsid w:val="00272DDC"/>
    <w:rsid w:val="0027360A"/>
    <w:rsid w:val="00274B3E"/>
    <w:rsid w:val="00274CA0"/>
    <w:rsid w:val="00275369"/>
    <w:rsid w:val="00280E7B"/>
    <w:rsid w:val="00281A01"/>
    <w:rsid w:val="00282B6B"/>
    <w:rsid w:val="002838DA"/>
    <w:rsid w:val="00283FA2"/>
    <w:rsid w:val="002852B8"/>
    <w:rsid w:val="00285779"/>
    <w:rsid w:val="00285AAC"/>
    <w:rsid w:val="00285D20"/>
    <w:rsid w:val="002869C4"/>
    <w:rsid w:val="00286EC9"/>
    <w:rsid w:val="002873E8"/>
    <w:rsid w:val="002876A5"/>
    <w:rsid w:val="002901BA"/>
    <w:rsid w:val="00290EA4"/>
    <w:rsid w:val="002928D1"/>
    <w:rsid w:val="00292DC5"/>
    <w:rsid w:val="00293120"/>
    <w:rsid w:val="00293AFA"/>
    <w:rsid w:val="002957BF"/>
    <w:rsid w:val="0029593E"/>
    <w:rsid w:val="002964BA"/>
    <w:rsid w:val="002974DC"/>
    <w:rsid w:val="002A14E0"/>
    <w:rsid w:val="002A2130"/>
    <w:rsid w:val="002A3932"/>
    <w:rsid w:val="002A4218"/>
    <w:rsid w:val="002A48A3"/>
    <w:rsid w:val="002A5492"/>
    <w:rsid w:val="002A54B9"/>
    <w:rsid w:val="002A609D"/>
    <w:rsid w:val="002A6185"/>
    <w:rsid w:val="002A678C"/>
    <w:rsid w:val="002A6C71"/>
    <w:rsid w:val="002A7B3F"/>
    <w:rsid w:val="002B1787"/>
    <w:rsid w:val="002B3D1D"/>
    <w:rsid w:val="002B3DF1"/>
    <w:rsid w:val="002B56B3"/>
    <w:rsid w:val="002C0E1C"/>
    <w:rsid w:val="002C15C0"/>
    <w:rsid w:val="002C1776"/>
    <w:rsid w:val="002C2BA6"/>
    <w:rsid w:val="002C3E78"/>
    <w:rsid w:val="002C403A"/>
    <w:rsid w:val="002C4F37"/>
    <w:rsid w:val="002C5120"/>
    <w:rsid w:val="002C519E"/>
    <w:rsid w:val="002C6E17"/>
    <w:rsid w:val="002C712F"/>
    <w:rsid w:val="002C7287"/>
    <w:rsid w:val="002C73F8"/>
    <w:rsid w:val="002C794E"/>
    <w:rsid w:val="002C7AD3"/>
    <w:rsid w:val="002D035A"/>
    <w:rsid w:val="002D0DE8"/>
    <w:rsid w:val="002D16E5"/>
    <w:rsid w:val="002D2923"/>
    <w:rsid w:val="002D2A5E"/>
    <w:rsid w:val="002D41E3"/>
    <w:rsid w:val="002D4C8C"/>
    <w:rsid w:val="002D4FAC"/>
    <w:rsid w:val="002D5459"/>
    <w:rsid w:val="002D64F1"/>
    <w:rsid w:val="002D731F"/>
    <w:rsid w:val="002D74DC"/>
    <w:rsid w:val="002D79EE"/>
    <w:rsid w:val="002E04FA"/>
    <w:rsid w:val="002E098B"/>
    <w:rsid w:val="002E19A7"/>
    <w:rsid w:val="002E19D3"/>
    <w:rsid w:val="002E1A93"/>
    <w:rsid w:val="002E1B4E"/>
    <w:rsid w:val="002E47ED"/>
    <w:rsid w:val="002E4A5E"/>
    <w:rsid w:val="002E588A"/>
    <w:rsid w:val="002F028F"/>
    <w:rsid w:val="002F0B35"/>
    <w:rsid w:val="002F0D1C"/>
    <w:rsid w:val="002F1C7E"/>
    <w:rsid w:val="002F3676"/>
    <w:rsid w:val="002F5E58"/>
    <w:rsid w:val="002F645C"/>
    <w:rsid w:val="002F6B14"/>
    <w:rsid w:val="002F7734"/>
    <w:rsid w:val="002F7AFB"/>
    <w:rsid w:val="00300758"/>
    <w:rsid w:val="00301D87"/>
    <w:rsid w:val="00302476"/>
    <w:rsid w:val="00303159"/>
    <w:rsid w:val="0030374F"/>
    <w:rsid w:val="003066F3"/>
    <w:rsid w:val="00306F3B"/>
    <w:rsid w:val="003075BA"/>
    <w:rsid w:val="0030772B"/>
    <w:rsid w:val="00307D1E"/>
    <w:rsid w:val="003107D8"/>
    <w:rsid w:val="00311DA2"/>
    <w:rsid w:val="00311ECD"/>
    <w:rsid w:val="003127A4"/>
    <w:rsid w:val="0031321C"/>
    <w:rsid w:val="00313295"/>
    <w:rsid w:val="003149AB"/>
    <w:rsid w:val="00314A49"/>
    <w:rsid w:val="00314D72"/>
    <w:rsid w:val="003151EA"/>
    <w:rsid w:val="00315C31"/>
    <w:rsid w:val="00315F58"/>
    <w:rsid w:val="00316881"/>
    <w:rsid w:val="00316ED1"/>
    <w:rsid w:val="0031794D"/>
    <w:rsid w:val="00320EF9"/>
    <w:rsid w:val="00321F1A"/>
    <w:rsid w:val="003226C7"/>
    <w:rsid w:val="0032459B"/>
    <w:rsid w:val="003246C9"/>
    <w:rsid w:val="003249EC"/>
    <w:rsid w:val="00324D69"/>
    <w:rsid w:val="003257FD"/>
    <w:rsid w:val="0032598F"/>
    <w:rsid w:val="0032606A"/>
    <w:rsid w:val="00326389"/>
    <w:rsid w:val="003279E9"/>
    <w:rsid w:val="00330B22"/>
    <w:rsid w:val="00331602"/>
    <w:rsid w:val="00331847"/>
    <w:rsid w:val="00331885"/>
    <w:rsid w:val="00331985"/>
    <w:rsid w:val="003319DD"/>
    <w:rsid w:val="00332DC9"/>
    <w:rsid w:val="00333DB3"/>
    <w:rsid w:val="0033458B"/>
    <w:rsid w:val="0033524A"/>
    <w:rsid w:val="003356A1"/>
    <w:rsid w:val="00336BF4"/>
    <w:rsid w:val="00337357"/>
    <w:rsid w:val="0033758D"/>
    <w:rsid w:val="00337B04"/>
    <w:rsid w:val="00341DC5"/>
    <w:rsid w:val="003436D0"/>
    <w:rsid w:val="003436EC"/>
    <w:rsid w:val="00343A19"/>
    <w:rsid w:val="00347FE2"/>
    <w:rsid w:val="00350630"/>
    <w:rsid w:val="00350C04"/>
    <w:rsid w:val="00350EB2"/>
    <w:rsid w:val="00351617"/>
    <w:rsid w:val="00351BF4"/>
    <w:rsid w:val="00351E77"/>
    <w:rsid w:val="003526AD"/>
    <w:rsid w:val="00352908"/>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A0C"/>
    <w:rsid w:val="00363E3B"/>
    <w:rsid w:val="0036420A"/>
    <w:rsid w:val="00364537"/>
    <w:rsid w:val="003647B6"/>
    <w:rsid w:val="0036503E"/>
    <w:rsid w:val="003663E2"/>
    <w:rsid w:val="003668EF"/>
    <w:rsid w:val="003674E8"/>
    <w:rsid w:val="00367C10"/>
    <w:rsid w:val="003715E6"/>
    <w:rsid w:val="0037449F"/>
    <w:rsid w:val="003754B9"/>
    <w:rsid w:val="0037610D"/>
    <w:rsid w:val="00377275"/>
    <w:rsid w:val="003773B6"/>
    <w:rsid w:val="0037748F"/>
    <w:rsid w:val="0038179A"/>
    <w:rsid w:val="00382142"/>
    <w:rsid w:val="00383906"/>
    <w:rsid w:val="0038399C"/>
    <w:rsid w:val="00383AE1"/>
    <w:rsid w:val="003846A6"/>
    <w:rsid w:val="00384A66"/>
    <w:rsid w:val="00384C0D"/>
    <w:rsid w:val="00384EE5"/>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9F0"/>
    <w:rsid w:val="003A14E5"/>
    <w:rsid w:val="003A1ACF"/>
    <w:rsid w:val="003A2E8C"/>
    <w:rsid w:val="003A3420"/>
    <w:rsid w:val="003A3D81"/>
    <w:rsid w:val="003A4B56"/>
    <w:rsid w:val="003A53FE"/>
    <w:rsid w:val="003A6101"/>
    <w:rsid w:val="003A70D4"/>
    <w:rsid w:val="003A7A08"/>
    <w:rsid w:val="003A7D61"/>
    <w:rsid w:val="003B063B"/>
    <w:rsid w:val="003B14B4"/>
    <w:rsid w:val="003B2D9C"/>
    <w:rsid w:val="003B431A"/>
    <w:rsid w:val="003B4495"/>
    <w:rsid w:val="003B4648"/>
    <w:rsid w:val="003B51D4"/>
    <w:rsid w:val="003B5ADE"/>
    <w:rsid w:val="003B5FFD"/>
    <w:rsid w:val="003B6749"/>
    <w:rsid w:val="003B7145"/>
    <w:rsid w:val="003B7921"/>
    <w:rsid w:val="003B79E7"/>
    <w:rsid w:val="003B7E65"/>
    <w:rsid w:val="003C066C"/>
    <w:rsid w:val="003C126B"/>
    <w:rsid w:val="003C15E8"/>
    <w:rsid w:val="003C1869"/>
    <w:rsid w:val="003C27F1"/>
    <w:rsid w:val="003C36DD"/>
    <w:rsid w:val="003C3F2C"/>
    <w:rsid w:val="003C4974"/>
    <w:rsid w:val="003C49D4"/>
    <w:rsid w:val="003C55F4"/>
    <w:rsid w:val="003C5846"/>
    <w:rsid w:val="003C5B12"/>
    <w:rsid w:val="003C78C2"/>
    <w:rsid w:val="003C7E10"/>
    <w:rsid w:val="003C7F9D"/>
    <w:rsid w:val="003D00D4"/>
    <w:rsid w:val="003D02B7"/>
    <w:rsid w:val="003D059B"/>
    <w:rsid w:val="003D2E73"/>
    <w:rsid w:val="003D3FDB"/>
    <w:rsid w:val="003D457A"/>
    <w:rsid w:val="003D6980"/>
    <w:rsid w:val="003D7A67"/>
    <w:rsid w:val="003E0094"/>
    <w:rsid w:val="003E0158"/>
    <w:rsid w:val="003E1087"/>
    <w:rsid w:val="003E1582"/>
    <w:rsid w:val="003E2D04"/>
    <w:rsid w:val="003E3489"/>
    <w:rsid w:val="003E3902"/>
    <w:rsid w:val="003E3BF6"/>
    <w:rsid w:val="003E3C1F"/>
    <w:rsid w:val="003E3D43"/>
    <w:rsid w:val="003E4036"/>
    <w:rsid w:val="003E49D2"/>
    <w:rsid w:val="003E5F24"/>
    <w:rsid w:val="003E61EF"/>
    <w:rsid w:val="003E7C58"/>
    <w:rsid w:val="003F0D49"/>
    <w:rsid w:val="003F1A9A"/>
    <w:rsid w:val="003F1D06"/>
    <w:rsid w:val="003F2343"/>
    <w:rsid w:val="003F301C"/>
    <w:rsid w:val="003F3031"/>
    <w:rsid w:val="003F34B2"/>
    <w:rsid w:val="003F3D4C"/>
    <w:rsid w:val="003F4EA6"/>
    <w:rsid w:val="00401266"/>
    <w:rsid w:val="00401A88"/>
    <w:rsid w:val="00402A9C"/>
    <w:rsid w:val="00402CE7"/>
    <w:rsid w:val="00402FB6"/>
    <w:rsid w:val="00403424"/>
    <w:rsid w:val="00404584"/>
    <w:rsid w:val="00404B93"/>
    <w:rsid w:val="0040664F"/>
    <w:rsid w:val="0040677B"/>
    <w:rsid w:val="00407677"/>
    <w:rsid w:val="004076D5"/>
    <w:rsid w:val="00407AFD"/>
    <w:rsid w:val="0041131A"/>
    <w:rsid w:val="00411387"/>
    <w:rsid w:val="00411649"/>
    <w:rsid w:val="00411782"/>
    <w:rsid w:val="00412105"/>
    <w:rsid w:val="004121A0"/>
    <w:rsid w:val="0041460A"/>
    <w:rsid w:val="00414F35"/>
    <w:rsid w:val="004162DA"/>
    <w:rsid w:val="00416468"/>
    <w:rsid w:val="00417BD6"/>
    <w:rsid w:val="00421346"/>
    <w:rsid w:val="00421932"/>
    <w:rsid w:val="00421ABF"/>
    <w:rsid w:val="00422697"/>
    <w:rsid w:val="00423CDB"/>
    <w:rsid w:val="004240CD"/>
    <w:rsid w:val="00424367"/>
    <w:rsid w:val="0042459E"/>
    <w:rsid w:val="00424786"/>
    <w:rsid w:val="004249BE"/>
    <w:rsid w:val="00425C56"/>
    <w:rsid w:val="00426DFB"/>
    <w:rsid w:val="00431EAD"/>
    <w:rsid w:val="004327CD"/>
    <w:rsid w:val="00433826"/>
    <w:rsid w:val="004339E3"/>
    <w:rsid w:val="0043525E"/>
    <w:rsid w:val="004352B1"/>
    <w:rsid w:val="004358C9"/>
    <w:rsid w:val="004358E7"/>
    <w:rsid w:val="00435BA6"/>
    <w:rsid w:val="00435D68"/>
    <w:rsid w:val="00436CED"/>
    <w:rsid w:val="00437D58"/>
    <w:rsid w:val="00441614"/>
    <w:rsid w:val="0044197C"/>
    <w:rsid w:val="004428D1"/>
    <w:rsid w:val="00442E04"/>
    <w:rsid w:val="00443444"/>
    <w:rsid w:val="00443DD7"/>
    <w:rsid w:val="00444B37"/>
    <w:rsid w:val="00444D21"/>
    <w:rsid w:val="00445513"/>
    <w:rsid w:val="0044597E"/>
    <w:rsid w:val="0044608D"/>
    <w:rsid w:val="00446B41"/>
    <w:rsid w:val="00447015"/>
    <w:rsid w:val="00447A4D"/>
    <w:rsid w:val="00447DEA"/>
    <w:rsid w:val="00450362"/>
    <w:rsid w:val="00450395"/>
    <w:rsid w:val="0045102C"/>
    <w:rsid w:val="00451239"/>
    <w:rsid w:val="00451D76"/>
    <w:rsid w:val="004523B6"/>
    <w:rsid w:val="0045433D"/>
    <w:rsid w:val="00455D63"/>
    <w:rsid w:val="00455F99"/>
    <w:rsid w:val="00456053"/>
    <w:rsid w:val="0045661F"/>
    <w:rsid w:val="00460630"/>
    <w:rsid w:val="00461029"/>
    <w:rsid w:val="00461396"/>
    <w:rsid w:val="00461C2D"/>
    <w:rsid w:val="0046257A"/>
    <w:rsid w:val="00462DA5"/>
    <w:rsid w:val="00465726"/>
    <w:rsid w:val="00465EF1"/>
    <w:rsid w:val="00466D88"/>
    <w:rsid w:val="00467B47"/>
    <w:rsid w:val="0047257E"/>
    <w:rsid w:val="00472EB7"/>
    <w:rsid w:val="00473BA6"/>
    <w:rsid w:val="00473DF1"/>
    <w:rsid w:val="00474671"/>
    <w:rsid w:val="0047586F"/>
    <w:rsid w:val="0047611E"/>
    <w:rsid w:val="004763F9"/>
    <w:rsid w:val="00476D6A"/>
    <w:rsid w:val="004774E8"/>
    <w:rsid w:val="004804C0"/>
    <w:rsid w:val="00480FD6"/>
    <w:rsid w:val="004810A6"/>
    <w:rsid w:val="0048189C"/>
    <w:rsid w:val="00483798"/>
    <w:rsid w:val="00484210"/>
    <w:rsid w:val="00485478"/>
    <w:rsid w:val="00487AB5"/>
    <w:rsid w:val="00490D47"/>
    <w:rsid w:val="00492623"/>
    <w:rsid w:val="00492F3F"/>
    <w:rsid w:val="004937D4"/>
    <w:rsid w:val="004938B3"/>
    <w:rsid w:val="00493CAD"/>
    <w:rsid w:val="004945A6"/>
    <w:rsid w:val="00495EDD"/>
    <w:rsid w:val="004962D6"/>
    <w:rsid w:val="00496924"/>
    <w:rsid w:val="00496C05"/>
    <w:rsid w:val="00496DAD"/>
    <w:rsid w:val="004A0ECB"/>
    <w:rsid w:val="004A1AF2"/>
    <w:rsid w:val="004A3369"/>
    <w:rsid w:val="004A457F"/>
    <w:rsid w:val="004A4D88"/>
    <w:rsid w:val="004A5231"/>
    <w:rsid w:val="004A56DF"/>
    <w:rsid w:val="004A641C"/>
    <w:rsid w:val="004A74B7"/>
    <w:rsid w:val="004A7C3F"/>
    <w:rsid w:val="004B1218"/>
    <w:rsid w:val="004B13E3"/>
    <w:rsid w:val="004B2521"/>
    <w:rsid w:val="004B3847"/>
    <w:rsid w:val="004B5212"/>
    <w:rsid w:val="004B53D5"/>
    <w:rsid w:val="004B5417"/>
    <w:rsid w:val="004B6827"/>
    <w:rsid w:val="004C13FC"/>
    <w:rsid w:val="004C175F"/>
    <w:rsid w:val="004C3681"/>
    <w:rsid w:val="004C3B49"/>
    <w:rsid w:val="004C55C6"/>
    <w:rsid w:val="004C576F"/>
    <w:rsid w:val="004C662B"/>
    <w:rsid w:val="004C6F98"/>
    <w:rsid w:val="004C6FC9"/>
    <w:rsid w:val="004C7296"/>
    <w:rsid w:val="004C779E"/>
    <w:rsid w:val="004C7E0A"/>
    <w:rsid w:val="004C7F5C"/>
    <w:rsid w:val="004D0689"/>
    <w:rsid w:val="004D1FBC"/>
    <w:rsid w:val="004D2576"/>
    <w:rsid w:val="004D3124"/>
    <w:rsid w:val="004D3451"/>
    <w:rsid w:val="004D34C7"/>
    <w:rsid w:val="004D3741"/>
    <w:rsid w:val="004D3805"/>
    <w:rsid w:val="004D4091"/>
    <w:rsid w:val="004D4685"/>
    <w:rsid w:val="004D485B"/>
    <w:rsid w:val="004D650D"/>
    <w:rsid w:val="004D7C37"/>
    <w:rsid w:val="004E0B69"/>
    <w:rsid w:val="004E2C91"/>
    <w:rsid w:val="004E2E45"/>
    <w:rsid w:val="004E34A2"/>
    <w:rsid w:val="004E446A"/>
    <w:rsid w:val="004E4BD5"/>
    <w:rsid w:val="004E4E16"/>
    <w:rsid w:val="004E4E92"/>
    <w:rsid w:val="004E5252"/>
    <w:rsid w:val="004E7093"/>
    <w:rsid w:val="004E7884"/>
    <w:rsid w:val="004F0147"/>
    <w:rsid w:val="004F20EE"/>
    <w:rsid w:val="004F28BD"/>
    <w:rsid w:val="004F3335"/>
    <w:rsid w:val="004F3B0B"/>
    <w:rsid w:val="004F3D4E"/>
    <w:rsid w:val="004F44B4"/>
    <w:rsid w:val="004F4775"/>
    <w:rsid w:val="004F4E15"/>
    <w:rsid w:val="004F5726"/>
    <w:rsid w:val="004F5A40"/>
    <w:rsid w:val="004F5FEC"/>
    <w:rsid w:val="004F607D"/>
    <w:rsid w:val="004F621A"/>
    <w:rsid w:val="004F681C"/>
    <w:rsid w:val="004F6B6E"/>
    <w:rsid w:val="004F6C46"/>
    <w:rsid w:val="004F6DB6"/>
    <w:rsid w:val="004F7B3E"/>
    <w:rsid w:val="0050079B"/>
    <w:rsid w:val="00500DE0"/>
    <w:rsid w:val="00501117"/>
    <w:rsid w:val="005019E2"/>
    <w:rsid w:val="00501A1A"/>
    <w:rsid w:val="00501CA8"/>
    <w:rsid w:val="005021DE"/>
    <w:rsid w:val="00502333"/>
    <w:rsid w:val="005033E0"/>
    <w:rsid w:val="00503696"/>
    <w:rsid w:val="0050428E"/>
    <w:rsid w:val="00504323"/>
    <w:rsid w:val="005051AE"/>
    <w:rsid w:val="00505406"/>
    <w:rsid w:val="00505E84"/>
    <w:rsid w:val="005060CE"/>
    <w:rsid w:val="00506957"/>
    <w:rsid w:val="005072FD"/>
    <w:rsid w:val="00507D5E"/>
    <w:rsid w:val="00507EF4"/>
    <w:rsid w:val="00510115"/>
    <w:rsid w:val="00510538"/>
    <w:rsid w:val="005107E0"/>
    <w:rsid w:val="00510914"/>
    <w:rsid w:val="005116AE"/>
    <w:rsid w:val="00511F17"/>
    <w:rsid w:val="005134AF"/>
    <w:rsid w:val="005134D7"/>
    <w:rsid w:val="00513681"/>
    <w:rsid w:val="00514742"/>
    <w:rsid w:val="00515A6F"/>
    <w:rsid w:val="005171CB"/>
    <w:rsid w:val="00520348"/>
    <w:rsid w:val="00520858"/>
    <w:rsid w:val="0052085B"/>
    <w:rsid w:val="00520AA0"/>
    <w:rsid w:val="00521B49"/>
    <w:rsid w:val="00522CD1"/>
    <w:rsid w:val="00524BED"/>
    <w:rsid w:val="005252D4"/>
    <w:rsid w:val="00527F4E"/>
    <w:rsid w:val="00527F92"/>
    <w:rsid w:val="0053016D"/>
    <w:rsid w:val="00530629"/>
    <w:rsid w:val="00532591"/>
    <w:rsid w:val="0053296A"/>
    <w:rsid w:val="00533945"/>
    <w:rsid w:val="00533A1E"/>
    <w:rsid w:val="00533E96"/>
    <w:rsid w:val="00533F05"/>
    <w:rsid w:val="00534183"/>
    <w:rsid w:val="00535DDD"/>
    <w:rsid w:val="00536215"/>
    <w:rsid w:val="00536A1E"/>
    <w:rsid w:val="00537541"/>
    <w:rsid w:val="0053754B"/>
    <w:rsid w:val="00537A00"/>
    <w:rsid w:val="00537A88"/>
    <w:rsid w:val="0054198D"/>
    <w:rsid w:val="005423FE"/>
    <w:rsid w:val="00542F2C"/>
    <w:rsid w:val="00543594"/>
    <w:rsid w:val="00543747"/>
    <w:rsid w:val="00544695"/>
    <w:rsid w:val="00544AF9"/>
    <w:rsid w:val="00545635"/>
    <w:rsid w:val="00545780"/>
    <w:rsid w:val="00545E23"/>
    <w:rsid w:val="00546413"/>
    <w:rsid w:val="00546C30"/>
    <w:rsid w:val="00547922"/>
    <w:rsid w:val="00550070"/>
    <w:rsid w:val="00550866"/>
    <w:rsid w:val="00550A61"/>
    <w:rsid w:val="00551063"/>
    <w:rsid w:val="005524BB"/>
    <w:rsid w:val="005533B6"/>
    <w:rsid w:val="00553CCA"/>
    <w:rsid w:val="00553DC5"/>
    <w:rsid w:val="00554760"/>
    <w:rsid w:val="0055583D"/>
    <w:rsid w:val="00557611"/>
    <w:rsid w:val="00557DDC"/>
    <w:rsid w:val="00560C20"/>
    <w:rsid w:val="00560CEE"/>
    <w:rsid w:val="00561C42"/>
    <w:rsid w:val="005621B2"/>
    <w:rsid w:val="005625C9"/>
    <w:rsid w:val="00562A88"/>
    <w:rsid w:val="00562B19"/>
    <w:rsid w:val="00563063"/>
    <w:rsid w:val="00563B0B"/>
    <w:rsid w:val="00563CF7"/>
    <w:rsid w:val="0056442E"/>
    <w:rsid w:val="00565EA8"/>
    <w:rsid w:val="0056637A"/>
    <w:rsid w:val="00566403"/>
    <w:rsid w:val="00567496"/>
    <w:rsid w:val="00570F41"/>
    <w:rsid w:val="005714EC"/>
    <w:rsid w:val="00571F5C"/>
    <w:rsid w:val="00571FD3"/>
    <w:rsid w:val="005727EE"/>
    <w:rsid w:val="005728C6"/>
    <w:rsid w:val="00572ADC"/>
    <w:rsid w:val="00573CE4"/>
    <w:rsid w:val="00574A3A"/>
    <w:rsid w:val="00575D5D"/>
    <w:rsid w:val="005765AF"/>
    <w:rsid w:val="00584276"/>
    <w:rsid w:val="00584629"/>
    <w:rsid w:val="005852B1"/>
    <w:rsid w:val="0058540F"/>
    <w:rsid w:val="005861AC"/>
    <w:rsid w:val="005870B1"/>
    <w:rsid w:val="00587D9E"/>
    <w:rsid w:val="00587E5F"/>
    <w:rsid w:val="005904FB"/>
    <w:rsid w:val="00591023"/>
    <w:rsid w:val="005935DB"/>
    <w:rsid w:val="0059436D"/>
    <w:rsid w:val="00594B8F"/>
    <w:rsid w:val="00594E2B"/>
    <w:rsid w:val="00596F1D"/>
    <w:rsid w:val="005A07EC"/>
    <w:rsid w:val="005A0F0F"/>
    <w:rsid w:val="005A28E2"/>
    <w:rsid w:val="005A4911"/>
    <w:rsid w:val="005A4DD3"/>
    <w:rsid w:val="005A54DF"/>
    <w:rsid w:val="005A58B2"/>
    <w:rsid w:val="005A6971"/>
    <w:rsid w:val="005A718B"/>
    <w:rsid w:val="005A77DF"/>
    <w:rsid w:val="005A77F1"/>
    <w:rsid w:val="005B056C"/>
    <w:rsid w:val="005B132E"/>
    <w:rsid w:val="005B1924"/>
    <w:rsid w:val="005B34CA"/>
    <w:rsid w:val="005B3CA6"/>
    <w:rsid w:val="005B44AB"/>
    <w:rsid w:val="005B514E"/>
    <w:rsid w:val="005B5608"/>
    <w:rsid w:val="005B5A5A"/>
    <w:rsid w:val="005B66EB"/>
    <w:rsid w:val="005B737D"/>
    <w:rsid w:val="005B7A7B"/>
    <w:rsid w:val="005B7BA6"/>
    <w:rsid w:val="005B7D2C"/>
    <w:rsid w:val="005B7DEA"/>
    <w:rsid w:val="005C15C4"/>
    <w:rsid w:val="005C17B1"/>
    <w:rsid w:val="005C274E"/>
    <w:rsid w:val="005C43DB"/>
    <w:rsid w:val="005C446F"/>
    <w:rsid w:val="005C58C1"/>
    <w:rsid w:val="005C5EA3"/>
    <w:rsid w:val="005C7162"/>
    <w:rsid w:val="005C720E"/>
    <w:rsid w:val="005C726E"/>
    <w:rsid w:val="005C77C5"/>
    <w:rsid w:val="005C7FDE"/>
    <w:rsid w:val="005D287F"/>
    <w:rsid w:val="005D35CD"/>
    <w:rsid w:val="005D3A6A"/>
    <w:rsid w:val="005D3D00"/>
    <w:rsid w:val="005D3D10"/>
    <w:rsid w:val="005D4B34"/>
    <w:rsid w:val="005D61AF"/>
    <w:rsid w:val="005D642F"/>
    <w:rsid w:val="005D6549"/>
    <w:rsid w:val="005D6789"/>
    <w:rsid w:val="005D78E1"/>
    <w:rsid w:val="005E0286"/>
    <w:rsid w:val="005E037C"/>
    <w:rsid w:val="005E167A"/>
    <w:rsid w:val="005E1B9D"/>
    <w:rsid w:val="005E23DF"/>
    <w:rsid w:val="005E250D"/>
    <w:rsid w:val="005E2B61"/>
    <w:rsid w:val="005E2B87"/>
    <w:rsid w:val="005E3461"/>
    <w:rsid w:val="005E3725"/>
    <w:rsid w:val="005E45AF"/>
    <w:rsid w:val="005E49CD"/>
    <w:rsid w:val="005E51E1"/>
    <w:rsid w:val="005E5BE0"/>
    <w:rsid w:val="005E5DEA"/>
    <w:rsid w:val="005E60DC"/>
    <w:rsid w:val="005E647B"/>
    <w:rsid w:val="005E74B1"/>
    <w:rsid w:val="005E7B20"/>
    <w:rsid w:val="005F124E"/>
    <w:rsid w:val="005F222D"/>
    <w:rsid w:val="005F22EB"/>
    <w:rsid w:val="005F322A"/>
    <w:rsid w:val="005F391D"/>
    <w:rsid w:val="005F3CED"/>
    <w:rsid w:val="005F40C4"/>
    <w:rsid w:val="005F4E99"/>
    <w:rsid w:val="005F6075"/>
    <w:rsid w:val="005F637A"/>
    <w:rsid w:val="005F742A"/>
    <w:rsid w:val="00600CD2"/>
    <w:rsid w:val="00600D1E"/>
    <w:rsid w:val="006028DA"/>
    <w:rsid w:val="0060406B"/>
    <w:rsid w:val="00604213"/>
    <w:rsid w:val="00604732"/>
    <w:rsid w:val="00604BC9"/>
    <w:rsid w:val="0060681D"/>
    <w:rsid w:val="00607A42"/>
    <w:rsid w:val="00610346"/>
    <w:rsid w:val="0061074A"/>
    <w:rsid w:val="00610F18"/>
    <w:rsid w:val="0061168C"/>
    <w:rsid w:val="00611B06"/>
    <w:rsid w:val="0061212E"/>
    <w:rsid w:val="00612174"/>
    <w:rsid w:val="006127D3"/>
    <w:rsid w:val="00612ABE"/>
    <w:rsid w:val="00614345"/>
    <w:rsid w:val="006143BD"/>
    <w:rsid w:val="00614729"/>
    <w:rsid w:val="006148EB"/>
    <w:rsid w:val="00614C39"/>
    <w:rsid w:val="00614EE9"/>
    <w:rsid w:val="006163CF"/>
    <w:rsid w:val="00616C9B"/>
    <w:rsid w:val="00622ED8"/>
    <w:rsid w:val="0062421D"/>
    <w:rsid w:val="006248B5"/>
    <w:rsid w:val="00624CA0"/>
    <w:rsid w:val="00627124"/>
    <w:rsid w:val="00627147"/>
    <w:rsid w:val="00630A8F"/>
    <w:rsid w:val="0063189C"/>
    <w:rsid w:val="00631AE8"/>
    <w:rsid w:val="006333D9"/>
    <w:rsid w:val="006339B2"/>
    <w:rsid w:val="00634240"/>
    <w:rsid w:val="0063544D"/>
    <w:rsid w:val="00635640"/>
    <w:rsid w:val="00635BC9"/>
    <w:rsid w:val="00636A27"/>
    <w:rsid w:val="00636C12"/>
    <w:rsid w:val="0064072D"/>
    <w:rsid w:val="0064189B"/>
    <w:rsid w:val="00641916"/>
    <w:rsid w:val="006432AA"/>
    <w:rsid w:val="00644953"/>
    <w:rsid w:val="0064546E"/>
    <w:rsid w:val="00645526"/>
    <w:rsid w:val="00645A99"/>
    <w:rsid w:val="00646500"/>
    <w:rsid w:val="006468A5"/>
    <w:rsid w:val="00647754"/>
    <w:rsid w:val="00651067"/>
    <w:rsid w:val="006511AF"/>
    <w:rsid w:val="006516F5"/>
    <w:rsid w:val="00651CA7"/>
    <w:rsid w:val="00652EFE"/>
    <w:rsid w:val="00652FE5"/>
    <w:rsid w:val="0065307C"/>
    <w:rsid w:val="00653F5F"/>
    <w:rsid w:val="0065488D"/>
    <w:rsid w:val="00654E32"/>
    <w:rsid w:val="00655175"/>
    <w:rsid w:val="006564A5"/>
    <w:rsid w:val="006567C2"/>
    <w:rsid w:val="00656CB3"/>
    <w:rsid w:val="00660337"/>
    <w:rsid w:val="00661251"/>
    <w:rsid w:val="00661A51"/>
    <w:rsid w:val="00661C22"/>
    <w:rsid w:val="00662253"/>
    <w:rsid w:val="00662653"/>
    <w:rsid w:val="00664117"/>
    <w:rsid w:val="006644D0"/>
    <w:rsid w:val="00665289"/>
    <w:rsid w:val="006657F6"/>
    <w:rsid w:val="0066630E"/>
    <w:rsid w:val="0066644E"/>
    <w:rsid w:val="006665EC"/>
    <w:rsid w:val="00666697"/>
    <w:rsid w:val="00666DBC"/>
    <w:rsid w:val="00667AAF"/>
    <w:rsid w:val="00670A27"/>
    <w:rsid w:val="00671438"/>
    <w:rsid w:val="006719E1"/>
    <w:rsid w:val="00671AA4"/>
    <w:rsid w:val="00673439"/>
    <w:rsid w:val="00674FC9"/>
    <w:rsid w:val="0067535F"/>
    <w:rsid w:val="00675A9C"/>
    <w:rsid w:val="00677382"/>
    <w:rsid w:val="00680689"/>
    <w:rsid w:val="0068114D"/>
    <w:rsid w:val="00681BCD"/>
    <w:rsid w:val="00681F82"/>
    <w:rsid w:val="00684638"/>
    <w:rsid w:val="00684B84"/>
    <w:rsid w:val="00685B16"/>
    <w:rsid w:val="006872FF"/>
    <w:rsid w:val="006909A3"/>
    <w:rsid w:val="0069120E"/>
    <w:rsid w:val="00691A22"/>
    <w:rsid w:val="00691ED8"/>
    <w:rsid w:val="00693378"/>
    <w:rsid w:val="0069557A"/>
    <w:rsid w:val="00695E3F"/>
    <w:rsid w:val="00695E4C"/>
    <w:rsid w:val="00696CFE"/>
    <w:rsid w:val="00697928"/>
    <w:rsid w:val="006A1585"/>
    <w:rsid w:val="006A3021"/>
    <w:rsid w:val="006A332F"/>
    <w:rsid w:val="006A3879"/>
    <w:rsid w:val="006A3EAE"/>
    <w:rsid w:val="006A3F88"/>
    <w:rsid w:val="006A520A"/>
    <w:rsid w:val="006B0138"/>
    <w:rsid w:val="006B0B4D"/>
    <w:rsid w:val="006B266C"/>
    <w:rsid w:val="006B2831"/>
    <w:rsid w:val="006B3133"/>
    <w:rsid w:val="006B50CA"/>
    <w:rsid w:val="006B6347"/>
    <w:rsid w:val="006B6C8C"/>
    <w:rsid w:val="006B6DDD"/>
    <w:rsid w:val="006B6E8F"/>
    <w:rsid w:val="006B726D"/>
    <w:rsid w:val="006B786A"/>
    <w:rsid w:val="006B7936"/>
    <w:rsid w:val="006C06E9"/>
    <w:rsid w:val="006C07A2"/>
    <w:rsid w:val="006C10C7"/>
    <w:rsid w:val="006C17F3"/>
    <w:rsid w:val="006C3593"/>
    <w:rsid w:val="006C44D0"/>
    <w:rsid w:val="006C5595"/>
    <w:rsid w:val="006C5B18"/>
    <w:rsid w:val="006C5EA5"/>
    <w:rsid w:val="006C64DD"/>
    <w:rsid w:val="006C6614"/>
    <w:rsid w:val="006C6740"/>
    <w:rsid w:val="006C6D21"/>
    <w:rsid w:val="006D1C93"/>
    <w:rsid w:val="006D1E8C"/>
    <w:rsid w:val="006D2351"/>
    <w:rsid w:val="006D2BCE"/>
    <w:rsid w:val="006D3BB1"/>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78EA"/>
    <w:rsid w:val="006E7CCE"/>
    <w:rsid w:val="006E7E70"/>
    <w:rsid w:val="006F08DB"/>
    <w:rsid w:val="006F0E1E"/>
    <w:rsid w:val="006F11D0"/>
    <w:rsid w:val="006F28E4"/>
    <w:rsid w:val="006F3418"/>
    <w:rsid w:val="006F36D9"/>
    <w:rsid w:val="006F3EFC"/>
    <w:rsid w:val="006F47CB"/>
    <w:rsid w:val="006F51DB"/>
    <w:rsid w:val="006F613A"/>
    <w:rsid w:val="006F676B"/>
    <w:rsid w:val="006F690B"/>
    <w:rsid w:val="006F71A0"/>
    <w:rsid w:val="006F77C2"/>
    <w:rsid w:val="006F7FD9"/>
    <w:rsid w:val="0070019E"/>
    <w:rsid w:val="0070073A"/>
    <w:rsid w:val="00702484"/>
    <w:rsid w:val="0070346B"/>
    <w:rsid w:val="00703FFD"/>
    <w:rsid w:val="00704A18"/>
    <w:rsid w:val="00704DC8"/>
    <w:rsid w:val="00705B2A"/>
    <w:rsid w:val="00705C9F"/>
    <w:rsid w:val="00706D1C"/>
    <w:rsid w:val="00706E07"/>
    <w:rsid w:val="00707FA3"/>
    <w:rsid w:val="00707FDB"/>
    <w:rsid w:val="00710028"/>
    <w:rsid w:val="0071030E"/>
    <w:rsid w:val="00710F31"/>
    <w:rsid w:val="007116DF"/>
    <w:rsid w:val="00711AD7"/>
    <w:rsid w:val="007121F7"/>
    <w:rsid w:val="00712352"/>
    <w:rsid w:val="0071285C"/>
    <w:rsid w:val="00713464"/>
    <w:rsid w:val="0071373D"/>
    <w:rsid w:val="007162D0"/>
    <w:rsid w:val="0071743D"/>
    <w:rsid w:val="00717625"/>
    <w:rsid w:val="0072067F"/>
    <w:rsid w:val="00720F4C"/>
    <w:rsid w:val="00720F81"/>
    <w:rsid w:val="00721B04"/>
    <w:rsid w:val="007227DF"/>
    <w:rsid w:val="0072298B"/>
    <w:rsid w:val="00723777"/>
    <w:rsid w:val="007260A7"/>
    <w:rsid w:val="00726574"/>
    <w:rsid w:val="007279BD"/>
    <w:rsid w:val="0073059E"/>
    <w:rsid w:val="0073473A"/>
    <w:rsid w:val="00735605"/>
    <w:rsid w:val="00735D17"/>
    <w:rsid w:val="0073611D"/>
    <w:rsid w:val="00736382"/>
    <w:rsid w:val="00736851"/>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448F"/>
    <w:rsid w:val="00755869"/>
    <w:rsid w:val="00755F14"/>
    <w:rsid w:val="007573A6"/>
    <w:rsid w:val="00757CBE"/>
    <w:rsid w:val="007603D4"/>
    <w:rsid w:val="00760409"/>
    <w:rsid w:val="007605E8"/>
    <w:rsid w:val="00761D16"/>
    <w:rsid w:val="00761EE7"/>
    <w:rsid w:val="00762B9F"/>
    <w:rsid w:val="00762EB7"/>
    <w:rsid w:val="00762FBB"/>
    <w:rsid w:val="00764FDB"/>
    <w:rsid w:val="00765840"/>
    <w:rsid w:val="00766A97"/>
    <w:rsid w:val="00766B6C"/>
    <w:rsid w:val="00766CC5"/>
    <w:rsid w:val="00766E89"/>
    <w:rsid w:val="007672BC"/>
    <w:rsid w:val="00767358"/>
    <w:rsid w:val="007675D1"/>
    <w:rsid w:val="007703FB"/>
    <w:rsid w:val="00770826"/>
    <w:rsid w:val="00771A4C"/>
    <w:rsid w:val="00771C2A"/>
    <w:rsid w:val="00773222"/>
    <w:rsid w:val="00773287"/>
    <w:rsid w:val="00774338"/>
    <w:rsid w:val="007749F8"/>
    <w:rsid w:val="007749FA"/>
    <w:rsid w:val="007750EC"/>
    <w:rsid w:val="00775A0A"/>
    <w:rsid w:val="00776ADC"/>
    <w:rsid w:val="00782082"/>
    <w:rsid w:val="007820A2"/>
    <w:rsid w:val="007822F9"/>
    <w:rsid w:val="007828A8"/>
    <w:rsid w:val="00784B40"/>
    <w:rsid w:val="00784DC1"/>
    <w:rsid w:val="00790638"/>
    <w:rsid w:val="007923ED"/>
    <w:rsid w:val="00793110"/>
    <w:rsid w:val="00794433"/>
    <w:rsid w:val="00795707"/>
    <w:rsid w:val="007957C7"/>
    <w:rsid w:val="0079648F"/>
    <w:rsid w:val="0079657C"/>
    <w:rsid w:val="0079657E"/>
    <w:rsid w:val="00797E29"/>
    <w:rsid w:val="007A083C"/>
    <w:rsid w:val="007A1B99"/>
    <w:rsid w:val="007A26A5"/>
    <w:rsid w:val="007A315F"/>
    <w:rsid w:val="007A488F"/>
    <w:rsid w:val="007A600F"/>
    <w:rsid w:val="007A6202"/>
    <w:rsid w:val="007A6318"/>
    <w:rsid w:val="007A6DBD"/>
    <w:rsid w:val="007A7122"/>
    <w:rsid w:val="007A7178"/>
    <w:rsid w:val="007A72C4"/>
    <w:rsid w:val="007B28EB"/>
    <w:rsid w:val="007B2B9C"/>
    <w:rsid w:val="007B3BCE"/>
    <w:rsid w:val="007B3D0A"/>
    <w:rsid w:val="007B3D1A"/>
    <w:rsid w:val="007B432A"/>
    <w:rsid w:val="007B4582"/>
    <w:rsid w:val="007B491F"/>
    <w:rsid w:val="007B5775"/>
    <w:rsid w:val="007B5FFB"/>
    <w:rsid w:val="007B6A3C"/>
    <w:rsid w:val="007B73CC"/>
    <w:rsid w:val="007B7412"/>
    <w:rsid w:val="007B7777"/>
    <w:rsid w:val="007C02E3"/>
    <w:rsid w:val="007C18F9"/>
    <w:rsid w:val="007C1C08"/>
    <w:rsid w:val="007C1DB8"/>
    <w:rsid w:val="007C2569"/>
    <w:rsid w:val="007C2651"/>
    <w:rsid w:val="007C3ED8"/>
    <w:rsid w:val="007C455B"/>
    <w:rsid w:val="007C5049"/>
    <w:rsid w:val="007C58E0"/>
    <w:rsid w:val="007C5E78"/>
    <w:rsid w:val="007C7685"/>
    <w:rsid w:val="007C79A1"/>
    <w:rsid w:val="007D02D5"/>
    <w:rsid w:val="007D0595"/>
    <w:rsid w:val="007D0DDB"/>
    <w:rsid w:val="007D0E92"/>
    <w:rsid w:val="007D11E0"/>
    <w:rsid w:val="007D2869"/>
    <w:rsid w:val="007D2A3A"/>
    <w:rsid w:val="007D304A"/>
    <w:rsid w:val="007D3A38"/>
    <w:rsid w:val="007D3E1E"/>
    <w:rsid w:val="007D424A"/>
    <w:rsid w:val="007D4C8B"/>
    <w:rsid w:val="007D6624"/>
    <w:rsid w:val="007D7503"/>
    <w:rsid w:val="007D7CD2"/>
    <w:rsid w:val="007E12F7"/>
    <w:rsid w:val="007E2C8E"/>
    <w:rsid w:val="007E2D9A"/>
    <w:rsid w:val="007E334D"/>
    <w:rsid w:val="007E385F"/>
    <w:rsid w:val="007E44DC"/>
    <w:rsid w:val="007E494E"/>
    <w:rsid w:val="007E4B27"/>
    <w:rsid w:val="007E50D8"/>
    <w:rsid w:val="007E58E1"/>
    <w:rsid w:val="007E6698"/>
    <w:rsid w:val="007E6A77"/>
    <w:rsid w:val="007E7997"/>
    <w:rsid w:val="007E7AA6"/>
    <w:rsid w:val="007F0150"/>
    <w:rsid w:val="007F03E8"/>
    <w:rsid w:val="007F2AA5"/>
    <w:rsid w:val="007F2AFF"/>
    <w:rsid w:val="007F3A0E"/>
    <w:rsid w:val="007F3CBE"/>
    <w:rsid w:val="007F3FFE"/>
    <w:rsid w:val="007F4F81"/>
    <w:rsid w:val="007F5118"/>
    <w:rsid w:val="007F5DDD"/>
    <w:rsid w:val="007F5EFD"/>
    <w:rsid w:val="007F6AB0"/>
    <w:rsid w:val="007F6CCC"/>
    <w:rsid w:val="007F6FEF"/>
    <w:rsid w:val="007F7315"/>
    <w:rsid w:val="007F7B2F"/>
    <w:rsid w:val="00800510"/>
    <w:rsid w:val="0080083D"/>
    <w:rsid w:val="00800C4D"/>
    <w:rsid w:val="008010F4"/>
    <w:rsid w:val="0080136F"/>
    <w:rsid w:val="008022D6"/>
    <w:rsid w:val="00802791"/>
    <w:rsid w:val="00802F32"/>
    <w:rsid w:val="00804F10"/>
    <w:rsid w:val="008056E0"/>
    <w:rsid w:val="00806E9F"/>
    <w:rsid w:val="008078CF"/>
    <w:rsid w:val="008101E2"/>
    <w:rsid w:val="008111CD"/>
    <w:rsid w:val="008124D3"/>
    <w:rsid w:val="00812945"/>
    <w:rsid w:val="0081351E"/>
    <w:rsid w:val="00813B71"/>
    <w:rsid w:val="00813C34"/>
    <w:rsid w:val="0081568C"/>
    <w:rsid w:val="00815EB1"/>
    <w:rsid w:val="0081664A"/>
    <w:rsid w:val="00823444"/>
    <w:rsid w:val="0082373F"/>
    <w:rsid w:val="00825B5B"/>
    <w:rsid w:val="008278B3"/>
    <w:rsid w:val="008302A1"/>
    <w:rsid w:val="00830C5E"/>
    <w:rsid w:val="00831E5E"/>
    <w:rsid w:val="00831E91"/>
    <w:rsid w:val="00831FFE"/>
    <w:rsid w:val="00833118"/>
    <w:rsid w:val="00833166"/>
    <w:rsid w:val="00834115"/>
    <w:rsid w:val="0083549C"/>
    <w:rsid w:val="00835E01"/>
    <w:rsid w:val="00835F8A"/>
    <w:rsid w:val="00836E76"/>
    <w:rsid w:val="008405F5"/>
    <w:rsid w:val="00840B25"/>
    <w:rsid w:val="00842A61"/>
    <w:rsid w:val="00843218"/>
    <w:rsid w:val="0084336E"/>
    <w:rsid w:val="00843C35"/>
    <w:rsid w:val="00844D02"/>
    <w:rsid w:val="0084516C"/>
    <w:rsid w:val="00845A05"/>
    <w:rsid w:val="0084796F"/>
    <w:rsid w:val="0085081C"/>
    <w:rsid w:val="0085147A"/>
    <w:rsid w:val="008526D7"/>
    <w:rsid w:val="00853D55"/>
    <w:rsid w:val="00853EE1"/>
    <w:rsid w:val="0085571C"/>
    <w:rsid w:val="008559F9"/>
    <w:rsid w:val="00856761"/>
    <w:rsid w:val="00860D78"/>
    <w:rsid w:val="008632A5"/>
    <w:rsid w:val="008634AD"/>
    <w:rsid w:val="00865019"/>
    <w:rsid w:val="00865BB5"/>
    <w:rsid w:val="00865F1A"/>
    <w:rsid w:val="00866BF0"/>
    <w:rsid w:val="0086706E"/>
    <w:rsid w:val="0086732B"/>
    <w:rsid w:val="00870441"/>
    <w:rsid w:val="00870CC2"/>
    <w:rsid w:val="008712D5"/>
    <w:rsid w:val="00873CF9"/>
    <w:rsid w:val="00875762"/>
    <w:rsid w:val="00875861"/>
    <w:rsid w:val="00876368"/>
    <w:rsid w:val="00876A95"/>
    <w:rsid w:val="00877140"/>
    <w:rsid w:val="00882007"/>
    <w:rsid w:val="00882826"/>
    <w:rsid w:val="00882B47"/>
    <w:rsid w:val="00883114"/>
    <w:rsid w:val="008837F0"/>
    <w:rsid w:val="0088405F"/>
    <w:rsid w:val="00885CD7"/>
    <w:rsid w:val="00886795"/>
    <w:rsid w:val="0089055D"/>
    <w:rsid w:val="008905AA"/>
    <w:rsid w:val="0089122E"/>
    <w:rsid w:val="0089243A"/>
    <w:rsid w:val="008928D4"/>
    <w:rsid w:val="008958D5"/>
    <w:rsid w:val="008974C3"/>
    <w:rsid w:val="008A0F24"/>
    <w:rsid w:val="008A1C73"/>
    <w:rsid w:val="008A2889"/>
    <w:rsid w:val="008A330E"/>
    <w:rsid w:val="008A3828"/>
    <w:rsid w:val="008A5367"/>
    <w:rsid w:val="008A54E1"/>
    <w:rsid w:val="008A5ADF"/>
    <w:rsid w:val="008A5CE2"/>
    <w:rsid w:val="008A676B"/>
    <w:rsid w:val="008A6BC7"/>
    <w:rsid w:val="008A6CBF"/>
    <w:rsid w:val="008A7139"/>
    <w:rsid w:val="008A74A1"/>
    <w:rsid w:val="008A7DD6"/>
    <w:rsid w:val="008A7F1A"/>
    <w:rsid w:val="008B037E"/>
    <w:rsid w:val="008B0F93"/>
    <w:rsid w:val="008B1D36"/>
    <w:rsid w:val="008B2231"/>
    <w:rsid w:val="008B2685"/>
    <w:rsid w:val="008B3C2A"/>
    <w:rsid w:val="008B4123"/>
    <w:rsid w:val="008B4724"/>
    <w:rsid w:val="008B4B55"/>
    <w:rsid w:val="008B4CFB"/>
    <w:rsid w:val="008B54C0"/>
    <w:rsid w:val="008B6211"/>
    <w:rsid w:val="008B631D"/>
    <w:rsid w:val="008B65BE"/>
    <w:rsid w:val="008B7097"/>
    <w:rsid w:val="008B7134"/>
    <w:rsid w:val="008B737D"/>
    <w:rsid w:val="008B743B"/>
    <w:rsid w:val="008B7765"/>
    <w:rsid w:val="008B7853"/>
    <w:rsid w:val="008B79D6"/>
    <w:rsid w:val="008C1D29"/>
    <w:rsid w:val="008C282E"/>
    <w:rsid w:val="008C36FD"/>
    <w:rsid w:val="008C3E35"/>
    <w:rsid w:val="008C4053"/>
    <w:rsid w:val="008C4A74"/>
    <w:rsid w:val="008C72F2"/>
    <w:rsid w:val="008D1B16"/>
    <w:rsid w:val="008D2365"/>
    <w:rsid w:val="008D2D08"/>
    <w:rsid w:val="008D38F3"/>
    <w:rsid w:val="008D3DE5"/>
    <w:rsid w:val="008D457B"/>
    <w:rsid w:val="008D4957"/>
    <w:rsid w:val="008D4DDC"/>
    <w:rsid w:val="008D523F"/>
    <w:rsid w:val="008D5978"/>
    <w:rsid w:val="008D6299"/>
    <w:rsid w:val="008D635C"/>
    <w:rsid w:val="008D7E4D"/>
    <w:rsid w:val="008E036D"/>
    <w:rsid w:val="008E258A"/>
    <w:rsid w:val="008E2967"/>
    <w:rsid w:val="008E34A4"/>
    <w:rsid w:val="008E3A2B"/>
    <w:rsid w:val="008E3D4A"/>
    <w:rsid w:val="008E42F2"/>
    <w:rsid w:val="008E4492"/>
    <w:rsid w:val="008E46AC"/>
    <w:rsid w:val="008E5952"/>
    <w:rsid w:val="008E5B58"/>
    <w:rsid w:val="008E5B5D"/>
    <w:rsid w:val="008F1FC1"/>
    <w:rsid w:val="008F2E4D"/>
    <w:rsid w:val="008F3FA6"/>
    <w:rsid w:val="008F4674"/>
    <w:rsid w:val="008F5EBA"/>
    <w:rsid w:val="008F65D5"/>
    <w:rsid w:val="008F6E06"/>
    <w:rsid w:val="008F774F"/>
    <w:rsid w:val="008F7A43"/>
    <w:rsid w:val="008F7D17"/>
    <w:rsid w:val="00901A48"/>
    <w:rsid w:val="0090209F"/>
    <w:rsid w:val="0090277B"/>
    <w:rsid w:val="00903A51"/>
    <w:rsid w:val="00903CEF"/>
    <w:rsid w:val="00903FDC"/>
    <w:rsid w:val="00904DC3"/>
    <w:rsid w:val="0090609E"/>
    <w:rsid w:val="009063D5"/>
    <w:rsid w:val="009067A2"/>
    <w:rsid w:val="00906897"/>
    <w:rsid w:val="00907B37"/>
    <w:rsid w:val="0091225F"/>
    <w:rsid w:val="009122BF"/>
    <w:rsid w:val="009130AC"/>
    <w:rsid w:val="0091424D"/>
    <w:rsid w:val="00914A95"/>
    <w:rsid w:val="009154B8"/>
    <w:rsid w:val="0091564A"/>
    <w:rsid w:val="00915A0E"/>
    <w:rsid w:val="009161C8"/>
    <w:rsid w:val="0091789A"/>
    <w:rsid w:val="00917EA2"/>
    <w:rsid w:val="00920281"/>
    <w:rsid w:val="009210A6"/>
    <w:rsid w:val="0092196C"/>
    <w:rsid w:val="00921E76"/>
    <w:rsid w:val="0092295B"/>
    <w:rsid w:val="00922C82"/>
    <w:rsid w:val="0092368A"/>
    <w:rsid w:val="00923A3D"/>
    <w:rsid w:val="00924C8A"/>
    <w:rsid w:val="009250E1"/>
    <w:rsid w:val="00925137"/>
    <w:rsid w:val="00925959"/>
    <w:rsid w:val="00926224"/>
    <w:rsid w:val="0092653C"/>
    <w:rsid w:val="00926F92"/>
    <w:rsid w:val="00927A56"/>
    <w:rsid w:val="00927DB0"/>
    <w:rsid w:val="009304E4"/>
    <w:rsid w:val="00930B36"/>
    <w:rsid w:val="00930F1B"/>
    <w:rsid w:val="009317CC"/>
    <w:rsid w:val="0093194D"/>
    <w:rsid w:val="00931994"/>
    <w:rsid w:val="009324D7"/>
    <w:rsid w:val="00934429"/>
    <w:rsid w:val="00934C68"/>
    <w:rsid w:val="00934DE1"/>
    <w:rsid w:val="00935991"/>
    <w:rsid w:val="0093650E"/>
    <w:rsid w:val="00936526"/>
    <w:rsid w:val="0093736F"/>
    <w:rsid w:val="00937717"/>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21F7"/>
    <w:rsid w:val="00952CB5"/>
    <w:rsid w:val="00953658"/>
    <w:rsid w:val="00953756"/>
    <w:rsid w:val="00953FD1"/>
    <w:rsid w:val="00954912"/>
    <w:rsid w:val="00955C20"/>
    <w:rsid w:val="0095649F"/>
    <w:rsid w:val="00960265"/>
    <w:rsid w:val="009608C3"/>
    <w:rsid w:val="0096189A"/>
    <w:rsid w:val="009625FF"/>
    <w:rsid w:val="00963E7B"/>
    <w:rsid w:val="0096463E"/>
    <w:rsid w:val="00964729"/>
    <w:rsid w:val="009648DD"/>
    <w:rsid w:val="00964AD0"/>
    <w:rsid w:val="009664FB"/>
    <w:rsid w:val="009677FB"/>
    <w:rsid w:val="00970814"/>
    <w:rsid w:val="00973110"/>
    <w:rsid w:val="009737E6"/>
    <w:rsid w:val="0097416E"/>
    <w:rsid w:val="00974450"/>
    <w:rsid w:val="009747D6"/>
    <w:rsid w:val="009752AB"/>
    <w:rsid w:val="009752C8"/>
    <w:rsid w:val="00975B6F"/>
    <w:rsid w:val="00975FE6"/>
    <w:rsid w:val="0097669B"/>
    <w:rsid w:val="00976C59"/>
    <w:rsid w:val="0097735E"/>
    <w:rsid w:val="009801CC"/>
    <w:rsid w:val="00980DDF"/>
    <w:rsid w:val="0098194F"/>
    <w:rsid w:val="00981BF1"/>
    <w:rsid w:val="00982372"/>
    <w:rsid w:val="00982410"/>
    <w:rsid w:val="00982685"/>
    <w:rsid w:val="009834A1"/>
    <w:rsid w:val="009838E0"/>
    <w:rsid w:val="00983931"/>
    <w:rsid w:val="00983B94"/>
    <w:rsid w:val="00984D93"/>
    <w:rsid w:val="009850D1"/>
    <w:rsid w:val="009854C1"/>
    <w:rsid w:val="00986129"/>
    <w:rsid w:val="00986A65"/>
    <w:rsid w:val="009901C4"/>
    <w:rsid w:val="00990362"/>
    <w:rsid w:val="00990590"/>
    <w:rsid w:val="00990791"/>
    <w:rsid w:val="0099143E"/>
    <w:rsid w:val="00992EEC"/>
    <w:rsid w:val="00994044"/>
    <w:rsid w:val="00995B85"/>
    <w:rsid w:val="009966BB"/>
    <w:rsid w:val="0099684D"/>
    <w:rsid w:val="00997169"/>
    <w:rsid w:val="00997381"/>
    <w:rsid w:val="009976E8"/>
    <w:rsid w:val="00997AA4"/>
    <w:rsid w:val="009A071D"/>
    <w:rsid w:val="009A1237"/>
    <w:rsid w:val="009A2096"/>
    <w:rsid w:val="009A2945"/>
    <w:rsid w:val="009A3072"/>
    <w:rsid w:val="009A4345"/>
    <w:rsid w:val="009A48F8"/>
    <w:rsid w:val="009A6F1C"/>
    <w:rsid w:val="009A707D"/>
    <w:rsid w:val="009B2DF7"/>
    <w:rsid w:val="009B2FC9"/>
    <w:rsid w:val="009B348F"/>
    <w:rsid w:val="009B38A9"/>
    <w:rsid w:val="009B49A1"/>
    <w:rsid w:val="009B4A45"/>
    <w:rsid w:val="009B4C69"/>
    <w:rsid w:val="009B53B3"/>
    <w:rsid w:val="009B6112"/>
    <w:rsid w:val="009B6B5C"/>
    <w:rsid w:val="009B6E8E"/>
    <w:rsid w:val="009B6F6C"/>
    <w:rsid w:val="009B73B5"/>
    <w:rsid w:val="009B7D52"/>
    <w:rsid w:val="009B7E13"/>
    <w:rsid w:val="009C044C"/>
    <w:rsid w:val="009C146E"/>
    <w:rsid w:val="009C2850"/>
    <w:rsid w:val="009C2AA3"/>
    <w:rsid w:val="009C2C4E"/>
    <w:rsid w:val="009C2D71"/>
    <w:rsid w:val="009C418A"/>
    <w:rsid w:val="009C461F"/>
    <w:rsid w:val="009C48D1"/>
    <w:rsid w:val="009C56D7"/>
    <w:rsid w:val="009C6456"/>
    <w:rsid w:val="009C67B5"/>
    <w:rsid w:val="009C6E03"/>
    <w:rsid w:val="009C786D"/>
    <w:rsid w:val="009D003E"/>
    <w:rsid w:val="009D09AD"/>
    <w:rsid w:val="009D10EB"/>
    <w:rsid w:val="009D13FE"/>
    <w:rsid w:val="009D1662"/>
    <w:rsid w:val="009D1FA7"/>
    <w:rsid w:val="009D1FFD"/>
    <w:rsid w:val="009D5143"/>
    <w:rsid w:val="009D54C6"/>
    <w:rsid w:val="009D6721"/>
    <w:rsid w:val="009D68C9"/>
    <w:rsid w:val="009D7298"/>
    <w:rsid w:val="009D75BF"/>
    <w:rsid w:val="009D792A"/>
    <w:rsid w:val="009D7CA6"/>
    <w:rsid w:val="009D7D2F"/>
    <w:rsid w:val="009E1586"/>
    <w:rsid w:val="009E19D8"/>
    <w:rsid w:val="009E1AAD"/>
    <w:rsid w:val="009E2295"/>
    <w:rsid w:val="009E2992"/>
    <w:rsid w:val="009E2FD9"/>
    <w:rsid w:val="009E30FE"/>
    <w:rsid w:val="009E3F5A"/>
    <w:rsid w:val="009E52C6"/>
    <w:rsid w:val="009E6485"/>
    <w:rsid w:val="009E64A7"/>
    <w:rsid w:val="009E6563"/>
    <w:rsid w:val="009E68F3"/>
    <w:rsid w:val="009E78EA"/>
    <w:rsid w:val="009E7A21"/>
    <w:rsid w:val="009F0762"/>
    <w:rsid w:val="009F11DD"/>
    <w:rsid w:val="009F1CE5"/>
    <w:rsid w:val="009F2351"/>
    <w:rsid w:val="009F2415"/>
    <w:rsid w:val="009F25B4"/>
    <w:rsid w:val="009F2E57"/>
    <w:rsid w:val="009F30B9"/>
    <w:rsid w:val="009F4034"/>
    <w:rsid w:val="009F4288"/>
    <w:rsid w:val="009F4B59"/>
    <w:rsid w:val="009F5888"/>
    <w:rsid w:val="009F5A83"/>
    <w:rsid w:val="009F65BA"/>
    <w:rsid w:val="009F6880"/>
    <w:rsid w:val="009F6B59"/>
    <w:rsid w:val="009F7701"/>
    <w:rsid w:val="00A00BB8"/>
    <w:rsid w:val="00A01B28"/>
    <w:rsid w:val="00A01F83"/>
    <w:rsid w:val="00A0273E"/>
    <w:rsid w:val="00A02E1D"/>
    <w:rsid w:val="00A02F88"/>
    <w:rsid w:val="00A03645"/>
    <w:rsid w:val="00A04310"/>
    <w:rsid w:val="00A0449E"/>
    <w:rsid w:val="00A05041"/>
    <w:rsid w:val="00A052BF"/>
    <w:rsid w:val="00A058BB"/>
    <w:rsid w:val="00A0765C"/>
    <w:rsid w:val="00A10898"/>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2540"/>
    <w:rsid w:val="00A23458"/>
    <w:rsid w:val="00A2427F"/>
    <w:rsid w:val="00A2488E"/>
    <w:rsid w:val="00A26B0E"/>
    <w:rsid w:val="00A30563"/>
    <w:rsid w:val="00A319CA"/>
    <w:rsid w:val="00A333A0"/>
    <w:rsid w:val="00A3373F"/>
    <w:rsid w:val="00A35F4F"/>
    <w:rsid w:val="00A375C2"/>
    <w:rsid w:val="00A37748"/>
    <w:rsid w:val="00A37B63"/>
    <w:rsid w:val="00A4005D"/>
    <w:rsid w:val="00A40157"/>
    <w:rsid w:val="00A402C0"/>
    <w:rsid w:val="00A4047A"/>
    <w:rsid w:val="00A42094"/>
    <w:rsid w:val="00A4230B"/>
    <w:rsid w:val="00A42868"/>
    <w:rsid w:val="00A42C0B"/>
    <w:rsid w:val="00A42D8A"/>
    <w:rsid w:val="00A434DB"/>
    <w:rsid w:val="00A43D16"/>
    <w:rsid w:val="00A43F17"/>
    <w:rsid w:val="00A4512E"/>
    <w:rsid w:val="00A451BD"/>
    <w:rsid w:val="00A4530D"/>
    <w:rsid w:val="00A45DBA"/>
    <w:rsid w:val="00A46405"/>
    <w:rsid w:val="00A47715"/>
    <w:rsid w:val="00A47E87"/>
    <w:rsid w:val="00A50D28"/>
    <w:rsid w:val="00A512C9"/>
    <w:rsid w:val="00A51E29"/>
    <w:rsid w:val="00A540FF"/>
    <w:rsid w:val="00A5412A"/>
    <w:rsid w:val="00A542C4"/>
    <w:rsid w:val="00A547AD"/>
    <w:rsid w:val="00A554D4"/>
    <w:rsid w:val="00A55AF4"/>
    <w:rsid w:val="00A55BFB"/>
    <w:rsid w:val="00A57751"/>
    <w:rsid w:val="00A577E3"/>
    <w:rsid w:val="00A61A2A"/>
    <w:rsid w:val="00A6201A"/>
    <w:rsid w:val="00A62A2C"/>
    <w:rsid w:val="00A62A2E"/>
    <w:rsid w:val="00A62EFB"/>
    <w:rsid w:val="00A6325B"/>
    <w:rsid w:val="00A632C8"/>
    <w:rsid w:val="00A6456D"/>
    <w:rsid w:val="00A648BD"/>
    <w:rsid w:val="00A658FC"/>
    <w:rsid w:val="00A65A45"/>
    <w:rsid w:val="00A65E36"/>
    <w:rsid w:val="00A66405"/>
    <w:rsid w:val="00A667FA"/>
    <w:rsid w:val="00A66DA4"/>
    <w:rsid w:val="00A71A39"/>
    <w:rsid w:val="00A71FBA"/>
    <w:rsid w:val="00A71FE2"/>
    <w:rsid w:val="00A727CB"/>
    <w:rsid w:val="00A7282D"/>
    <w:rsid w:val="00A74F7D"/>
    <w:rsid w:val="00A75E45"/>
    <w:rsid w:val="00A7607E"/>
    <w:rsid w:val="00A76177"/>
    <w:rsid w:val="00A765CE"/>
    <w:rsid w:val="00A804B6"/>
    <w:rsid w:val="00A807AE"/>
    <w:rsid w:val="00A80864"/>
    <w:rsid w:val="00A81849"/>
    <w:rsid w:val="00A81971"/>
    <w:rsid w:val="00A81CEA"/>
    <w:rsid w:val="00A82E99"/>
    <w:rsid w:val="00A83B31"/>
    <w:rsid w:val="00A844B1"/>
    <w:rsid w:val="00A84C93"/>
    <w:rsid w:val="00A85943"/>
    <w:rsid w:val="00A85F19"/>
    <w:rsid w:val="00A8686A"/>
    <w:rsid w:val="00A87FB7"/>
    <w:rsid w:val="00A91A12"/>
    <w:rsid w:val="00A91B45"/>
    <w:rsid w:val="00A931E9"/>
    <w:rsid w:val="00A93305"/>
    <w:rsid w:val="00A93CBF"/>
    <w:rsid w:val="00A93E26"/>
    <w:rsid w:val="00A941BC"/>
    <w:rsid w:val="00A941C5"/>
    <w:rsid w:val="00A9598C"/>
    <w:rsid w:val="00A9644F"/>
    <w:rsid w:val="00AA1FAE"/>
    <w:rsid w:val="00AA27DA"/>
    <w:rsid w:val="00AA345B"/>
    <w:rsid w:val="00AA3B30"/>
    <w:rsid w:val="00AA4A4B"/>
    <w:rsid w:val="00AA586C"/>
    <w:rsid w:val="00AA5E01"/>
    <w:rsid w:val="00AA602F"/>
    <w:rsid w:val="00AA7174"/>
    <w:rsid w:val="00AA7363"/>
    <w:rsid w:val="00AA77B5"/>
    <w:rsid w:val="00AA7C0A"/>
    <w:rsid w:val="00AB037C"/>
    <w:rsid w:val="00AB04D1"/>
    <w:rsid w:val="00AB2B68"/>
    <w:rsid w:val="00AB2E0E"/>
    <w:rsid w:val="00AB2FD1"/>
    <w:rsid w:val="00AB3B02"/>
    <w:rsid w:val="00AB492E"/>
    <w:rsid w:val="00AB5132"/>
    <w:rsid w:val="00AB51AE"/>
    <w:rsid w:val="00AB595B"/>
    <w:rsid w:val="00AB6088"/>
    <w:rsid w:val="00AB61A1"/>
    <w:rsid w:val="00AB6EBC"/>
    <w:rsid w:val="00AB7024"/>
    <w:rsid w:val="00AB762C"/>
    <w:rsid w:val="00AC06C1"/>
    <w:rsid w:val="00AC22CA"/>
    <w:rsid w:val="00AC3D1E"/>
    <w:rsid w:val="00AC521D"/>
    <w:rsid w:val="00AC6135"/>
    <w:rsid w:val="00AC6576"/>
    <w:rsid w:val="00AC6EF1"/>
    <w:rsid w:val="00AC75D5"/>
    <w:rsid w:val="00AC7722"/>
    <w:rsid w:val="00AD0786"/>
    <w:rsid w:val="00AD0B42"/>
    <w:rsid w:val="00AD0BDE"/>
    <w:rsid w:val="00AD0C75"/>
    <w:rsid w:val="00AD121B"/>
    <w:rsid w:val="00AD144A"/>
    <w:rsid w:val="00AD1B3B"/>
    <w:rsid w:val="00AD24B4"/>
    <w:rsid w:val="00AD29CD"/>
    <w:rsid w:val="00AD2BE6"/>
    <w:rsid w:val="00AD4BC4"/>
    <w:rsid w:val="00AD6AEF"/>
    <w:rsid w:val="00AD73AA"/>
    <w:rsid w:val="00AD774C"/>
    <w:rsid w:val="00AE0C80"/>
    <w:rsid w:val="00AE1B8E"/>
    <w:rsid w:val="00AE2CE9"/>
    <w:rsid w:val="00AE3362"/>
    <w:rsid w:val="00AE3C30"/>
    <w:rsid w:val="00AE498C"/>
    <w:rsid w:val="00AF055C"/>
    <w:rsid w:val="00AF0B1E"/>
    <w:rsid w:val="00AF1456"/>
    <w:rsid w:val="00AF18FC"/>
    <w:rsid w:val="00AF1A47"/>
    <w:rsid w:val="00AF1C02"/>
    <w:rsid w:val="00AF1F55"/>
    <w:rsid w:val="00AF2FB1"/>
    <w:rsid w:val="00AF3D6C"/>
    <w:rsid w:val="00AF3E1C"/>
    <w:rsid w:val="00AF4548"/>
    <w:rsid w:val="00AF5A92"/>
    <w:rsid w:val="00AF6337"/>
    <w:rsid w:val="00AF63C1"/>
    <w:rsid w:val="00AF659D"/>
    <w:rsid w:val="00AF7405"/>
    <w:rsid w:val="00B00307"/>
    <w:rsid w:val="00B004FE"/>
    <w:rsid w:val="00B01318"/>
    <w:rsid w:val="00B03318"/>
    <w:rsid w:val="00B03651"/>
    <w:rsid w:val="00B0428F"/>
    <w:rsid w:val="00B04553"/>
    <w:rsid w:val="00B047D0"/>
    <w:rsid w:val="00B04CD4"/>
    <w:rsid w:val="00B059A1"/>
    <w:rsid w:val="00B061FB"/>
    <w:rsid w:val="00B06454"/>
    <w:rsid w:val="00B06650"/>
    <w:rsid w:val="00B0758E"/>
    <w:rsid w:val="00B0785E"/>
    <w:rsid w:val="00B10114"/>
    <w:rsid w:val="00B11059"/>
    <w:rsid w:val="00B11279"/>
    <w:rsid w:val="00B11627"/>
    <w:rsid w:val="00B11BE0"/>
    <w:rsid w:val="00B124B9"/>
    <w:rsid w:val="00B12C81"/>
    <w:rsid w:val="00B13696"/>
    <w:rsid w:val="00B13A6E"/>
    <w:rsid w:val="00B14A4C"/>
    <w:rsid w:val="00B16376"/>
    <w:rsid w:val="00B16A77"/>
    <w:rsid w:val="00B17472"/>
    <w:rsid w:val="00B1756C"/>
    <w:rsid w:val="00B17CE7"/>
    <w:rsid w:val="00B203D5"/>
    <w:rsid w:val="00B20C2F"/>
    <w:rsid w:val="00B21615"/>
    <w:rsid w:val="00B23CA3"/>
    <w:rsid w:val="00B23ED7"/>
    <w:rsid w:val="00B24058"/>
    <w:rsid w:val="00B24F30"/>
    <w:rsid w:val="00B26C80"/>
    <w:rsid w:val="00B279EC"/>
    <w:rsid w:val="00B302F6"/>
    <w:rsid w:val="00B308BA"/>
    <w:rsid w:val="00B3120B"/>
    <w:rsid w:val="00B317A8"/>
    <w:rsid w:val="00B31F53"/>
    <w:rsid w:val="00B327B5"/>
    <w:rsid w:val="00B32B1D"/>
    <w:rsid w:val="00B32DDA"/>
    <w:rsid w:val="00B33924"/>
    <w:rsid w:val="00B33B15"/>
    <w:rsid w:val="00B33C81"/>
    <w:rsid w:val="00B33D98"/>
    <w:rsid w:val="00B341A0"/>
    <w:rsid w:val="00B346BE"/>
    <w:rsid w:val="00B34AAC"/>
    <w:rsid w:val="00B34AF6"/>
    <w:rsid w:val="00B34FA3"/>
    <w:rsid w:val="00B350EB"/>
    <w:rsid w:val="00B36B8C"/>
    <w:rsid w:val="00B41305"/>
    <w:rsid w:val="00B41913"/>
    <w:rsid w:val="00B41AE3"/>
    <w:rsid w:val="00B41ECE"/>
    <w:rsid w:val="00B421E7"/>
    <w:rsid w:val="00B42D26"/>
    <w:rsid w:val="00B42F37"/>
    <w:rsid w:val="00B43266"/>
    <w:rsid w:val="00B43BCE"/>
    <w:rsid w:val="00B443FC"/>
    <w:rsid w:val="00B44C83"/>
    <w:rsid w:val="00B44D71"/>
    <w:rsid w:val="00B454BF"/>
    <w:rsid w:val="00B4554D"/>
    <w:rsid w:val="00B45A91"/>
    <w:rsid w:val="00B461B5"/>
    <w:rsid w:val="00B46C5E"/>
    <w:rsid w:val="00B46F04"/>
    <w:rsid w:val="00B47B46"/>
    <w:rsid w:val="00B502F3"/>
    <w:rsid w:val="00B508B0"/>
    <w:rsid w:val="00B51602"/>
    <w:rsid w:val="00B519F0"/>
    <w:rsid w:val="00B51A61"/>
    <w:rsid w:val="00B5436F"/>
    <w:rsid w:val="00B55185"/>
    <w:rsid w:val="00B55491"/>
    <w:rsid w:val="00B559D1"/>
    <w:rsid w:val="00B567EC"/>
    <w:rsid w:val="00B56D64"/>
    <w:rsid w:val="00B57550"/>
    <w:rsid w:val="00B60DD4"/>
    <w:rsid w:val="00B6288F"/>
    <w:rsid w:val="00B634F2"/>
    <w:rsid w:val="00B639F6"/>
    <w:rsid w:val="00B64F93"/>
    <w:rsid w:val="00B65FFB"/>
    <w:rsid w:val="00B664DF"/>
    <w:rsid w:val="00B670A4"/>
    <w:rsid w:val="00B70943"/>
    <w:rsid w:val="00B70FED"/>
    <w:rsid w:val="00B7137E"/>
    <w:rsid w:val="00B723F0"/>
    <w:rsid w:val="00B72EAF"/>
    <w:rsid w:val="00B746E3"/>
    <w:rsid w:val="00B7488F"/>
    <w:rsid w:val="00B748BF"/>
    <w:rsid w:val="00B74991"/>
    <w:rsid w:val="00B74AD8"/>
    <w:rsid w:val="00B74E06"/>
    <w:rsid w:val="00B750CF"/>
    <w:rsid w:val="00B75315"/>
    <w:rsid w:val="00B7534E"/>
    <w:rsid w:val="00B75410"/>
    <w:rsid w:val="00B763FF"/>
    <w:rsid w:val="00B81D08"/>
    <w:rsid w:val="00B82639"/>
    <w:rsid w:val="00B82653"/>
    <w:rsid w:val="00B831FE"/>
    <w:rsid w:val="00B836F0"/>
    <w:rsid w:val="00B837F3"/>
    <w:rsid w:val="00B83CED"/>
    <w:rsid w:val="00B8426F"/>
    <w:rsid w:val="00B852E1"/>
    <w:rsid w:val="00B8599D"/>
    <w:rsid w:val="00B8612F"/>
    <w:rsid w:val="00B86AB7"/>
    <w:rsid w:val="00B870D3"/>
    <w:rsid w:val="00B90DAB"/>
    <w:rsid w:val="00B9185A"/>
    <w:rsid w:val="00B922E1"/>
    <w:rsid w:val="00B926BD"/>
    <w:rsid w:val="00B936B8"/>
    <w:rsid w:val="00B93B6A"/>
    <w:rsid w:val="00B94024"/>
    <w:rsid w:val="00B948C8"/>
    <w:rsid w:val="00B94F5F"/>
    <w:rsid w:val="00B95060"/>
    <w:rsid w:val="00B955E4"/>
    <w:rsid w:val="00B9649A"/>
    <w:rsid w:val="00B965AA"/>
    <w:rsid w:val="00B9794A"/>
    <w:rsid w:val="00BA0B52"/>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1284"/>
    <w:rsid w:val="00BB1C0E"/>
    <w:rsid w:val="00BB2016"/>
    <w:rsid w:val="00BB4551"/>
    <w:rsid w:val="00BB457D"/>
    <w:rsid w:val="00BB4E15"/>
    <w:rsid w:val="00BB735C"/>
    <w:rsid w:val="00BB78A0"/>
    <w:rsid w:val="00BC19EE"/>
    <w:rsid w:val="00BC1B7D"/>
    <w:rsid w:val="00BC2C18"/>
    <w:rsid w:val="00BC2FD0"/>
    <w:rsid w:val="00BC53B1"/>
    <w:rsid w:val="00BC602B"/>
    <w:rsid w:val="00BC7138"/>
    <w:rsid w:val="00BD0048"/>
    <w:rsid w:val="00BD082C"/>
    <w:rsid w:val="00BD0A95"/>
    <w:rsid w:val="00BD0EA6"/>
    <w:rsid w:val="00BD1A1C"/>
    <w:rsid w:val="00BD1BE2"/>
    <w:rsid w:val="00BD26CE"/>
    <w:rsid w:val="00BD4D38"/>
    <w:rsid w:val="00BD50BA"/>
    <w:rsid w:val="00BD679B"/>
    <w:rsid w:val="00BD7247"/>
    <w:rsid w:val="00BE06B6"/>
    <w:rsid w:val="00BE0B9A"/>
    <w:rsid w:val="00BE1366"/>
    <w:rsid w:val="00BE1525"/>
    <w:rsid w:val="00BE2429"/>
    <w:rsid w:val="00BE256C"/>
    <w:rsid w:val="00BE25C9"/>
    <w:rsid w:val="00BE39D0"/>
    <w:rsid w:val="00BE51CC"/>
    <w:rsid w:val="00BE6EBD"/>
    <w:rsid w:val="00BE7DF3"/>
    <w:rsid w:val="00BE7FFE"/>
    <w:rsid w:val="00BF0C57"/>
    <w:rsid w:val="00BF1126"/>
    <w:rsid w:val="00BF1211"/>
    <w:rsid w:val="00BF1902"/>
    <w:rsid w:val="00BF19B0"/>
    <w:rsid w:val="00BF1AF7"/>
    <w:rsid w:val="00BF2E3C"/>
    <w:rsid w:val="00BF3316"/>
    <w:rsid w:val="00BF3602"/>
    <w:rsid w:val="00BF3D2C"/>
    <w:rsid w:val="00BF4528"/>
    <w:rsid w:val="00BF538A"/>
    <w:rsid w:val="00BF596C"/>
    <w:rsid w:val="00BF5C73"/>
    <w:rsid w:val="00BF5F5D"/>
    <w:rsid w:val="00BF61D4"/>
    <w:rsid w:val="00BF7703"/>
    <w:rsid w:val="00BF7D35"/>
    <w:rsid w:val="00C0031D"/>
    <w:rsid w:val="00C00D8C"/>
    <w:rsid w:val="00C02651"/>
    <w:rsid w:val="00C036FF"/>
    <w:rsid w:val="00C044A8"/>
    <w:rsid w:val="00C0534E"/>
    <w:rsid w:val="00C05A1D"/>
    <w:rsid w:val="00C05FBA"/>
    <w:rsid w:val="00C065FA"/>
    <w:rsid w:val="00C06BD7"/>
    <w:rsid w:val="00C06C45"/>
    <w:rsid w:val="00C07622"/>
    <w:rsid w:val="00C076E3"/>
    <w:rsid w:val="00C10285"/>
    <w:rsid w:val="00C10968"/>
    <w:rsid w:val="00C11217"/>
    <w:rsid w:val="00C1182F"/>
    <w:rsid w:val="00C1199F"/>
    <w:rsid w:val="00C12AF5"/>
    <w:rsid w:val="00C1430E"/>
    <w:rsid w:val="00C14593"/>
    <w:rsid w:val="00C14C4F"/>
    <w:rsid w:val="00C152B2"/>
    <w:rsid w:val="00C17164"/>
    <w:rsid w:val="00C203E7"/>
    <w:rsid w:val="00C22960"/>
    <w:rsid w:val="00C22E74"/>
    <w:rsid w:val="00C2370D"/>
    <w:rsid w:val="00C24894"/>
    <w:rsid w:val="00C24FDF"/>
    <w:rsid w:val="00C25108"/>
    <w:rsid w:val="00C2610A"/>
    <w:rsid w:val="00C2731C"/>
    <w:rsid w:val="00C27F6E"/>
    <w:rsid w:val="00C30BEE"/>
    <w:rsid w:val="00C313C4"/>
    <w:rsid w:val="00C31E8C"/>
    <w:rsid w:val="00C328C0"/>
    <w:rsid w:val="00C32ACF"/>
    <w:rsid w:val="00C33342"/>
    <w:rsid w:val="00C346AD"/>
    <w:rsid w:val="00C357B5"/>
    <w:rsid w:val="00C35EDF"/>
    <w:rsid w:val="00C362A6"/>
    <w:rsid w:val="00C366FB"/>
    <w:rsid w:val="00C36932"/>
    <w:rsid w:val="00C36A72"/>
    <w:rsid w:val="00C37505"/>
    <w:rsid w:val="00C418B1"/>
    <w:rsid w:val="00C42205"/>
    <w:rsid w:val="00C42659"/>
    <w:rsid w:val="00C433BD"/>
    <w:rsid w:val="00C43898"/>
    <w:rsid w:val="00C442B4"/>
    <w:rsid w:val="00C45095"/>
    <w:rsid w:val="00C453D8"/>
    <w:rsid w:val="00C454A9"/>
    <w:rsid w:val="00C45C54"/>
    <w:rsid w:val="00C466BA"/>
    <w:rsid w:val="00C4674B"/>
    <w:rsid w:val="00C4692E"/>
    <w:rsid w:val="00C46B1B"/>
    <w:rsid w:val="00C46BFA"/>
    <w:rsid w:val="00C47763"/>
    <w:rsid w:val="00C47B24"/>
    <w:rsid w:val="00C47EFC"/>
    <w:rsid w:val="00C504C1"/>
    <w:rsid w:val="00C50629"/>
    <w:rsid w:val="00C50646"/>
    <w:rsid w:val="00C50DFB"/>
    <w:rsid w:val="00C52AC4"/>
    <w:rsid w:val="00C53861"/>
    <w:rsid w:val="00C538C3"/>
    <w:rsid w:val="00C55576"/>
    <w:rsid w:val="00C55AB6"/>
    <w:rsid w:val="00C55FF7"/>
    <w:rsid w:val="00C56008"/>
    <w:rsid w:val="00C56968"/>
    <w:rsid w:val="00C57986"/>
    <w:rsid w:val="00C605E8"/>
    <w:rsid w:val="00C62C35"/>
    <w:rsid w:val="00C63286"/>
    <w:rsid w:val="00C639E0"/>
    <w:rsid w:val="00C63AC0"/>
    <w:rsid w:val="00C63EC3"/>
    <w:rsid w:val="00C643A1"/>
    <w:rsid w:val="00C66309"/>
    <w:rsid w:val="00C6772D"/>
    <w:rsid w:val="00C677EA"/>
    <w:rsid w:val="00C723D7"/>
    <w:rsid w:val="00C72EB7"/>
    <w:rsid w:val="00C74C66"/>
    <w:rsid w:val="00C75A69"/>
    <w:rsid w:val="00C7618D"/>
    <w:rsid w:val="00C7668F"/>
    <w:rsid w:val="00C810C0"/>
    <w:rsid w:val="00C81A9B"/>
    <w:rsid w:val="00C822AA"/>
    <w:rsid w:val="00C82FC6"/>
    <w:rsid w:val="00C83A1D"/>
    <w:rsid w:val="00C83BBA"/>
    <w:rsid w:val="00C84862"/>
    <w:rsid w:val="00C85D6A"/>
    <w:rsid w:val="00C86362"/>
    <w:rsid w:val="00C866DD"/>
    <w:rsid w:val="00C86A0B"/>
    <w:rsid w:val="00C86F58"/>
    <w:rsid w:val="00C90E8D"/>
    <w:rsid w:val="00C91B89"/>
    <w:rsid w:val="00C9240F"/>
    <w:rsid w:val="00C95832"/>
    <w:rsid w:val="00C95BAD"/>
    <w:rsid w:val="00C962DD"/>
    <w:rsid w:val="00C964EB"/>
    <w:rsid w:val="00C967B8"/>
    <w:rsid w:val="00CA0130"/>
    <w:rsid w:val="00CA08F0"/>
    <w:rsid w:val="00CA0A0D"/>
    <w:rsid w:val="00CA0BA4"/>
    <w:rsid w:val="00CA150F"/>
    <w:rsid w:val="00CA33A1"/>
    <w:rsid w:val="00CA33F1"/>
    <w:rsid w:val="00CA437F"/>
    <w:rsid w:val="00CA4593"/>
    <w:rsid w:val="00CA5F0E"/>
    <w:rsid w:val="00CA6D40"/>
    <w:rsid w:val="00CA6E7E"/>
    <w:rsid w:val="00CA7D54"/>
    <w:rsid w:val="00CB1931"/>
    <w:rsid w:val="00CB195A"/>
    <w:rsid w:val="00CB230A"/>
    <w:rsid w:val="00CB242F"/>
    <w:rsid w:val="00CB2561"/>
    <w:rsid w:val="00CB436E"/>
    <w:rsid w:val="00CB5231"/>
    <w:rsid w:val="00CB5875"/>
    <w:rsid w:val="00CB6200"/>
    <w:rsid w:val="00CB6421"/>
    <w:rsid w:val="00CB6589"/>
    <w:rsid w:val="00CB6D8A"/>
    <w:rsid w:val="00CB778D"/>
    <w:rsid w:val="00CC0753"/>
    <w:rsid w:val="00CC334F"/>
    <w:rsid w:val="00CC348D"/>
    <w:rsid w:val="00CC360A"/>
    <w:rsid w:val="00CC3B6D"/>
    <w:rsid w:val="00CC53EF"/>
    <w:rsid w:val="00CC5EDE"/>
    <w:rsid w:val="00CC6670"/>
    <w:rsid w:val="00CC770E"/>
    <w:rsid w:val="00CC78A3"/>
    <w:rsid w:val="00CC7E55"/>
    <w:rsid w:val="00CD020C"/>
    <w:rsid w:val="00CD1104"/>
    <w:rsid w:val="00CD132C"/>
    <w:rsid w:val="00CD1AD8"/>
    <w:rsid w:val="00CD1E2A"/>
    <w:rsid w:val="00CD2435"/>
    <w:rsid w:val="00CD2A44"/>
    <w:rsid w:val="00CD392F"/>
    <w:rsid w:val="00CD3B9F"/>
    <w:rsid w:val="00CD473E"/>
    <w:rsid w:val="00CD6344"/>
    <w:rsid w:val="00CD65F5"/>
    <w:rsid w:val="00CD65F6"/>
    <w:rsid w:val="00CD6A83"/>
    <w:rsid w:val="00CD7289"/>
    <w:rsid w:val="00CD77FC"/>
    <w:rsid w:val="00CD7AEF"/>
    <w:rsid w:val="00CE0578"/>
    <w:rsid w:val="00CE0CDA"/>
    <w:rsid w:val="00CE0D46"/>
    <w:rsid w:val="00CE0FED"/>
    <w:rsid w:val="00CE1F96"/>
    <w:rsid w:val="00CE2EC9"/>
    <w:rsid w:val="00CE2FAC"/>
    <w:rsid w:val="00CE302A"/>
    <w:rsid w:val="00CE3305"/>
    <w:rsid w:val="00CE3F53"/>
    <w:rsid w:val="00CE421D"/>
    <w:rsid w:val="00CE4DF4"/>
    <w:rsid w:val="00CE5700"/>
    <w:rsid w:val="00CE6812"/>
    <w:rsid w:val="00CE6933"/>
    <w:rsid w:val="00CE6B8E"/>
    <w:rsid w:val="00CE72B2"/>
    <w:rsid w:val="00CE7F2B"/>
    <w:rsid w:val="00CF0233"/>
    <w:rsid w:val="00CF1107"/>
    <w:rsid w:val="00CF222B"/>
    <w:rsid w:val="00CF2FAE"/>
    <w:rsid w:val="00CF347C"/>
    <w:rsid w:val="00CF3944"/>
    <w:rsid w:val="00CF471F"/>
    <w:rsid w:val="00CF55FA"/>
    <w:rsid w:val="00CF5CC6"/>
    <w:rsid w:val="00CF5D6C"/>
    <w:rsid w:val="00CF5E17"/>
    <w:rsid w:val="00CF6217"/>
    <w:rsid w:val="00CF6838"/>
    <w:rsid w:val="00CF689A"/>
    <w:rsid w:val="00CF7CB2"/>
    <w:rsid w:val="00D000A2"/>
    <w:rsid w:val="00D0071E"/>
    <w:rsid w:val="00D00B16"/>
    <w:rsid w:val="00D030FB"/>
    <w:rsid w:val="00D04CB7"/>
    <w:rsid w:val="00D0504A"/>
    <w:rsid w:val="00D06921"/>
    <w:rsid w:val="00D07461"/>
    <w:rsid w:val="00D075C4"/>
    <w:rsid w:val="00D1091E"/>
    <w:rsid w:val="00D10BD6"/>
    <w:rsid w:val="00D11684"/>
    <w:rsid w:val="00D11708"/>
    <w:rsid w:val="00D11E52"/>
    <w:rsid w:val="00D123C5"/>
    <w:rsid w:val="00D12DD1"/>
    <w:rsid w:val="00D1300F"/>
    <w:rsid w:val="00D14999"/>
    <w:rsid w:val="00D153F3"/>
    <w:rsid w:val="00D1569D"/>
    <w:rsid w:val="00D15F3E"/>
    <w:rsid w:val="00D17210"/>
    <w:rsid w:val="00D1726C"/>
    <w:rsid w:val="00D205D7"/>
    <w:rsid w:val="00D224FF"/>
    <w:rsid w:val="00D22EA8"/>
    <w:rsid w:val="00D23174"/>
    <w:rsid w:val="00D239C3"/>
    <w:rsid w:val="00D25F97"/>
    <w:rsid w:val="00D27B07"/>
    <w:rsid w:val="00D31272"/>
    <w:rsid w:val="00D31C73"/>
    <w:rsid w:val="00D34379"/>
    <w:rsid w:val="00D34E43"/>
    <w:rsid w:val="00D35406"/>
    <w:rsid w:val="00D36B41"/>
    <w:rsid w:val="00D36BF3"/>
    <w:rsid w:val="00D3789F"/>
    <w:rsid w:val="00D37CBE"/>
    <w:rsid w:val="00D4060B"/>
    <w:rsid w:val="00D407CF"/>
    <w:rsid w:val="00D40D34"/>
    <w:rsid w:val="00D40EAB"/>
    <w:rsid w:val="00D41689"/>
    <w:rsid w:val="00D437DF"/>
    <w:rsid w:val="00D449F2"/>
    <w:rsid w:val="00D457EF"/>
    <w:rsid w:val="00D465E8"/>
    <w:rsid w:val="00D52904"/>
    <w:rsid w:val="00D5368B"/>
    <w:rsid w:val="00D53EFD"/>
    <w:rsid w:val="00D541B5"/>
    <w:rsid w:val="00D54719"/>
    <w:rsid w:val="00D550B6"/>
    <w:rsid w:val="00D554E7"/>
    <w:rsid w:val="00D55F6E"/>
    <w:rsid w:val="00D56922"/>
    <w:rsid w:val="00D56E20"/>
    <w:rsid w:val="00D57058"/>
    <w:rsid w:val="00D575FA"/>
    <w:rsid w:val="00D57EF1"/>
    <w:rsid w:val="00D607A4"/>
    <w:rsid w:val="00D60BE1"/>
    <w:rsid w:val="00D612D4"/>
    <w:rsid w:val="00D620FE"/>
    <w:rsid w:val="00D634BF"/>
    <w:rsid w:val="00D66EE3"/>
    <w:rsid w:val="00D671C8"/>
    <w:rsid w:val="00D73682"/>
    <w:rsid w:val="00D73803"/>
    <w:rsid w:val="00D73DA4"/>
    <w:rsid w:val="00D74328"/>
    <w:rsid w:val="00D752C0"/>
    <w:rsid w:val="00D76068"/>
    <w:rsid w:val="00D7620B"/>
    <w:rsid w:val="00D76269"/>
    <w:rsid w:val="00D76AC7"/>
    <w:rsid w:val="00D76D59"/>
    <w:rsid w:val="00D7723E"/>
    <w:rsid w:val="00D77AF7"/>
    <w:rsid w:val="00D77E53"/>
    <w:rsid w:val="00D816A3"/>
    <w:rsid w:val="00D83968"/>
    <w:rsid w:val="00D83D34"/>
    <w:rsid w:val="00D84926"/>
    <w:rsid w:val="00D84D59"/>
    <w:rsid w:val="00D8764B"/>
    <w:rsid w:val="00D90078"/>
    <w:rsid w:val="00D91273"/>
    <w:rsid w:val="00D92EC1"/>
    <w:rsid w:val="00D93406"/>
    <w:rsid w:val="00D93737"/>
    <w:rsid w:val="00D94502"/>
    <w:rsid w:val="00D945BA"/>
    <w:rsid w:val="00D94D40"/>
    <w:rsid w:val="00D965E8"/>
    <w:rsid w:val="00D96A07"/>
    <w:rsid w:val="00D973B7"/>
    <w:rsid w:val="00D97948"/>
    <w:rsid w:val="00D97A32"/>
    <w:rsid w:val="00DA0758"/>
    <w:rsid w:val="00DA07A3"/>
    <w:rsid w:val="00DA0A4D"/>
    <w:rsid w:val="00DA0C12"/>
    <w:rsid w:val="00DA1884"/>
    <w:rsid w:val="00DA20AD"/>
    <w:rsid w:val="00DA2D1B"/>
    <w:rsid w:val="00DA322B"/>
    <w:rsid w:val="00DA47D5"/>
    <w:rsid w:val="00DA48FD"/>
    <w:rsid w:val="00DA4FBD"/>
    <w:rsid w:val="00DA5767"/>
    <w:rsid w:val="00DA5CC5"/>
    <w:rsid w:val="00DA64CD"/>
    <w:rsid w:val="00DA669C"/>
    <w:rsid w:val="00DA721B"/>
    <w:rsid w:val="00DA779B"/>
    <w:rsid w:val="00DA78D8"/>
    <w:rsid w:val="00DA7CCD"/>
    <w:rsid w:val="00DB0253"/>
    <w:rsid w:val="00DB058E"/>
    <w:rsid w:val="00DB1A46"/>
    <w:rsid w:val="00DB3070"/>
    <w:rsid w:val="00DB30C9"/>
    <w:rsid w:val="00DB3570"/>
    <w:rsid w:val="00DB4053"/>
    <w:rsid w:val="00DB440F"/>
    <w:rsid w:val="00DB5701"/>
    <w:rsid w:val="00DB6D0A"/>
    <w:rsid w:val="00DB74B6"/>
    <w:rsid w:val="00DB75DA"/>
    <w:rsid w:val="00DB7CBC"/>
    <w:rsid w:val="00DC185D"/>
    <w:rsid w:val="00DC25DF"/>
    <w:rsid w:val="00DC3EDA"/>
    <w:rsid w:val="00DC3FD2"/>
    <w:rsid w:val="00DC4334"/>
    <w:rsid w:val="00DC4877"/>
    <w:rsid w:val="00DC53DD"/>
    <w:rsid w:val="00DC580A"/>
    <w:rsid w:val="00DC63F3"/>
    <w:rsid w:val="00DC68BB"/>
    <w:rsid w:val="00DC6F68"/>
    <w:rsid w:val="00DC72EE"/>
    <w:rsid w:val="00DC7655"/>
    <w:rsid w:val="00DC7A37"/>
    <w:rsid w:val="00DD3D51"/>
    <w:rsid w:val="00DD4B3F"/>
    <w:rsid w:val="00DD5020"/>
    <w:rsid w:val="00DD5C85"/>
    <w:rsid w:val="00DD67CB"/>
    <w:rsid w:val="00DD6A4C"/>
    <w:rsid w:val="00DD7455"/>
    <w:rsid w:val="00DD7728"/>
    <w:rsid w:val="00DD7EF1"/>
    <w:rsid w:val="00DE0CEF"/>
    <w:rsid w:val="00DE1CDE"/>
    <w:rsid w:val="00DE25E1"/>
    <w:rsid w:val="00DE45A8"/>
    <w:rsid w:val="00DE4B21"/>
    <w:rsid w:val="00DE6304"/>
    <w:rsid w:val="00DE68D3"/>
    <w:rsid w:val="00DE6B1A"/>
    <w:rsid w:val="00DE7190"/>
    <w:rsid w:val="00DF01DB"/>
    <w:rsid w:val="00DF1837"/>
    <w:rsid w:val="00DF28A9"/>
    <w:rsid w:val="00DF2AB9"/>
    <w:rsid w:val="00DF331C"/>
    <w:rsid w:val="00DF3644"/>
    <w:rsid w:val="00DF5C20"/>
    <w:rsid w:val="00DF6699"/>
    <w:rsid w:val="00DF737C"/>
    <w:rsid w:val="00DF7F58"/>
    <w:rsid w:val="00E00F6E"/>
    <w:rsid w:val="00E01516"/>
    <w:rsid w:val="00E01A2F"/>
    <w:rsid w:val="00E0287E"/>
    <w:rsid w:val="00E02D90"/>
    <w:rsid w:val="00E03B31"/>
    <w:rsid w:val="00E051CA"/>
    <w:rsid w:val="00E0647C"/>
    <w:rsid w:val="00E06FEA"/>
    <w:rsid w:val="00E073C2"/>
    <w:rsid w:val="00E11241"/>
    <w:rsid w:val="00E13489"/>
    <w:rsid w:val="00E13692"/>
    <w:rsid w:val="00E14D89"/>
    <w:rsid w:val="00E15500"/>
    <w:rsid w:val="00E1662C"/>
    <w:rsid w:val="00E17185"/>
    <w:rsid w:val="00E17413"/>
    <w:rsid w:val="00E1765F"/>
    <w:rsid w:val="00E178F0"/>
    <w:rsid w:val="00E20197"/>
    <w:rsid w:val="00E206EA"/>
    <w:rsid w:val="00E21165"/>
    <w:rsid w:val="00E21F2A"/>
    <w:rsid w:val="00E23360"/>
    <w:rsid w:val="00E23B23"/>
    <w:rsid w:val="00E23B70"/>
    <w:rsid w:val="00E23E32"/>
    <w:rsid w:val="00E2456B"/>
    <w:rsid w:val="00E24CD1"/>
    <w:rsid w:val="00E24EE1"/>
    <w:rsid w:val="00E255AD"/>
    <w:rsid w:val="00E255CB"/>
    <w:rsid w:val="00E26C64"/>
    <w:rsid w:val="00E27360"/>
    <w:rsid w:val="00E27AB4"/>
    <w:rsid w:val="00E27FCF"/>
    <w:rsid w:val="00E33352"/>
    <w:rsid w:val="00E337FC"/>
    <w:rsid w:val="00E33B53"/>
    <w:rsid w:val="00E33C03"/>
    <w:rsid w:val="00E35A3F"/>
    <w:rsid w:val="00E362C8"/>
    <w:rsid w:val="00E368F5"/>
    <w:rsid w:val="00E36F07"/>
    <w:rsid w:val="00E37CFD"/>
    <w:rsid w:val="00E37FC4"/>
    <w:rsid w:val="00E4010D"/>
    <w:rsid w:val="00E41103"/>
    <w:rsid w:val="00E411C1"/>
    <w:rsid w:val="00E41730"/>
    <w:rsid w:val="00E43159"/>
    <w:rsid w:val="00E438D0"/>
    <w:rsid w:val="00E44750"/>
    <w:rsid w:val="00E460B9"/>
    <w:rsid w:val="00E46693"/>
    <w:rsid w:val="00E47752"/>
    <w:rsid w:val="00E506C0"/>
    <w:rsid w:val="00E50DCB"/>
    <w:rsid w:val="00E5237F"/>
    <w:rsid w:val="00E52A78"/>
    <w:rsid w:val="00E5418E"/>
    <w:rsid w:val="00E546A3"/>
    <w:rsid w:val="00E56616"/>
    <w:rsid w:val="00E57225"/>
    <w:rsid w:val="00E578EA"/>
    <w:rsid w:val="00E579AD"/>
    <w:rsid w:val="00E579D9"/>
    <w:rsid w:val="00E57ABF"/>
    <w:rsid w:val="00E60A40"/>
    <w:rsid w:val="00E60BD8"/>
    <w:rsid w:val="00E610D6"/>
    <w:rsid w:val="00E61E04"/>
    <w:rsid w:val="00E62545"/>
    <w:rsid w:val="00E634C2"/>
    <w:rsid w:val="00E63739"/>
    <w:rsid w:val="00E66945"/>
    <w:rsid w:val="00E66B54"/>
    <w:rsid w:val="00E676DB"/>
    <w:rsid w:val="00E721AA"/>
    <w:rsid w:val="00E73E2C"/>
    <w:rsid w:val="00E7419E"/>
    <w:rsid w:val="00E75779"/>
    <w:rsid w:val="00E7627D"/>
    <w:rsid w:val="00E766C9"/>
    <w:rsid w:val="00E768E8"/>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925"/>
    <w:rsid w:val="00E92775"/>
    <w:rsid w:val="00E968DD"/>
    <w:rsid w:val="00E97F1F"/>
    <w:rsid w:val="00EA10E9"/>
    <w:rsid w:val="00EA18E4"/>
    <w:rsid w:val="00EA1D4E"/>
    <w:rsid w:val="00EA2B54"/>
    <w:rsid w:val="00EA3918"/>
    <w:rsid w:val="00EA456A"/>
    <w:rsid w:val="00EA5A5B"/>
    <w:rsid w:val="00EA6727"/>
    <w:rsid w:val="00EA7647"/>
    <w:rsid w:val="00EA7E01"/>
    <w:rsid w:val="00EB2239"/>
    <w:rsid w:val="00EB2F8D"/>
    <w:rsid w:val="00EB37B7"/>
    <w:rsid w:val="00EB3880"/>
    <w:rsid w:val="00EB5D44"/>
    <w:rsid w:val="00EB613E"/>
    <w:rsid w:val="00EB66B7"/>
    <w:rsid w:val="00EB6B5B"/>
    <w:rsid w:val="00EB6E71"/>
    <w:rsid w:val="00EB7922"/>
    <w:rsid w:val="00EB7EB7"/>
    <w:rsid w:val="00EC0AEF"/>
    <w:rsid w:val="00EC12F2"/>
    <w:rsid w:val="00EC1FA5"/>
    <w:rsid w:val="00EC4C4C"/>
    <w:rsid w:val="00EC749B"/>
    <w:rsid w:val="00EC77BE"/>
    <w:rsid w:val="00EC7E43"/>
    <w:rsid w:val="00ED03B0"/>
    <w:rsid w:val="00ED0A7D"/>
    <w:rsid w:val="00ED172A"/>
    <w:rsid w:val="00ED198F"/>
    <w:rsid w:val="00ED1F58"/>
    <w:rsid w:val="00ED2760"/>
    <w:rsid w:val="00ED2AED"/>
    <w:rsid w:val="00ED3323"/>
    <w:rsid w:val="00ED58D9"/>
    <w:rsid w:val="00ED6332"/>
    <w:rsid w:val="00ED6AC5"/>
    <w:rsid w:val="00EE0006"/>
    <w:rsid w:val="00EE0D80"/>
    <w:rsid w:val="00EE0DCF"/>
    <w:rsid w:val="00EE1437"/>
    <w:rsid w:val="00EE143C"/>
    <w:rsid w:val="00EE1F93"/>
    <w:rsid w:val="00EE32CC"/>
    <w:rsid w:val="00EE38BF"/>
    <w:rsid w:val="00EE3E8E"/>
    <w:rsid w:val="00EE5252"/>
    <w:rsid w:val="00EE5785"/>
    <w:rsid w:val="00EE5D30"/>
    <w:rsid w:val="00EE60BB"/>
    <w:rsid w:val="00EF0A2D"/>
    <w:rsid w:val="00EF1BE7"/>
    <w:rsid w:val="00EF2487"/>
    <w:rsid w:val="00EF2F13"/>
    <w:rsid w:val="00EF3104"/>
    <w:rsid w:val="00EF3C04"/>
    <w:rsid w:val="00EF427D"/>
    <w:rsid w:val="00EF4D5A"/>
    <w:rsid w:val="00EF5F6B"/>
    <w:rsid w:val="00EF6596"/>
    <w:rsid w:val="00EF69F4"/>
    <w:rsid w:val="00EF6CAD"/>
    <w:rsid w:val="00EF7179"/>
    <w:rsid w:val="00EF770C"/>
    <w:rsid w:val="00F00521"/>
    <w:rsid w:val="00F007BC"/>
    <w:rsid w:val="00F0181A"/>
    <w:rsid w:val="00F01958"/>
    <w:rsid w:val="00F0217F"/>
    <w:rsid w:val="00F03288"/>
    <w:rsid w:val="00F03D4A"/>
    <w:rsid w:val="00F04E84"/>
    <w:rsid w:val="00F058F5"/>
    <w:rsid w:val="00F05C5D"/>
    <w:rsid w:val="00F05C96"/>
    <w:rsid w:val="00F06067"/>
    <w:rsid w:val="00F0607D"/>
    <w:rsid w:val="00F062DA"/>
    <w:rsid w:val="00F06618"/>
    <w:rsid w:val="00F10637"/>
    <w:rsid w:val="00F122A0"/>
    <w:rsid w:val="00F145BC"/>
    <w:rsid w:val="00F15EAB"/>
    <w:rsid w:val="00F15EFB"/>
    <w:rsid w:val="00F165C6"/>
    <w:rsid w:val="00F1758F"/>
    <w:rsid w:val="00F2005C"/>
    <w:rsid w:val="00F202F9"/>
    <w:rsid w:val="00F2061A"/>
    <w:rsid w:val="00F233B5"/>
    <w:rsid w:val="00F24B1C"/>
    <w:rsid w:val="00F25338"/>
    <w:rsid w:val="00F25A94"/>
    <w:rsid w:val="00F262DA"/>
    <w:rsid w:val="00F26417"/>
    <w:rsid w:val="00F27645"/>
    <w:rsid w:val="00F27FDB"/>
    <w:rsid w:val="00F301C4"/>
    <w:rsid w:val="00F314E6"/>
    <w:rsid w:val="00F31D06"/>
    <w:rsid w:val="00F3342C"/>
    <w:rsid w:val="00F3377E"/>
    <w:rsid w:val="00F33B1D"/>
    <w:rsid w:val="00F33B92"/>
    <w:rsid w:val="00F33DA7"/>
    <w:rsid w:val="00F34229"/>
    <w:rsid w:val="00F34282"/>
    <w:rsid w:val="00F3476A"/>
    <w:rsid w:val="00F349A3"/>
    <w:rsid w:val="00F34AF9"/>
    <w:rsid w:val="00F36175"/>
    <w:rsid w:val="00F36530"/>
    <w:rsid w:val="00F372A5"/>
    <w:rsid w:val="00F372FF"/>
    <w:rsid w:val="00F3775F"/>
    <w:rsid w:val="00F37924"/>
    <w:rsid w:val="00F4108E"/>
    <w:rsid w:val="00F42138"/>
    <w:rsid w:val="00F42465"/>
    <w:rsid w:val="00F4262F"/>
    <w:rsid w:val="00F42CD1"/>
    <w:rsid w:val="00F4386F"/>
    <w:rsid w:val="00F43F96"/>
    <w:rsid w:val="00F44A7F"/>
    <w:rsid w:val="00F45A7B"/>
    <w:rsid w:val="00F45C80"/>
    <w:rsid w:val="00F461E0"/>
    <w:rsid w:val="00F477A5"/>
    <w:rsid w:val="00F47991"/>
    <w:rsid w:val="00F51CEE"/>
    <w:rsid w:val="00F537FC"/>
    <w:rsid w:val="00F538C6"/>
    <w:rsid w:val="00F54623"/>
    <w:rsid w:val="00F55BBB"/>
    <w:rsid w:val="00F5635E"/>
    <w:rsid w:val="00F600B2"/>
    <w:rsid w:val="00F611F2"/>
    <w:rsid w:val="00F61BCF"/>
    <w:rsid w:val="00F620A3"/>
    <w:rsid w:val="00F62764"/>
    <w:rsid w:val="00F62BE9"/>
    <w:rsid w:val="00F63337"/>
    <w:rsid w:val="00F64848"/>
    <w:rsid w:val="00F66EC9"/>
    <w:rsid w:val="00F70FBC"/>
    <w:rsid w:val="00F71707"/>
    <w:rsid w:val="00F72517"/>
    <w:rsid w:val="00F7337E"/>
    <w:rsid w:val="00F73936"/>
    <w:rsid w:val="00F74EA0"/>
    <w:rsid w:val="00F7554B"/>
    <w:rsid w:val="00F75E2D"/>
    <w:rsid w:val="00F76CCA"/>
    <w:rsid w:val="00F76F3D"/>
    <w:rsid w:val="00F7713B"/>
    <w:rsid w:val="00F80220"/>
    <w:rsid w:val="00F80284"/>
    <w:rsid w:val="00F80526"/>
    <w:rsid w:val="00F80C15"/>
    <w:rsid w:val="00F81505"/>
    <w:rsid w:val="00F82703"/>
    <w:rsid w:val="00F8310C"/>
    <w:rsid w:val="00F8469B"/>
    <w:rsid w:val="00F84D3E"/>
    <w:rsid w:val="00F86CE9"/>
    <w:rsid w:val="00F87062"/>
    <w:rsid w:val="00F87154"/>
    <w:rsid w:val="00F8779D"/>
    <w:rsid w:val="00F878E3"/>
    <w:rsid w:val="00F87A1F"/>
    <w:rsid w:val="00F9163C"/>
    <w:rsid w:val="00F91E33"/>
    <w:rsid w:val="00F92426"/>
    <w:rsid w:val="00F9426F"/>
    <w:rsid w:val="00F9467D"/>
    <w:rsid w:val="00F94B51"/>
    <w:rsid w:val="00F94F57"/>
    <w:rsid w:val="00F95677"/>
    <w:rsid w:val="00F956C8"/>
    <w:rsid w:val="00F95D43"/>
    <w:rsid w:val="00F974EC"/>
    <w:rsid w:val="00F97E58"/>
    <w:rsid w:val="00FA09FA"/>
    <w:rsid w:val="00FA1166"/>
    <w:rsid w:val="00FA15E3"/>
    <w:rsid w:val="00FA368B"/>
    <w:rsid w:val="00FA5872"/>
    <w:rsid w:val="00FA58AA"/>
    <w:rsid w:val="00FA6A76"/>
    <w:rsid w:val="00FA6F63"/>
    <w:rsid w:val="00FA78E0"/>
    <w:rsid w:val="00FA7BAD"/>
    <w:rsid w:val="00FB064D"/>
    <w:rsid w:val="00FB0C8D"/>
    <w:rsid w:val="00FB3570"/>
    <w:rsid w:val="00FB3A31"/>
    <w:rsid w:val="00FB3E10"/>
    <w:rsid w:val="00FB436A"/>
    <w:rsid w:val="00FB477C"/>
    <w:rsid w:val="00FB486A"/>
    <w:rsid w:val="00FB4D50"/>
    <w:rsid w:val="00FB5996"/>
    <w:rsid w:val="00FB5E6C"/>
    <w:rsid w:val="00FB5F7F"/>
    <w:rsid w:val="00FB6370"/>
    <w:rsid w:val="00FB7944"/>
    <w:rsid w:val="00FB7D62"/>
    <w:rsid w:val="00FC0B24"/>
    <w:rsid w:val="00FC169E"/>
    <w:rsid w:val="00FC3844"/>
    <w:rsid w:val="00FC435B"/>
    <w:rsid w:val="00FC47AB"/>
    <w:rsid w:val="00FC4808"/>
    <w:rsid w:val="00FC4F92"/>
    <w:rsid w:val="00FC7133"/>
    <w:rsid w:val="00FD0742"/>
    <w:rsid w:val="00FD0955"/>
    <w:rsid w:val="00FD1200"/>
    <w:rsid w:val="00FD1372"/>
    <w:rsid w:val="00FD1C0A"/>
    <w:rsid w:val="00FD1C84"/>
    <w:rsid w:val="00FD251A"/>
    <w:rsid w:val="00FD2A32"/>
    <w:rsid w:val="00FD2BE7"/>
    <w:rsid w:val="00FD2DEA"/>
    <w:rsid w:val="00FD33B4"/>
    <w:rsid w:val="00FD33F0"/>
    <w:rsid w:val="00FD3C2A"/>
    <w:rsid w:val="00FD47C6"/>
    <w:rsid w:val="00FD4C91"/>
    <w:rsid w:val="00FD4FB7"/>
    <w:rsid w:val="00FD5FDF"/>
    <w:rsid w:val="00FD6782"/>
    <w:rsid w:val="00FD6A36"/>
    <w:rsid w:val="00FD780C"/>
    <w:rsid w:val="00FD7AF7"/>
    <w:rsid w:val="00FD7CEC"/>
    <w:rsid w:val="00FE0463"/>
    <w:rsid w:val="00FE08AC"/>
    <w:rsid w:val="00FE0BB0"/>
    <w:rsid w:val="00FE12FF"/>
    <w:rsid w:val="00FE19F2"/>
    <w:rsid w:val="00FE4664"/>
    <w:rsid w:val="00FE76B5"/>
    <w:rsid w:val="00FE7F2B"/>
    <w:rsid w:val="00FF13B8"/>
    <w:rsid w:val="00FF206E"/>
    <w:rsid w:val="00FF2B9D"/>
    <w:rsid w:val="00FF2F76"/>
    <w:rsid w:val="00FF488C"/>
    <w:rsid w:val="00FF4C04"/>
    <w:rsid w:val="00FF4CA1"/>
    <w:rsid w:val="00FF4D99"/>
    <w:rsid w:val="00FF5026"/>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95980-0BBB-4D37-B9BF-0FF71CFE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Hinds, Margaret</cp:lastModifiedBy>
  <cp:revision>9</cp:revision>
  <cp:lastPrinted>2012-07-19T17:48:00Z</cp:lastPrinted>
  <dcterms:created xsi:type="dcterms:W3CDTF">2012-06-29T16:06:00Z</dcterms:created>
  <dcterms:modified xsi:type="dcterms:W3CDTF">2012-07-19T17:48:00Z</dcterms:modified>
</cp:coreProperties>
</file>