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EF" w:rsidRPr="00AC5D15" w:rsidRDefault="007A6CEF" w:rsidP="00B05E0D">
      <w:pPr>
        <w:pStyle w:val="Subtitle"/>
        <w:rPr>
          <w:rFonts w:ascii="Times New Roman" w:hAnsi="Times New Roman"/>
          <w:sz w:val="26"/>
          <w:szCs w:val="26"/>
        </w:rPr>
      </w:pPr>
      <w:r w:rsidRPr="00AC5D15">
        <w:rPr>
          <w:rFonts w:ascii="Times New Roman" w:hAnsi="Times New Roman"/>
          <w:sz w:val="26"/>
          <w:szCs w:val="26"/>
        </w:rPr>
        <w:t>PENNSYLVANIA</w:t>
      </w:r>
    </w:p>
    <w:p w:rsidR="007A6CEF" w:rsidRPr="00AC5D15" w:rsidRDefault="007A6CEF" w:rsidP="00B05E0D">
      <w:pPr>
        <w:pStyle w:val="Subtitle"/>
        <w:rPr>
          <w:rFonts w:ascii="Times New Roman" w:hAnsi="Times New Roman"/>
          <w:sz w:val="26"/>
          <w:szCs w:val="26"/>
        </w:rPr>
      </w:pPr>
      <w:r w:rsidRPr="00AC5D15">
        <w:rPr>
          <w:rFonts w:ascii="Times New Roman" w:hAnsi="Times New Roman"/>
          <w:sz w:val="26"/>
          <w:szCs w:val="26"/>
        </w:rPr>
        <w:t>PUBLIC UTILITY COMMISSION</w:t>
      </w:r>
    </w:p>
    <w:p w:rsidR="007A6CEF" w:rsidRPr="00AC5D15" w:rsidRDefault="007A6CEF" w:rsidP="00B05E0D">
      <w:pPr>
        <w:pStyle w:val="Subtitle"/>
        <w:rPr>
          <w:rFonts w:ascii="Times New Roman" w:hAnsi="Times New Roman"/>
          <w:sz w:val="26"/>
          <w:szCs w:val="26"/>
        </w:rPr>
      </w:pPr>
      <w:r w:rsidRPr="00AC5D15">
        <w:rPr>
          <w:rFonts w:ascii="Times New Roman" w:hAnsi="Times New Roman"/>
          <w:sz w:val="26"/>
          <w:szCs w:val="26"/>
        </w:rPr>
        <w:t>Harrisburg, PA 17105-3265</w:t>
      </w:r>
    </w:p>
    <w:p w:rsidR="007A6CEF" w:rsidRPr="00AC5D15" w:rsidRDefault="007A6CEF" w:rsidP="00B05E0D">
      <w:pPr>
        <w:spacing w:line="240" w:lineRule="auto"/>
        <w:jc w:val="both"/>
        <w:rPr>
          <w:sz w:val="26"/>
          <w:szCs w:val="26"/>
        </w:rPr>
      </w:pPr>
    </w:p>
    <w:p w:rsidR="007A6CEF" w:rsidRPr="00AC5D15" w:rsidRDefault="007A6CEF" w:rsidP="00B05E0D">
      <w:pPr>
        <w:spacing w:line="240" w:lineRule="auto"/>
        <w:jc w:val="both"/>
        <w:rPr>
          <w:sz w:val="26"/>
          <w:szCs w:val="26"/>
        </w:rPr>
      </w:pPr>
    </w:p>
    <w:p w:rsidR="007A6CEF" w:rsidRPr="00AC5D15" w:rsidRDefault="007A6CEF" w:rsidP="00B05E0D">
      <w:pPr>
        <w:spacing w:line="240" w:lineRule="auto"/>
        <w:jc w:val="right"/>
        <w:rPr>
          <w:sz w:val="26"/>
          <w:szCs w:val="26"/>
        </w:rPr>
      </w:pPr>
      <w:r w:rsidRPr="00AC5D15">
        <w:rPr>
          <w:sz w:val="26"/>
          <w:szCs w:val="26"/>
        </w:rPr>
        <w:t xml:space="preserve">Public Meeting held </w:t>
      </w:r>
      <w:r w:rsidR="00EA02DB" w:rsidRPr="00AC5D15">
        <w:rPr>
          <w:sz w:val="26"/>
          <w:szCs w:val="26"/>
        </w:rPr>
        <w:t xml:space="preserve">July </w:t>
      </w:r>
      <w:r w:rsidRPr="00AC5D15">
        <w:rPr>
          <w:sz w:val="26"/>
          <w:szCs w:val="26"/>
        </w:rPr>
        <w:t>1</w:t>
      </w:r>
      <w:r w:rsidR="00EA02DB" w:rsidRPr="00AC5D15">
        <w:rPr>
          <w:sz w:val="26"/>
          <w:szCs w:val="26"/>
        </w:rPr>
        <w:t>9</w:t>
      </w:r>
      <w:r w:rsidRPr="00AC5D15">
        <w:rPr>
          <w:sz w:val="26"/>
          <w:szCs w:val="26"/>
        </w:rPr>
        <w:t>, 2012</w:t>
      </w:r>
    </w:p>
    <w:p w:rsidR="007A6CEF" w:rsidRPr="00AC5D15" w:rsidRDefault="007A6CEF" w:rsidP="00B05E0D">
      <w:pPr>
        <w:spacing w:line="240" w:lineRule="auto"/>
        <w:jc w:val="right"/>
        <w:rPr>
          <w:sz w:val="26"/>
          <w:szCs w:val="26"/>
        </w:rPr>
      </w:pPr>
    </w:p>
    <w:p w:rsidR="007A6CEF" w:rsidRPr="00AC5D15" w:rsidRDefault="007A6CEF" w:rsidP="00B05E0D">
      <w:pPr>
        <w:jc w:val="both"/>
        <w:rPr>
          <w:sz w:val="26"/>
          <w:szCs w:val="26"/>
        </w:rPr>
      </w:pPr>
      <w:r w:rsidRPr="00AC5D15">
        <w:rPr>
          <w:sz w:val="26"/>
          <w:szCs w:val="26"/>
        </w:rPr>
        <w:t>Commissioners Present:</w:t>
      </w:r>
    </w:p>
    <w:p w:rsidR="007A6CEF" w:rsidRPr="00AC5D15" w:rsidRDefault="007A6CEF" w:rsidP="00B05E0D">
      <w:pPr>
        <w:jc w:val="both"/>
        <w:rPr>
          <w:sz w:val="26"/>
          <w:szCs w:val="26"/>
        </w:rPr>
      </w:pPr>
    </w:p>
    <w:p w:rsidR="007A6CEF" w:rsidRPr="00AC5D15" w:rsidRDefault="007A6CEF" w:rsidP="00B05E0D">
      <w:pPr>
        <w:spacing w:line="240" w:lineRule="auto"/>
        <w:ind w:left="187"/>
        <w:jc w:val="left"/>
        <w:rPr>
          <w:sz w:val="26"/>
          <w:szCs w:val="26"/>
        </w:rPr>
      </w:pPr>
      <w:r w:rsidRPr="00AC5D15">
        <w:rPr>
          <w:sz w:val="26"/>
          <w:szCs w:val="26"/>
        </w:rPr>
        <w:tab/>
        <w:t>Robert F. Powelson, Chairman</w:t>
      </w:r>
    </w:p>
    <w:p w:rsidR="007A6CEF" w:rsidRPr="00AC5D15" w:rsidRDefault="007A6CEF" w:rsidP="00B05E0D">
      <w:pPr>
        <w:spacing w:line="240" w:lineRule="auto"/>
        <w:ind w:left="187"/>
        <w:jc w:val="left"/>
        <w:rPr>
          <w:sz w:val="26"/>
          <w:szCs w:val="26"/>
        </w:rPr>
      </w:pPr>
      <w:r w:rsidRPr="00AC5D15">
        <w:rPr>
          <w:sz w:val="26"/>
          <w:szCs w:val="26"/>
        </w:rPr>
        <w:tab/>
        <w:t>John F. Coleman, Jr., Vice Chairman</w:t>
      </w:r>
    </w:p>
    <w:p w:rsidR="007A6CEF" w:rsidRPr="00AC5D15" w:rsidRDefault="007A6CEF" w:rsidP="00B05E0D">
      <w:pPr>
        <w:spacing w:line="240" w:lineRule="auto"/>
        <w:ind w:left="187"/>
        <w:jc w:val="left"/>
        <w:rPr>
          <w:sz w:val="26"/>
          <w:szCs w:val="26"/>
        </w:rPr>
      </w:pPr>
      <w:r w:rsidRPr="00AC5D15">
        <w:rPr>
          <w:sz w:val="26"/>
          <w:szCs w:val="26"/>
        </w:rPr>
        <w:tab/>
        <w:t>Wayne E. Gardner</w:t>
      </w:r>
    </w:p>
    <w:p w:rsidR="007A6CEF" w:rsidRPr="00AC5D15" w:rsidRDefault="007A6CEF" w:rsidP="00B05E0D">
      <w:pPr>
        <w:spacing w:line="240" w:lineRule="auto"/>
        <w:ind w:left="187"/>
        <w:jc w:val="left"/>
        <w:rPr>
          <w:sz w:val="26"/>
          <w:szCs w:val="26"/>
        </w:rPr>
      </w:pPr>
      <w:r w:rsidRPr="00AC5D15">
        <w:rPr>
          <w:sz w:val="26"/>
          <w:szCs w:val="26"/>
        </w:rPr>
        <w:tab/>
        <w:t xml:space="preserve">James H. Cawley </w:t>
      </w:r>
    </w:p>
    <w:p w:rsidR="007A6CEF" w:rsidRPr="00AC5D15" w:rsidRDefault="007A6CEF" w:rsidP="00B05E0D">
      <w:pPr>
        <w:spacing w:line="240" w:lineRule="auto"/>
        <w:ind w:left="187"/>
        <w:jc w:val="left"/>
        <w:rPr>
          <w:sz w:val="26"/>
          <w:szCs w:val="26"/>
        </w:rPr>
      </w:pPr>
      <w:r w:rsidRPr="00AC5D15">
        <w:rPr>
          <w:sz w:val="26"/>
          <w:szCs w:val="26"/>
        </w:rPr>
        <w:tab/>
        <w:t>Pamela A. Witmer</w:t>
      </w:r>
    </w:p>
    <w:p w:rsidR="007A6CEF" w:rsidRPr="00AC5D15" w:rsidRDefault="007A6CEF" w:rsidP="00B05E0D">
      <w:pPr>
        <w:tabs>
          <w:tab w:val="left" w:pos="-720"/>
        </w:tabs>
        <w:suppressAutoHyphens/>
        <w:spacing w:line="240" w:lineRule="auto"/>
        <w:rPr>
          <w:spacing w:val="-3"/>
          <w:sz w:val="26"/>
          <w:szCs w:val="26"/>
        </w:rPr>
      </w:pPr>
    </w:p>
    <w:p w:rsidR="007A6CEF" w:rsidRPr="00AC5D15" w:rsidRDefault="007A6CEF" w:rsidP="00B05E0D">
      <w:pPr>
        <w:tabs>
          <w:tab w:val="left" w:pos="-720"/>
        </w:tabs>
        <w:suppressAutoHyphens/>
        <w:spacing w:line="240" w:lineRule="auto"/>
        <w:rPr>
          <w:spacing w:val="-3"/>
          <w:sz w:val="26"/>
          <w:szCs w:val="26"/>
        </w:rPr>
      </w:pPr>
    </w:p>
    <w:p w:rsidR="00D92169" w:rsidRPr="00AC5D15" w:rsidRDefault="00D92169" w:rsidP="00B05E0D">
      <w:pPr>
        <w:spacing w:line="240" w:lineRule="auto"/>
        <w:contextualSpacing/>
        <w:jc w:val="left"/>
        <w:rPr>
          <w:sz w:val="26"/>
          <w:szCs w:val="26"/>
        </w:rPr>
      </w:pPr>
      <w:r w:rsidRPr="00AC5D15">
        <w:rPr>
          <w:sz w:val="26"/>
          <w:szCs w:val="26"/>
        </w:rPr>
        <w:t>PPL Electric Utilities Corporation</w:t>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t>M-2011-2243137</w:t>
      </w:r>
    </w:p>
    <w:p w:rsidR="00D92169" w:rsidRPr="00AC5D15" w:rsidRDefault="00D92169" w:rsidP="00B05E0D">
      <w:pPr>
        <w:spacing w:line="240" w:lineRule="auto"/>
        <w:contextualSpacing/>
        <w:jc w:val="left"/>
        <w:rPr>
          <w:sz w:val="26"/>
          <w:szCs w:val="26"/>
        </w:rPr>
      </w:pPr>
      <w:r w:rsidRPr="00AC5D15">
        <w:rPr>
          <w:sz w:val="26"/>
          <w:szCs w:val="26"/>
        </w:rPr>
        <w:t>Proposed Generation Supply Charge-1</w:t>
      </w:r>
    </w:p>
    <w:p w:rsidR="00D92169" w:rsidRPr="00AC5D15" w:rsidRDefault="00D92169" w:rsidP="00B05E0D">
      <w:pPr>
        <w:spacing w:line="240" w:lineRule="auto"/>
        <w:contextualSpacing/>
        <w:jc w:val="left"/>
        <w:rPr>
          <w:sz w:val="26"/>
          <w:szCs w:val="26"/>
        </w:rPr>
      </w:pPr>
      <w:r w:rsidRPr="00AC5D15">
        <w:rPr>
          <w:sz w:val="26"/>
          <w:szCs w:val="26"/>
        </w:rPr>
        <w:t>For the period June 1, 2011</w:t>
      </w:r>
    </w:p>
    <w:p w:rsidR="00D92169" w:rsidRPr="00AC5D15" w:rsidRDefault="00D92169" w:rsidP="00B05E0D">
      <w:pPr>
        <w:spacing w:line="240" w:lineRule="auto"/>
        <w:contextualSpacing/>
        <w:jc w:val="left"/>
        <w:rPr>
          <w:sz w:val="26"/>
          <w:szCs w:val="26"/>
        </w:rPr>
      </w:pPr>
      <w:r w:rsidRPr="00AC5D15">
        <w:rPr>
          <w:sz w:val="26"/>
          <w:szCs w:val="26"/>
        </w:rPr>
        <w:t>Through August 31, 2011</w:t>
      </w:r>
    </w:p>
    <w:p w:rsidR="007A6CEF" w:rsidRPr="00AC5D15" w:rsidRDefault="007A6CEF" w:rsidP="00B05E0D">
      <w:pPr>
        <w:tabs>
          <w:tab w:val="left" w:pos="-720"/>
        </w:tabs>
        <w:suppressAutoHyphens/>
        <w:spacing w:line="240" w:lineRule="auto"/>
        <w:rPr>
          <w:spacing w:val="-3"/>
          <w:sz w:val="26"/>
          <w:szCs w:val="26"/>
        </w:rPr>
      </w:pPr>
    </w:p>
    <w:p w:rsidR="007A6CEF" w:rsidRPr="00AC5D15" w:rsidRDefault="007A6CEF" w:rsidP="00B05E0D">
      <w:pPr>
        <w:tabs>
          <w:tab w:val="left" w:pos="-720"/>
        </w:tabs>
        <w:suppressAutoHyphens/>
        <w:spacing w:line="240" w:lineRule="auto"/>
        <w:rPr>
          <w:spacing w:val="-3"/>
          <w:sz w:val="26"/>
          <w:szCs w:val="26"/>
        </w:rPr>
      </w:pPr>
    </w:p>
    <w:p w:rsidR="007A6CEF" w:rsidRPr="00AC5D15" w:rsidRDefault="007A6CEF" w:rsidP="00B05E0D">
      <w:pPr>
        <w:spacing w:line="240" w:lineRule="auto"/>
        <w:contextualSpacing/>
        <w:jc w:val="left"/>
        <w:rPr>
          <w:sz w:val="26"/>
          <w:szCs w:val="26"/>
        </w:rPr>
      </w:pPr>
      <w:r w:rsidRPr="00AC5D15">
        <w:rPr>
          <w:sz w:val="26"/>
          <w:szCs w:val="26"/>
        </w:rPr>
        <w:t xml:space="preserve">William R. Lloyd, Jr. </w:t>
      </w:r>
      <w:r w:rsidR="00EE6D4E"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00EE6D4E" w:rsidRPr="00AC5D15">
        <w:rPr>
          <w:sz w:val="26"/>
          <w:szCs w:val="26"/>
        </w:rPr>
        <w:tab/>
        <w:t>C-2011-2245906</w:t>
      </w:r>
    </w:p>
    <w:p w:rsidR="007A6CEF" w:rsidRPr="00AC5D15" w:rsidRDefault="007A6CEF" w:rsidP="00B05E0D">
      <w:pPr>
        <w:spacing w:line="240" w:lineRule="auto"/>
        <w:contextualSpacing/>
        <w:jc w:val="left"/>
        <w:rPr>
          <w:sz w:val="26"/>
          <w:szCs w:val="26"/>
        </w:rPr>
      </w:pPr>
      <w:r w:rsidRPr="00AC5D15">
        <w:rPr>
          <w:sz w:val="26"/>
          <w:szCs w:val="26"/>
        </w:rPr>
        <w:t>Office of Small Business Advocate</w:t>
      </w:r>
      <w:r w:rsidRPr="00AC5D15">
        <w:rPr>
          <w:sz w:val="26"/>
          <w:szCs w:val="26"/>
        </w:rPr>
        <w:tab/>
      </w:r>
      <w:r w:rsidRPr="00AC5D15">
        <w:rPr>
          <w:sz w:val="26"/>
          <w:szCs w:val="26"/>
        </w:rPr>
        <w:tab/>
      </w:r>
      <w:r w:rsidRPr="00AC5D15">
        <w:rPr>
          <w:sz w:val="26"/>
          <w:szCs w:val="26"/>
        </w:rPr>
        <w:tab/>
      </w:r>
    </w:p>
    <w:p w:rsidR="007A6CEF" w:rsidRPr="00AC5D15" w:rsidRDefault="007A6CEF" w:rsidP="00B05E0D">
      <w:pPr>
        <w:spacing w:line="240" w:lineRule="auto"/>
        <w:contextualSpacing/>
        <w:jc w:val="left"/>
        <w:rPr>
          <w:sz w:val="26"/>
          <w:szCs w:val="26"/>
        </w:rPr>
      </w:pP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p>
    <w:p w:rsidR="007A6CEF" w:rsidRPr="00AC5D15" w:rsidRDefault="007A6CEF" w:rsidP="00B05E0D">
      <w:pPr>
        <w:spacing w:line="240" w:lineRule="auto"/>
        <w:contextualSpacing/>
        <w:jc w:val="left"/>
        <w:rPr>
          <w:sz w:val="26"/>
          <w:szCs w:val="26"/>
        </w:rPr>
      </w:pPr>
      <w:r w:rsidRPr="00AC5D15">
        <w:rPr>
          <w:sz w:val="26"/>
          <w:szCs w:val="26"/>
        </w:rPr>
        <w:tab/>
      </w:r>
      <w:r w:rsidRPr="00AC5D15">
        <w:rPr>
          <w:sz w:val="26"/>
          <w:szCs w:val="26"/>
        </w:rPr>
        <w:tab/>
        <w:t>v.</w:t>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p>
    <w:p w:rsidR="007A6CEF" w:rsidRPr="00AC5D15" w:rsidRDefault="007A6CEF" w:rsidP="00B05E0D">
      <w:pPr>
        <w:spacing w:line="240" w:lineRule="auto"/>
        <w:contextualSpacing/>
        <w:jc w:val="left"/>
        <w:rPr>
          <w:sz w:val="26"/>
          <w:szCs w:val="26"/>
        </w:rPr>
      </w:pP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p>
    <w:p w:rsidR="007A6CEF" w:rsidRPr="00AC5D15" w:rsidRDefault="007A6CEF" w:rsidP="00B05E0D">
      <w:pPr>
        <w:spacing w:line="240" w:lineRule="auto"/>
        <w:contextualSpacing/>
        <w:jc w:val="left"/>
        <w:rPr>
          <w:sz w:val="26"/>
          <w:szCs w:val="26"/>
        </w:rPr>
      </w:pPr>
      <w:r w:rsidRPr="00AC5D15">
        <w:rPr>
          <w:sz w:val="26"/>
          <w:szCs w:val="26"/>
        </w:rPr>
        <w:t>PPL Electric Utilities Corporation</w:t>
      </w:r>
      <w:r w:rsidRPr="00AC5D15">
        <w:rPr>
          <w:sz w:val="26"/>
          <w:szCs w:val="26"/>
        </w:rPr>
        <w:tab/>
      </w:r>
      <w:r w:rsidRPr="00AC5D15">
        <w:rPr>
          <w:sz w:val="26"/>
          <w:szCs w:val="26"/>
        </w:rPr>
        <w:tab/>
      </w:r>
      <w:r w:rsidRPr="00AC5D15">
        <w:rPr>
          <w:sz w:val="26"/>
          <w:szCs w:val="26"/>
        </w:rPr>
        <w:tab/>
      </w:r>
    </w:p>
    <w:p w:rsidR="007A6CEF" w:rsidRPr="00AC5D15" w:rsidRDefault="007A6CEF" w:rsidP="00B05E0D">
      <w:pPr>
        <w:spacing w:line="240" w:lineRule="auto"/>
        <w:contextualSpacing/>
        <w:jc w:val="left"/>
        <w:rPr>
          <w:sz w:val="26"/>
          <w:szCs w:val="26"/>
        </w:rPr>
      </w:pPr>
    </w:p>
    <w:p w:rsidR="007A6CEF" w:rsidRPr="00AC5D15" w:rsidRDefault="007A6CEF" w:rsidP="00B05E0D">
      <w:pPr>
        <w:spacing w:line="240" w:lineRule="auto"/>
        <w:contextualSpacing/>
        <w:jc w:val="left"/>
        <w:rPr>
          <w:sz w:val="26"/>
          <w:szCs w:val="26"/>
        </w:rPr>
      </w:pPr>
    </w:p>
    <w:p w:rsidR="005752FE" w:rsidRPr="00AC5D15" w:rsidRDefault="007A6CEF" w:rsidP="00B05E0D">
      <w:pPr>
        <w:contextualSpacing/>
        <w:rPr>
          <w:b/>
          <w:sz w:val="26"/>
          <w:szCs w:val="26"/>
        </w:rPr>
      </w:pPr>
      <w:r w:rsidRPr="00AC5D15">
        <w:rPr>
          <w:b/>
          <w:sz w:val="26"/>
          <w:szCs w:val="26"/>
        </w:rPr>
        <w:t>OPINION AND ORDER</w:t>
      </w:r>
    </w:p>
    <w:p w:rsidR="007A6CEF" w:rsidRPr="00AC5D15" w:rsidRDefault="007A6CEF" w:rsidP="00B05E0D">
      <w:pPr>
        <w:contextualSpacing/>
        <w:jc w:val="left"/>
        <w:rPr>
          <w:b/>
          <w:sz w:val="26"/>
          <w:szCs w:val="26"/>
        </w:rPr>
      </w:pPr>
    </w:p>
    <w:p w:rsidR="007A6CEF" w:rsidRPr="00AC5D15" w:rsidRDefault="007A6CEF" w:rsidP="00B05E0D">
      <w:pPr>
        <w:contextualSpacing/>
        <w:jc w:val="left"/>
        <w:rPr>
          <w:b/>
          <w:sz w:val="26"/>
          <w:szCs w:val="26"/>
        </w:rPr>
      </w:pPr>
      <w:r w:rsidRPr="00AC5D15">
        <w:rPr>
          <w:b/>
          <w:sz w:val="26"/>
          <w:szCs w:val="26"/>
        </w:rPr>
        <w:t>BY THE COMMISSION</w:t>
      </w:r>
      <w:r w:rsidR="004C5CCF" w:rsidRPr="00AC5D15">
        <w:rPr>
          <w:b/>
          <w:sz w:val="26"/>
          <w:szCs w:val="26"/>
        </w:rPr>
        <w:t>:</w:t>
      </w:r>
    </w:p>
    <w:p w:rsidR="00307B2C" w:rsidRPr="00AC5D15" w:rsidRDefault="00307B2C" w:rsidP="00B05E0D">
      <w:pPr>
        <w:contextualSpacing/>
        <w:jc w:val="left"/>
        <w:rPr>
          <w:b/>
          <w:sz w:val="26"/>
          <w:szCs w:val="26"/>
        </w:rPr>
      </w:pPr>
    </w:p>
    <w:p w:rsidR="00307B2C" w:rsidRPr="00AC5D15" w:rsidRDefault="004C5CCF" w:rsidP="00B05E0D">
      <w:pPr>
        <w:contextualSpacing/>
        <w:jc w:val="left"/>
        <w:rPr>
          <w:sz w:val="26"/>
          <w:szCs w:val="26"/>
        </w:rPr>
      </w:pPr>
      <w:r w:rsidRPr="00AC5D15">
        <w:rPr>
          <w:b/>
          <w:sz w:val="26"/>
          <w:szCs w:val="26"/>
        </w:rPr>
        <w:tab/>
      </w:r>
      <w:r w:rsidRPr="00AC5D15">
        <w:rPr>
          <w:b/>
          <w:sz w:val="26"/>
          <w:szCs w:val="26"/>
        </w:rPr>
        <w:tab/>
      </w:r>
      <w:r w:rsidRPr="00AC5D15">
        <w:rPr>
          <w:sz w:val="26"/>
          <w:szCs w:val="26"/>
        </w:rPr>
        <w:t>Before the Pennsylvania Public Utility Commission (Commission) for consideration and di</w:t>
      </w:r>
      <w:r w:rsidR="00307B2C" w:rsidRPr="00AC5D15">
        <w:rPr>
          <w:sz w:val="26"/>
          <w:szCs w:val="26"/>
        </w:rPr>
        <w:t>sposition is the Recommended D</w:t>
      </w:r>
      <w:r w:rsidRPr="00AC5D15">
        <w:rPr>
          <w:sz w:val="26"/>
          <w:szCs w:val="26"/>
        </w:rPr>
        <w:t xml:space="preserve">ecision (R.D.) of Administrative Law Judge </w:t>
      </w:r>
      <w:r w:rsidR="00307B2C" w:rsidRPr="00AC5D15">
        <w:rPr>
          <w:sz w:val="26"/>
          <w:szCs w:val="26"/>
        </w:rPr>
        <w:t xml:space="preserve">(ALJ) </w:t>
      </w:r>
      <w:r w:rsidRPr="00AC5D15">
        <w:rPr>
          <w:sz w:val="26"/>
          <w:szCs w:val="26"/>
        </w:rPr>
        <w:t>Susan D. Colwell, issued on April 4, 2012, regarding</w:t>
      </w:r>
      <w:r w:rsidR="00307B2C" w:rsidRPr="00AC5D15">
        <w:rPr>
          <w:sz w:val="26"/>
          <w:szCs w:val="26"/>
        </w:rPr>
        <w:t xml:space="preserve"> the above-captioned proceeding, and the Exceptions and Replies filed with respect thereto.</w:t>
      </w:r>
    </w:p>
    <w:p w:rsidR="004C5CCF" w:rsidRPr="00AC5D15" w:rsidRDefault="00307B2C" w:rsidP="00B05E0D">
      <w:pPr>
        <w:contextualSpacing/>
        <w:jc w:val="left"/>
        <w:rPr>
          <w:sz w:val="26"/>
          <w:szCs w:val="26"/>
        </w:rPr>
      </w:pPr>
      <w:r w:rsidRPr="00AC5D15">
        <w:rPr>
          <w:sz w:val="26"/>
          <w:szCs w:val="26"/>
        </w:rPr>
        <w:lastRenderedPageBreak/>
        <w:tab/>
      </w:r>
      <w:r w:rsidRPr="00AC5D15">
        <w:rPr>
          <w:sz w:val="26"/>
          <w:szCs w:val="26"/>
        </w:rPr>
        <w:tab/>
        <w:t>Exceptions to the Recommended Decision were filed by PPL Electric Utilities Corporation (PPL</w:t>
      </w:r>
      <w:r w:rsidR="00017C21" w:rsidRPr="00AC5D15">
        <w:rPr>
          <w:sz w:val="26"/>
          <w:szCs w:val="26"/>
        </w:rPr>
        <w:t xml:space="preserve"> or Company</w:t>
      </w:r>
      <w:r w:rsidRPr="00AC5D15">
        <w:rPr>
          <w:sz w:val="26"/>
          <w:szCs w:val="26"/>
        </w:rPr>
        <w:t>) on April 24, 2012.  The Office of Small Business Advocate (OSBA) filed Replies to Exceptions on May 4, 2012.</w:t>
      </w:r>
    </w:p>
    <w:p w:rsidR="005752FE" w:rsidRPr="00AC5D15" w:rsidRDefault="005752FE" w:rsidP="00B05E0D">
      <w:pPr>
        <w:contextualSpacing/>
        <w:jc w:val="both"/>
        <w:rPr>
          <w:sz w:val="26"/>
        </w:rPr>
      </w:pPr>
    </w:p>
    <w:p w:rsidR="005752FE" w:rsidRPr="00AC5D15" w:rsidRDefault="00307B2C" w:rsidP="00B05E0D">
      <w:pPr>
        <w:contextualSpacing/>
        <w:rPr>
          <w:b/>
          <w:sz w:val="26"/>
          <w:szCs w:val="26"/>
        </w:rPr>
      </w:pPr>
      <w:r w:rsidRPr="00AC5D15">
        <w:rPr>
          <w:b/>
          <w:sz w:val="26"/>
          <w:szCs w:val="26"/>
        </w:rPr>
        <w:t>I.</w:t>
      </w:r>
      <w:r w:rsidRPr="00AC5D15">
        <w:rPr>
          <w:b/>
          <w:sz w:val="26"/>
          <w:szCs w:val="26"/>
        </w:rPr>
        <w:tab/>
      </w:r>
      <w:r w:rsidR="005752FE" w:rsidRPr="00AC5D15">
        <w:rPr>
          <w:b/>
          <w:sz w:val="26"/>
          <w:szCs w:val="26"/>
        </w:rPr>
        <w:t>H</w:t>
      </w:r>
      <w:r w:rsidRPr="00AC5D15">
        <w:rPr>
          <w:b/>
          <w:sz w:val="26"/>
          <w:szCs w:val="26"/>
        </w:rPr>
        <w:t>istory of the Proceeding</w:t>
      </w:r>
    </w:p>
    <w:p w:rsidR="005752FE" w:rsidRPr="00AC5D15" w:rsidRDefault="005752FE" w:rsidP="00B05E0D">
      <w:pPr>
        <w:contextualSpacing/>
        <w:jc w:val="left"/>
        <w:rPr>
          <w:sz w:val="26"/>
          <w:szCs w:val="26"/>
          <w:u w:val="single"/>
        </w:rPr>
      </w:pPr>
    </w:p>
    <w:p w:rsidR="00CC250D" w:rsidRPr="00AC5D15" w:rsidRDefault="005752FE" w:rsidP="00B05E0D">
      <w:pPr>
        <w:contextualSpacing/>
        <w:jc w:val="left"/>
        <w:rPr>
          <w:sz w:val="26"/>
          <w:szCs w:val="26"/>
        </w:rPr>
      </w:pPr>
      <w:r w:rsidRPr="00AC5D15">
        <w:rPr>
          <w:sz w:val="26"/>
          <w:szCs w:val="26"/>
        </w:rPr>
        <w:tab/>
      </w:r>
      <w:r w:rsidRPr="00AC5D15">
        <w:rPr>
          <w:sz w:val="26"/>
          <w:szCs w:val="26"/>
        </w:rPr>
        <w:tab/>
      </w:r>
      <w:r w:rsidR="00234DA8" w:rsidRPr="00AC5D15">
        <w:rPr>
          <w:sz w:val="26"/>
          <w:szCs w:val="26"/>
        </w:rPr>
        <w:t xml:space="preserve">The instant proceeding results from </w:t>
      </w:r>
      <w:r w:rsidR="00D64DAA" w:rsidRPr="00AC5D15">
        <w:rPr>
          <w:sz w:val="26"/>
          <w:szCs w:val="26"/>
        </w:rPr>
        <w:t xml:space="preserve">a Formal </w:t>
      </w:r>
      <w:r w:rsidR="00234DA8" w:rsidRPr="00AC5D15">
        <w:rPr>
          <w:sz w:val="26"/>
          <w:szCs w:val="26"/>
        </w:rPr>
        <w:t>Complaint</w:t>
      </w:r>
      <w:r w:rsidR="00673AEB" w:rsidRPr="00AC5D15">
        <w:rPr>
          <w:sz w:val="26"/>
          <w:szCs w:val="26"/>
        </w:rPr>
        <w:t xml:space="preserve"> (Complaint) </w:t>
      </w:r>
      <w:r w:rsidR="00234DA8" w:rsidRPr="00AC5D15">
        <w:rPr>
          <w:sz w:val="26"/>
          <w:szCs w:val="26"/>
        </w:rPr>
        <w:t xml:space="preserve">filed </w:t>
      </w:r>
      <w:r w:rsidR="00D64DAA" w:rsidRPr="00AC5D15">
        <w:rPr>
          <w:sz w:val="26"/>
          <w:szCs w:val="26"/>
        </w:rPr>
        <w:t xml:space="preserve">on May 31, 2011, </w:t>
      </w:r>
      <w:r w:rsidR="00234DA8" w:rsidRPr="00AC5D15">
        <w:rPr>
          <w:sz w:val="26"/>
          <w:szCs w:val="26"/>
        </w:rPr>
        <w:t>by</w:t>
      </w:r>
      <w:r w:rsidR="00307B2C" w:rsidRPr="00AC5D15">
        <w:rPr>
          <w:sz w:val="26"/>
          <w:szCs w:val="26"/>
        </w:rPr>
        <w:t xml:space="preserve"> the OSBA </w:t>
      </w:r>
      <w:r w:rsidR="00EF4A5E" w:rsidRPr="00AC5D15">
        <w:rPr>
          <w:sz w:val="26"/>
          <w:szCs w:val="26"/>
        </w:rPr>
        <w:t xml:space="preserve">against a </w:t>
      </w:r>
      <w:r w:rsidR="00342AEB" w:rsidRPr="00AC5D15">
        <w:rPr>
          <w:sz w:val="26"/>
          <w:szCs w:val="26"/>
        </w:rPr>
        <w:t xml:space="preserve">quarterly </w:t>
      </w:r>
      <w:r w:rsidR="00EF4A5E" w:rsidRPr="00AC5D15">
        <w:rPr>
          <w:sz w:val="26"/>
          <w:szCs w:val="26"/>
        </w:rPr>
        <w:t>Sect</w:t>
      </w:r>
      <w:r w:rsidR="00017C21" w:rsidRPr="00AC5D15">
        <w:rPr>
          <w:sz w:val="26"/>
          <w:szCs w:val="26"/>
        </w:rPr>
        <w:t>ion 1307(e) reconciliation filing made</w:t>
      </w:r>
      <w:r w:rsidR="003F4195" w:rsidRPr="00AC5D15">
        <w:rPr>
          <w:sz w:val="26"/>
          <w:szCs w:val="26"/>
        </w:rPr>
        <w:t xml:space="preserve"> by</w:t>
      </w:r>
      <w:r w:rsidR="00EF4A5E" w:rsidRPr="00AC5D15">
        <w:rPr>
          <w:sz w:val="26"/>
          <w:szCs w:val="26"/>
        </w:rPr>
        <w:t xml:space="preserve"> PPL for its Generation Supply Charge – 1 </w:t>
      </w:r>
      <w:r w:rsidR="00C328E2" w:rsidRPr="00AC5D15">
        <w:rPr>
          <w:sz w:val="26"/>
          <w:szCs w:val="26"/>
        </w:rPr>
        <w:t xml:space="preserve">(GSC-1) </w:t>
      </w:r>
      <w:r w:rsidR="00EF4A5E" w:rsidRPr="00AC5D15">
        <w:rPr>
          <w:sz w:val="26"/>
          <w:szCs w:val="26"/>
        </w:rPr>
        <w:t>for the period</w:t>
      </w:r>
      <w:r w:rsidR="00017C21" w:rsidRPr="00AC5D15">
        <w:rPr>
          <w:sz w:val="26"/>
          <w:szCs w:val="26"/>
        </w:rPr>
        <w:t xml:space="preserve"> of</w:t>
      </w:r>
      <w:r w:rsidR="00EF4A5E" w:rsidRPr="00AC5D15">
        <w:rPr>
          <w:sz w:val="26"/>
          <w:szCs w:val="26"/>
        </w:rPr>
        <w:t xml:space="preserve"> Ju</w:t>
      </w:r>
      <w:r w:rsidR="003F4C6F" w:rsidRPr="00AC5D15">
        <w:rPr>
          <w:sz w:val="26"/>
          <w:szCs w:val="26"/>
        </w:rPr>
        <w:t>ne </w:t>
      </w:r>
      <w:r w:rsidR="00EF4A5E" w:rsidRPr="00AC5D15">
        <w:rPr>
          <w:sz w:val="26"/>
          <w:szCs w:val="26"/>
        </w:rPr>
        <w:t xml:space="preserve">1, 2011 through August 31, 2011.  </w:t>
      </w:r>
      <w:r w:rsidRPr="00AC5D15">
        <w:rPr>
          <w:sz w:val="26"/>
          <w:szCs w:val="26"/>
        </w:rPr>
        <w:t xml:space="preserve">The </w:t>
      </w:r>
      <w:r w:rsidR="00017C21" w:rsidRPr="00AC5D15">
        <w:rPr>
          <w:sz w:val="26"/>
          <w:szCs w:val="26"/>
        </w:rPr>
        <w:t>GSC</w:t>
      </w:r>
      <w:r w:rsidRPr="00AC5D15">
        <w:rPr>
          <w:sz w:val="26"/>
          <w:szCs w:val="26"/>
        </w:rPr>
        <w:t xml:space="preserve"> was </w:t>
      </w:r>
      <w:r w:rsidR="00CC250D" w:rsidRPr="00AC5D15">
        <w:rPr>
          <w:sz w:val="26"/>
          <w:szCs w:val="26"/>
        </w:rPr>
        <w:t>instituted</w:t>
      </w:r>
      <w:r w:rsidRPr="00AC5D15">
        <w:rPr>
          <w:sz w:val="26"/>
          <w:szCs w:val="26"/>
        </w:rPr>
        <w:t xml:space="preserve"> in accordance with </w:t>
      </w:r>
      <w:r w:rsidR="00D64DAA" w:rsidRPr="00AC5D15">
        <w:rPr>
          <w:sz w:val="26"/>
          <w:szCs w:val="26"/>
        </w:rPr>
        <w:t>PPL’</w:t>
      </w:r>
      <w:r w:rsidRPr="00AC5D15">
        <w:rPr>
          <w:sz w:val="26"/>
          <w:szCs w:val="26"/>
        </w:rPr>
        <w:t>s Competitive Bridge P</w:t>
      </w:r>
      <w:r w:rsidR="00CC250D" w:rsidRPr="00AC5D15">
        <w:rPr>
          <w:sz w:val="26"/>
          <w:szCs w:val="26"/>
        </w:rPr>
        <w:t>lan (CBP)</w:t>
      </w:r>
      <w:r w:rsidR="00234DA8" w:rsidRPr="00AC5D15">
        <w:rPr>
          <w:sz w:val="26"/>
          <w:szCs w:val="26"/>
        </w:rPr>
        <w:t>,</w:t>
      </w:r>
      <w:r w:rsidR="00CC250D" w:rsidRPr="00AC5D15">
        <w:rPr>
          <w:sz w:val="26"/>
          <w:szCs w:val="26"/>
        </w:rPr>
        <w:t xml:space="preserve"> which was the plan </w:t>
      </w:r>
      <w:r w:rsidR="00017C21" w:rsidRPr="00AC5D15">
        <w:rPr>
          <w:sz w:val="26"/>
          <w:szCs w:val="26"/>
        </w:rPr>
        <w:t xml:space="preserve">filed by PPL </w:t>
      </w:r>
      <w:r w:rsidR="00CC250D" w:rsidRPr="00AC5D15">
        <w:rPr>
          <w:sz w:val="26"/>
          <w:szCs w:val="26"/>
        </w:rPr>
        <w:t xml:space="preserve">to provide default </w:t>
      </w:r>
      <w:r w:rsidR="00234DA8" w:rsidRPr="00AC5D15">
        <w:rPr>
          <w:sz w:val="26"/>
          <w:szCs w:val="26"/>
        </w:rPr>
        <w:t xml:space="preserve">supply </w:t>
      </w:r>
      <w:r w:rsidR="00CC250D" w:rsidRPr="00AC5D15">
        <w:rPr>
          <w:sz w:val="26"/>
          <w:szCs w:val="26"/>
        </w:rPr>
        <w:t>service for calen</w:t>
      </w:r>
      <w:r w:rsidR="00017C21" w:rsidRPr="00AC5D15">
        <w:rPr>
          <w:sz w:val="26"/>
          <w:szCs w:val="26"/>
        </w:rPr>
        <w:t>dar year 2010.  The GSC was</w:t>
      </w:r>
      <w:r w:rsidR="00CC250D" w:rsidRPr="00AC5D15">
        <w:rPr>
          <w:sz w:val="26"/>
          <w:szCs w:val="26"/>
        </w:rPr>
        <w:t xml:space="preserve"> the mechanism </w:t>
      </w:r>
      <w:r w:rsidR="00017C21" w:rsidRPr="00AC5D15">
        <w:rPr>
          <w:sz w:val="26"/>
          <w:szCs w:val="26"/>
        </w:rPr>
        <w:t xml:space="preserve">developed </w:t>
      </w:r>
      <w:r w:rsidR="00CC250D" w:rsidRPr="00AC5D15">
        <w:rPr>
          <w:sz w:val="26"/>
          <w:szCs w:val="26"/>
        </w:rPr>
        <w:t xml:space="preserve">for </w:t>
      </w:r>
      <w:r w:rsidR="00017C21" w:rsidRPr="00AC5D15">
        <w:rPr>
          <w:sz w:val="26"/>
          <w:szCs w:val="26"/>
        </w:rPr>
        <w:t xml:space="preserve">the </w:t>
      </w:r>
      <w:r w:rsidR="00CC250D" w:rsidRPr="00AC5D15">
        <w:rPr>
          <w:sz w:val="26"/>
          <w:szCs w:val="26"/>
        </w:rPr>
        <w:t xml:space="preserve">recovery and </w:t>
      </w:r>
      <w:r w:rsidR="00017C21" w:rsidRPr="00AC5D15">
        <w:rPr>
          <w:sz w:val="26"/>
          <w:szCs w:val="26"/>
        </w:rPr>
        <w:t xml:space="preserve">the </w:t>
      </w:r>
      <w:r w:rsidR="00CC250D" w:rsidRPr="00AC5D15">
        <w:rPr>
          <w:sz w:val="26"/>
          <w:szCs w:val="26"/>
        </w:rPr>
        <w:t>quarterly reconciliation of default service generation supply costs.</w:t>
      </w:r>
      <w:r w:rsidR="00D74C79" w:rsidRPr="00AC5D15">
        <w:rPr>
          <w:sz w:val="26"/>
          <w:szCs w:val="26"/>
        </w:rPr>
        <w:t xml:space="preserve">  OSBA M.B. at 1.</w:t>
      </w:r>
    </w:p>
    <w:p w:rsidR="00CC250D" w:rsidRPr="00AC5D15" w:rsidRDefault="00CC250D" w:rsidP="00B05E0D">
      <w:pPr>
        <w:contextualSpacing/>
        <w:jc w:val="left"/>
        <w:rPr>
          <w:sz w:val="26"/>
          <w:szCs w:val="26"/>
        </w:rPr>
      </w:pPr>
    </w:p>
    <w:p w:rsidR="005752FE" w:rsidRPr="00AC5D15" w:rsidRDefault="00CC250D" w:rsidP="00B05E0D">
      <w:pPr>
        <w:contextualSpacing/>
        <w:jc w:val="left"/>
        <w:rPr>
          <w:sz w:val="26"/>
          <w:szCs w:val="26"/>
        </w:rPr>
      </w:pPr>
      <w:r w:rsidRPr="00AC5D15">
        <w:rPr>
          <w:sz w:val="26"/>
          <w:szCs w:val="26"/>
        </w:rPr>
        <w:tab/>
      </w:r>
      <w:r w:rsidRPr="00AC5D15">
        <w:rPr>
          <w:sz w:val="26"/>
          <w:szCs w:val="26"/>
        </w:rPr>
        <w:tab/>
      </w:r>
      <w:r w:rsidR="00D64DAA" w:rsidRPr="00AC5D15">
        <w:rPr>
          <w:sz w:val="26"/>
          <w:szCs w:val="26"/>
        </w:rPr>
        <w:t>PPL’</w:t>
      </w:r>
      <w:r w:rsidRPr="00AC5D15">
        <w:rPr>
          <w:sz w:val="26"/>
          <w:szCs w:val="26"/>
        </w:rPr>
        <w:t xml:space="preserve">s </w:t>
      </w:r>
      <w:r w:rsidR="00004844" w:rsidRPr="00AC5D15">
        <w:rPr>
          <w:sz w:val="26"/>
          <w:szCs w:val="26"/>
        </w:rPr>
        <w:t>CBP was followed by it</w:t>
      </w:r>
      <w:r w:rsidR="00D74C79" w:rsidRPr="00AC5D15">
        <w:rPr>
          <w:sz w:val="26"/>
          <w:szCs w:val="26"/>
        </w:rPr>
        <w:t xml:space="preserve">s </w:t>
      </w:r>
      <w:r w:rsidRPr="00AC5D15">
        <w:rPr>
          <w:sz w:val="26"/>
          <w:szCs w:val="26"/>
        </w:rPr>
        <w:t>default service plan (DSP)</w:t>
      </w:r>
      <w:r w:rsidR="00004844" w:rsidRPr="00AC5D15">
        <w:rPr>
          <w:sz w:val="26"/>
          <w:szCs w:val="26"/>
        </w:rPr>
        <w:t>,</w:t>
      </w:r>
      <w:r w:rsidR="00D74C79" w:rsidRPr="00AC5D15">
        <w:rPr>
          <w:sz w:val="26"/>
          <w:szCs w:val="26"/>
        </w:rPr>
        <w:t xml:space="preserve"> which</w:t>
      </w:r>
      <w:r w:rsidRPr="00AC5D15">
        <w:rPr>
          <w:sz w:val="26"/>
          <w:szCs w:val="26"/>
        </w:rPr>
        <w:t xml:space="preserve"> provided for default service from January 1, 2011</w:t>
      </w:r>
      <w:r w:rsidR="00004844" w:rsidRPr="00AC5D15">
        <w:rPr>
          <w:sz w:val="26"/>
          <w:szCs w:val="26"/>
        </w:rPr>
        <w:t xml:space="preserve"> through May 31, 2013, and </w:t>
      </w:r>
      <w:r w:rsidRPr="00AC5D15">
        <w:rPr>
          <w:sz w:val="26"/>
          <w:szCs w:val="26"/>
        </w:rPr>
        <w:t>included</w:t>
      </w:r>
      <w:r w:rsidR="00C86EB1" w:rsidRPr="00AC5D15">
        <w:rPr>
          <w:sz w:val="26"/>
          <w:szCs w:val="26"/>
        </w:rPr>
        <w:t xml:space="preserve"> the GSC-1 for Residential and Small C</w:t>
      </w:r>
      <w:r w:rsidRPr="00AC5D15">
        <w:rPr>
          <w:sz w:val="26"/>
          <w:szCs w:val="26"/>
        </w:rPr>
        <w:t>ommercia</w:t>
      </w:r>
      <w:r w:rsidR="00C86EB1" w:rsidRPr="00AC5D15">
        <w:rPr>
          <w:sz w:val="26"/>
          <w:szCs w:val="26"/>
        </w:rPr>
        <w:t>l and I</w:t>
      </w:r>
      <w:r w:rsidR="00542F8B" w:rsidRPr="00AC5D15">
        <w:rPr>
          <w:sz w:val="26"/>
          <w:szCs w:val="26"/>
        </w:rPr>
        <w:t xml:space="preserve">ndustrial </w:t>
      </w:r>
      <w:r w:rsidR="00D74C79" w:rsidRPr="00AC5D15">
        <w:rPr>
          <w:sz w:val="26"/>
          <w:szCs w:val="26"/>
        </w:rPr>
        <w:t xml:space="preserve">(C&amp;I) </w:t>
      </w:r>
      <w:r w:rsidR="00BF36DD" w:rsidRPr="00AC5D15">
        <w:rPr>
          <w:sz w:val="26"/>
          <w:szCs w:val="26"/>
        </w:rPr>
        <w:t>customers</w:t>
      </w:r>
      <w:r w:rsidR="00542F8B" w:rsidRPr="00AC5D15">
        <w:rPr>
          <w:sz w:val="26"/>
          <w:szCs w:val="26"/>
        </w:rPr>
        <w:t xml:space="preserve"> and</w:t>
      </w:r>
      <w:r w:rsidRPr="00AC5D15">
        <w:rPr>
          <w:sz w:val="26"/>
          <w:szCs w:val="26"/>
        </w:rPr>
        <w:t xml:space="preserve"> </w:t>
      </w:r>
      <w:r w:rsidR="00004844" w:rsidRPr="00AC5D15">
        <w:rPr>
          <w:sz w:val="26"/>
          <w:szCs w:val="26"/>
        </w:rPr>
        <w:t xml:space="preserve">the </w:t>
      </w:r>
      <w:r w:rsidR="00C86EB1" w:rsidRPr="00AC5D15">
        <w:rPr>
          <w:sz w:val="26"/>
          <w:szCs w:val="26"/>
        </w:rPr>
        <w:t>GSC-2 for L</w:t>
      </w:r>
      <w:r w:rsidRPr="00AC5D15">
        <w:rPr>
          <w:sz w:val="26"/>
          <w:szCs w:val="26"/>
        </w:rPr>
        <w:t xml:space="preserve">arge </w:t>
      </w:r>
      <w:r w:rsidR="00D74C79" w:rsidRPr="00AC5D15">
        <w:rPr>
          <w:sz w:val="26"/>
          <w:szCs w:val="26"/>
        </w:rPr>
        <w:t>C&amp;I</w:t>
      </w:r>
      <w:r w:rsidRPr="00AC5D15">
        <w:rPr>
          <w:sz w:val="26"/>
          <w:szCs w:val="26"/>
        </w:rPr>
        <w:t xml:space="preserve"> customers.</w:t>
      </w:r>
      <w:r w:rsidR="00D74C79" w:rsidRPr="00AC5D15">
        <w:rPr>
          <w:sz w:val="26"/>
          <w:szCs w:val="26"/>
        </w:rPr>
        <w:t xml:space="preserve">  </w:t>
      </w:r>
      <w:r w:rsidR="00D74C79" w:rsidRPr="00AC5D15">
        <w:rPr>
          <w:i/>
          <w:sz w:val="26"/>
          <w:szCs w:val="26"/>
        </w:rPr>
        <w:t>Id.</w:t>
      </w:r>
    </w:p>
    <w:p w:rsidR="008D3E20" w:rsidRPr="00AC5D15" w:rsidRDefault="008D3E20" w:rsidP="00B05E0D">
      <w:pPr>
        <w:contextualSpacing/>
        <w:jc w:val="left"/>
        <w:rPr>
          <w:sz w:val="26"/>
          <w:szCs w:val="26"/>
        </w:rPr>
      </w:pPr>
    </w:p>
    <w:p w:rsidR="004F289D" w:rsidRPr="00AC5D15" w:rsidRDefault="004F289D" w:rsidP="00B05E0D">
      <w:pPr>
        <w:contextualSpacing/>
        <w:jc w:val="left"/>
        <w:rPr>
          <w:sz w:val="26"/>
          <w:szCs w:val="26"/>
        </w:rPr>
      </w:pPr>
      <w:r w:rsidRPr="00AC5D15">
        <w:rPr>
          <w:sz w:val="26"/>
          <w:szCs w:val="26"/>
        </w:rPr>
        <w:tab/>
      </w:r>
      <w:r w:rsidRPr="00AC5D15">
        <w:rPr>
          <w:sz w:val="26"/>
          <w:szCs w:val="26"/>
        </w:rPr>
        <w:tab/>
        <w:t xml:space="preserve">On December 11, 2009, at Docket </w:t>
      </w:r>
      <w:r w:rsidR="00132153" w:rsidRPr="00AC5D15">
        <w:rPr>
          <w:sz w:val="26"/>
          <w:szCs w:val="26"/>
        </w:rPr>
        <w:t xml:space="preserve">No. M-2009-2145482, PPL </w:t>
      </w:r>
      <w:r w:rsidRPr="00AC5D15">
        <w:rPr>
          <w:sz w:val="26"/>
          <w:szCs w:val="26"/>
        </w:rPr>
        <w:t xml:space="preserve">submitted a final calculation of the proposed GSC for the first quarter of 2010.  On March 1, 2010, </w:t>
      </w:r>
      <w:r w:rsidR="00D64DAA" w:rsidRPr="00AC5D15">
        <w:rPr>
          <w:sz w:val="26"/>
          <w:szCs w:val="26"/>
        </w:rPr>
        <w:t>PPL</w:t>
      </w:r>
      <w:r w:rsidRPr="00AC5D15">
        <w:rPr>
          <w:sz w:val="26"/>
          <w:szCs w:val="26"/>
        </w:rPr>
        <w:t xml:space="preserve"> submitted its proposed GSC for the second quarter of 2010, which included a reconciliation of actual and estimated costs for January 2010.  </w:t>
      </w:r>
      <w:r w:rsidR="00D74C79" w:rsidRPr="00AC5D15">
        <w:rPr>
          <w:sz w:val="26"/>
          <w:szCs w:val="26"/>
        </w:rPr>
        <w:t>This filing reported a $33</w:t>
      </w:r>
      <w:r w:rsidR="00C86EB1" w:rsidRPr="00AC5D15">
        <w:rPr>
          <w:sz w:val="26"/>
          <w:szCs w:val="26"/>
        </w:rPr>
        <w:t xml:space="preserve"> million under collection from S</w:t>
      </w:r>
      <w:r w:rsidR="00D74C79" w:rsidRPr="00AC5D15">
        <w:rPr>
          <w:sz w:val="26"/>
          <w:szCs w:val="26"/>
        </w:rPr>
        <w:t xml:space="preserve">mall C&amp;I customers for January 2010.  </w:t>
      </w:r>
      <w:r w:rsidR="00D74C79" w:rsidRPr="00AC5D15">
        <w:rPr>
          <w:i/>
          <w:sz w:val="26"/>
          <w:szCs w:val="26"/>
        </w:rPr>
        <w:t>Id.</w:t>
      </w:r>
      <w:r w:rsidR="00D74C79" w:rsidRPr="00AC5D15">
        <w:rPr>
          <w:sz w:val="26"/>
          <w:szCs w:val="26"/>
        </w:rPr>
        <w:t xml:space="preserve"> at 2.</w:t>
      </w:r>
    </w:p>
    <w:p w:rsidR="004F289D" w:rsidRPr="00AC5D15" w:rsidRDefault="004F289D" w:rsidP="00B05E0D">
      <w:pPr>
        <w:contextualSpacing/>
        <w:jc w:val="left"/>
        <w:rPr>
          <w:sz w:val="26"/>
          <w:szCs w:val="26"/>
        </w:rPr>
      </w:pPr>
    </w:p>
    <w:p w:rsidR="004F289D" w:rsidRPr="00AC5D15" w:rsidRDefault="004F289D" w:rsidP="00B05E0D">
      <w:pPr>
        <w:contextualSpacing/>
        <w:jc w:val="left"/>
        <w:rPr>
          <w:sz w:val="26"/>
          <w:szCs w:val="26"/>
        </w:rPr>
      </w:pPr>
      <w:r w:rsidRPr="00AC5D15">
        <w:rPr>
          <w:sz w:val="26"/>
          <w:szCs w:val="26"/>
        </w:rPr>
        <w:tab/>
      </w:r>
      <w:r w:rsidRPr="00AC5D15">
        <w:rPr>
          <w:sz w:val="26"/>
          <w:szCs w:val="26"/>
        </w:rPr>
        <w:tab/>
      </w:r>
      <w:r w:rsidR="00132153" w:rsidRPr="00AC5D15">
        <w:rPr>
          <w:sz w:val="26"/>
          <w:szCs w:val="26"/>
        </w:rPr>
        <w:t xml:space="preserve">On March 8, 2010, PPL </w:t>
      </w:r>
      <w:r w:rsidRPr="00AC5D15">
        <w:rPr>
          <w:sz w:val="26"/>
          <w:szCs w:val="26"/>
        </w:rPr>
        <w:t xml:space="preserve">submitted a letter to the Commission stating that the significant </w:t>
      </w:r>
      <w:r w:rsidR="00BF36DD" w:rsidRPr="00AC5D15">
        <w:rPr>
          <w:sz w:val="26"/>
          <w:szCs w:val="26"/>
        </w:rPr>
        <w:t>under collection</w:t>
      </w:r>
      <w:r w:rsidRPr="00AC5D15">
        <w:rPr>
          <w:sz w:val="26"/>
          <w:szCs w:val="26"/>
        </w:rPr>
        <w:t xml:space="preserve"> was not typical</w:t>
      </w:r>
      <w:r w:rsidR="00C86EB1" w:rsidRPr="00AC5D15">
        <w:rPr>
          <w:sz w:val="26"/>
          <w:szCs w:val="26"/>
        </w:rPr>
        <w:t>,</w:t>
      </w:r>
      <w:r w:rsidRPr="00AC5D15">
        <w:rPr>
          <w:sz w:val="26"/>
          <w:szCs w:val="26"/>
        </w:rPr>
        <w:t xml:space="preserve"> and asking t</w:t>
      </w:r>
      <w:r w:rsidR="00C633D2" w:rsidRPr="00AC5D15">
        <w:rPr>
          <w:sz w:val="26"/>
          <w:szCs w:val="26"/>
        </w:rPr>
        <w:t>o</w:t>
      </w:r>
      <w:r w:rsidRPr="00AC5D15">
        <w:rPr>
          <w:sz w:val="26"/>
          <w:szCs w:val="26"/>
        </w:rPr>
        <w:t xml:space="preserve"> withdraw t</w:t>
      </w:r>
      <w:r w:rsidR="00C633D2" w:rsidRPr="00AC5D15">
        <w:rPr>
          <w:sz w:val="26"/>
          <w:szCs w:val="26"/>
        </w:rPr>
        <w:t>he</w:t>
      </w:r>
      <w:r w:rsidRPr="00AC5D15">
        <w:rPr>
          <w:sz w:val="26"/>
          <w:szCs w:val="26"/>
        </w:rPr>
        <w:t xml:space="preserve"> change to the GSC </w:t>
      </w:r>
      <w:r w:rsidR="00C86EB1" w:rsidRPr="00AC5D15">
        <w:rPr>
          <w:sz w:val="26"/>
          <w:szCs w:val="26"/>
        </w:rPr>
        <w:t>that it had proposed on March 1</w:t>
      </w:r>
      <w:r w:rsidR="00287F92">
        <w:rPr>
          <w:sz w:val="26"/>
          <w:szCs w:val="26"/>
        </w:rPr>
        <w:t xml:space="preserve"> </w:t>
      </w:r>
      <w:r w:rsidRPr="00AC5D15">
        <w:rPr>
          <w:sz w:val="26"/>
          <w:szCs w:val="26"/>
        </w:rPr>
        <w:t>for the second quarter of 2010</w:t>
      </w:r>
      <w:r w:rsidR="00C86EB1" w:rsidRPr="00AC5D15">
        <w:rPr>
          <w:sz w:val="26"/>
          <w:szCs w:val="26"/>
        </w:rPr>
        <w:t xml:space="preserve">.  PPL asked for </w:t>
      </w:r>
      <w:r w:rsidR="00C86EB1" w:rsidRPr="00AC5D15">
        <w:rPr>
          <w:sz w:val="26"/>
          <w:szCs w:val="26"/>
        </w:rPr>
        <w:lastRenderedPageBreak/>
        <w:t xml:space="preserve">approval to </w:t>
      </w:r>
      <w:r w:rsidRPr="00AC5D15">
        <w:rPr>
          <w:sz w:val="26"/>
          <w:szCs w:val="26"/>
        </w:rPr>
        <w:t>continue the first quarter</w:t>
      </w:r>
      <w:r w:rsidR="00D64DAA" w:rsidRPr="00AC5D15">
        <w:rPr>
          <w:sz w:val="26"/>
          <w:szCs w:val="26"/>
        </w:rPr>
        <w:t>’</w:t>
      </w:r>
      <w:r w:rsidRPr="00AC5D15">
        <w:rPr>
          <w:sz w:val="26"/>
          <w:szCs w:val="26"/>
        </w:rPr>
        <w:t>s</w:t>
      </w:r>
      <w:r w:rsidR="00B85F49" w:rsidRPr="00AC5D15">
        <w:rPr>
          <w:sz w:val="26"/>
          <w:szCs w:val="26"/>
        </w:rPr>
        <w:t xml:space="preserve"> GSC</w:t>
      </w:r>
      <w:r w:rsidRPr="00AC5D15">
        <w:rPr>
          <w:sz w:val="26"/>
          <w:szCs w:val="26"/>
        </w:rPr>
        <w:t xml:space="preserve"> until July 1, 2010.  </w:t>
      </w:r>
      <w:r w:rsidR="00D64DAA" w:rsidRPr="00AC5D15">
        <w:rPr>
          <w:sz w:val="26"/>
          <w:szCs w:val="26"/>
        </w:rPr>
        <w:t>PPL</w:t>
      </w:r>
      <w:r w:rsidRPr="00AC5D15">
        <w:rPr>
          <w:sz w:val="26"/>
          <w:szCs w:val="26"/>
        </w:rPr>
        <w:t xml:space="preserve"> sought permission to defer reconciliation until January 2011.  </w:t>
      </w:r>
      <w:r w:rsidR="00D74C79" w:rsidRPr="00AC5D15">
        <w:rPr>
          <w:i/>
          <w:sz w:val="26"/>
          <w:szCs w:val="26"/>
        </w:rPr>
        <w:t>Id.</w:t>
      </w:r>
      <w:r w:rsidR="00D74C79" w:rsidRPr="00AC5D15">
        <w:rPr>
          <w:sz w:val="26"/>
          <w:szCs w:val="26"/>
        </w:rPr>
        <w:t xml:space="preserve"> at 2-3.</w:t>
      </w:r>
    </w:p>
    <w:p w:rsidR="004F289D" w:rsidRPr="00AC5D15" w:rsidRDefault="004F289D" w:rsidP="00B05E0D">
      <w:pPr>
        <w:contextualSpacing/>
        <w:jc w:val="left"/>
        <w:rPr>
          <w:sz w:val="26"/>
          <w:szCs w:val="26"/>
        </w:rPr>
      </w:pPr>
    </w:p>
    <w:p w:rsidR="004F289D" w:rsidRPr="00AC5D15" w:rsidRDefault="004F289D" w:rsidP="00B05E0D">
      <w:pPr>
        <w:contextualSpacing/>
        <w:jc w:val="left"/>
        <w:rPr>
          <w:sz w:val="26"/>
          <w:szCs w:val="26"/>
        </w:rPr>
      </w:pPr>
      <w:r w:rsidRPr="00AC5D15">
        <w:rPr>
          <w:sz w:val="26"/>
          <w:szCs w:val="26"/>
        </w:rPr>
        <w:tab/>
      </w:r>
      <w:r w:rsidRPr="00AC5D15">
        <w:rPr>
          <w:sz w:val="26"/>
          <w:szCs w:val="26"/>
        </w:rPr>
        <w:tab/>
        <w:t>The third and four</w:t>
      </w:r>
      <w:r w:rsidR="00D3488E" w:rsidRPr="00AC5D15">
        <w:rPr>
          <w:sz w:val="26"/>
          <w:szCs w:val="26"/>
        </w:rPr>
        <w:t xml:space="preserve">th quarter reconciliations </w:t>
      </w:r>
      <w:r w:rsidRPr="00AC5D15">
        <w:rPr>
          <w:sz w:val="26"/>
          <w:szCs w:val="26"/>
        </w:rPr>
        <w:t xml:space="preserve">also </w:t>
      </w:r>
      <w:r w:rsidR="00D3488E" w:rsidRPr="00AC5D15">
        <w:rPr>
          <w:sz w:val="26"/>
          <w:szCs w:val="26"/>
        </w:rPr>
        <w:t xml:space="preserve">were </w:t>
      </w:r>
      <w:r w:rsidRPr="00AC5D15">
        <w:rPr>
          <w:sz w:val="26"/>
          <w:szCs w:val="26"/>
        </w:rPr>
        <w:t>subject to requests for deferral</w:t>
      </w:r>
      <w:r w:rsidR="00106F4F" w:rsidRPr="00AC5D15">
        <w:rPr>
          <w:sz w:val="26"/>
          <w:szCs w:val="26"/>
        </w:rPr>
        <w:t xml:space="preserve"> by PPL</w:t>
      </w:r>
      <w:r w:rsidRPr="00AC5D15">
        <w:rPr>
          <w:sz w:val="26"/>
          <w:szCs w:val="26"/>
        </w:rPr>
        <w:t>.  Each request was approved by the Commission</w:t>
      </w:r>
      <w:r w:rsidR="00D3488E" w:rsidRPr="00AC5D15">
        <w:rPr>
          <w:sz w:val="26"/>
          <w:szCs w:val="26"/>
        </w:rPr>
        <w:t>,</w:t>
      </w:r>
      <w:r w:rsidR="00106F4F" w:rsidRPr="00AC5D15">
        <w:rPr>
          <w:sz w:val="26"/>
          <w:szCs w:val="26"/>
        </w:rPr>
        <w:t xml:space="preserve"> resulting in no reconciliation charges to customers and no change to the GSC in 2010.  </w:t>
      </w:r>
      <w:r w:rsidR="00106F4F" w:rsidRPr="00AC5D15">
        <w:rPr>
          <w:i/>
          <w:sz w:val="26"/>
          <w:szCs w:val="26"/>
        </w:rPr>
        <w:t>Id.</w:t>
      </w:r>
      <w:r w:rsidR="00106F4F" w:rsidRPr="00AC5D15">
        <w:rPr>
          <w:sz w:val="26"/>
          <w:szCs w:val="26"/>
        </w:rPr>
        <w:t xml:space="preserve"> at 3.</w:t>
      </w:r>
    </w:p>
    <w:p w:rsidR="004F289D" w:rsidRPr="00AC5D15" w:rsidRDefault="004F289D" w:rsidP="00B05E0D">
      <w:pPr>
        <w:contextualSpacing/>
        <w:jc w:val="left"/>
        <w:rPr>
          <w:sz w:val="26"/>
          <w:szCs w:val="26"/>
        </w:rPr>
      </w:pPr>
    </w:p>
    <w:p w:rsidR="004F289D" w:rsidRPr="00AC5D15" w:rsidRDefault="004F289D" w:rsidP="00B05E0D">
      <w:pPr>
        <w:contextualSpacing/>
        <w:jc w:val="left"/>
        <w:rPr>
          <w:sz w:val="26"/>
          <w:szCs w:val="26"/>
        </w:rPr>
      </w:pPr>
      <w:r w:rsidRPr="00AC5D15">
        <w:rPr>
          <w:sz w:val="26"/>
          <w:szCs w:val="26"/>
        </w:rPr>
        <w:tab/>
      </w:r>
      <w:r w:rsidRPr="00AC5D15">
        <w:rPr>
          <w:sz w:val="26"/>
          <w:szCs w:val="26"/>
        </w:rPr>
        <w:tab/>
      </w:r>
      <w:r w:rsidR="00EF4A5E" w:rsidRPr="00AC5D15">
        <w:rPr>
          <w:sz w:val="26"/>
          <w:szCs w:val="26"/>
        </w:rPr>
        <w:t>On</w:t>
      </w:r>
      <w:r w:rsidR="00132153" w:rsidRPr="00AC5D15">
        <w:rPr>
          <w:sz w:val="26"/>
          <w:szCs w:val="26"/>
        </w:rPr>
        <w:t xml:space="preserve"> December 14, 2010, PPL </w:t>
      </w:r>
      <w:r w:rsidR="00EF4A5E" w:rsidRPr="00AC5D15">
        <w:rPr>
          <w:sz w:val="26"/>
          <w:szCs w:val="26"/>
        </w:rPr>
        <w:t>submitted a calculation of the proposed GSC</w:t>
      </w:r>
      <w:r w:rsidR="00673AEB" w:rsidRPr="00AC5D15">
        <w:rPr>
          <w:sz w:val="26"/>
          <w:szCs w:val="26"/>
        </w:rPr>
        <w:noBreakHyphen/>
      </w:r>
      <w:r w:rsidR="00EF4A5E" w:rsidRPr="00AC5D15">
        <w:rPr>
          <w:sz w:val="26"/>
          <w:szCs w:val="26"/>
        </w:rPr>
        <w:t>1 for January through May of 2011 at Docket No. M-2010-2213310.  The reported year</w:t>
      </w:r>
      <w:r w:rsidR="00D3488E" w:rsidRPr="00AC5D15">
        <w:rPr>
          <w:sz w:val="26"/>
          <w:szCs w:val="26"/>
        </w:rPr>
        <w:t>-</w:t>
      </w:r>
      <w:r w:rsidR="00EF4A5E" w:rsidRPr="00AC5D15">
        <w:rPr>
          <w:sz w:val="26"/>
          <w:szCs w:val="26"/>
        </w:rPr>
        <w:t xml:space="preserve"> end </w:t>
      </w:r>
      <w:r w:rsidR="00BF36DD" w:rsidRPr="00AC5D15">
        <w:rPr>
          <w:sz w:val="26"/>
          <w:szCs w:val="26"/>
        </w:rPr>
        <w:t>under collection</w:t>
      </w:r>
      <w:r w:rsidR="00EF4A5E" w:rsidRPr="00AC5D15">
        <w:rPr>
          <w:sz w:val="26"/>
          <w:szCs w:val="26"/>
        </w:rPr>
        <w:t xml:space="preserve"> included the effects of the difference between billed revenues and incurred costs, as estimated at December 31, 2010.</w:t>
      </w:r>
      <w:r w:rsidR="00106F4F" w:rsidRPr="00AC5D15">
        <w:rPr>
          <w:sz w:val="26"/>
          <w:szCs w:val="26"/>
        </w:rPr>
        <w:t xml:space="preserve">  Following Commission approval, PPL</w:t>
      </w:r>
      <w:r w:rsidR="00D64DAA" w:rsidRPr="00AC5D15">
        <w:rPr>
          <w:sz w:val="26"/>
          <w:szCs w:val="26"/>
        </w:rPr>
        <w:t>’</w:t>
      </w:r>
      <w:r w:rsidR="00106F4F" w:rsidRPr="00AC5D15">
        <w:rPr>
          <w:sz w:val="26"/>
          <w:szCs w:val="26"/>
        </w:rPr>
        <w:t xml:space="preserve">s recovery of reported under collections began on January 1, 2011.  </w:t>
      </w:r>
      <w:r w:rsidR="00106F4F" w:rsidRPr="00AC5D15">
        <w:rPr>
          <w:i/>
          <w:sz w:val="26"/>
          <w:szCs w:val="26"/>
        </w:rPr>
        <w:t>Id.</w:t>
      </w:r>
    </w:p>
    <w:p w:rsidR="00EF4A5E" w:rsidRPr="00AC5D15" w:rsidRDefault="00EF4A5E" w:rsidP="00B05E0D">
      <w:pPr>
        <w:contextualSpacing/>
        <w:jc w:val="left"/>
        <w:rPr>
          <w:sz w:val="26"/>
          <w:szCs w:val="26"/>
        </w:rPr>
      </w:pPr>
    </w:p>
    <w:p w:rsidR="00EF4A5E" w:rsidRPr="00AC5D15" w:rsidRDefault="00EF4A5E" w:rsidP="00B05E0D">
      <w:pPr>
        <w:contextualSpacing/>
        <w:jc w:val="left"/>
        <w:rPr>
          <w:sz w:val="26"/>
          <w:szCs w:val="26"/>
        </w:rPr>
      </w:pPr>
      <w:r w:rsidRPr="00AC5D15">
        <w:rPr>
          <w:sz w:val="26"/>
          <w:szCs w:val="26"/>
        </w:rPr>
        <w:tab/>
      </w:r>
      <w:r w:rsidRPr="00AC5D15">
        <w:rPr>
          <w:sz w:val="26"/>
          <w:szCs w:val="26"/>
        </w:rPr>
        <w:tab/>
      </w:r>
      <w:r w:rsidR="00106F4F" w:rsidRPr="00AC5D15">
        <w:rPr>
          <w:sz w:val="26"/>
          <w:szCs w:val="26"/>
        </w:rPr>
        <w:t xml:space="preserve">On May 20, 2011, PPL </w:t>
      </w:r>
      <w:r w:rsidRPr="00AC5D15">
        <w:rPr>
          <w:sz w:val="26"/>
          <w:szCs w:val="26"/>
        </w:rPr>
        <w:t>file</w:t>
      </w:r>
      <w:r w:rsidR="00132153" w:rsidRPr="00AC5D15">
        <w:rPr>
          <w:sz w:val="26"/>
          <w:szCs w:val="26"/>
        </w:rPr>
        <w:t>d its</w:t>
      </w:r>
      <w:r w:rsidRPr="00AC5D15">
        <w:rPr>
          <w:sz w:val="26"/>
          <w:szCs w:val="26"/>
        </w:rPr>
        <w:t xml:space="preserve"> </w:t>
      </w:r>
      <w:r w:rsidR="00D3488E" w:rsidRPr="00AC5D15">
        <w:rPr>
          <w:sz w:val="26"/>
          <w:szCs w:val="26"/>
        </w:rPr>
        <w:t xml:space="preserve">proposed GSC-1 </w:t>
      </w:r>
      <w:r w:rsidRPr="00AC5D15">
        <w:rPr>
          <w:sz w:val="26"/>
          <w:szCs w:val="26"/>
        </w:rPr>
        <w:t xml:space="preserve">for the period </w:t>
      </w:r>
      <w:r w:rsidR="00132153" w:rsidRPr="00AC5D15">
        <w:rPr>
          <w:sz w:val="26"/>
          <w:szCs w:val="26"/>
        </w:rPr>
        <w:t xml:space="preserve">of </w:t>
      </w:r>
      <w:r w:rsidRPr="00AC5D15">
        <w:rPr>
          <w:sz w:val="26"/>
          <w:szCs w:val="26"/>
        </w:rPr>
        <w:t>June 1, 2011 through August 31, 2011</w:t>
      </w:r>
      <w:r w:rsidR="00132153" w:rsidRPr="00AC5D15">
        <w:rPr>
          <w:sz w:val="26"/>
          <w:szCs w:val="26"/>
        </w:rPr>
        <w:t>,</w:t>
      </w:r>
      <w:r w:rsidRPr="00AC5D15">
        <w:rPr>
          <w:sz w:val="26"/>
          <w:szCs w:val="26"/>
        </w:rPr>
        <w:t xml:space="preserve"> </w:t>
      </w:r>
      <w:r w:rsidR="00D3488E" w:rsidRPr="00AC5D15">
        <w:rPr>
          <w:sz w:val="26"/>
          <w:szCs w:val="26"/>
        </w:rPr>
        <w:t>at D</w:t>
      </w:r>
      <w:r w:rsidR="00106F4F" w:rsidRPr="00AC5D15">
        <w:rPr>
          <w:sz w:val="26"/>
          <w:szCs w:val="26"/>
        </w:rPr>
        <w:t>ocket No. M-2011-2243137</w:t>
      </w:r>
      <w:r w:rsidRPr="00AC5D15">
        <w:rPr>
          <w:sz w:val="26"/>
          <w:szCs w:val="26"/>
        </w:rPr>
        <w:t xml:space="preserve">.  </w:t>
      </w:r>
      <w:r w:rsidR="00106F4F" w:rsidRPr="00AC5D15">
        <w:rPr>
          <w:sz w:val="26"/>
          <w:szCs w:val="26"/>
        </w:rPr>
        <w:t xml:space="preserve">The rate proposed for </w:t>
      </w:r>
      <w:r w:rsidR="00D3488E" w:rsidRPr="00AC5D15">
        <w:rPr>
          <w:sz w:val="26"/>
          <w:szCs w:val="26"/>
        </w:rPr>
        <w:t>S</w:t>
      </w:r>
      <w:r w:rsidR="00106F4F" w:rsidRPr="00AC5D15">
        <w:rPr>
          <w:sz w:val="26"/>
          <w:szCs w:val="26"/>
        </w:rPr>
        <w:t xml:space="preserve">mall C&amp;I customers in that filing is the rate at issue in the instant proceeding.  </w:t>
      </w:r>
      <w:r w:rsidR="00106F4F" w:rsidRPr="00AC5D15">
        <w:rPr>
          <w:i/>
          <w:sz w:val="26"/>
          <w:szCs w:val="26"/>
        </w:rPr>
        <w:t xml:space="preserve">Id. </w:t>
      </w:r>
      <w:r w:rsidR="00106F4F" w:rsidRPr="00AC5D15">
        <w:rPr>
          <w:sz w:val="26"/>
          <w:szCs w:val="26"/>
        </w:rPr>
        <w:t>at 4.</w:t>
      </w:r>
    </w:p>
    <w:p w:rsidR="00EF4A5E" w:rsidRPr="00AC5D15" w:rsidRDefault="00EF4A5E" w:rsidP="00B05E0D">
      <w:pPr>
        <w:contextualSpacing/>
        <w:jc w:val="left"/>
        <w:rPr>
          <w:sz w:val="26"/>
          <w:szCs w:val="26"/>
        </w:rPr>
      </w:pPr>
    </w:p>
    <w:p w:rsidR="00EF4A5E" w:rsidRPr="00AC5D15" w:rsidRDefault="00EF4A5E" w:rsidP="00B05E0D">
      <w:pPr>
        <w:contextualSpacing/>
        <w:jc w:val="left"/>
        <w:rPr>
          <w:sz w:val="26"/>
          <w:szCs w:val="26"/>
        </w:rPr>
      </w:pPr>
      <w:r w:rsidRPr="00AC5D15">
        <w:rPr>
          <w:sz w:val="26"/>
          <w:szCs w:val="26"/>
        </w:rPr>
        <w:tab/>
      </w:r>
      <w:r w:rsidRPr="00AC5D15">
        <w:rPr>
          <w:sz w:val="26"/>
          <w:szCs w:val="26"/>
        </w:rPr>
        <w:tab/>
      </w:r>
      <w:r w:rsidR="00132153" w:rsidRPr="00AC5D15">
        <w:rPr>
          <w:sz w:val="26"/>
          <w:szCs w:val="26"/>
        </w:rPr>
        <w:t>On May 26, 2011, PPL</w:t>
      </w:r>
      <w:r w:rsidR="003F4195" w:rsidRPr="00AC5D15">
        <w:rPr>
          <w:sz w:val="26"/>
          <w:szCs w:val="26"/>
        </w:rPr>
        <w:t xml:space="preserve"> filed Supplement No. </w:t>
      </w:r>
      <w:r w:rsidR="00090690" w:rsidRPr="00AC5D15">
        <w:rPr>
          <w:sz w:val="26"/>
          <w:szCs w:val="26"/>
        </w:rPr>
        <w:t>106 to its tariff which reflected the proposed</w:t>
      </w:r>
      <w:r w:rsidR="003F4195" w:rsidRPr="00AC5D15">
        <w:rPr>
          <w:sz w:val="26"/>
          <w:szCs w:val="26"/>
        </w:rPr>
        <w:t xml:space="preserve"> GSC-1</w:t>
      </w:r>
      <w:r w:rsidR="00090690" w:rsidRPr="00AC5D15">
        <w:rPr>
          <w:sz w:val="26"/>
          <w:szCs w:val="26"/>
        </w:rPr>
        <w:t xml:space="preserve"> for the period June 1 through August 31, 2011</w:t>
      </w:r>
      <w:r w:rsidR="003F4195" w:rsidRPr="00AC5D15">
        <w:rPr>
          <w:sz w:val="26"/>
          <w:szCs w:val="26"/>
        </w:rPr>
        <w:t xml:space="preserve">, as well as changes to the Act 129 Compliance Rider (ACR) and </w:t>
      </w:r>
      <w:r w:rsidR="00090690" w:rsidRPr="00AC5D15">
        <w:rPr>
          <w:sz w:val="26"/>
          <w:szCs w:val="26"/>
        </w:rPr>
        <w:t xml:space="preserve">to </w:t>
      </w:r>
      <w:r w:rsidR="003F4195" w:rsidRPr="00AC5D15">
        <w:rPr>
          <w:sz w:val="26"/>
          <w:szCs w:val="26"/>
        </w:rPr>
        <w:t xml:space="preserve">the Transmission Service Charge (TSC).  </w:t>
      </w:r>
      <w:r w:rsidR="00FC236E" w:rsidRPr="00AC5D15">
        <w:rPr>
          <w:i/>
          <w:sz w:val="26"/>
          <w:szCs w:val="26"/>
        </w:rPr>
        <w:t>Id.</w:t>
      </w:r>
      <w:r w:rsidR="00FC236E" w:rsidRPr="00AC5D15">
        <w:rPr>
          <w:sz w:val="26"/>
          <w:szCs w:val="26"/>
        </w:rPr>
        <w:t xml:space="preserve"> at 5.</w:t>
      </w:r>
    </w:p>
    <w:p w:rsidR="003F4195" w:rsidRPr="00AC5D15" w:rsidRDefault="003F4195" w:rsidP="00B05E0D">
      <w:pPr>
        <w:contextualSpacing/>
        <w:jc w:val="left"/>
        <w:rPr>
          <w:sz w:val="26"/>
          <w:szCs w:val="26"/>
        </w:rPr>
      </w:pPr>
    </w:p>
    <w:p w:rsidR="003F4195" w:rsidRPr="00AC5D15" w:rsidRDefault="003F4195" w:rsidP="00B05E0D">
      <w:pPr>
        <w:contextualSpacing/>
        <w:jc w:val="left"/>
        <w:rPr>
          <w:sz w:val="26"/>
          <w:szCs w:val="26"/>
        </w:rPr>
      </w:pPr>
      <w:r w:rsidRPr="00AC5D15">
        <w:rPr>
          <w:sz w:val="26"/>
          <w:szCs w:val="26"/>
        </w:rPr>
        <w:tab/>
      </w:r>
      <w:r w:rsidRPr="00AC5D15">
        <w:rPr>
          <w:sz w:val="26"/>
          <w:szCs w:val="26"/>
        </w:rPr>
        <w:tab/>
      </w:r>
      <w:r w:rsidR="00132153" w:rsidRPr="00AC5D15">
        <w:rPr>
          <w:sz w:val="26"/>
          <w:szCs w:val="26"/>
        </w:rPr>
        <w:t>As previously mentioned, on May 31, 2011, the OSBA filed the</w:t>
      </w:r>
      <w:r w:rsidRPr="00AC5D15">
        <w:rPr>
          <w:sz w:val="26"/>
          <w:szCs w:val="26"/>
        </w:rPr>
        <w:t xml:space="preserve"> </w:t>
      </w:r>
      <w:r w:rsidR="00E3750B" w:rsidRPr="00AC5D15">
        <w:rPr>
          <w:sz w:val="26"/>
          <w:szCs w:val="26"/>
        </w:rPr>
        <w:t xml:space="preserve">instant </w:t>
      </w:r>
      <w:r w:rsidRPr="00AC5D15">
        <w:rPr>
          <w:sz w:val="26"/>
          <w:szCs w:val="26"/>
        </w:rPr>
        <w:t>Complaint against the May 20</w:t>
      </w:r>
      <w:r w:rsidR="00673AEB" w:rsidRPr="00AC5D15">
        <w:rPr>
          <w:sz w:val="26"/>
          <w:szCs w:val="26"/>
        </w:rPr>
        <w:t>, 2011</w:t>
      </w:r>
      <w:r w:rsidRPr="00AC5D15">
        <w:rPr>
          <w:sz w:val="26"/>
          <w:szCs w:val="26"/>
        </w:rPr>
        <w:t xml:space="preserve"> GSC-1 fili</w:t>
      </w:r>
      <w:r w:rsidR="00E3750B" w:rsidRPr="00AC5D15">
        <w:rPr>
          <w:sz w:val="26"/>
          <w:szCs w:val="26"/>
        </w:rPr>
        <w:t>ng, alleging that the rate for S</w:t>
      </w:r>
      <w:r w:rsidR="00FC236E" w:rsidRPr="00AC5D15">
        <w:rPr>
          <w:sz w:val="26"/>
          <w:szCs w:val="26"/>
        </w:rPr>
        <w:t>mall C&amp;I</w:t>
      </w:r>
      <w:r w:rsidRPr="00AC5D15">
        <w:rPr>
          <w:sz w:val="26"/>
          <w:szCs w:val="26"/>
        </w:rPr>
        <w:t xml:space="preserve"> customers may be unjust, unreasonable, unduly discriminatory or otherwise contrary to law, and that the Company had not adequately justified </w:t>
      </w:r>
      <w:r w:rsidR="00E3750B" w:rsidRPr="00AC5D15">
        <w:rPr>
          <w:sz w:val="26"/>
          <w:szCs w:val="26"/>
        </w:rPr>
        <w:t>it</w:t>
      </w:r>
      <w:r w:rsidR="00BF36DD" w:rsidRPr="00AC5D15">
        <w:rPr>
          <w:sz w:val="26"/>
          <w:szCs w:val="26"/>
        </w:rPr>
        <w:t>s</w:t>
      </w:r>
      <w:r w:rsidRPr="00AC5D15">
        <w:rPr>
          <w:sz w:val="26"/>
          <w:szCs w:val="26"/>
        </w:rPr>
        <w:t xml:space="preserve"> </w:t>
      </w:r>
      <w:r w:rsidR="00BF36DD" w:rsidRPr="00AC5D15">
        <w:rPr>
          <w:sz w:val="26"/>
          <w:szCs w:val="26"/>
        </w:rPr>
        <w:t>under collection</w:t>
      </w:r>
      <w:r w:rsidRPr="00AC5D15">
        <w:rPr>
          <w:sz w:val="26"/>
          <w:szCs w:val="26"/>
        </w:rPr>
        <w:t xml:space="preserve"> from prior periods.</w:t>
      </w:r>
    </w:p>
    <w:p w:rsidR="003F4195" w:rsidRPr="00AC5D15" w:rsidRDefault="003F4195" w:rsidP="00B05E0D">
      <w:pPr>
        <w:contextualSpacing/>
        <w:jc w:val="left"/>
        <w:rPr>
          <w:sz w:val="26"/>
          <w:szCs w:val="26"/>
        </w:rPr>
      </w:pPr>
    </w:p>
    <w:p w:rsidR="00E73697" w:rsidRPr="00AC5D15" w:rsidRDefault="003F4195" w:rsidP="00B05E0D">
      <w:pPr>
        <w:contextualSpacing/>
        <w:jc w:val="left"/>
        <w:rPr>
          <w:sz w:val="26"/>
          <w:szCs w:val="26"/>
        </w:rPr>
      </w:pPr>
      <w:r w:rsidRPr="00AC5D15">
        <w:rPr>
          <w:sz w:val="26"/>
          <w:szCs w:val="26"/>
        </w:rPr>
        <w:tab/>
      </w:r>
      <w:r w:rsidRPr="00AC5D15">
        <w:rPr>
          <w:sz w:val="26"/>
          <w:szCs w:val="26"/>
        </w:rPr>
        <w:tab/>
        <w:t xml:space="preserve">On June 29, 2011, PPL filed its Answer. </w:t>
      </w:r>
    </w:p>
    <w:p w:rsidR="003F4195" w:rsidRPr="00AC5D15" w:rsidRDefault="00E73697" w:rsidP="00B05E0D">
      <w:pPr>
        <w:contextualSpacing/>
        <w:jc w:val="left"/>
        <w:rPr>
          <w:sz w:val="26"/>
          <w:szCs w:val="26"/>
        </w:rPr>
      </w:pPr>
      <w:r w:rsidRPr="00AC5D15">
        <w:rPr>
          <w:sz w:val="26"/>
          <w:szCs w:val="26"/>
        </w:rPr>
        <w:lastRenderedPageBreak/>
        <w:tab/>
      </w:r>
      <w:r w:rsidRPr="00AC5D15">
        <w:rPr>
          <w:sz w:val="26"/>
          <w:szCs w:val="26"/>
        </w:rPr>
        <w:tab/>
      </w:r>
      <w:r w:rsidR="003F4195" w:rsidRPr="00AC5D15">
        <w:rPr>
          <w:sz w:val="26"/>
          <w:szCs w:val="26"/>
        </w:rPr>
        <w:t>On July 11, 2011, the Commission</w:t>
      </w:r>
      <w:r w:rsidR="00D64DAA" w:rsidRPr="00AC5D15">
        <w:rPr>
          <w:sz w:val="26"/>
          <w:szCs w:val="26"/>
        </w:rPr>
        <w:t>’</w:t>
      </w:r>
      <w:r w:rsidR="003F4195" w:rsidRPr="00AC5D15">
        <w:rPr>
          <w:sz w:val="26"/>
          <w:szCs w:val="26"/>
        </w:rPr>
        <w:t xml:space="preserve">s </w:t>
      </w:r>
      <w:r w:rsidR="00FA3752" w:rsidRPr="00AC5D15">
        <w:rPr>
          <w:sz w:val="26"/>
          <w:szCs w:val="26"/>
        </w:rPr>
        <w:t xml:space="preserve">former </w:t>
      </w:r>
      <w:r w:rsidR="003F4195" w:rsidRPr="00AC5D15">
        <w:rPr>
          <w:sz w:val="26"/>
          <w:szCs w:val="26"/>
        </w:rPr>
        <w:t>Office of Trial Staff</w:t>
      </w:r>
      <w:r w:rsidR="00FA3752" w:rsidRPr="00AC5D15">
        <w:rPr>
          <w:sz w:val="26"/>
          <w:szCs w:val="26"/>
        </w:rPr>
        <w:t>, now part of the Bureau of Investigation and Enforcement (I&amp;E)</w:t>
      </w:r>
      <w:r w:rsidR="00FA3752" w:rsidRPr="00AC5D15">
        <w:rPr>
          <w:rStyle w:val="FootnoteReference"/>
          <w:sz w:val="26"/>
          <w:szCs w:val="26"/>
        </w:rPr>
        <w:footnoteReference w:id="1"/>
      </w:r>
      <w:r w:rsidR="00FA3752" w:rsidRPr="00AC5D15">
        <w:rPr>
          <w:sz w:val="26"/>
          <w:szCs w:val="26"/>
        </w:rPr>
        <w:t>,</w:t>
      </w:r>
      <w:r w:rsidR="003F4195" w:rsidRPr="00AC5D15">
        <w:rPr>
          <w:sz w:val="26"/>
          <w:szCs w:val="26"/>
        </w:rPr>
        <w:t xml:space="preserve"> filed its Notice of Appearance. </w:t>
      </w:r>
      <w:r w:rsidRPr="00AC5D15">
        <w:rPr>
          <w:sz w:val="26"/>
          <w:szCs w:val="26"/>
        </w:rPr>
        <w:t>On July 12, 2011, the Office of Consumer Advocate (OCA) filed its Notice of Intervention and Public Statement.</w:t>
      </w:r>
    </w:p>
    <w:p w:rsidR="00E73697" w:rsidRPr="00AC5D15" w:rsidRDefault="00E73697" w:rsidP="00B05E0D">
      <w:pPr>
        <w:contextualSpacing/>
        <w:jc w:val="left"/>
        <w:rPr>
          <w:sz w:val="26"/>
          <w:szCs w:val="26"/>
        </w:rPr>
      </w:pPr>
    </w:p>
    <w:p w:rsidR="00776A23" w:rsidRPr="00AC5D15" w:rsidRDefault="00E73697" w:rsidP="00B05E0D">
      <w:pPr>
        <w:contextualSpacing/>
        <w:jc w:val="left"/>
        <w:rPr>
          <w:sz w:val="26"/>
          <w:szCs w:val="26"/>
        </w:rPr>
      </w:pPr>
      <w:r w:rsidRPr="00AC5D15">
        <w:rPr>
          <w:sz w:val="26"/>
          <w:szCs w:val="26"/>
        </w:rPr>
        <w:tab/>
      </w:r>
      <w:r w:rsidRPr="00AC5D15">
        <w:rPr>
          <w:sz w:val="26"/>
          <w:szCs w:val="26"/>
        </w:rPr>
        <w:tab/>
      </w:r>
      <w:r w:rsidR="002B067C" w:rsidRPr="00AC5D15">
        <w:rPr>
          <w:sz w:val="26"/>
          <w:szCs w:val="26"/>
        </w:rPr>
        <w:t>The ALJ held an</w:t>
      </w:r>
      <w:r w:rsidR="00060BAD" w:rsidRPr="00AC5D15">
        <w:rPr>
          <w:sz w:val="26"/>
          <w:szCs w:val="26"/>
        </w:rPr>
        <w:t xml:space="preserve"> evidentiary hearing on October 5, 2011.  </w:t>
      </w:r>
      <w:r w:rsidR="00776A23" w:rsidRPr="00AC5D15">
        <w:rPr>
          <w:sz w:val="26"/>
          <w:szCs w:val="26"/>
        </w:rPr>
        <w:t>The following testimony was admitted into the record:</w:t>
      </w:r>
      <w:r w:rsidR="002B067C" w:rsidRPr="00AC5D15">
        <w:rPr>
          <w:sz w:val="26"/>
          <w:szCs w:val="26"/>
        </w:rPr>
        <w:t xml:space="preserve">  </w:t>
      </w:r>
      <w:r w:rsidR="00FC236E" w:rsidRPr="00AC5D15">
        <w:rPr>
          <w:sz w:val="26"/>
          <w:szCs w:val="26"/>
        </w:rPr>
        <w:t>OSB</w:t>
      </w:r>
      <w:r w:rsidR="00776A23" w:rsidRPr="00AC5D15">
        <w:rPr>
          <w:sz w:val="26"/>
          <w:szCs w:val="26"/>
        </w:rPr>
        <w:t>A Statements 1 and 2, direct and surrebuttal testimony of Robert D. Knecht</w:t>
      </w:r>
      <w:r w:rsidR="00FA3752" w:rsidRPr="00AC5D15">
        <w:rPr>
          <w:sz w:val="26"/>
          <w:szCs w:val="26"/>
        </w:rPr>
        <w:t>;</w:t>
      </w:r>
      <w:r w:rsidR="002B067C" w:rsidRPr="00AC5D15">
        <w:rPr>
          <w:sz w:val="26"/>
          <w:szCs w:val="26"/>
        </w:rPr>
        <w:t xml:space="preserve"> </w:t>
      </w:r>
      <w:r w:rsidR="00776A23" w:rsidRPr="00AC5D15">
        <w:rPr>
          <w:sz w:val="26"/>
          <w:szCs w:val="26"/>
        </w:rPr>
        <w:t>PPL Statements 1, 1-R and 1-RJ, direct, rebuttal and rejoinder testimony of Joseph M. Kleha</w:t>
      </w:r>
      <w:r w:rsidR="00FA3752" w:rsidRPr="00AC5D15">
        <w:rPr>
          <w:sz w:val="26"/>
          <w:szCs w:val="26"/>
        </w:rPr>
        <w:t>;</w:t>
      </w:r>
      <w:r w:rsidR="002B067C" w:rsidRPr="00AC5D15">
        <w:rPr>
          <w:sz w:val="26"/>
          <w:szCs w:val="26"/>
        </w:rPr>
        <w:t xml:space="preserve"> </w:t>
      </w:r>
      <w:r w:rsidR="00FA3752" w:rsidRPr="00AC5D15">
        <w:rPr>
          <w:sz w:val="26"/>
          <w:szCs w:val="26"/>
        </w:rPr>
        <w:t xml:space="preserve">and </w:t>
      </w:r>
      <w:r w:rsidR="00776A23" w:rsidRPr="00AC5D15">
        <w:rPr>
          <w:sz w:val="26"/>
          <w:szCs w:val="26"/>
        </w:rPr>
        <w:t>PPL Statement 2-RJ, rejoinder</w:t>
      </w:r>
      <w:r w:rsidR="00542F8B" w:rsidRPr="00AC5D15">
        <w:rPr>
          <w:sz w:val="26"/>
          <w:szCs w:val="26"/>
        </w:rPr>
        <w:t xml:space="preserve"> testimony of David R. Woodruff.</w:t>
      </w:r>
      <w:r w:rsidR="002B067C" w:rsidRPr="00AC5D15">
        <w:rPr>
          <w:sz w:val="26"/>
          <w:szCs w:val="26"/>
        </w:rPr>
        <w:t xml:space="preserve">  T</w:t>
      </w:r>
      <w:r w:rsidR="00776A23" w:rsidRPr="00AC5D15">
        <w:rPr>
          <w:sz w:val="26"/>
          <w:szCs w:val="26"/>
        </w:rPr>
        <w:t>ranscript</w:t>
      </w:r>
      <w:r w:rsidR="002B067C" w:rsidRPr="00AC5D15">
        <w:rPr>
          <w:sz w:val="26"/>
          <w:szCs w:val="26"/>
        </w:rPr>
        <w:t>s</w:t>
      </w:r>
      <w:r w:rsidR="00776A23" w:rsidRPr="00AC5D15">
        <w:rPr>
          <w:sz w:val="26"/>
          <w:szCs w:val="26"/>
        </w:rPr>
        <w:t xml:space="preserve"> </w:t>
      </w:r>
      <w:r w:rsidR="002B067C" w:rsidRPr="00AC5D15">
        <w:rPr>
          <w:sz w:val="26"/>
          <w:szCs w:val="26"/>
        </w:rPr>
        <w:t>of the proceeding containing a tot</w:t>
      </w:r>
      <w:r w:rsidR="00FA3752" w:rsidRPr="00AC5D15">
        <w:rPr>
          <w:sz w:val="26"/>
          <w:szCs w:val="26"/>
        </w:rPr>
        <w:t>al of sixty-eight</w:t>
      </w:r>
      <w:r w:rsidR="00776A23" w:rsidRPr="00AC5D15">
        <w:rPr>
          <w:sz w:val="26"/>
          <w:szCs w:val="26"/>
        </w:rPr>
        <w:t xml:space="preserve"> pages w</w:t>
      </w:r>
      <w:r w:rsidR="002B067C" w:rsidRPr="00AC5D15">
        <w:rPr>
          <w:sz w:val="26"/>
          <w:szCs w:val="26"/>
        </w:rPr>
        <w:t>ere produced</w:t>
      </w:r>
      <w:r w:rsidR="00776A23" w:rsidRPr="00AC5D15">
        <w:rPr>
          <w:sz w:val="26"/>
          <w:szCs w:val="26"/>
        </w:rPr>
        <w:t xml:space="preserve">.  </w:t>
      </w:r>
      <w:r w:rsidR="002B067C" w:rsidRPr="00AC5D15">
        <w:rPr>
          <w:sz w:val="26"/>
          <w:szCs w:val="26"/>
        </w:rPr>
        <w:t xml:space="preserve">The </w:t>
      </w:r>
      <w:r w:rsidR="00381B27" w:rsidRPr="00AC5D15">
        <w:rPr>
          <w:sz w:val="26"/>
          <w:szCs w:val="26"/>
        </w:rPr>
        <w:t>OSBA and PPL</w:t>
      </w:r>
      <w:r w:rsidR="00776A23" w:rsidRPr="00AC5D15">
        <w:rPr>
          <w:sz w:val="26"/>
          <w:szCs w:val="26"/>
        </w:rPr>
        <w:t xml:space="preserve"> filed main and reply briefs</w:t>
      </w:r>
      <w:r w:rsidR="00060BAD" w:rsidRPr="00AC5D15">
        <w:rPr>
          <w:sz w:val="26"/>
          <w:szCs w:val="26"/>
        </w:rPr>
        <w:t>.  The record closed upon receipt of the reply briefs on November 9, 2011.</w:t>
      </w:r>
    </w:p>
    <w:p w:rsidR="006F3FAB" w:rsidRPr="00AC5D15" w:rsidRDefault="006F3FAB" w:rsidP="00B05E0D">
      <w:pPr>
        <w:contextualSpacing/>
        <w:jc w:val="left"/>
        <w:rPr>
          <w:sz w:val="26"/>
          <w:szCs w:val="26"/>
        </w:rPr>
      </w:pPr>
    </w:p>
    <w:p w:rsidR="006F3FAB" w:rsidRPr="00AC5D15" w:rsidRDefault="006F3FAB" w:rsidP="00B05E0D">
      <w:pPr>
        <w:contextualSpacing/>
        <w:jc w:val="left"/>
        <w:rPr>
          <w:sz w:val="26"/>
          <w:szCs w:val="26"/>
        </w:rPr>
      </w:pPr>
      <w:r w:rsidRPr="00AC5D15">
        <w:rPr>
          <w:sz w:val="26"/>
          <w:szCs w:val="26"/>
        </w:rPr>
        <w:tab/>
      </w:r>
      <w:r w:rsidRPr="00AC5D15">
        <w:rPr>
          <w:sz w:val="26"/>
          <w:szCs w:val="26"/>
        </w:rPr>
        <w:tab/>
        <w:t>On</w:t>
      </w:r>
      <w:r w:rsidR="002B067C" w:rsidRPr="00AC5D15">
        <w:rPr>
          <w:sz w:val="26"/>
          <w:szCs w:val="26"/>
        </w:rPr>
        <w:t xml:space="preserve"> November 18, 2011, PPL </w:t>
      </w:r>
      <w:r w:rsidRPr="00AC5D15">
        <w:rPr>
          <w:sz w:val="26"/>
          <w:szCs w:val="26"/>
        </w:rPr>
        <w:t>filed a Motion to Strike Certain Portions of the Reply B</w:t>
      </w:r>
      <w:r w:rsidR="002B067C" w:rsidRPr="00AC5D15">
        <w:rPr>
          <w:sz w:val="26"/>
          <w:szCs w:val="26"/>
        </w:rPr>
        <w:t>rief of the OSBA</w:t>
      </w:r>
      <w:r w:rsidRPr="00AC5D15">
        <w:rPr>
          <w:sz w:val="26"/>
          <w:szCs w:val="26"/>
        </w:rPr>
        <w:t xml:space="preserve"> or, in the Alternative, Petition to Reopen the Record.  </w:t>
      </w:r>
      <w:r w:rsidR="003F6CE8" w:rsidRPr="00AC5D15">
        <w:rPr>
          <w:sz w:val="26"/>
          <w:szCs w:val="26"/>
        </w:rPr>
        <w:t>T</w:t>
      </w:r>
      <w:r w:rsidRPr="00AC5D15">
        <w:rPr>
          <w:sz w:val="26"/>
          <w:szCs w:val="26"/>
        </w:rPr>
        <w:t xml:space="preserve">he </w:t>
      </w:r>
      <w:r w:rsidR="003F6CE8" w:rsidRPr="00AC5D15">
        <w:rPr>
          <w:sz w:val="26"/>
          <w:szCs w:val="26"/>
        </w:rPr>
        <w:t>P</w:t>
      </w:r>
      <w:r w:rsidRPr="00AC5D15">
        <w:rPr>
          <w:sz w:val="26"/>
          <w:szCs w:val="26"/>
        </w:rPr>
        <w:t>arties were given until Wednesday, November 30, 2011, to file a response.</w:t>
      </w:r>
    </w:p>
    <w:p w:rsidR="006F3FAB" w:rsidRPr="00AC5D15" w:rsidRDefault="006F3FAB" w:rsidP="00B05E0D">
      <w:pPr>
        <w:contextualSpacing/>
        <w:jc w:val="left"/>
        <w:rPr>
          <w:sz w:val="26"/>
          <w:szCs w:val="26"/>
        </w:rPr>
      </w:pPr>
    </w:p>
    <w:p w:rsidR="002B067C" w:rsidRPr="00AC5D15" w:rsidRDefault="006F3FAB" w:rsidP="00B05E0D">
      <w:pPr>
        <w:contextualSpacing/>
        <w:jc w:val="left"/>
        <w:rPr>
          <w:sz w:val="26"/>
          <w:szCs w:val="26"/>
        </w:rPr>
      </w:pPr>
      <w:r w:rsidRPr="00AC5D15">
        <w:rPr>
          <w:sz w:val="26"/>
          <w:szCs w:val="26"/>
        </w:rPr>
        <w:tab/>
      </w:r>
      <w:r w:rsidRPr="00AC5D15">
        <w:rPr>
          <w:sz w:val="26"/>
          <w:szCs w:val="26"/>
        </w:rPr>
        <w:tab/>
        <w:t xml:space="preserve">On November 23, 2011, </w:t>
      </w:r>
      <w:r w:rsidR="002B067C" w:rsidRPr="00AC5D15">
        <w:rPr>
          <w:sz w:val="26"/>
          <w:szCs w:val="26"/>
        </w:rPr>
        <w:t xml:space="preserve">the </w:t>
      </w:r>
      <w:r w:rsidRPr="00AC5D15">
        <w:rPr>
          <w:sz w:val="26"/>
          <w:szCs w:val="26"/>
        </w:rPr>
        <w:t xml:space="preserve">OSBA filed a Motion to Reopen the Record and for Admission of Late-Filed Exhibits. </w:t>
      </w:r>
      <w:r w:rsidR="003F6CE8" w:rsidRPr="00AC5D15">
        <w:rPr>
          <w:sz w:val="26"/>
          <w:szCs w:val="26"/>
        </w:rPr>
        <w:t xml:space="preserve"> </w:t>
      </w:r>
      <w:r w:rsidR="00277C8F" w:rsidRPr="00AC5D15">
        <w:rPr>
          <w:sz w:val="26"/>
          <w:szCs w:val="26"/>
        </w:rPr>
        <w:t>On December 1, 2011, PPL filed its Answer.</w:t>
      </w:r>
      <w:r w:rsidRPr="00AC5D15">
        <w:rPr>
          <w:sz w:val="26"/>
          <w:szCs w:val="26"/>
        </w:rPr>
        <w:t xml:space="preserve"> </w:t>
      </w:r>
      <w:r w:rsidR="003F4C6F" w:rsidRPr="00AC5D15">
        <w:rPr>
          <w:sz w:val="26"/>
          <w:szCs w:val="26"/>
        </w:rPr>
        <w:t xml:space="preserve"> On December </w:t>
      </w:r>
      <w:r w:rsidR="00AA6C01" w:rsidRPr="00AC5D15">
        <w:rPr>
          <w:sz w:val="26"/>
          <w:szCs w:val="26"/>
        </w:rPr>
        <w:t>15, 2011, the Motion to Strike Portions of the OSBA Reply Brief was granted, and the OSBA Motion to Reopen the Record for the adm</w:t>
      </w:r>
      <w:r w:rsidR="003F6CE8" w:rsidRPr="00AC5D15">
        <w:rPr>
          <w:sz w:val="26"/>
          <w:szCs w:val="26"/>
        </w:rPr>
        <w:t xml:space="preserve">ittance of Exhibits F and G </w:t>
      </w:r>
      <w:r w:rsidR="00AA6C01" w:rsidRPr="00AC5D15">
        <w:rPr>
          <w:sz w:val="26"/>
          <w:szCs w:val="26"/>
        </w:rPr>
        <w:t xml:space="preserve">also </w:t>
      </w:r>
      <w:r w:rsidR="003F6CE8" w:rsidRPr="00AC5D15">
        <w:rPr>
          <w:sz w:val="26"/>
          <w:szCs w:val="26"/>
        </w:rPr>
        <w:t xml:space="preserve">was </w:t>
      </w:r>
      <w:r w:rsidR="00AA6C01" w:rsidRPr="00AC5D15">
        <w:rPr>
          <w:sz w:val="26"/>
          <w:szCs w:val="26"/>
        </w:rPr>
        <w:t>granted.</w:t>
      </w:r>
      <w:r w:rsidR="002B067C" w:rsidRPr="00AC5D15">
        <w:rPr>
          <w:sz w:val="26"/>
          <w:szCs w:val="26"/>
        </w:rPr>
        <w:t xml:space="preserve"> </w:t>
      </w:r>
    </w:p>
    <w:p w:rsidR="002B067C" w:rsidRPr="00AC5D15" w:rsidRDefault="002B067C" w:rsidP="00B05E0D">
      <w:pPr>
        <w:contextualSpacing/>
        <w:jc w:val="left"/>
        <w:rPr>
          <w:sz w:val="26"/>
          <w:szCs w:val="26"/>
        </w:rPr>
      </w:pPr>
    </w:p>
    <w:p w:rsidR="002B067C" w:rsidRPr="00AC5D15" w:rsidRDefault="002B067C" w:rsidP="00B05E0D">
      <w:pPr>
        <w:contextualSpacing/>
        <w:jc w:val="left"/>
        <w:rPr>
          <w:sz w:val="26"/>
          <w:szCs w:val="26"/>
        </w:rPr>
      </w:pPr>
      <w:r w:rsidRPr="00AC5D15">
        <w:rPr>
          <w:sz w:val="26"/>
          <w:szCs w:val="26"/>
        </w:rPr>
        <w:tab/>
      </w:r>
      <w:r w:rsidRPr="00AC5D15">
        <w:rPr>
          <w:sz w:val="26"/>
          <w:szCs w:val="26"/>
        </w:rPr>
        <w:tab/>
        <w:t>ALJ Colwell</w:t>
      </w:r>
      <w:r w:rsidR="00D64DAA" w:rsidRPr="00AC5D15">
        <w:rPr>
          <w:sz w:val="26"/>
          <w:szCs w:val="26"/>
        </w:rPr>
        <w:t>’</w:t>
      </w:r>
      <w:r w:rsidRPr="00AC5D15">
        <w:rPr>
          <w:sz w:val="26"/>
          <w:szCs w:val="26"/>
        </w:rPr>
        <w:t xml:space="preserve">s Recommended Decision was issued on April 4, 2012.  In her Recommended Decision, the ALJ </w:t>
      </w:r>
      <w:r w:rsidR="00234DA8" w:rsidRPr="00AC5D15">
        <w:rPr>
          <w:sz w:val="26"/>
          <w:szCs w:val="26"/>
        </w:rPr>
        <w:t>found that the OSBA Complaint wa</w:t>
      </w:r>
      <w:r w:rsidR="00CE23CA" w:rsidRPr="00AC5D15">
        <w:rPr>
          <w:sz w:val="26"/>
          <w:szCs w:val="26"/>
        </w:rPr>
        <w:t xml:space="preserve">s supported by </w:t>
      </w:r>
      <w:r w:rsidR="00CE23CA" w:rsidRPr="00AC5D15">
        <w:rPr>
          <w:sz w:val="26"/>
          <w:szCs w:val="26"/>
        </w:rPr>
        <w:lastRenderedPageBreak/>
        <w:t>substantial evidence and recommended that the Complaint be sustained.  The ALJ further recommended that this matter be the subject of a full and thorough Commission audit.</w:t>
      </w:r>
    </w:p>
    <w:p w:rsidR="002537DF" w:rsidRPr="00AC5D15" w:rsidRDefault="002537DF" w:rsidP="00B05E0D">
      <w:pPr>
        <w:contextualSpacing/>
        <w:jc w:val="left"/>
        <w:rPr>
          <w:sz w:val="26"/>
          <w:szCs w:val="26"/>
        </w:rPr>
      </w:pPr>
    </w:p>
    <w:p w:rsidR="0031214B" w:rsidRPr="00AC5D15" w:rsidRDefault="002537DF" w:rsidP="00B05E0D">
      <w:pPr>
        <w:contextualSpacing/>
        <w:jc w:val="left"/>
        <w:rPr>
          <w:sz w:val="26"/>
        </w:rPr>
      </w:pPr>
      <w:r w:rsidRPr="00AC5D15">
        <w:rPr>
          <w:sz w:val="26"/>
          <w:szCs w:val="26"/>
        </w:rPr>
        <w:tab/>
      </w:r>
      <w:r w:rsidRPr="00AC5D15">
        <w:rPr>
          <w:sz w:val="26"/>
          <w:szCs w:val="26"/>
        </w:rPr>
        <w:tab/>
        <w:t>Exceptions and Replies to Exceptions to the Recommended Decision were filed as noted above.</w:t>
      </w:r>
      <w:r w:rsidR="00673AEB" w:rsidRPr="00AC5D15">
        <w:rPr>
          <w:sz w:val="26"/>
        </w:rPr>
        <w:tab/>
      </w:r>
    </w:p>
    <w:p w:rsidR="008D3E20" w:rsidRPr="00AC5D15" w:rsidRDefault="008D3E20" w:rsidP="00B05E0D">
      <w:pPr>
        <w:pStyle w:val="ListNumber"/>
        <w:numPr>
          <w:ilvl w:val="0"/>
          <w:numId w:val="0"/>
        </w:numPr>
        <w:spacing w:line="360" w:lineRule="auto"/>
        <w:contextualSpacing/>
        <w:rPr>
          <w:sz w:val="26"/>
        </w:rPr>
      </w:pPr>
    </w:p>
    <w:p w:rsidR="00060BAD" w:rsidRPr="00AC5D15" w:rsidRDefault="00920840" w:rsidP="00B05E0D">
      <w:pPr>
        <w:contextualSpacing/>
        <w:rPr>
          <w:b/>
          <w:sz w:val="26"/>
          <w:szCs w:val="26"/>
        </w:rPr>
      </w:pPr>
      <w:r w:rsidRPr="00AC5D15">
        <w:rPr>
          <w:b/>
          <w:sz w:val="26"/>
          <w:szCs w:val="26"/>
        </w:rPr>
        <w:t>II.</w:t>
      </w:r>
      <w:r w:rsidRPr="00AC5D15">
        <w:rPr>
          <w:b/>
          <w:sz w:val="26"/>
          <w:szCs w:val="26"/>
        </w:rPr>
        <w:tab/>
        <w:t>Discussion</w:t>
      </w:r>
    </w:p>
    <w:p w:rsidR="00920840" w:rsidRPr="00AC5D15" w:rsidRDefault="00920840" w:rsidP="00B05E0D">
      <w:pPr>
        <w:contextualSpacing/>
        <w:rPr>
          <w:b/>
          <w:sz w:val="26"/>
          <w:szCs w:val="26"/>
        </w:rPr>
      </w:pPr>
    </w:p>
    <w:p w:rsidR="00920840" w:rsidRPr="00AC5D15" w:rsidRDefault="00920840" w:rsidP="00B05E0D">
      <w:pPr>
        <w:contextualSpacing/>
        <w:jc w:val="left"/>
        <w:rPr>
          <w:sz w:val="26"/>
          <w:szCs w:val="26"/>
        </w:rPr>
      </w:pPr>
      <w:r w:rsidRPr="00AC5D15">
        <w:rPr>
          <w:b/>
          <w:sz w:val="26"/>
          <w:szCs w:val="26"/>
        </w:rPr>
        <w:tab/>
      </w:r>
      <w:r w:rsidRPr="00AC5D15">
        <w:rPr>
          <w:b/>
          <w:sz w:val="26"/>
          <w:szCs w:val="26"/>
        </w:rPr>
        <w:tab/>
      </w:r>
      <w:r w:rsidRPr="00AC5D15">
        <w:rPr>
          <w:sz w:val="26"/>
          <w:szCs w:val="26"/>
        </w:rPr>
        <w:t xml:space="preserve">ALJ Colwell made fifty-six Findings of Fact and reached seven Conclusions of Law.  R.D. at 4-12, 33-34.  The Findings of Fact and Conclusions of Law are incorporated herein by reference and are adopted without comment unless they are either expressly or by necessary implication rejected or modified by this Opinion and Order. </w:t>
      </w:r>
    </w:p>
    <w:p w:rsidR="00667A9E" w:rsidRPr="00AC5D15" w:rsidRDefault="00667A9E" w:rsidP="00B05E0D">
      <w:pPr>
        <w:contextualSpacing/>
        <w:jc w:val="left"/>
        <w:rPr>
          <w:sz w:val="26"/>
          <w:szCs w:val="26"/>
        </w:rPr>
      </w:pPr>
    </w:p>
    <w:p w:rsidR="00667A9E" w:rsidRPr="00AC5D15" w:rsidRDefault="00667A9E" w:rsidP="00B05E0D">
      <w:pPr>
        <w:ind w:firstLine="1440"/>
        <w:contextualSpacing/>
        <w:jc w:val="left"/>
        <w:rPr>
          <w:sz w:val="26"/>
          <w:szCs w:val="26"/>
          <w:u w:val="single"/>
        </w:rPr>
      </w:pPr>
      <w:r w:rsidRPr="00AC5D1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AC5D15">
          <w:rPr>
            <w:rStyle w:val="Emphasis"/>
            <w:color w:val="000000"/>
            <w:sz w:val="26"/>
            <w:szCs w:val="26"/>
          </w:rPr>
          <w:t xml:space="preserve">Consolidated Rail Corp. v. Pa. PUC, </w:t>
        </w:r>
        <w:r w:rsidRPr="00AC5D15">
          <w:rPr>
            <w:rStyle w:val="Hyperlink"/>
            <w:color w:val="000000"/>
            <w:sz w:val="26"/>
            <w:szCs w:val="26"/>
            <w:u w:val="none"/>
          </w:rPr>
          <w:t>625 A.2d 741 (Pa. Cmwlth. 1993);</w:t>
        </w:r>
      </w:hyperlink>
      <w:r w:rsidRPr="00AC5D15">
        <w:rPr>
          <w:color w:val="000000"/>
          <w:sz w:val="26"/>
          <w:szCs w:val="26"/>
        </w:rPr>
        <w:t xml:space="preserve"> </w:t>
      </w:r>
      <w:r w:rsidRPr="00AC5D15">
        <w:rPr>
          <w:i/>
          <w:color w:val="000000"/>
          <w:sz w:val="26"/>
          <w:szCs w:val="26"/>
        </w:rPr>
        <w:t xml:space="preserve">also </w:t>
      </w:r>
      <w:r w:rsidRPr="00AC5D15">
        <w:rPr>
          <w:rStyle w:val="Emphasis"/>
          <w:color w:val="000000"/>
          <w:sz w:val="26"/>
          <w:szCs w:val="26"/>
        </w:rPr>
        <w:t xml:space="preserve">see, generally, </w:t>
      </w:r>
      <w:hyperlink r:id="rId10" w:history="1">
        <w:r w:rsidRPr="00AC5D15">
          <w:rPr>
            <w:rStyle w:val="Emphasis"/>
            <w:color w:val="000000"/>
            <w:sz w:val="26"/>
            <w:szCs w:val="26"/>
          </w:rPr>
          <w:t>University of Pennsylvania v. Pa. PUC</w:t>
        </w:r>
        <w:r w:rsidRPr="00AC5D15">
          <w:rPr>
            <w:rStyle w:val="Hyperlink"/>
            <w:color w:val="000000"/>
            <w:sz w:val="26"/>
            <w:szCs w:val="26"/>
            <w:u w:val="none"/>
          </w:rPr>
          <w:t>, 485 A.2d 1217 (Pa. Cmwlth. 1984).</w:t>
        </w:r>
      </w:hyperlink>
    </w:p>
    <w:p w:rsidR="003A320F" w:rsidRPr="00AC5D15" w:rsidRDefault="003A320F" w:rsidP="00B05E0D">
      <w:pPr>
        <w:contextualSpacing/>
        <w:rPr>
          <w:sz w:val="26"/>
          <w:u w:val="single"/>
        </w:rPr>
      </w:pPr>
    </w:p>
    <w:p w:rsidR="003A320F" w:rsidRPr="00AC5D15" w:rsidRDefault="003A320F" w:rsidP="00B05E0D">
      <w:pPr>
        <w:contextualSpacing/>
        <w:jc w:val="left"/>
        <w:rPr>
          <w:sz w:val="26"/>
          <w:szCs w:val="26"/>
        </w:rPr>
      </w:pPr>
      <w:r w:rsidRPr="00AC5D15">
        <w:rPr>
          <w:sz w:val="26"/>
        </w:rPr>
        <w:tab/>
      </w:r>
      <w:r w:rsidRPr="00AC5D15">
        <w:rPr>
          <w:sz w:val="26"/>
        </w:rPr>
        <w:tab/>
      </w:r>
      <w:r w:rsidR="00667A9E" w:rsidRPr="00AC5D15">
        <w:rPr>
          <w:sz w:val="26"/>
          <w:szCs w:val="26"/>
        </w:rPr>
        <w:t>It is important to note that t</w:t>
      </w:r>
      <w:r w:rsidRPr="00AC5D15">
        <w:rPr>
          <w:sz w:val="26"/>
        </w:rPr>
        <w:t xml:space="preserve">his </w:t>
      </w:r>
      <w:r w:rsidR="00667A9E" w:rsidRPr="00AC5D15">
        <w:rPr>
          <w:sz w:val="26"/>
        </w:rPr>
        <w:t xml:space="preserve">Complaint proceeding </w:t>
      </w:r>
      <w:r w:rsidRPr="00AC5D15">
        <w:rPr>
          <w:sz w:val="26"/>
          <w:szCs w:val="26"/>
        </w:rPr>
        <w:t>is one of several dockets which are interrelated, although not consolidated or dependent upon each other.  In the present cas</w:t>
      </w:r>
      <w:r w:rsidR="00667A9E" w:rsidRPr="00AC5D15">
        <w:rPr>
          <w:sz w:val="26"/>
          <w:szCs w:val="26"/>
        </w:rPr>
        <w:t>e, the OSB</w:t>
      </w:r>
      <w:r w:rsidRPr="00AC5D15">
        <w:rPr>
          <w:sz w:val="26"/>
          <w:szCs w:val="26"/>
        </w:rPr>
        <w:t>A</w:t>
      </w:r>
      <w:r w:rsidR="00667A9E" w:rsidRPr="00AC5D15">
        <w:rPr>
          <w:sz w:val="26"/>
          <w:szCs w:val="26"/>
        </w:rPr>
        <w:t xml:space="preserve"> </w:t>
      </w:r>
      <w:r w:rsidR="00673AEB" w:rsidRPr="00AC5D15">
        <w:rPr>
          <w:sz w:val="26"/>
          <w:szCs w:val="26"/>
        </w:rPr>
        <w:t xml:space="preserve">is asking </w:t>
      </w:r>
      <w:r w:rsidRPr="00AC5D15">
        <w:rPr>
          <w:sz w:val="26"/>
          <w:szCs w:val="26"/>
        </w:rPr>
        <w:t xml:space="preserve">the Commission to find that </w:t>
      </w:r>
      <w:r w:rsidR="00D64DAA" w:rsidRPr="00AC5D15">
        <w:rPr>
          <w:sz w:val="26"/>
          <w:szCs w:val="26"/>
        </w:rPr>
        <w:t>PPL’</w:t>
      </w:r>
      <w:r w:rsidR="008D210D" w:rsidRPr="00AC5D15">
        <w:rPr>
          <w:sz w:val="26"/>
          <w:szCs w:val="26"/>
        </w:rPr>
        <w:t>s</w:t>
      </w:r>
      <w:r w:rsidRPr="00AC5D15">
        <w:rPr>
          <w:sz w:val="26"/>
          <w:szCs w:val="26"/>
        </w:rPr>
        <w:t xml:space="preserve"> proration accounting method resulted in June </w:t>
      </w:r>
      <w:r w:rsidR="00637E01" w:rsidRPr="00AC5D15">
        <w:rPr>
          <w:sz w:val="26"/>
          <w:szCs w:val="26"/>
        </w:rPr>
        <w:t xml:space="preserve">2011 </w:t>
      </w:r>
      <w:r w:rsidR="004D12C2" w:rsidRPr="00AC5D15">
        <w:rPr>
          <w:sz w:val="26"/>
          <w:szCs w:val="26"/>
        </w:rPr>
        <w:t>GSC</w:t>
      </w:r>
      <w:r w:rsidR="004D12C2" w:rsidRPr="00AC5D15">
        <w:rPr>
          <w:sz w:val="26"/>
          <w:szCs w:val="26"/>
        </w:rPr>
        <w:noBreakHyphen/>
      </w:r>
      <w:r w:rsidRPr="00AC5D15">
        <w:rPr>
          <w:sz w:val="26"/>
          <w:szCs w:val="26"/>
        </w:rPr>
        <w:t>1 rates th</w:t>
      </w:r>
      <w:r w:rsidR="00104D48" w:rsidRPr="00AC5D15">
        <w:rPr>
          <w:sz w:val="26"/>
          <w:szCs w:val="26"/>
        </w:rPr>
        <w:t>at were not just and reasonable.</w:t>
      </w:r>
      <w:r w:rsidRPr="00AC5D15">
        <w:rPr>
          <w:sz w:val="26"/>
          <w:szCs w:val="26"/>
        </w:rPr>
        <w:t xml:space="preserve"> </w:t>
      </w:r>
      <w:r w:rsidR="00104D48" w:rsidRPr="00AC5D15">
        <w:rPr>
          <w:sz w:val="26"/>
          <w:szCs w:val="26"/>
        </w:rPr>
        <w:t xml:space="preserve">The OSBA requests that the Commission require </w:t>
      </w:r>
      <w:r w:rsidR="00D64DAA" w:rsidRPr="00AC5D15">
        <w:rPr>
          <w:sz w:val="26"/>
          <w:szCs w:val="26"/>
        </w:rPr>
        <w:t>PPL</w:t>
      </w:r>
      <w:r w:rsidRPr="00AC5D15">
        <w:rPr>
          <w:sz w:val="26"/>
          <w:szCs w:val="26"/>
        </w:rPr>
        <w:t xml:space="preserve"> </w:t>
      </w:r>
      <w:r w:rsidR="00104D48" w:rsidRPr="00AC5D15">
        <w:rPr>
          <w:sz w:val="26"/>
          <w:szCs w:val="26"/>
        </w:rPr>
        <w:t xml:space="preserve">to </w:t>
      </w:r>
      <w:r w:rsidRPr="00AC5D15">
        <w:rPr>
          <w:sz w:val="26"/>
          <w:szCs w:val="26"/>
        </w:rPr>
        <w:t>make refunds as appropriate, and that the Commission</w:t>
      </w:r>
      <w:r w:rsidR="00D64DAA" w:rsidRPr="00AC5D15">
        <w:rPr>
          <w:sz w:val="26"/>
          <w:szCs w:val="26"/>
        </w:rPr>
        <w:t>’</w:t>
      </w:r>
      <w:r w:rsidRPr="00AC5D15">
        <w:rPr>
          <w:sz w:val="26"/>
          <w:szCs w:val="26"/>
        </w:rPr>
        <w:t xml:space="preserve">s Bureau of Audits conduct a detailed audit of </w:t>
      </w:r>
      <w:r w:rsidR="00D64DAA" w:rsidRPr="00AC5D15">
        <w:rPr>
          <w:sz w:val="26"/>
          <w:szCs w:val="26"/>
        </w:rPr>
        <w:t>PPL’</w:t>
      </w:r>
      <w:r w:rsidRPr="00AC5D15">
        <w:rPr>
          <w:sz w:val="26"/>
          <w:szCs w:val="26"/>
        </w:rPr>
        <w:t xml:space="preserve">s default service revenues and costs for 2010, including the possible under-reporting of revenues. </w:t>
      </w:r>
      <w:r w:rsidR="00EF4C39" w:rsidRPr="00AC5D15">
        <w:rPr>
          <w:sz w:val="26"/>
          <w:szCs w:val="26"/>
        </w:rPr>
        <w:t xml:space="preserve"> R.D. at 12.</w:t>
      </w:r>
    </w:p>
    <w:p w:rsidR="0031362F" w:rsidRPr="00AC5D15" w:rsidRDefault="0031362F" w:rsidP="00B05E0D">
      <w:pPr>
        <w:contextualSpacing/>
        <w:jc w:val="left"/>
        <w:rPr>
          <w:sz w:val="26"/>
          <w:szCs w:val="26"/>
        </w:rPr>
      </w:pPr>
      <w:r w:rsidRPr="00AC5D15">
        <w:rPr>
          <w:sz w:val="26"/>
          <w:szCs w:val="26"/>
        </w:rPr>
        <w:lastRenderedPageBreak/>
        <w:tab/>
      </w:r>
      <w:r w:rsidRPr="00AC5D15">
        <w:rPr>
          <w:sz w:val="26"/>
          <w:szCs w:val="26"/>
        </w:rPr>
        <w:tab/>
        <w:t>On November 18</w:t>
      </w:r>
      <w:r w:rsidR="00104D48" w:rsidRPr="00AC5D15">
        <w:rPr>
          <w:sz w:val="26"/>
          <w:szCs w:val="26"/>
        </w:rPr>
        <w:t>, 2011, the OSBA filed another C</w:t>
      </w:r>
      <w:r w:rsidRPr="00AC5D15">
        <w:rPr>
          <w:sz w:val="26"/>
          <w:szCs w:val="26"/>
        </w:rPr>
        <w:t>omplaint agains</w:t>
      </w:r>
      <w:r w:rsidR="00BE3051" w:rsidRPr="00AC5D15">
        <w:rPr>
          <w:sz w:val="26"/>
          <w:szCs w:val="26"/>
        </w:rPr>
        <w:t xml:space="preserve">t PPL </w:t>
      </w:r>
      <w:r w:rsidRPr="00AC5D15">
        <w:rPr>
          <w:sz w:val="26"/>
          <w:szCs w:val="26"/>
        </w:rPr>
        <w:t xml:space="preserve">at Docket No. C-2011-2279176, questioning the calculation of the GSC-1 for </w:t>
      </w:r>
      <w:r w:rsidR="00BE3051" w:rsidRPr="00AC5D15">
        <w:rPr>
          <w:sz w:val="26"/>
          <w:szCs w:val="26"/>
        </w:rPr>
        <w:t xml:space="preserve">the period of </w:t>
      </w:r>
      <w:r w:rsidRPr="00AC5D15">
        <w:rPr>
          <w:sz w:val="26"/>
          <w:szCs w:val="26"/>
        </w:rPr>
        <w:t xml:space="preserve">December 1, 2011 through February 29, 2011.  By letter dated February 9, 2012, </w:t>
      </w:r>
      <w:r w:rsidR="00BE3051" w:rsidRPr="00AC5D15">
        <w:rPr>
          <w:sz w:val="26"/>
          <w:szCs w:val="26"/>
        </w:rPr>
        <w:t xml:space="preserve">the </w:t>
      </w:r>
      <w:r w:rsidRPr="00AC5D15">
        <w:rPr>
          <w:sz w:val="26"/>
          <w:szCs w:val="26"/>
        </w:rPr>
        <w:t>OSBA</w:t>
      </w:r>
      <w:r w:rsidR="00BE3051" w:rsidRPr="00AC5D15">
        <w:rPr>
          <w:sz w:val="26"/>
          <w:szCs w:val="26"/>
        </w:rPr>
        <w:t xml:space="preserve"> asked ALJ </w:t>
      </w:r>
      <w:r w:rsidR="00104D48" w:rsidRPr="00AC5D15">
        <w:rPr>
          <w:sz w:val="26"/>
          <w:szCs w:val="26"/>
        </w:rPr>
        <w:t>Dennis Buckley to hold that</w:t>
      </w:r>
      <w:r w:rsidRPr="00AC5D15">
        <w:rPr>
          <w:sz w:val="26"/>
          <w:szCs w:val="26"/>
        </w:rPr>
        <w:t xml:space="preserve"> proceeding in abeyance pending t</w:t>
      </w:r>
      <w:r w:rsidR="00104D48" w:rsidRPr="00AC5D15">
        <w:rPr>
          <w:sz w:val="26"/>
          <w:szCs w:val="26"/>
        </w:rPr>
        <w:t>he outcome of the present proceeding</w:t>
      </w:r>
      <w:r w:rsidRPr="00AC5D15">
        <w:rPr>
          <w:sz w:val="26"/>
          <w:szCs w:val="26"/>
        </w:rPr>
        <w:t xml:space="preserve">.  </w:t>
      </w:r>
      <w:r w:rsidR="00201B14" w:rsidRPr="00AC5D15">
        <w:rPr>
          <w:sz w:val="26"/>
          <w:szCs w:val="26"/>
        </w:rPr>
        <w:t>That</w:t>
      </w:r>
      <w:r w:rsidR="00B24E9B" w:rsidRPr="00AC5D15">
        <w:rPr>
          <w:sz w:val="26"/>
          <w:szCs w:val="26"/>
        </w:rPr>
        <w:t xml:space="preserve"> request was granted by Order issued February</w:t>
      </w:r>
      <w:r w:rsidR="00BE63CE" w:rsidRPr="00AC5D15">
        <w:rPr>
          <w:sz w:val="26"/>
          <w:szCs w:val="26"/>
        </w:rPr>
        <w:t> </w:t>
      </w:r>
      <w:r w:rsidR="00B24E9B" w:rsidRPr="00AC5D15">
        <w:rPr>
          <w:sz w:val="26"/>
          <w:szCs w:val="26"/>
        </w:rPr>
        <w:t>16, 2012.</w:t>
      </w:r>
      <w:r w:rsidR="00EF4C39" w:rsidRPr="00AC5D15">
        <w:rPr>
          <w:sz w:val="26"/>
          <w:szCs w:val="26"/>
        </w:rPr>
        <w:t xml:space="preserve">  </w:t>
      </w:r>
      <w:r w:rsidR="00EF4C39" w:rsidRPr="00AC5D15">
        <w:rPr>
          <w:i/>
          <w:sz w:val="26"/>
          <w:szCs w:val="26"/>
        </w:rPr>
        <w:t>Id.</w:t>
      </w:r>
    </w:p>
    <w:p w:rsidR="003A320F" w:rsidRPr="00AC5D15" w:rsidRDefault="003A320F" w:rsidP="00B05E0D">
      <w:pPr>
        <w:contextualSpacing/>
        <w:jc w:val="left"/>
        <w:rPr>
          <w:sz w:val="26"/>
          <w:szCs w:val="26"/>
        </w:rPr>
      </w:pPr>
    </w:p>
    <w:p w:rsidR="00E503E1" w:rsidRPr="00AC5D15" w:rsidRDefault="00542F8B" w:rsidP="00B05E0D">
      <w:pPr>
        <w:contextualSpacing/>
        <w:jc w:val="left"/>
        <w:rPr>
          <w:sz w:val="26"/>
          <w:szCs w:val="26"/>
        </w:rPr>
      </w:pPr>
      <w:r w:rsidRPr="00AC5D15">
        <w:rPr>
          <w:i/>
          <w:sz w:val="26"/>
          <w:szCs w:val="26"/>
        </w:rPr>
        <w:tab/>
      </w:r>
      <w:r w:rsidRPr="00AC5D15">
        <w:rPr>
          <w:i/>
          <w:sz w:val="26"/>
          <w:szCs w:val="26"/>
        </w:rPr>
        <w:tab/>
      </w:r>
      <w:r w:rsidR="003A320F" w:rsidRPr="00AC5D15">
        <w:rPr>
          <w:sz w:val="26"/>
          <w:szCs w:val="26"/>
        </w:rPr>
        <w:t xml:space="preserve">In </w:t>
      </w:r>
      <w:r w:rsidR="00104D48" w:rsidRPr="00AC5D15">
        <w:rPr>
          <w:sz w:val="26"/>
          <w:szCs w:val="26"/>
        </w:rPr>
        <w:t xml:space="preserve">a separate, pending proceeding at </w:t>
      </w:r>
      <w:r w:rsidR="003A320F" w:rsidRPr="00AC5D15">
        <w:rPr>
          <w:i/>
          <w:sz w:val="26"/>
          <w:szCs w:val="26"/>
        </w:rPr>
        <w:t>Petition of PPL Electric Utilities Corporation for Approval to Implement a Reconciliation Rider for Default Supply Service</w:t>
      </w:r>
      <w:r w:rsidR="003A320F" w:rsidRPr="00AC5D15">
        <w:rPr>
          <w:sz w:val="26"/>
          <w:szCs w:val="26"/>
        </w:rPr>
        <w:t>, Docket No. P-2011-2256365</w:t>
      </w:r>
      <w:r w:rsidR="00701E15" w:rsidRPr="00AC5D15">
        <w:rPr>
          <w:sz w:val="26"/>
          <w:szCs w:val="26"/>
        </w:rPr>
        <w:t xml:space="preserve"> (</w:t>
      </w:r>
      <w:r w:rsidR="00701E15" w:rsidRPr="00AC5D15">
        <w:rPr>
          <w:i/>
          <w:sz w:val="26"/>
          <w:szCs w:val="26"/>
        </w:rPr>
        <w:t>Reconciliation Rider Proceeding)</w:t>
      </w:r>
      <w:r w:rsidR="003A320F" w:rsidRPr="00AC5D15">
        <w:rPr>
          <w:sz w:val="26"/>
          <w:szCs w:val="26"/>
        </w:rPr>
        <w:t xml:space="preserve">, </w:t>
      </w:r>
      <w:r w:rsidR="00D64DAA" w:rsidRPr="00AC5D15">
        <w:rPr>
          <w:sz w:val="26"/>
          <w:szCs w:val="26"/>
        </w:rPr>
        <w:t>PPL</w:t>
      </w:r>
      <w:r w:rsidR="003A320F" w:rsidRPr="00AC5D15">
        <w:rPr>
          <w:sz w:val="26"/>
          <w:szCs w:val="26"/>
        </w:rPr>
        <w:t xml:space="preserve"> seeks appr</w:t>
      </w:r>
      <w:r w:rsidR="00104D48" w:rsidRPr="00AC5D15">
        <w:rPr>
          <w:sz w:val="26"/>
          <w:szCs w:val="26"/>
        </w:rPr>
        <w:t>oval to implement a tariff that</w:t>
      </w:r>
      <w:r w:rsidR="003A320F" w:rsidRPr="00AC5D15">
        <w:rPr>
          <w:sz w:val="26"/>
          <w:szCs w:val="26"/>
        </w:rPr>
        <w:t xml:space="preserve"> would provide a mechanism for </w:t>
      </w:r>
      <w:r w:rsidR="00104D48" w:rsidRPr="00AC5D15">
        <w:rPr>
          <w:sz w:val="26"/>
          <w:szCs w:val="26"/>
        </w:rPr>
        <w:t>collect</w:t>
      </w:r>
      <w:r w:rsidR="003A320F" w:rsidRPr="00AC5D15">
        <w:rPr>
          <w:sz w:val="26"/>
          <w:szCs w:val="26"/>
        </w:rPr>
        <w:t xml:space="preserve">ing the </w:t>
      </w:r>
      <w:r w:rsidR="00BF36DD" w:rsidRPr="00AC5D15">
        <w:rPr>
          <w:sz w:val="26"/>
          <w:szCs w:val="26"/>
        </w:rPr>
        <w:t>under collection</w:t>
      </w:r>
      <w:r w:rsidR="00104D48" w:rsidRPr="00AC5D15">
        <w:rPr>
          <w:sz w:val="26"/>
          <w:szCs w:val="26"/>
        </w:rPr>
        <w:t>,</w:t>
      </w:r>
      <w:r w:rsidR="003A320F" w:rsidRPr="00AC5D15">
        <w:rPr>
          <w:sz w:val="26"/>
          <w:szCs w:val="26"/>
        </w:rPr>
        <w:t xml:space="preserve"> or refunding the </w:t>
      </w:r>
      <w:r w:rsidR="00BF36DD" w:rsidRPr="00AC5D15">
        <w:rPr>
          <w:sz w:val="26"/>
          <w:szCs w:val="26"/>
        </w:rPr>
        <w:t>over collection</w:t>
      </w:r>
      <w:r w:rsidR="00104D48" w:rsidRPr="00AC5D15">
        <w:rPr>
          <w:sz w:val="26"/>
          <w:szCs w:val="26"/>
        </w:rPr>
        <w:t>,</w:t>
      </w:r>
      <w:r w:rsidR="003A320F" w:rsidRPr="00AC5D15">
        <w:rPr>
          <w:sz w:val="26"/>
          <w:szCs w:val="26"/>
        </w:rPr>
        <w:t xml:space="preserve"> of costs of default service </w:t>
      </w:r>
      <w:r w:rsidR="0094351D" w:rsidRPr="00AC5D15">
        <w:rPr>
          <w:sz w:val="26"/>
          <w:szCs w:val="26"/>
        </w:rPr>
        <w:t>from/</w:t>
      </w:r>
      <w:r w:rsidR="003A320F" w:rsidRPr="00AC5D15">
        <w:rPr>
          <w:sz w:val="26"/>
          <w:szCs w:val="26"/>
        </w:rPr>
        <w:t>to customers taking default service during the over/</w:t>
      </w:r>
      <w:r w:rsidR="00BF36DD" w:rsidRPr="00AC5D15">
        <w:rPr>
          <w:sz w:val="26"/>
          <w:szCs w:val="26"/>
        </w:rPr>
        <w:t>under collection</w:t>
      </w:r>
      <w:r w:rsidR="003A320F" w:rsidRPr="00AC5D15">
        <w:rPr>
          <w:sz w:val="26"/>
          <w:szCs w:val="26"/>
        </w:rPr>
        <w:t xml:space="preserve"> period</w:t>
      </w:r>
      <w:r w:rsidR="0094351D" w:rsidRPr="00AC5D15">
        <w:rPr>
          <w:sz w:val="26"/>
          <w:szCs w:val="26"/>
        </w:rPr>
        <w:t>,</w:t>
      </w:r>
      <w:r w:rsidR="003A320F" w:rsidRPr="00AC5D15">
        <w:rPr>
          <w:sz w:val="26"/>
          <w:szCs w:val="26"/>
        </w:rPr>
        <w:t xml:space="preserve"> but shopping at the time of reconciliation</w:t>
      </w:r>
      <w:r w:rsidR="0094351D" w:rsidRPr="00AC5D15">
        <w:rPr>
          <w:sz w:val="26"/>
          <w:szCs w:val="26"/>
        </w:rPr>
        <w:t xml:space="preserve">. </w:t>
      </w:r>
      <w:r w:rsidR="003A320F" w:rsidRPr="00AC5D15">
        <w:rPr>
          <w:sz w:val="26"/>
          <w:szCs w:val="26"/>
        </w:rPr>
        <w:t xml:space="preserve"> </w:t>
      </w:r>
      <w:r w:rsidR="0094351D" w:rsidRPr="00AC5D15">
        <w:rPr>
          <w:sz w:val="26"/>
          <w:szCs w:val="26"/>
        </w:rPr>
        <w:t xml:space="preserve">PPL also seeks </w:t>
      </w:r>
      <w:r w:rsidR="003A320F" w:rsidRPr="00AC5D15">
        <w:rPr>
          <w:sz w:val="26"/>
          <w:szCs w:val="26"/>
        </w:rPr>
        <w:t>to omit the over/</w:t>
      </w:r>
      <w:r w:rsidR="00BF36DD" w:rsidRPr="00AC5D15">
        <w:rPr>
          <w:sz w:val="26"/>
          <w:szCs w:val="26"/>
        </w:rPr>
        <w:t>under collection</w:t>
      </w:r>
      <w:r w:rsidR="003A320F" w:rsidRPr="00AC5D15">
        <w:rPr>
          <w:sz w:val="26"/>
          <w:szCs w:val="26"/>
        </w:rPr>
        <w:t xml:space="preserve"> from the Price to Compare</w:t>
      </w:r>
      <w:r w:rsidR="00EF4C39" w:rsidRPr="00AC5D15">
        <w:rPr>
          <w:sz w:val="26"/>
          <w:szCs w:val="26"/>
        </w:rPr>
        <w:t xml:space="preserve"> (PTC)</w:t>
      </w:r>
      <w:r w:rsidR="0094351D" w:rsidRPr="00AC5D15">
        <w:rPr>
          <w:sz w:val="26"/>
          <w:szCs w:val="26"/>
        </w:rPr>
        <w:t xml:space="preserve">, and to create </w:t>
      </w:r>
      <w:r w:rsidR="00E503E1" w:rsidRPr="00AC5D15">
        <w:rPr>
          <w:sz w:val="26"/>
          <w:szCs w:val="26"/>
        </w:rPr>
        <w:t>a competitive t</w:t>
      </w:r>
      <w:r w:rsidR="0094351D" w:rsidRPr="00AC5D15">
        <w:rPr>
          <w:sz w:val="26"/>
          <w:szCs w:val="26"/>
        </w:rPr>
        <w:t xml:space="preserve">ransition rider, that would </w:t>
      </w:r>
      <w:r w:rsidR="00E503E1" w:rsidRPr="00AC5D15">
        <w:rPr>
          <w:sz w:val="26"/>
          <w:szCs w:val="26"/>
        </w:rPr>
        <w:t xml:space="preserve">impose a one-time non-bypassable fee upon all customers to recover historic </w:t>
      </w:r>
      <w:r w:rsidR="00BF36DD" w:rsidRPr="00AC5D15">
        <w:rPr>
          <w:sz w:val="26"/>
          <w:szCs w:val="26"/>
        </w:rPr>
        <w:t>under collections</w:t>
      </w:r>
      <w:r w:rsidR="00E503E1" w:rsidRPr="00AC5D15">
        <w:rPr>
          <w:sz w:val="26"/>
          <w:szCs w:val="26"/>
        </w:rPr>
        <w:t>.  The Recommende</w:t>
      </w:r>
      <w:r w:rsidR="00201B14" w:rsidRPr="00AC5D15">
        <w:rPr>
          <w:sz w:val="26"/>
          <w:szCs w:val="26"/>
        </w:rPr>
        <w:t xml:space="preserve">d Decision in that case was </w:t>
      </w:r>
      <w:r w:rsidR="00E503E1" w:rsidRPr="00AC5D15">
        <w:rPr>
          <w:sz w:val="26"/>
          <w:szCs w:val="26"/>
        </w:rPr>
        <w:t xml:space="preserve">issued contemporaneously with the </w:t>
      </w:r>
      <w:r w:rsidR="00201B14" w:rsidRPr="00AC5D15">
        <w:rPr>
          <w:sz w:val="26"/>
          <w:szCs w:val="26"/>
        </w:rPr>
        <w:t xml:space="preserve">Recommended Decision in the instant proceeding. </w:t>
      </w:r>
      <w:r w:rsidR="00EF4C39" w:rsidRPr="00AC5D15">
        <w:rPr>
          <w:sz w:val="26"/>
          <w:szCs w:val="26"/>
        </w:rPr>
        <w:t xml:space="preserve"> </w:t>
      </w:r>
      <w:r w:rsidR="00EF4C39" w:rsidRPr="00AC5D15">
        <w:rPr>
          <w:i/>
          <w:sz w:val="26"/>
          <w:szCs w:val="26"/>
        </w:rPr>
        <w:t>Id.</w:t>
      </w:r>
      <w:r w:rsidR="00EF4C39" w:rsidRPr="00AC5D15">
        <w:rPr>
          <w:sz w:val="26"/>
          <w:szCs w:val="26"/>
        </w:rPr>
        <w:t xml:space="preserve"> at 12-13.</w:t>
      </w:r>
    </w:p>
    <w:p w:rsidR="00E503E1" w:rsidRPr="00AC5D15" w:rsidRDefault="00E503E1" w:rsidP="00B05E0D">
      <w:pPr>
        <w:contextualSpacing/>
        <w:jc w:val="left"/>
        <w:rPr>
          <w:sz w:val="26"/>
          <w:szCs w:val="26"/>
        </w:rPr>
      </w:pPr>
    </w:p>
    <w:p w:rsidR="003A320F" w:rsidRPr="00AC5D15" w:rsidRDefault="00E503E1" w:rsidP="00B05E0D">
      <w:pPr>
        <w:contextualSpacing/>
        <w:jc w:val="left"/>
        <w:rPr>
          <w:sz w:val="26"/>
          <w:szCs w:val="26"/>
        </w:rPr>
      </w:pPr>
      <w:r w:rsidRPr="00AC5D15">
        <w:rPr>
          <w:sz w:val="26"/>
          <w:szCs w:val="26"/>
        </w:rPr>
        <w:tab/>
      </w:r>
      <w:r w:rsidRPr="00AC5D15">
        <w:rPr>
          <w:sz w:val="26"/>
          <w:szCs w:val="26"/>
        </w:rPr>
        <w:tab/>
      </w:r>
      <w:r w:rsidR="003A320F" w:rsidRPr="00AC5D15">
        <w:rPr>
          <w:sz w:val="26"/>
          <w:szCs w:val="26"/>
        </w:rPr>
        <w:t xml:space="preserve">In </w:t>
      </w:r>
      <w:r w:rsidR="0094351D" w:rsidRPr="00AC5D15">
        <w:rPr>
          <w:sz w:val="26"/>
          <w:szCs w:val="26"/>
        </w:rPr>
        <w:t xml:space="preserve">a third pending proceeding at </w:t>
      </w:r>
      <w:r w:rsidR="003A320F" w:rsidRPr="00AC5D15">
        <w:rPr>
          <w:i/>
          <w:sz w:val="26"/>
          <w:szCs w:val="26"/>
        </w:rPr>
        <w:t xml:space="preserve">Pa. </w:t>
      </w:r>
      <w:r w:rsidR="008249E2" w:rsidRPr="00AC5D15">
        <w:rPr>
          <w:i/>
          <w:sz w:val="26"/>
          <w:szCs w:val="26"/>
        </w:rPr>
        <w:t>PUC,</w:t>
      </w:r>
      <w:r w:rsidR="008249E2">
        <w:rPr>
          <w:i/>
          <w:sz w:val="26"/>
          <w:szCs w:val="26"/>
        </w:rPr>
        <w:t xml:space="preserve"> </w:t>
      </w:r>
      <w:r w:rsidR="008249E2" w:rsidRPr="00AC5D15">
        <w:rPr>
          <w:i/>
          <w:sz w:val="26"/>
          <w:szCs w:val="26"/>
        </w:rPr>
        <w:t>et</w:t>
      </w:r>
      <w:r w:rsidR="0094351D" w:rsidRPr="00AC5D15">
        <w:rPr>
          <w:i/>
          <w:sz w:val="26"/>
          <w:szCs w:val="26"/>
        </w:rPr>
        <w:t xml:space="preserve"> al.</w:t>
      </w:r>
      <w:r w:rsidR="003A320F" w:rsidRPr="00AC5D15">
        <w:rPr>
          <w:i/>
          <w:sz w:val="26"/>
          <w:szCs w:val="26"/>
        </w:rPr>
        <w:t xml:space="preserve"> v. PPL Electric Utilities Corporation, </w:t>
      </w:r>
      <w:r w:rsidR="003A320F" w:rsidRPr="00AC5D15">
        <w:rPr>
          <w:sz w:val="26"/>
          <w:szCs w:val="26"/>
        </w:rPr>
        <w:t xml:space="preserve">Docket Nos. R-2011-2264771, C-2011-2267808, and C-2011-2268983, </w:t>
      </w:r>
      <w:r w:rsidR="00D64DAA" w:rsidRPr="00AC5D15">
        <w:rPr>
          <w:sz w:val="26"/>
          <w:szCs w:val="26"/>
        </w:rPr>
        <w:t>PPL</w:t>
      </w:r>
      <w:r w:rsidR="003A320F" w:rsidRPr="00AC5D15">
        <w:rPr>
          <w:sz w:val="26"/>
          <w:szCs w:val="26"/>
        </w:rPr>
        <w:t xml:space="preserve"> seeks approval of a tariff implementing a Time of Use </w:t>
      </w:r>
      <w:r w:rsidR="00552A52" w:rsidRPr="00AC5D15">
        <w:rPr>
          <w:sz w:val="26"/>
          <w:szCs w:val="26"/>
        </w:rPr>
        <w:t xml:space="preserve">(TOU) </w:t>
      </w:r>
      <w:r w:rsidR="003A320F" w:rsidRPr="00AC5D15">
        <w:rPr>
          <w:sz w:val="26"/>
          <w:szCs w:val="26"/>
        </w:rPr>
        <w:t>Program pursuant to a Commiss</w:t>
      </w:r>
      <w:r w:rsidR="00201B14" w:rsidRPr="00AC5D15">
        <w:rPr>
          <w:sz w:val="26"/>
          <w:szCs w:val="26"/>
        </w:rPr>
        <w:t>ion directive</w:t>
      </w:r>
      <w:r w:rsidR="003A320F" w:rsidRPr="00AC5D15">
        <w:rPr>
          <w:sz w:val="26"/>
          <w:szCs w:val="26"/>
        </w:rPr>
        <w:t xml:space="preserve">.  </w:t>
      </w:r>
      <w:r w:rsidR="00552A52" w:rsidRPr="00AC5D15">
        <w:rPr>
          <w:i/>
          <w:sz w:val="26"/>
          <w:szCs w:val="26"/>
        </w:rPr>
        <w:t>Id.</w:t>
      </w:r>
      <w:r w:rsidR="00552A52" w:rsidRPr="00AC5D15">
        <w:rPr>
          <w:sz w:val="26"/>
          <w:szCs w:val="26"/>
        </w:rPr>
        <w:t xml:space="preserve"> at 13.</w:t>
      </w:r>
    </w:p>
    <w:p w:rsidR="003A320F" w:rsidRPr="00AC5D15" w:rsidRDefault="003A320F" w:rsidP="00B05E0D">
      <w:pPr>
        <w:contextualSpacing/>
        <w:jc w:val="left"/>
        <w:rPr>
          <w:sz w:val="26"/>
          <w:szCs w:val="26"/>
        </w:rPr>
      </w:pPr>
    </w:p>
    <w:p w:rsidR="003A320F" w:rsidRPr="00AC5D15" w:rsidRDefault="003A320F" w:rsidP="00B05E0D">
      <w:pPr>
        <w:contextualSpacing/>
        <w:jc w:val="left"/>
        <w:rPr>
          <w:sz w:val="26"/>
          <w:szCs w:val="26"/>
        </w:rPr>
      </w:pPr>
      <w:r w:rsidRPr="00AC5D15">
        <w:rPr>
          <w:sz w:val="26"/>
          <w:szCs w:val="26"/>
        </w:rPr>
        <w:tab/>
      </w:r>
      <w:r w:rsidRPr="00AC5D15">
        <w:rPr>
          <w:sz w:val="26"/>
          <w:szCs w:val="26"/>
        </w:rPr>
        <w:tab/>
      </w:r>
      <w:r w:rsidR="0094351D" w:rsidRPr="00AC5D15">
        <w:rPr>
          <w:sz w:val="26"/>
          <w:szCs w:val="26"/>
        </w:rPr>
        <w:t xml:space="preserve">In a </w:t>
      </w:r>
      <w:r w:rsidR="0031362F" w:rsidRPr="00AC5D15">
        <w:rPr>
          <w:sz w:val="26"/>
          <w:szCs w:val="26"/>
        </w:rPr>
        <w:t>fourth</w:t>
      </w:r>
      <w:r w:rsidRPr="00AC5D15">
        <w:rPr>
          <w:sz w:val="26"/>
          <w:szCs w:val="26"/>
        </w:rPr>
        <w:t xml:space="preserve"> related </w:t>
      </w:r>
      <w:r w:rsidR="0094351D" w:rsidRPr="00AC5D15">
        <w:rPr>
          <w:sz w:val="26"/>
          <w:szCs w:val="26"/>
        </w:rPr>
        <w:t>proceeding at</w:t>
      </w:r>
      <w:r w:rsidRPr="00AC5D15">
        <w:rPr>
          <w:sz w:val="26"/>
          <w:szCs w:val="26"/>
        </w:rPr>
        <w:t xml:space="preserve"> </w:t>
      </w:r>
      <w:r w:rsidRPr="00AC5D15">
        <w:rPr>
          <w:i/>
          <w:sz w:val="26"/>
          <w:szCs w:val="26"/>
        </w:rPr>
        <w:t>PPL Electric Utilities Corporation Proposed Transmission Service Charge Reconciliation for the Twelve Months Ending November 30, 2010</w:t>
      </w:r>
      <w:r w:rsidRPr="00AC5D15">
        <w:rPr>
          <w:sz w:val="26"/>
          <w:szCs w:val="26"/>
        </w:rPr>
        <w:t>, D</w:t>
      </w:r>
      <w:r w:rsidR="0094351D" w:rsidRPr="00AC5D15">
        <w:rPr>
          <w:sz w:val="26"/>
          <w:szCs w:val="26"/>
        </w:rPr>
        <w:t xml:space="preserve">ocket No. M-2010-2213754, </w:t>
      </w:r>
      <w:r w:rsidRPr="00AC5D15">
        <w:rPr>
          <w:sz w:val="26"/>
          <w:szCs w:val="26"/>
        </w:rPr>
        <w:t>the Commission entered an Order on May 19, 2011, which directed the Law Bureau</w:t>
      </w:r>
      <w:r w:rsidR="008D210D" w:rsidRPr="00AC5D15">
        <w:rPr>
          <w:sz w:val="26"/>
          <w:szCs w:val="26"/>
        </w:rPr>
        <w:t xml:space="preserve"> and Bureau of Audits to develop a recommendation for the Commission regarding the various methods of reconciling </w:t>
      </w:r>
      <w:r w:rsidR="0094351D" w:rsidRPr="00AC5D15">
        <w:rPr>
          <w:sz w:val="26"/>
          <w:szCs w:val="26"/>
        </w:rPr>
        <w:lastRenderedPageBreak/>
        <w:t xml:space="preserve">transmission </w:t>
      </w:r>
      <w:r w:rsidR="008D210D" w:rsidRPr="00AC5D15">
        <w:rPr>
          <w:sz w:val="26"/>
          <w:szCs w:val="26"/>
        </w:rPr>
        <w:t>charges in a dynamic market on a go</w:t>
      </w:r>
      <w:r w:rsidR="00201B14" w:rsidRPr="00AC5D15">
        <w:rPr>
          <w:sz w:val="26"/>
          <w:szCs w:val="26"/>
        </w:rPr>
        <w:t xml:space="preserve">ing forward basis. </w:t>
      </w:r>
      <w:r w:rsidR="008D210D" w:rsidRPr="00AC5D15">
        <w:rPr>
          <w:sz w:val="26"/>
          <w:szCs w:val="26"/>
        </w:rPr>
        <w:t xml:space="preserve"> </w:t>
      </w:r>
      <w:r w:rsidR="0094351D" w:rsidRPr="00AC5D15">
        <w:rPr>
          <w:sz w:val="26"/>
          <w:szCs w:val="26"/>
        </w:rPr>
        <w:t xml:space="preserve">That proceeding remains pending, and a recommendation has not yet been presented to the Commission for its consideration.  </w:t>
      </w:r>
      <w:r w:rsidR="00552A52" w:rsidRPr="00AC5D15">
        <w:rPr>
          <w:i/>
          <w:sz w:val="26"/>
          <w:szCs w:val="26"/>
        </w:rPr>
        <w:t>Id.</w:t>
      </w:r>
      <w:r w:rsidRPr="00AC5D15">
        <w:rPr>
          <w:sz w:val="26"/>
          <w:szCs w:val="26"/>
        </w:rPr>
        <w:t xml:space="preserve"> </w:t>
      </w:r>
    </w:p>
    <w:p w:rsidR="000C650C" w:rsidRPr="00AC5D15" w:rsidRDefault="000C650C" w:rsidP="00B05E0D">
      <w:pPr>
        <w:spacing w:line="240" w:lineRule="auto"/>
        <w:contextualSpacing/>
        <w:jc w:val="left"/>
        <w:rPr>
          <w:sz w:val="26"/>
          <w:szCs w:val="26"/>
        </w:rPr>
      </w:pPr>
    </w:p>
    <w:p w:rsidR="00277C8F" w:rsidRPr="00AC5D15" w:rsidRDefault="001B32D2" w:rsidP="00B05E0D">
      <w:pPr>
        <w:contextualSpacing/>
        <w:jc w:val="left"/>
        <w:rPr>
          <w:b/>
          <w:sz w:val="26"/>
        </w:rPr>
      </w:pPr>
      <w:r w:rsidRPr="00AC5D15">
        <w:rPr>
          <w:b/>
          <w:sz w:val="26"/>
        </w:rPr>
        <w:t>A.</w:t>
      </w:r>
      <w:r w:rsidRPr="00AC5D15">
        <w:rPr>
          <w:b/>
          <w:sz w:val="26"/>
        </w:rPr>
        <w:tab/>
      </w:r>
      <w:r w:rsidR="00FC786C" w:rsidRPr="00AC5D15">
        <w:rPr>
          <w:b/>
          <w:sz w:val="26"/>
        </w:rPr>
        <w:t>Burden of Proof</w:t>
      </w:r>
    </w:p>
    <w:p w:rsidR="00FC786C" w:rsidRPr="00AC5D15" w:rsidRDefault="00FC786C" w:rsidP="00B05E0D">
      <w:pPr>
        <w:contextualSpacing/>
        <w:jc w:val="left"/>
        <w:rPr>
          <w:sz w:val="26"/>
        </w:rPr>
      </w:pPr>
    </w:p>
    <w:p w:rsidR="00FC786C" w:rsidRPr="00AC5D15" w:rsidRDefault="00FC786C" w:rsidP="00B05E0D">
      <w:pPr>
        <w:contextualSpacing/>
        <w:jc w:val="left"/>
        <w:rPr>
          <w:sz w:val="26"/>
          <w:szCs w:val="26"/>
        </w:rPr>
      </w:pPr>
      <w:r w:rsidRPr="00AC5D15">
        <w:rPr>
          <w:sz w:val="26"/>
        </w:rPr>
        <w:tab/>
      </w:r>
      <w:r w:rsidRPr="00AC5D15">
        <w:rPr>
          <w:sz w:val="26"/>
        </w:rPr>
        <w:tab/>
      </w:r>
      <w:r w:rsidRPr="00AC5D15">
        <w:rPr>
          <w:sz w:val="26"/>
          <w:szCs w:val="26"/>
        </w:rPr>
        <w:t xml:space="preserve">The first issue in dispute </w:t>
      </w:r>
      <w:r w:rsidR="00AE0CFB" w:rsidRPr="00AC5D15">
        <w:rPr>
          <w:sz w:val="26"/>
          <w:szCs w:val="26"/>
        </w:rPr>
        <w:t>in the instant proceeding is which P</w:t>
      </w:r>
      <w:r w:rsidRPr="00AC5D15">
        <w:rPr>
          <w:sz w:val="26"/>
          <w:szCs w:val="26"/>
        </w:rPr>
        <w:t xml:space="preserve">arty bears the burden </w:t>
      </w:r>
      <w:r w:rsidR="00AE0CFB" w:rsidRPr="00AC5D15">
        <w:rPr>
          <w:sz w:val="26"/>
          <w:szCs w:val="26"/>
        </w:rPr>
        <w:t>of proof in this matter.  Both P</w:t>
      </w:r>
      <w:r w:rsidRPr="00AC5D15">
        <w:rPr>
          <w:sz w:val="26"/>
          <w:szCs w:val="26"/>
        </w:rPr>
        <w:t>arties accurately state the standards for making the determination, but they disagree upon the application.</w:t>
      </w:r>
    </w:p>
    <w:p w:rsidR="002F23BD" w:rsidRPr="00AC5D15" w:rsidRDefault="002F23BD" w:rsidP="00B05E0D">
      <w:pPr>
        <w:contextualSpacing/>
        <w:jc w:val="left"/>
        <w:rPr>
          <w:sz w:val="26"/>
        </w:rPr>
      </w:pPr>
    </w:p>
    <w:p w:rsidR="002F23BD" w:rsidRDefault="006D41D8" w:rsidP="00B05E0D">
      <w:pPr>
        <w:contextualSpacing/>
        <w:jc w:val="left"/>
        <w:rPr>
          <w:sz w:val="26"/>
          <w:szCs w:val="26"/>
        </w:rPr>
      </w:pPr>
      <w:r w:rsidRPr="00AC5D15">
        <w:rPr>
          <w:sz w:val="26"/>
        </w:rPr>
        <w:tab/>
      </w:r>
      <w:r w:rsidRPr="00AC5D15">
        <w:rPr>
          <w:sz w:val="26"/>
        </w:rPr>
        <w:tab/>
      </w:r>
      <w:r w:rsidR="002F23BD" w:rsidRPr="00AC5D15">
        <w:rPr>
          <w:sz w:val="26"/>
          <w:szCs w:val="26"/>
        </w:rPr>
        <w:t>The proponent of a rule or order in any Commission proceeding has the burden of proof, 66 Pa. C.S. § 332</w:t>
      </w:r>
      <w:r w:rsidR="00D34C89" w:rsidRPr="00AC5D15">
        <w:rPr>
          <w:sz w:val="26"/>
          <w:szCs w:val="26"/>
        </w:rPr>
        <w:t>.</w:t>
      </w:r>
      <w:r w:rsidR="002F23BD" w:rsidRPr="00AC5D15">
        <w:rPr>
          <w:sz w:val="26"/>
          <w:szCs w:val="26"/>
        </w:rPr>
        <w:t xml:space="preserve"> </w:t>
      </w:r>
      <w:r w:rsidR="00D34C89" w:rsidRPr="00AC5D15">
        <w:rPr>
          <w:sz w:val="26"/>
          <w:szCs w:val="26"/>
        </w:rPr>
        <w:t xml:space="preserve"> T</w:t>
      </w:r>
      <w:r w:rsidR="002F23BD" w:rsidRPr="00AC5D15">
        <w:rPr>
          <w:sz w:val="26"/>
          <w:szCs w:val="26"/>
        </w:rPr>
        <w:t xml:space="preserve">herefore, the </w:t>
      </w:r>
      <w:r w:rsidR="00D34C89" w:rsidRPr="00AC5D15">
        <w:rPr>
          <w:sz w:val="26"/>
          <w:szCs w:val="26"/>
        </w:rPr>
        <w:t>party seeking affirmative action from the Commission</w:t>
      </w:r>
      <w:r w:rsidR="002F23BD" w:rsidRPr="00AC5D15">
        <w:rPr>
          <w:sz w:val="26"/>
          <w:szCs w:val="26"/>
        </w:rPr>
        <w:t xml:space="preserve"> has the burden of proving its case by a preponderance of the evidence, or evidence which is more convincing than the evidence presented by the other parties.  </w:t>
      </w:r>
      <w:r w:rsidR="002F23BD" w:rsidRPr="00AC5D15">
        <w:rPr>
          <w:i/>
          <w:sz w:val="26"/>
          <w:szCs w:val="26"/>
        </w:rPr>
        <w:t>Se</w:t>
      </w:r>
      <w:r w:rsidR="00B05E0D">
        <w:rPr>
          <w:i/>
          <w:sz w:val="26"/>
          <w:szCs w:val="26"/>
        </w:rPr>
        <w:noBreakHyphen/>
      </w:r>
      <w:r w:rsidR="002F23BD" w:rsidRPr="00AC5D15">
        <w:rPr>
          <w:i/>
          <w:sz w:val="26"/>
          <w:szCs w:val="26"/>
        </w:rPr>
        <w:t>Ling Hosiery</w:t>
      </w:r>
      <w:r w:rsidR="00D34C89" w:rsidRPr="00AC5D15">
        <w:rPr>
          <w:i/>
          <w:sz w:val="26"/>
          <w:szCs w:val="26"/>
        </w:rPr>
        <w:t xml:space="preserve"> Inc.</w:t>
      </w:r>
      <w:r w:rsidR="002F23BD" w:rsidRPr="00AC5D15">
        <w:rPr>
          <w:i/>
          <w:sz w:val="26"/>
          <w:szCs w:val="26"/>
        </w:rPr>
        <w:t xml:space="preserve"> v. Margulies</w:t>
      </w:r>
      <w:r w:rsidR="002F23BD" w:rsidRPr="00AC5D15">
        <w:rPr>
          <w:sz w:val="26"/>
          <w:szCs w:val="26"/>
        </w:rPr>
        <w:t xml:space="preserve">, 364 Pa. 45, 70 A.3d 854 (1950); </w:t>
      </w:r>
      <w:r w:rsidR="002F23BD" w:rsidRPr="00AC5D15">
        <w:rPr>
          <w:i/>
          <w:sz w:val="26"/>
          <w:szCs w:val="26"/>
        </w:rPr>
        <w:t>Samuel J. Lan</w:t>
      </w:r>
      <w:r w:rsidR="00D34C89" w:rsidRPr="00AC5D15">
        <w:rPr>
          <w:i/>
          <w:sz w:val="26"/>
          <w:szCs w:val="26"/>
        </w:rPr>
        <w:t>sberry, Inc. v. Pa. PU</w:t>
      </w:r>
      <w:r w:rsidR="002F23BD" w:rsidRPr="00AC5D15">
        <w:rPr>
          <w:i/>
          <w:sz w:val="26"/>
          <w:szCs w:val="26"/>
        </w:rPr>
        <w:t>C</w:t>
      </w:r>
      <w:r w:rsidR="002F23BD" w:rsidRPr="00AC5D15">
        <w:rPr>
          <w:sz w:val="26"/>
          <w:szCs w:val="26"/>
        </w:rPr>
        <w:t xml:space="preserve">, 578 A.2d 600 (Pa. Cmwlth. 1990).  </w:t>
      </w:r>
    </w:p>
    <w:p w:rsidR="00B05E0D" w:rsidRPr="00AC5D15" w:rsidRDefault="00B05E0D" w:rsidP="00B05E0D">
      <w:pPr>
        <w:contextualSpacing/>
        <w:jc w:val="left"/>
        <w:rPr>
          <w:sz w:val="26"/>
          <w:szCs w:val="26"/>
        </w:rPr>
      </w:pPr>
    </w:p>
    <w:p w:rsidR="002F23BD" w:rsidRPr="00AC5D15" w:rsidRDefault="002F23BD" w:rsidP="00B05E0D">
      <w:pPr>
        <w:jc w:val="left"/>
        <w:rPr>
          <w:sz w:val="26"/>
          <w:szCs w:val="26"/>
        </w:rPr>
      </w:pPr>
      <w:r w:rsidRPr="00AC5D15">
        <w:rPr>
          <w:sz w:val="26"/>
        </w:rPr>
        <w:tab/>
      </w:r>
      <w:r w:rsidRPr="00AC5D15">
        <w:rPr>
          <w:sz w:val="26"/>
        </w:rPr>
        <w:tab/>
      </w:r>
      <w:r w:rsidRPr="00AC5D15">
        <w:rPr>
          <w:sz w:val="26"/>
          <w:szCs w:val="26"/>
        </w:rPr>
        <w:t xml:space="preserve">Additionally, any finding of fact necessary to support an adjudication of the Commission must be based upon substantial evidence, which is such relevant evidence as a reasonable mind might accept as adequate to support a conclusion.  </w:t>
      </w:r>
      <w:r w:rsidRPr="00AC5D15">
        <w:rPr>
          <w:i/>
          <w:sz w:val="26"/>
          <w:szCs w:val="26"/>
        </w:rPr>
        <w:t>Mill v. Pa. PUC</w:t>
      </w:r>
      <w:r w:rsidRPr="00AC5D15">
        <w:rPr>
          <w:sz w:val="26"/>
          <w:szCs w:val="26"/>
        </w:rPr>
        <w:t xml:space="preserve">, 447 A.2d 1100 (Pa. Cmwlth. 1982); </w:t>
      </w:r>
      <w:r w:rsidRPr="00AC5D15">
        <w:rPr>
          <w:i/>
          <w:sz w:val="26"/>
          <w:szCs w:val="26"/>
        </w:rPr>
        <w:t>Edan Transportation Corp. v. P</w:t>
      </w:r>
      <w:r w:rsidR="00D34C89" w:rsidRPr="00AC5D15">
        <w:rPr>
          <w:i/>
          <w:sz w:val="26"/>
          <w:szCs w:val="26"/>
        </w:rPr>
        <w:t xml:space="preserve">a. </w:t>
      </w:r>
      <w:r w:rsidRPr="00AC5D15">
        <w:rPr>
          <w:i/>
          <w:sz w:val="26"/>
          <w:szCs w:val="26"/>
        </w:rPr>
        <w:t>PUC,</w:t>
      </w:r>
      <w:r w:rsidR="00D34C89" w:rsidRPr="00AC5D15">
        <w:rPr>
          <w:i/>
          <w:sz w:val="26"/>
          <w:szCs w:val="26"/>
        </w:rPr>
        <w:t xml:space="preserve"> </w:t>
      </w:r>
      <w:r w:rsidR="00D34C89" w:rsidRPr="00AC5D15">
        <w:rPr>
          <w:sz w:val="26"/>
          <w:szCs w:val="26"/>
        </w:rPr>
        <w:t xml:space="preserve">623 A.2d 6 (Pa. Cmwlth. </w:t>
      </w:r>
      <w:r w:rsidRPr="00AC5D15">
        <w:rPr>
          <w:sz w:val="26"/>
          <w:szCs w:val="26"/>
        </w:rPr>
        <w:t>1993)</w:t>
      </w:r>
      <w:r w:rsidR="00D34C89" w:rsidRPr="00AC5D15">
        <w:rPr>
          <w:sz w:val="26"/>
          <w:szCs w:val="26"/>
        </w:rPr>
        <w:t>;</w:t>
      </w:r>
      <w:r w:rsidRPr="00AC5D15">
        <w:rPr>
          <w:sz w:val="26"/>
          <w:szCs w:val="26"/>
        </w:rPr>
        <w:t xml:space="preserve"> 2 Pa. C.S. § 704.  More is required than a mere trace of evidence or a suspicion of the existence of a fact sought to be established.  </w:t>
      </w:r>
      <w:r w:rsidRPr="00AC5D15">
        <w:rPr>
          <w:i/>
          <w:sz w:val="26"/>
          <w:szCs w:val="26"/>
        </w:rPr>
        <w:t xml:space="preserve">Norfolk &amp; Western Ry. V. Pa. PUC, </w:t>
      </w:r>
      <w:r w:rsidRPr="00AC5D15">
        <w:rPr>
          <w:sz w:val="26"/>
          <w:szCs w:val="26"/>
        </w:rPr>
        <w:t xml:space="preserve">489 Pa. 109, 413 A.2d 1037 (1980); </w:t>
      </w:r>
      <w:r w:rsidRPr="00AC5D15">
        <w:rPr>
          <w:i/>
          <w:sz w:val="26"/>
          <w:szCs w:val="26"/>
        </w:rPr>
        <w:t xml:space="preserve">Erie Resistor </w:t>
      </w:r>
      <w:r w:rsidR="00D34C89" w:rsidRPr="00AC5D15">
        <w:rPr>
          <w:i/>
          <w:sz w:val="26"/>
          <w:szCs w:val="26"/>
        </w:rPr>
        <w:t>Corp. v. Unemployment Com. Bd. o</w:t>
      </w:r>
      <w:r w:rsidRPr="00AC5D15">
        <w:rPr>
          <w:i/>
          <w:sz w:val="26"/>
          <w:szCs w:val="26"/>
        </w:rPr>
        <w:t>f Review</w:t>
      </w:r>
      <w:r w:rsidRPr="00AC5D15">
        <w:rPr>
          <w:sz w:val="26"/>
          <w:szCs w:val="26"/>
        </w:rPr>
        <w:t xml:space="preserve">, 166 A.2d 96 (Pa. Super. 1960); </w:t>
      </w:r>
      <w:r w:rsidRPr="00AC5D15">
        <w:rPr>
          <w:i/>
          <w:sz w:val="26"/>
          <w:szCs w:val="26"/>
        </w:rPr>
        <w:t xml:space="preserve">Murphy v. Comm., Dept. of Public Welfare, White Haven Center, </w:t>
      </w:r>
      <w:r w:rsidRPr="00AC5D15">
        <w:rPr>
          <w:sz w:val="26"/>
          <w:szCs w:val="26"/>
        </w:rPr>
        <w:t>480 A.2d 382 (Pa. Cmwlth. 1984).</w:t>
      </w:r>
    </w:p>
    <w:p w:rsidR="006D41D8" w:rsidRPr="00AC5D15" w:rsidRDefault="006D41D8" w:rsidP="00B05E0D">
      <w:pPr>
        <w:jc w:val="left"/>
        <w:rPr>
          <w:sz w:val="26"/>
          <w:szCs w:val="26"/>
        </w:rPr>
      </w:pPr>
    </w:p>
    <w:p w:rsidR="002F23BD" w:rsidRPr="00AC5D15" w:rsidRDefault="002F23BD" w:rsidP="00B05E0D">
      <w:pPr>
        <w:jc w:val="left"/>
        <w:rPr>
          <w:spacing w:val="-3"/>
          <w:sz w:val="26"/>
          <w:szCs w:val="26"/>
        </w:rPr>
      </w:pPr>
      <w:r w:rsidRPr="00AC5D15">
        <w:rPr>
          <w:sz w:val="26"/>
          <w:szCs w:val="26"/>
        </w:rPr>
        <w:lastRenderedPageBreak/>
        <w:tab/>
      </w:r>
      <w:r w:rsidRPr="00AC5D15">
        <w:rPr>
          <w:sz w:val="26"/>
          <w:szCs w:val="26"/>
        </w:rPr>
        <w:tab/>
      </w:r>
      <w:r w:rsidRPr="00AC5D15">
        <w:rPr>
          <w:spacing w:val="-3"/>
          <w:sz w:val="26"/>
          <w:szCs w:val="26"/>
        </w:rPr>
        <w:t xml:space="preserve">The </w:t>
      </w:r>
      <w:r w:rsidR="00D64DAA" w:rsidRPr="00AC5D15">
        <w:rPr>
          <w:spacing w:val="-3"/>
          <w:sz w:val="26"/>
          <w:szCs w:val="26"/>
        </w:rPr>
        <w:t>“</w:t>
      </w:r>
      <w:r w:rsidRPr="00AC5D15">
        <w:rPr>
          <w:spacing w:val="-3"/>
          <w:sz w:val="26"/>
          <w:szCs w:val="26"/>
        </w:rPr>
        <w:t>burden of proof</w:t>
      </w:r>
      <w:r w:rsidR="00D64DAA" w:rsidRPr="00AC5D15">
        <w:rPr>
          <w:spacing w:val="-3"/>
          <w:sz w:val="26"/>
          <w:szCs w:val="26"/>
        </w:rPr>
        <w:t>”</w:t>
      </w:r>
      <w:r w:rsidRPr="00AC5D15">
        <w:rPr>
          <w:spacing w:val="-3"/>
          <w:sz w:val="26"/>
          <w:szCs w:val="26"/>
        </w:rPr>
        <w:t xml:space="preserve"> is composed of two distinct burdens: the burden of production and the burden of persuasion.  </w:t>
      </w:r>
      <w:r w:rsidRPr="00AC5D15">
        <w:rPr>
          <w:i/>
          <w:spacing w:val="-3"/>
          <w:sz w:val="26"/>
          <w:szCs w:val="26"/>
        </w:rPr>
        <w:t>Hurley v. Hurley</w:t>
      </w:r>
      <w:r w:rsidRPr="00AC5D15">
        <w:rPr>
          <w:spacing w:val="-3"/>
          <w:sz w:val="26"/>
          <w:szCs w:val="26"/>
        </w:rPr>
        <w:t>, 754 A.2d 1283 (</w:t>
      </w:r>
      <w:r w:rsidR="00F93BF4" w:rsidRPr="00AC5D15">
        <w:rPr>
          <w:spacing w:val="-3"/>
          <w:sz w:val="26"/>
          <w:szCs w:val="26"/>
        </w:rPr>
        <w:t xml:space="preserve">Pa. Super </w:t>
      </w:r>
      <w:r w:rsidRPr="00AC5D15">
        <w:rPr>
          <w:spacing w:val="-3"/>
          <w:sz w:val="26"/>
          <w:szCs w:val="26"/>
        </w:rPr>
        <w:t>2000).</w:t>
      </w:r>
    </w:p>
    <w:p w:rsidR="006D41D8" w:rsidRPr="00AC5D15" w:rsidRDefault="006D41D8" w:rsidP="00B05E0D">
      <w:pPr>
        <w:jc w:val="left"/>
        <w:rPr>
          <w:spacing w:val="-3"/>
          <w:sz w:val="26"/>
        </w:rPr>
      </w:pPr>
    </w:p>
    <w:p w:rsidR="002F23BD" w:rsidRPr="00AC5D15" w:rsidRDefault="002F23BD" w:rsidP="00B05E0D">
      <w:pPr>
        <w:tabs>
          <w:tab w:val="left" w:pos="-1440"/>
          <w:tab w:val="left" w:pos="-720"/>
        </w:tabs>
        <w:suppressAutoHyphens/>
        <w:ind w:firstLine="1440"/>
        <w:jc w:val="left"/>
        <w:rPr>
          <w:spacing w:val="-3"/>
          <w:sz w:val="26"/>
          <w:szCs w:val="26"/>
        </w:rPr>
      </w:pPr>
      <w:r w:rsidRPr="00AC5D15">
        <w:rPr>
          <w:spacing w:val="-3"/>
          <w:sz w:val="26"/>
          <w:szCs w:val="26"/>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w:t>
      </w:r>
      <w:r w:rsidR="00F93BF4" w:rsidRPr="00AC5D15">
        <w:rPr>
          <w:spacing w:val="-3"/>
          <w:sz w:val="26"/>
          <w:szCs w:val="26"/>
        </w:rPr>
        <w:t>,</w:t>
      </w:r>
      <w:r w:rsidRPr="00AC5D15">
        <w:rPr>
          <w:spacing w:val="-3"/>
          <w:sz w:val="26"/>
          <w:szCs w:val="26"/>
        </w:rPr>
        <w:t xml:space="preserve"> the opposing party is entitled to receive a favorable ruling.  That is, the opposing party would be entitled to a compulsory nonsuit, a directed verdict, or a judgment notwithstanding the verdict.  </w:t>
      </w:r>
      <w:r w:rsidR="00BF36DD" w:rsidRPr="00AC5D15">
        <w:rPr>
          <w:spacing w:val="-3"/>
          <w:sz w:val="26"/>
          <w:szCs w:val="26"/>
        </w:rPr>
        <w:t xml:space="preserve">Once the party with the initial burden of production introduces sufficient evidence to make out a </w:t>
      </w:r>
      <w:r w:rsidR="00BF36DD" w:rsidRPr="00AC5D15">
        <w:rPr>
          <w:i/>
          <w:spacing w:val="-3"/>
          <w:sz w:val="26"/>
          <w:szCs w:val="26"/>
        </w:rPr>
        <w:t>prima facie</w:t>
      </w:r>
      <w:r w:rsidR="00BF36DD" w:rsidRPr="00AC5D15">
        <w:rPr>
          <w:spacing w:val="-3"/>
          <w:sz w:val="26"/>
          <w:szCs w:val="26"/>
        </w:rPr>
        <w:t xml:space="preserve"> case, the burden of production shifts to the opposing party.  </w:t>
      </w:r>
      <w:r w:rsidRPr="00AC5D15">
        <w:rPr>
          <w:spacing w:val="-3"/>
          <w:sz w:val="26"/>
          <w:szCs w:val="26"/>
        </w:rPr>
        <w:t>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w:t>
      </w:r>
      <w:r w:rsidR="00D64DAA" w:rsidRPr="00AC5D15">
        <w:rPr>
          <w:spacing w:val="-3"/>
          <w:sz w:val="26"/>
          <w:szCs w:val="26"/>
        </w:rPr>
        <w:t>’</w:t>
      </w:r>
      <w:r w:rsidRPr="00AC5D15">
        <w:rPr>
          <w:spacing w:val="-3"/>
          <w:sz w:val="26"/>
          <w:szCs w:val="26"/>
        </w:rPr>
        <w:t>s case.</w:t>
      </w:r>
    </w:p>
    <w:p w:rsidR="008D210D" w:rsidRPr="00AC5D15" w:rsidRDefault="008D210D" w:rsidP="00B05E0D">
      <w:pPr>
        <w:tabs>
          <w:tab w:val="left" w:pos="-1440"/>
          <w:tab w:val="left" w:pos="-720"/>
        </w:tabs>
        <w:suppressAutoHyphens/>
        <w:ind w:firstLine="1440"/>
        <w:jc w:val="left"/>
        <w:rPr>
          <w:spacing w:val="-3"/>
          <w:sz w:val="26"/>
          <w:szCs w:val="26"/>
        </w:rPr>
      </w:pPr>
    </w:p>
    <w:p w:rsidR="002F23BD" w:rsidRPr="00AC5D15" w:rsidRDefault="002F23BD" w:rsidP="00B05E0D">
      <w:pPr>
        <w:tabs>
          <w:tab w:val="left" w:pos="-1440"/>
          <w:tab w:val="left" w:pos="-720"/>
        </w:tabs>
        <w:suppressAutoHyphens/>
        <w:ind w:firstLine="1440"/>
        <w:jc w:val="left"/>
        <w:rPr>
          <w:spacing w:val="-3"/>
          <w:sz w:val="26"/>
          <w:szCs w:val="26"/>
        </w:rPr>
      </w:pPr>
      <w:r w:rsidRPr="00AC5D15">
        <w:rPr>
          <w:spacing w:val="-3"/>
          <w:sz w:val="26"/>
          <w:szCs w:val="26"/>
        </w:rPr>
        <w:t>Having passed the test of legal sufficiency, the part</w:t>
      </w:r>
      <w:r w:rsidR="00F93BF4" w:rsidRPr="00AC5D15">
        <w:rPr>
          <w:spacing w:val="-3"/>
          <w:sz w:val="26"/>
          <w:szCs w:val="26"/>
        </w:rPr>
        <w:t xml:space="preserve">y with the burden of proof </w:t>
      </w:r>
      <w:r w:rsidRPr="00AC5D15">
        <w:rPr>
          <w:spacing w:val="-3"/>
          <w:sz w:val="26"/>
          <w:szCs w:val="26"/>
        </w:rPr>
        <w:t>then bear</w:t>
      </w:r>
      <w:r w:rsidR="00F93BF4" w:rsidRPr="00AC5D15">
        <w:rPr>
          <w:spacing w:val="-3"/>
          <w:sz w:val="26"/>
          <w:szCs w:val="26"/>
        </w:rPr>
        <w:t>s</w:t>
      </w:r>
      <w:r w:rsidRPr="00AC5D15">
        <w:rPr>
          <w:spacing w:val="-3"/>
          <w:sz w:val="26"/>
          <w:szCs w:val="26"/>
        </w:rPr>
        <w:t xml:space="preserve"> the burden of persuasion to be entitled to a verdict in his favor.  </w:t>
      </w:r>
      <w:r w:rsidR="00D64DAA" w:rsidRPr="00AC5D15">
        <w:rPr>
          <w:spacing w:val="-3"/>
          <w:sz w:val="26"/>
          <w:szCs w:val="26"/>
        </w:rPr>
        <w:t>“</w:t>
      </w:r>
      <w:r w:rsidRPr="00AC5D15">
        <w:rPr>
          <w:spacing w:val="-3"/>
          <w:sz w:val="26"/>
          <w:szCs w:val="26"/>
        </w:rPr>
        <w:t>[T]he burden of persuasion never leaves the party on whom it is originally cast, but the burden of production may shift during the course of the proceedings.</w:t>
      </w:r>
      <w:r w:rsidR="00D64DAA" w:rsidRPr="00AC5D15">
        <w:rPr>
          <w:spacing w:val="-3"/>
          <w:sz w:val="26"/>
          <w:szCs w:val="26"/>
        </w:rPr>
        <w:t>”</w:t>
      </w:r>
      <w:r w:rsidRPr="00AC5D15">
        <w:rPr>
          <w:spacing w:val="-3"/>
          <w:sz w:val="26"/>
          <w:szCs w:val="26"/>
        </w:rPr>
        <w:t xml:space="preserve">  </w:t>
      </w:r>
      <w:r w:rsidRPr="00AC5D15">
        <w:rPr>
          <w:i/>
          <w:spacing w:val="-3"/>
          <w:sz w:val="26"/>
          <w:szCs w:val="26"/>
        </w:rPr>
        <w:t>Riedel v. County of Allegheny</w:t>
      </w:r>
      <w:r w:rsidRPr="00AC5D15">
        <w:rPr>
          <w:spacing w:val="-3"/>
          <w:sz w:val="26"/>
          <w:szCs w:val="26"/>
        </w:rPr>
        <w:t>, 633 A.2d 1325; 1328 n. 11 (</w:t>
      </w:r>
      <w:r w:rsidR="00F93BF4" w:rsidRPr="00AC5D15">
        <w:rPr>
          <w:spacing w:val="-3"/>
          <w:sz w:val="26"/>
          <w:szCs w:val="26"/>
        </w:rPr>
        <w:t xml:space="preserve">Pa. Cmwlth. </w:t>
      </w:r>
      <w:r w:rsidRPr="00AC5D15">
        <w:rPr>
          <w:spacing w:val="-3"/>
          <w:sz w:val="26"/>
          <w:szCs w:val="26"/>
        </w:rPr>
        <w:t>1993).  The burden of persuasion, usually placed on the complainant, applicant, or petitioner</w:t>
      </w:r>
      <w:r w:rsidRPr="00AC5D15">
        <w:rPr>
          <w:rStyle w:val="FootnoteReference"/>
          <w:spacing w:val="-3"/>
          <w:sz w:val="26"/>
          <w:szCs w:val="26"/>
        </w:rPr>
        <w:footnoteReference w:id="2"/>
      </w:r>
      <w:r w:rsidRPr="00AC5D15">
        <w:rPr>
          <w:spacing w:val="-3"/>
          <w:sz w:val="26"/>
          <w:szCs w:val="26"/>
        </w:rPr>
        <w:t xml:space="preserve">, determines which party must produce sufficient evidence to meet the applicable standard of proof.  </w:t>
      </w:r>
      <w:r w:rsidRPr="00AC5D15">
        <w:rPr>
          <w:i/>
          <w:spacing w:val="-3"/>
          <w:sz w:val="26"/>
          <w:szCs w:val="26"/>
        </w:rPr>
        <w:t>Hurley v. Hurley</w:t>
      </w:r>
      <w:r w:rsidRPr="00AC5D15">
        <w:rPr>
          <w:spacing w:val="-3"/>
          <w:sz w:val="26"/>
          <w:szCs w:val="26"/>
        </w:rPr>
        <w:t>, 754 A.2d 1283 (</w:t>
      </w:r>
      <w:r w:rsidR="00F93BF4" w:rsidRPr="00AC5D15">
        <w:rPr>
          <w:spacing w:val="-3"/>
          <w:sz w:val="26"/>
          <w:szCs w:val="26"/>
        </w:rPr>
        <w:t xml:space="preserve">Pa. Super </w:t>
      </w:r>
      <w:r w:rsidRPr="00AC5D15">
        <w:rPr>
          <w:spacing w:val="-3"/>
          <w:sz w:val="26"/>
          <w:szCs w:val="26"/>
        </w:rPr>
        <w:t xml:space="preserve">2000).  It is entirely possible for a party to successfully bear the burden of production but not be entitled to a verdict in his favor because the party did not bear the burden of </w:t>
      </w:r>
      <w:r w:rsidRPr="00AC5D15">
        <w:rPr>
          <w:spacing w:val="-3"/>
          <w:sz w:val="26"/>
          <w:szCs w:val="26"/>
        </w:rPr>
        <w:lastRenderedPageBreak/>
        <w:t xml:space="preserve">persuasion.  Unlike the burden of production, the burden of persuasion includes determinations of credibility and acceptance or rejection of inferences.  Even unrebutted evidence may be disbelieved.  </w:t>
      </w:r>
      <w:r w:rsidRPr="00AC5D15">
        <w:rPr>
          <w:i/>
          <w:spacing w:val="-3"/>
          <w:sz w:val="26"/>
          <w:szCs w:val="26"/>
        </w:rPr>
        <w:t>Suber v. Pa. Comm</w:t>
      </w:r>
      <w:r w:rsidR="00D64DAA" w:rsidRPr="00AC5D15">
        <w:rPr>
          <w:i/>
          <w:spacing w:val="-3"/>
          <w:sz w:val="26"/>
          <w:szCs w:val="26"/>
        </w:rPr>
        <w:t>’</w:t>
      </w:r>
      <w:r w:rsidRPr="00AC5D15">
        <w:rPr>
          <w:i/>
          <w:spacing w:val="-3"/>
          <w:sz w:val="26"/>
          <w:szCs w:val="26"/>
        </w:rPr>
        <w:t>n on Crime and Delinquency</w:t>
      </w:r>
      <w:r w:rsidRPr="00AC5D15">
        <w:rPr>
          <w:spacing w:val="-3"/>
          <w:sz w:val="26"/>
          <w:szCs w:val="26"/>
        </w:rPr>
        <w:t xml:space="preserve">, 885 A.2d 678 (Pa.Cmwlth. 2005), </w:t>
      </w:r>
      <w:r w:rsidRPr="00AC5D15">
        <w:rPr>
          <w:i/>
          <w:spacing w:val="-3"/>
          <w:sz w:val="26"/>
          <w:szCs w:val="26"/>
        </w:rPr>
        <w:t>app. denied</w:t>
      </w:r>
      <w:r w:rsidRPr="00AC5D15">
        <w:rPr>
          <w:spacing w:val="-3"/>
          <w:sz w:val="26"/>
          <w:szCs w:val="26"/>
        </w:rPr>
        <w:t>, 586 Pa. 776, 895 A.2d 1264 (2006).  In order to bear the burden of proof and be entitled to a decision in his favor, a party must bear both the burden of production and the burden of persuasion.</w:t>
      </w:r>
    </w:p>
    <w:p w:rsidR="00AE0CFB" w:rsidRPr="00AC5D15" w:rsidRDefault="00AE0CFB" w:rsidP="00B05E0D">
      <w:pPr>
        <w:tabs>
          <w:tab w:val="left" w:pos="-1440"/>
          <w:tab w:val="left" w:pos="-720"/>
        </w:tabs>
        <w:suppressAutoHyphens/>
        <w:ind w:firstLine="1440"/>
        <w:jc w:val="left"/>
        <w:rPr>
          <w:spacing w:val="-3"/>
          <w:sz w:val="26"/>
          <w:szCs w:val="26"/>
        </w:rPr>
      </w:pPr>
    </w:p>
    <w:p w:rsidR="002F23BD" w:rsidRPr="00AC5D15" w:rsidRDefault="00E03935" w:rsidP="00B05E0D">
      <w:pPr>
        <w:keepNext/>
        <w:ind w:firstLine="720"/>
        <w:contextualSpacing/>
        <w:jc w:val="left"/>
        <w:rPr>
          <w:b/>
          <w:sz w:val="26"/>
          <w:szCs w:val="26"/>
        </w:rPr>
      </w:pPr>
      <w:r w:rsidRPr="00AC5D15">
        <w:rPr>
          <w:b/>
          <w:sz w:val="26"/>
          <w:szCs w:val="26"/>
        </w:rPr>
        <w:t>1</w:t>
      </w:r>
      <w:r w:rsidR="00AE0CFB" w:rsidRPr="00AC5D15">
        <w:rPr>
          <w:b/>
          <w:sz w:val="26"/>
          <w:szCs w:val="26"/>
        </w:rPr>
        <w:t>.</w:t>
      </w:r>
      <w:r w:rsidR="00AE0CFB" w:rsidRPr="00AC5D15">
        <w:rPr>
          <w:b/>
          <w:sz w:val="26"/>
          <w:szCs w:val="26"/>
        </w:rPr>
        <w:tab/>
        <w:t>Positions of the Parties</w:t>
      </w:r>
    </w:p>
    <w:p w:rsidR="00AE0CFB" w:rsidRPr="00AC5D15" w:rsidRDefault="00AE0CFB" w:rsidP="00B05E0D">
      <w:pPr>
        <w:keepNext/>
        <w:contextualSpacing/>
        <w:jc w:val="left"/>
        <w:rPr>
          <w:b/>
          <w:sz w:val="26"/>
        </w:rPr>
      </w:pPr>
    </w:p>
    <w:p w:rsidR="00FC786C" w:rsidRPr="00AC5D15" w:rsidRDefault="00FC786C" w:rsidP="00B05E0D">
      <w:pPr>
        <w:contextualSpacing/>
        <w:jc w:val="left"/>
        <w:rPr>
          <w:sz w:val="26"/>
          <w:szCs w:val="26"/>
        </w:rPr>
      </w:pPr>
      <w:r w:rsidRPr="00AC5D15">
        <w:rPr>
          <w:sz w:val="26"/>
        </w:rPr>
        <w:tab/>
      </w:r>
      <w:r w:rsidRPr="00AC5D15">
        <w:rPr>
          <w:sz w:val="26"/>
        </w:rPr>
        <w:tab/>
      </w:r>
      <w:r w:rsidR="00A00584" w:rsidRPr="00AC5D15">
        <w:rPr>
          <w:sz w:val="26"/>
          <w:szCs w:val="26"/>
        </w:rPr>
        <w:t xml:space="preserve">PPL </w:t>
      </w:r>
      <w:r w:rsidR="00736E1D" w:rsidRPr="00AC5D15">
        <w:rPr>
          <w:sz w:val="26"/>
          <w:szCs w:val="26"/>
        </w:rPr>
        <w:t>avers that t</w:t>
      </w:r>
      <w:r w:rsidRPr="00AC5D15">
        <w:rPr>
          <w:sz w:val="26"/>
          <w:szCs w:val="26"/>
        </w:rPr>
        <w:t>he OSBA</w:t>
      </w:r>
      <w:r w:rsidR="00714F23" w:rsidRPr="00AC5D15">
        <w:rPr>
          <w:sz w:val="26"/>
          <w:szCs w:val="26"/>
        </w:rPr>
        <w:t xml:space="preserve"> has</w:t>
      </w:r>
      <w:r w:rsidR="00736E1D" w:rsidRPr="00AC5D15">
        <w:rPr>
          <w:sz w:val="26"/>
          <w:szCs w:val="26"/>
        </w:rPr>
        <w:t xml:space="preserve"> the burden of proving both of the issues it has raised:</w:t>
      </w:r>
      <w:r w:rsidR="00A00584" w:rsidRPr="00AC5D15">
        <w:rPr>
          <w:sz w:val="26"/>
          <w:szCs w:val="26"/>
        </w:rPr>
        <w:t xml:space="preserve"> that PPL</w:t>
      </w:r>
      <w:r w:rsidR="00D64DAA" w:rsidRPr="00AC5D15">
        <w:rPr>
          <w:sz w:val="26"/>
          <w:szCs w:val="26"/>
        </w:rPr>
        <w:t>’</w:t>
      </w:r>
      <w:r w:rsidR="00A00584" w:rsidRPr="00AC5D15">
        <w:rPr>
          <w:sz w:val="26"/>
          <w:szCs w:val="26"/>
        </w:rPr>
        <w:t xml:space="preserve">s </w:t>
      </w:r>
      <w:r w:rsidRPr="00AC5D15">
        <w:rPr>
          <w:sz w:val="26"/>
          <w:szCs w:val="26"/>
        </w:rPr>
        <w:t>Section 1307(e) reconciliation methodology under its Commission-approved tariff is unreasonable</w:t>
      </w:r>
      <w:r w:rsidR="00736E1D" w:rsidRPr="00AC5D15">
        <w:rPr>
          <w:sz w:val="26"/>
          <w:szCs w:val="26"/>
        </w:rPr>
        <w:t>; and</w:t>
      </w:r>
      <w:r w:rsidR="00A00584" w:rsidRPr="00AC5D15">
        <w:rPr>
          <w:sz w:val="26"/>
          <w:szCs w:val="26"/>
        </w:rPr>
        <w:t xml:space="preserve"> that PPL</w:t>
      </w:r>
      <w:r w:rsidR="00D64DAA" w:rsidRPr="00AC5D15">
        <w:rPr>
          <w:sz w:val="26"/>
          <w:szCs w:val="26"/>
        </w:rPr>
        <w:t>’</w:t>
      </w:r>
      <w:r w:rsidRPr="00AC5D15">
        <w:rPr>
          <w:sz w:val="26"/>
          <w:szCs w:val="26"/>
        </w:rPr>
        <w:t xml:space="preserve">s reported </w:t>
      </w:r>
      <w:r w:rsidR="00BF36DD" w:rsidRPr="00AC5D15">
        <w:rPr>
          <w:sz w:val="26"/>
          <w:szCs w:val="26"/>
        </w:rPr>
        <w:t>under collection</w:t>
      </w:r>
      <w:r w:rsidRPr="00AC5D15">
        <w:rPr>
          <w:sz w:val="26"/>
          <w:szCs w:val="26"/>
        </w:rPr>
        <w:t xml:space="preserve"> for 2010 is incorrect.</w:t>
      </w:r>
      <w:r w:rsidR="00F93BF4" w:rsidRPr="00AC5D15">
        <w:rPr>
          <w:sz w:val="26"/>
          <w:szCs w:val="26"/>
        </w:rPr>
        <w:t xml:space="preserve">  PPL argues as follows:</w:t>
      </w:r>
      <w:r w:rsidRPr="00AC5D15">
        <w:rPr>
          <w:sz w:val="26"/>
          <w:szCs w:val="26"/>
        </w:rPr>
        <w:t xml:space="preserve">  </w:t>
      </w:r>
    </w:p>
    <w:p w:rsidR="00FC786C" w:rsidRPr="00AC5D15" w:rsidRDefault="00FC786C" w:rsidP="00B05E0D">
      <w:pPr>
        <w:pStyle w:val="BodyText2"/>
        <w:spacing w:line="240" w:lineRule="auto"/>
        <w:contextualSpacing/>
        <w:rPr>
          <w:sz w:val="26"/>
          <w:szCs w:val="26"/>
        </w:rPr>
      </w:pPr>
    </w:p>
    <w:p w:rsidR="00FC786C" w:rsidRPr="00AC5D15" w:rsidRDefault="00FC786C" w:rsidP="00B05E0D">
      <w:pPr>
        <w:pStyle w:val="BodyText2"/>
        <w:spacing w:line="240" w:lineRule="auto"/>
        <w:ind w:left="1440" w:right="1440" w:firstLine="0"/>
        <w:contextualSpacing/>
        <w:jc w:val="left"/>
        <w:rPr>
          <w:sz w:val="26"/>
          <w:szCs w:val="26"/>
        </w:rPr>
      </w:pPr>
      <w:r w:rsidRPr="00AC5D15">
        <w:rPr>
          <w:sz w:val="26"/>
          <w:szCs w:val="26"/>
        </w:rPr>
        <w:t xml:space="preserve">Tariffs that have been approved by the Commission have the force of law and are binding on both the utility and its customers.  </w:t>
      </w:r>
      <w:r w:rsidRPr="00AC5D15">
        <w:rPr>
          <w:i/>
          <w:sz w:val="26"/>
          <w:szCs w:val="26"/>
        </w:rPr>
        <w:t>Brockway Glass Co. v. Pa. P.U.C.</w:t>
      </w:r>
      <w:r w:rsidRPr="00AC5D15">
        <w:rPr>
          <w:sz w:val="26"/>
          <w:szCs w:val="26"/>
        </w:rPr>
        <w:t xml:space="preserve">, 63 Pa. Cmwlth. 238, 437 A.2d 1067 (1981); </w:t>
      </w:r>
      <w:r w:rsidRPr="00AC5D15">
        <w:rPr>
          <w:i/>
          <w:sz w:val="26"/>
          <w:szCs w:val="26"/>
        </w:rPr>
        <w:t>Behrend v. Bell Telephone Co.</w:t>
      </w:r>
      <w:r w:rsidRPr="00AC5D15">
        <w:rPr>
          <w:sz w:val="26"/>
          <w:szCs w:val="26"/>
        </w:rPr>
        <w:t xml:space="preserve">, 242 Pa. Super. 47, 363 A.2d 1152 (1976).  The burden of proving that an existing tariff provision is unreasonable or discriminatory is on the complainant.  </w:t>
      </w:r>
      <w:r w:rsidRPr="00AC5D15">
        <w:rPr>
          <w:i/>
          <w:sz w:val="26"/>
          <w:szCs w:val="26"/>
        </w:rPr>
        <w:t>Paul Kossman t/a Kossman Dev. Co. v. Pa. P.U.C.</w:t>
      </w:r>
      <w:r w:rsidRPr="00AC5D15">
        <w:rPr>
          <w:sz w:val="26"/>
          <w:szCs w:val="26"/>
        </w:rPr>
        <w:t>, 694 A.2d 1147 (Pa. Cmwlth. 1997) (</w:t>
      </w:r>
      <w:r w:rsidR="00D64DAA" w:rsidRPr="00AC5D15">
        <w:rPr>
          <w:sz w:val="26"/>
          <w:szCs w:val="26"/>
        </w:rPr>
        <w:t>“</w:t>
      </w:r>
      <w:r w:rsidRPr="00AC5D15">
        <w:rPr>
          <w:i/>
          <w:sz w:val="26"/>
          <w:szCs w:val="26"/>
        </w:rPr>
        <w:t>Kossman</w:t>
      </w:r>
      <w:r w:rsidR="00D64DAA" w:rsidRPr="00AC5D15">
        <w:rPr>
          <w:sz w:val="26"/>
          <w:szCs w:val="26"/>
        </w:rPr>
        <w:t>”</w:t>
      </w:r>
      <w:r w:rsidRPr="00AC5D15">
        <w:rPr>
          <w:sz w:val="26"/>
          <w:szCs w:val="26"/>
        </w:rPr>
        <w:t xml:space="preserve">).  In </w:t>
      </w:r>
      <w:r w:rsidRPr="00AC5D15">
        <w:rPr>
          <w:i/>
          <w:sz w:val="26"/>
          <w:szCs w:val="26"/>
        </w:rPr>
        <w:t>Kossman</w:t>
      </w:r>
      <w:r w:rsidRPr="00AC5D15">
        <w:rPr>
          <w:sz w:val="26"/>
          <w:szCs w:val="26"/>
        </w:rPr>
        <w:t>, the Commonwealth Court further stated as follows:</w:t>
      </w:r>
    </w:p>
    <w:p w:rsidR="00FC786C" w:rsidRPr="00AC5D15" w:rsidRDefault="00FC786C" w:rsidP="00B05E0D">
      <w:pPr>
        <w:pStyle w:val="BodyText2"/>
        <w:spacing w:line="240" w:lineRule="auto"/>
        <w:ind w:left="1440" w:right="1440" w:firstLine="0"/>
        <w:contextualSpacing/>
        <w:rPr>
          <w:sz w:val="26"/>
          <w:szCs w:val="26"/>
        </w:rPr>
      </w:pPr>
    </w:p>
    <w:p w:rsidR="00FC786C" w:rsidRPr="00AC5D15" w:rsidRDefault="00FC786C" w:rsidP="00B05E0D">
      <w:pPr>
        <w:pStyle w:val="BlockText"/>
        <w:spacing w:after="0"/>
        <w:contextualSpacing/>
        <w:jc w:val="left"/>
        <w:rPr>
          <w:sz w:val="26"/>
          <w:szCs w:val="26"/>
        </w:rPr>
      </w:pPr>
      <w:r w:rsidRPr="00AC5D15">
        <w:rPr>
          <w:sz w:val="26"/>
          <w:szCs w:val="26"/>
        </w:rPr>
        <w:t xml:space="preserve">This burden is very heavy because tariff provisions that have been properly submitted to and approved by the Commission are </w:t>
      </w:r>
      <w:r w:rsidRPr="00AC5D15">
        <w:rPr>
          <w:i/>
          <w:sz w:val="26"/>
          <w:szCs w:val="26"/>
        </w:rPr>
        <w:t>prima facie</w:t>
      </w:r>
      <w:r w:rsidRPr="00AC5D15">
        <w:rPr>
          <w:sz w:val="26"/>
          <w:szCs w:val="26"/>
        </w:rPr>
        <w:t xml:space="preserve"> reasonable.  </w:t>
      </w:r>
      <w:r w:rsidRPr="00AC5D15">
        <w:rPr>
          <w:i/>
          <w:sz w:val="26"/>
          <w:szCs w:val="26"/>
        </w:rPr>
        <w:t>Shenango Township Board of Supervisors v. Pa. P.U.C.</w:t>
      </w:r>
      <w:r w:rsidRPr="00AC5D15">
        <w:rPr>
          <w:sz w:val="26"/>
          <w:szCs w:val="26"/>
        </w:rPr>
        <w:t>, 686 A.2d 910, 914 (Pa. Cmwlth. 1996).</w:t>
      </w:r>
    </w:p>
    <w:p w:rsidR="00F93BF4" w:rsidRPr="00AC5D15" w:rsidRDefault="00F93BF4" w:rsidP="00B05E0D">
      <w:pPr>
        <w:pStyle w:val="BlockText"/>
        <w:spacing w:after="0"/>
        <w:contextualSpacing/>
        <w:jc w:val="left"/>
        <w:rPr>
          <w:sz w:val="26"/>
          <w:szCs w:val="26"/>
        </w:rPr>
      </w:pPr>
    </w:p>
    <w:p w:rsidR="008260ED" w:rsidRPr="00AC5D15" w:rsidRDefault="008260ED" w:rsidP="00B05E0D">
      <w:pPr>
        <w:pStyle w:val="BlockText"/>
        <w:spacing w:after="0" w:line="360" w:lineRule="auto"/>
        <w:ind w:left="0"/>
        <w:contextualSpacing/>
        <w:jc w:val="left"/>
        <w:rPr>
          <w:sz w:val="26"/>
          <w:szCs w:val="26"/>
        </w:rPr>
      </w:pPr>
      <w:r w:rsidRPr="00AC5D15">
        <w:rPr>
          <w:sz w:val="26"/>
          <w:szCs w:val="26"/>
        </w:rPr>
        <w:t>PPL M.B. at 10.</w:t>
      </w:r>
    </w:p>
    <w:p w:rsidR="0038475C" w:rsidRPr="00AC5D15" w:rsidRDefault="0038475C" w:rsidP="00B05E0D">
      <w:pPr>
        <w:pStyle w:val="BlockText"/>
        <w:spacing w:after="0" w:line="360" w:lineRule="auto"/>
        <w:contextualSpacing/>
        <w:jc w:val="left"/>
        <w:rPr>
          <w:sz w:val="26"/>
          <w:szCs w:val="26"/>
        </w:rPr>
      </w:pPr>
    </w:p>
    <w:p w:rsidR="00FC786C" w:rsidRPr="00AC5D15" w:rsidRDefault="00FC786C" w:rsidP="00B05E0D">
      <w:pPr>
        <w:pStyle w:val="BodyText2"/>
        <w:spacing w:line="360" w:lineRule="auto"/>
        <w:ind w:firstLine="1440"/>
        <w:contextualSpacing/>
        <w:jc w:val="left"/>
        <w:rPr>
          <w:sz w:val="26"/>
          <w:szCs w:val="26"/>
        </w:rPr>
      </w:pPr>
      <w:r w:rsidRPr="00AC5D15">
        <w:rPr>
          <w:sz w:val="26"/>
          <w:szCs w:val="26"/>
        </w:rPr>
        <w:t xml:space="preserve">In this proceeding, the </w:t>
      </w:r>
      <w:r w:rsidR="00A00584" w:rsidRPr="00AC5D15">
        <w:rPr>
          <w:sz w:val="26"/>
          <w:szCs w:val="26"/>
        </w:rPr>
        <w:t>OSBA is challenging PPL</w:t>
      </w:r>
      <w:r w:rsidR="00D64DAA" w:rsidRPr="00AC5D15">
        <w:rPr>
          <w:sz w:val="26"/>
          <w:szCs w:val="26"/>
        </w:rPr>
        <w:t>’</w:t>
      </w:r>
      <w:r w:rsidRPr="00AC5D15">
        <w:rPr>
          <w:sz w:val="26"/>
          <w:szCs w:val="26"/>
        </w:rPr>
        <w:t>s Section 1307(e) cost recovery mechanism</w:t>
      </w:r>
      <w:r w:rsidR="00F93BF4" w:rsidRPr="00AC5D15">
        <w:rPr>
          <w:sz w:val="26"/>
          <w:szCs w:val="26"/>
        </w:rPr>
        <w:t>,</w:t>
      </w:r>
      <w:r w:rsidRPr="00AC5D15">
        <w:rPr>
          <w:sz w:val="26"/>
          <w:szCs w:val="26"/>
        </w:rPr>
        <w:t xml:space="preserve"> </w:t>
      </w:r>
      <w:r w:rsidR="00223CD0" w:rsidRPr="00AC5D15">
        <w:rPr>
          <w:sz w:val="26"/>
          <w:szCs w:val="26"/>
        </w:rPr>
        <w:t xml:space="preserve">which </w:t>
      </w:r>
      <w:r w:rsidRPr="00AC5D15">
        <w:rPr>
          <w:sz w:val="26"/>
          <w:szCs w:val="26"/>
        </w:rPr>
        <w:t>was approved b</w:t>
      </w:r>
      <w:r w:rsidR="00A00584" w:rsidRPr="00AC5D15">
        <w:rPr>
          <w:sz w:val="26"/>
          <w:szCs w:val="26"/>
        </w:rPr>
        <w:t>y the Commission in PPL</w:t>
      </w:r>
      <w:r w:rsidR="00D64DAA" w:rsidRPr="00AC5D15">
        <w:rPr>
          <w:sz w:val="26"/>
          <w:szCs w:val="26"/>
        </w:rPr>
        <w:t>’</w:t>
      </w:r>
      <w:r w:rsidRPr="00AC5D15">
        <w:rPr>
          <w:sz w:val="26"/>
          <w:szCs w:val="26"/>
        </w:rPr>
        <w:t>s P</w:t>
      </w:r>
      <w:r w:rsidR="00342AEB" w:rsidRPr="00AC5D15">
        <w:rPr>
          <w:sz w:val="26"/>
          <w:szCs w:val="26"/>
        </w:rPr>
        <w:t xml:space="preserve">rovider of </w:t>
      </w:r>
      <w:r w:rsidRPr="00AC5D15">
        <w:rPr>
          <w:sz w:val="26"/>
          <w:szCs w:val="26"/>
        </w:rPr>
        <w:t>L</w:t>
      </w:r>
      <w:r w:rsidR="00342AEB" w:rsidRPr="00AC5D15">
        <w:rPr>
          <w:sz w:val="26"/>
          <w:szCs w:val="26"/>
        </w:rPr>
        <w:t xml:space="preserve">ast </w:t>
      </w:r>
      <w:r w:rsidRPr="00AC5D15">
        <w:rPr>
          <w:sz w:val="26"/>
          <w:szCs w:val="26"/>
        </w:rPr>
        <w:lastRenderedPageBreak/>
        <w:t>R</w:t>
      </w:r>
      <w:r w:rsidR="00342AEB" w:rsidRPr="00AC5D15">
        <w:rPr>
          <w:sz w:val="26"/>
          <w:szCs w:val="26"/>
        </w:rPr>
        <w:t>esort</w:t>
      </w:r>
      <w:r w:rsidRPr="00AC5D15">
        <w:rPr>
          <w:sz w:val="26"/>
          <w:szCs w:val="26"/>
        </w:rPr>
        <w:t xml:space="preserve"> </w:t>
      </w:r>
      <w:r w:rsidR="00234DA8" w:rsidRPr="00AC5D15">
        <w:rPr>
          <w:sz w:val="26"/>
          <w:szCs w:val="26"/>
        </w:rPr>
        <w:t xml:space="preserve">II proceeding.  </w:t>
      </w:r>
      <w:r w:rsidR="00A00584" w:rsidRPr="00AC5D15">
        <w:rPr>
          <w:sz w:val="26"/>
          <w:szCs w:val="26"/>
        </w:rPr>
        <w:t>PPL St. 1 at</w:t>
      </w:r>
      <w:r w:rsidRPr="00AC5D15">
        <w:rPr>
          <w:sz w:val="26"/>
          <w:szCs w:val="26"/>
        </w:rPr>
        <w:t xml:space="preserve"> 5-6.  The</w:t>
      </w:r>
      <w:r w:rsidR="00A00584" w:rsidRPr="00AC5D15">
        <w:rPr>
          <w:sz w:val="26"/>
          <w:szCs w:val="26"/>
        </w:rPr>
        <w:t xml:space="preserve">refore, PPL </w:t>
      </w:r>
      <w:r w:rsidR="00223CD0" w:rsidRPr="00AC5D15">
        <w:rPr>
          <w:sz w:val="26"/>
          <w:szCs w:val="26"/>
        </w:rPr>
        <w:t>states that</w:t>
      </w:r>
      <w:r w:rsidRPr="00AC5D15">
        <w:rPr>
          <w:sz w:val="26"/>
          <w:szCs w:val="26"/>
        </w:rPr>
        <w:t xml:space="preserve"> </w:t>
      </w:r>
      <w:r w:rsidR="00A00584" w:rsidRPr="00AC5D15">
        <w:rPr>
          <w:sz w:val="26"/>
          <w:szCs w:val="26"/>
        </w:rPr>
        <w:t xml:space="preserve">the OSBA has a </w:t>
      </w:r>
      <w:r w:rsidRPr="00AC5D15">
        <w:rPr>
          <w:sz w:val="26"/>
          <w:szCs w:val="26"/>
        </w:rPr>
        <w:t>heavy bur</w:t>
      </w:r>
      <w:r w:rsidR="00A00584" w:rsidRPr="00AC5D15">
        <w:rPr>
          <w:sz w:val="26"/>
          <w:szCs w:val="26"/>
        </w:rPr>
        <w:t>den of proving that PPL</w:t>
      </w:r>
      <w:r w:rsidR="00D64DAA" w:rsidRPr="00AC5D15">
        <w:rPr>
          <w:sz w:val="26"/>
          <w:szCs w:val="26"/>
        </w:rPr>
        <w:t>’</w:t>
      </w:r>
      <w:r w:rsidRPr="00AC5D15">
        <w:rPr>
          <w:sz w:val="26"/>
          <w:szCs w:val="26"/>
        </w:rPr>
        <w:t xml:space="preserve">s </w:t>
      </w:r>
      <w:r w:rsidR="00F93BF4" w:rsidRPr="00AC5D15">
        <w:rPr>
          <w:sz w:val="26"/>
          <w:szCs w:val="26"/>
        </w:rPr>
        <w:t xml:space="preserve">approved </w:t>
      </w:r>
      <w:r w:rsidRPr="00AC5D15">
        <w:rPr>
          <w:sz w:val="26"/>
          <w:szCs w:val="26"/>
        </w:rPr>
        <w:t>r</w:t>
      </w:r>
      <w:r w:rsidR="00F93BF4" w:rsidRPr="00AC5D15">
        <w:rPr>
          <w:sz w:val="26"/>
          <w:szCs w:val="26"/>
        </w:rPr>
        <w:t>econciliation methodology in</w:t>
      </w:r>
      <w:r w:rsidRPr="00AC5D15">
        <w:rPr>
          <w:sz w:val="26"/>
          <w:szCs w:val="26"/>
        </w:rPr>
        <w:t xml:space="preserve"> </w:t>
      </w:r>
      <w:r w:rsidR="00D64DAA" w:rsidRPr="00AC5D15">
        <w:rPr>
          <w:sz w:val="26"/>
          <w:szCs w:val="26"/>
        </w:rPr>
        <w:t>PPL’</w:t>
      </w:r>
      <w:r w:rsidRPr="00AC5D15">
        <w:rPr>
          <w:sz w:val="26"/>
          <w:szCs w:val="26"/>
        </w:rPr>
        <w:t xml:space="preserve">s Commission-approved tariff is unreasonable.  </w:t>
      </w:r>
      <w:r w:rsidR="008260ED" w:rsidRPr="00AC5D15">
        <w:rPr>
          <w:i/>
          <w:sz w:val="26"/>
          <w:szCs w:val="26"/>
        </w:rPr>
        <w:t>Id.</w:t>
      </w:r>
    </w:p>
    <w:p w:rsidR="00FC786C" w:rsidRPr="00AC5D15" w:rsidRDefault="00FC786C" w:rsidP="00B05E0D">
      <w:pPr>
        <w:pStyle w:val="BodyText2"/>
        <w:spacing w:line="240" w:lineRule="auto"/>
        <w:contextualSpacing/>
        <w:rPr>
          <w:sz w:val="26"/>
          <w:szCs w:val="26"/>
        </w:rPr>
      </w:pPr>
    </w:p>
    <w:p w:rsidR="00FC786C" w:rsidRPr="00AC5D15" w:rsidRDefault="00223CD0" w:rsidP="00B05E0D">
      <w:pPr>
        <w:pStyle w:val="BodyText2"/>
        <w:spacing w:line="360" w:lineRule="auto"/>
        <w:ind w:firstLine="0"/>
        <w:contextualSpacing/>
        <w:jc w:val="left"/>
        <w:rPr>
          <w:sz w:val="26"/>
          <w:szCs w:val="26"/>
        </w:rPr>
      </w:pPr>
      <w:r w:rsidRPr="00AC5D15">
        <w:rPr>
          <w:sz w:val="26"/>
          <w:szCs w:val="26"/>
        </w:rPr>
        <w:tab/>
      </w:r>
      <w:r w:rsidRPr="00AC5D15">
        <w:rPr>
          <w:sz w:val="26"/>
          <w:szCs w:val="26"/>
        </w:rPr>
        <w:tab/>
        <w:t>The</w:t>
      </w:r>
      <w:r w:rsidR="00FC786C" w:rsidRPr="00AC5D15">
        <w:rPr>
          <w:sz w:val="26"/>
          <w:szCs w:val="26"/>
        </w:rPr>
        <w:t xml:space="preserve"> OSBA </w:t>
      </w:r>
      <w:r w:rsidR="00342AEB" w:rsidRPr="00AC5D15">
        <w:rPr>
          <w:sz w:val="26"/>
          <w:szCs w:val="26"/>
        </w:rPr>
        <w:t xml:space="preserve">is </w:t>
      </w:r>
      <w:r w:rsidR="00FC786C" w:rsidRPr="00AC5D15">
        <w:rPr>
          <w:sz w:val="26"/>
          <w:szCs w:val="26"/>
        </w:rPr>
        <w:t>also challe</w:t>
      </w:r>
      <w:r w:rsidR="00A00584" w:rsidRPr="00AC5D15">
        <w:rPr>
          <w:sz w:val="26"/>
          <w:szCs w:val="26"/>
        </w:rPr>
        <w:t>nging the amount of PPL</w:t>
      </w:r>
      <w:r w:rsidR="00D64DAA" w:rsidRPr="00AC5D15">
        <w:rPr>
          <w:sz w:val="26"/>
          <w:szCs w:val="26"/>
        </w:rPr>
        <w:t>’</w:t>
      </w:r>
      <w:r w:rsidR="00FC786C" w:rsidRPr="00AC5D15">
        <w:rPr>
          <w:sz w:val="26"/>
          <w:szCs w:val="26"/>
        </w:rPr>
        <w:t xml:space="preserve">s </w:t>
      </w:r>
      <w:r w:rsidR="00BF36DD" w:rsidRPr="00AC5D15">
        <w:rPr>
          <w:sz w:val="26"/>
          <w:szCs w:val="26"/>
        </w:rPr>
        <w:t>under collection</w:t>
      </w:r>
      <w:r w:rsidR="00FC786C" w:rsidRPr="00AC5D15">
        <w:rPr>
          <w:sz w:val="26"/>
          <w:szCs w:val="26"/>
        </w:rPr>
        <w:t xml:space="preserve"> for 2010.  </w:t>
      </w:r>
      <w:r w:rsidRPr="00AC5D15">
        <w:rPr>
          <w:sz w:val="26"/>
          <w:szCs w:val="26"/>
        </w:rPr>
        <w:t>A</w:t>
      </w:r>
      <w:r w:rsidR="00FC786C" w:rsidRPr="00AC5D15">
        <w:rPr>
          <w:sz w:val="26"/>
          <w:szCs w:val="26"/>
        </w:rPr>
        <w:t xml:space="preserve"> Section 1307(e) reconciliation hearing</w:t>
      </w:r>
      <w:r w:rsidR="00A00584" w:rsidRPr="00AC5D15">
        <w:rPr>
          <w:sz w:val="26"/>
          <w:szCs w:val="26"/>
        </w:rPr>
        <w:t xml:space="preserve"> was held regarding PPL</w:t>
      </w:r>
      <w:r w:rsidR="00D64DAA" w:rsidRPr="00AC5D15">
        <w:rPr>
          <w:sz w:val="26"/>
          <w:szCs w:val="26"/>
        </w:rPr>
        <w:t>’</w:t>
      </w:r>
      <w:r w:rsidR="00FC786C" w:rsidRPr="00AC5D15">
        <w:rPr>
          <w:sz w:val="26"/>
          <w:szCs w:val="26"/>
        </w:rPr>
        <w:t>s 2010 GSC over/under collec</w:t>
      </w:r>
      <w:r w:rsidR="00F93BF4" w:rsidRPr="00AC5D15">
        <w:rPr>
          <w:sz w:val="26"/>
          <w:szCs w:val="26"/>
        </w:rPr>
        <w:t>tion balances for residential, Small C&amp;I and L</w:t>
      </w:r>
      <w:r w:rsidR="00FC786C" w:rsidRPr="00AC5D15">
        <w:rPr>
          <w:sz w:val="26"/>
          <w:szCs w:val="26"/>
        </w:rPr>
        <w:t>arge C&amp;I customer classes on February 8, 2011</w:t>
      </w:r>
      <w:r w:rsidR="00A00584" w:rsidRPr="00AC5D15">
        <w:rPr>
          <w:sz w:val="26"/>
          <w:szCs w:val="26"/>
        </w:rPr>
        <w:t>,</w:t>
      </w:r>
      <w:r w:rsidR="00FC786C" w:rsidRPr="00AC5D15">
        <w:rPr>
          <w:sz w:val="26"/>
          <w:szCs w:val="26"/>
        </w:rPr>
        <w:t xml:space="preserve"> before </w:t>
      </w:r>
      <w:r w:rsidR="00A00584" w:rsidRPr="00AC5D15">
        <w:rPr>
          <w:sz w:val="26"/>
          <w:szCs w:val="26"/>
        </w:rPr>
        <w:t>ALJ Colwell</w:t>
      </w:r>
      <w:r w:rsidR="00FC786C" w:rsidRPr="00AC5D15">
        <w:rPr>
          <w:sz w:val="26"/>
          <w:szCs w:val="26"/>
        </w:rPr>
        <w:t xml:space="preserve"> at Docket No. M-</w:t>
      </w:r>
      <w:r w:rsidR="00A00584" w:rsidRPr="00AC5D15">
        <w:rPr>
          <w:sz w:val="26"/>
          <w:szCs w:val="26"/>
        </w:rPr>
        <w:t>2010-2213731.  PPL St. 1 at 8.</w:t>
      </w:r>
      <w:r w:rsidR="00FC786C" w:rsidRPr="00AC5D15">
        <w:rPr>
          <w:sz w:val="26"/>
          <w:szCs w:val="26"/>
        </w:rPr>
        <w:t xml:space="preserve">  The amount of the over/under collection was not disputed, </w:t>
      </w:r>
      <w:r w:rsidR="00F93BF4" w:rsidRPr="00AC5D15">
        <w:rPr>
          <w:sz w:val="26"/>
          <w:szCs w:val="26"/>
        </w:rPr>
        <w:t xml:space="preserve">and </w:t>
      </w:r>
      <w:r w:rsidR="00FC786C" w:rsidRPr="00AC5D15">
        <w:rPr>
          <w:sz w:val="26"/>
          <w:szCs w:val="26"/>
        </w:rPr>
        <w:t>was approved by Recommended Decision and by Order of the Commission entered April 14, 2011.</w:t>
      </w:r>
      <w:r w:rsidR="008260ED" w:rsidRPr="00AC5D15">
        <w:rPr>
          <w:sz w:val="26"/>
          <w:szCs w:val="26"/>
        </w:rPr>
        <w:t xml:space="preserve">  </w:t>
      </w:r>
      <w:r w:rsidR="008260ED" w:rsidRPr="00AC5D15">
        <w:rPr>
          <w:i/>
          <w:sz w:val="26"/>
          <w:szCs w:val="26"/>
        </w:rPr>
        <w:t>Id.</w:t>
      </w:r>
      <w:r w:rsidR="008260ED" w:rsidRPr="00AC5D15">
        <w:rPr>
          <w:sz w:val="26"/>
          <w:szCs w:val="26"/>
        </w:rPr>
        <w:t xml:space="preserve"> at 11.</w:t>
      </w:r>
    </w:p>
    <w:p w:rsidR="001242C7" w:rsidRPr="00AC5D15" w:rsidRDefault="001242C7" w:rsidP="00B05E0D">
      <w:pPr>
        <w:pStyle w:val="BodyText2"/>
        <w:spacing w:line="360" w:lineRule="auto"/>
        <w:ind w:firstLine="0"/>
        <w:contextualSpacing/>
        <w:jc w:val="left"/>
        <w:rPr>
          <w:sz w:val="26"/>
        </w:rPr>
      </w:pPr>
    </w:p>
    <w:p w:rsidR="00223CD0" w:rsidRPr="00AC5D15" w:rsidRDefault="00223CD0" w:rsidP="00B05E0D">
      <w:pPr>
        <w:pStyle w:val="BodyText2"/>
        <w:spacing w:line="360" w:lineRule="auto"/>
        <w:ind w:firstLine="0"/>
        <w:contextualSpacing/>
        <w:jc w:val="left"/>
        <w:rPr>
          <w:sz w:val="26"/>
          <w:szCs w:val="26"/>
        </w:rPr>
      </w:pPr>
      <w:r w:rsidRPr="00AC5D15">
        <w:rPr>
          <w:sz w:val="26"/>
        </w:rPr>
        <w:tab/>
      </w:r>
      <w:r w:rsidRPr="00AC5D15">
        <w:rPr>
          <w:sz w:val="26"/>
        </w:rPr>
        <w:tab/>
      </w:r>
      <w:r w:rsidR="005E470C" w:rsidRPr="00AC5D15">
        <w:rPr>
          <w:sz w:val="26"/>
          <w:szCs w:val="26"/>
        </w:rPr>
        <w:t>According to PPL, w</w:t>
      </w:r>
      <w:r w:rsidRPr="00AC5D15">
        <w:rPr>
          <w:sz w:val="26"/>
          <w:szCs w:val="26"/>
        </w:rPr>
        <w:t>hile</w:t>
      </w:r>
      <w:r w:rsidR="005E470C" w:rsidRPr="00AC5D15">
        <w:rPr>
          <w:sz w:val="26"/>
          <w:szCs w:val="26"/>
        </w:rPr>
        <w:t xml:space="preserve"> it </w:t>
      </w:r>
      <w:r w:rsidR="00FC786C" w:rsidRPr="00AC5D15">
        <w:rPr>
          <w:sz w:val="26"/>
          <w:szCs w:val="26"/>
        </w:rPr>
        <w:t xml:space="preserve">had the burden of proof with respect to the amount of the 2010 GSC </w:t>
      </w:r>
      <w:r w:rsidR="00BF36DD" w:rsidRPr="00AC5D15">
        <w:rPr>
          <w:sz w:val="26"/>
          <w:szCs w:val="26"/>
        </w:rPr>
        <w:t>under collection</w:t>
      </w:r>
      <w:r w:rsidR="00FC786C" w:rsidRPr="00AC5D15">
        <w:rPr>
          <w:sz w:val="26"/>
          <w:szCs w:val="26"/>
        </w:rPr>
        <w:t xml:space="preserve"> in the Section 1307(e) reconciliation proceeding</w:t>
      </w:r>
      <w:r w:rsidRPr="00AC5D15">
        <w:rPr>
          <w:sz w:val="26"/>
          <w:szCs w:val="26"/>
        </w:rPr>
        <w:t>, the burden of proving a subsequent</w:t>
      </w:r>
      <w:r w:rsidR="00FC786C" w:rsidRPr="00AC5D15">
        <w:rPr>
          <w:sz w:val="26"/>
          <w:szCs w:val="26"/>
        </w:rPr>
        <w:t xml:space="preserve"> challenge </w:t>
      </w:r>
      <w:r w:rsidRPr="00AC5D15">
        <w:rPr>
          <w:sz w:val="26"/>
          <w:szCs w:val="26"/>
        </w:rPr>
        <w:t>belongs to the challenger</w:t>
      </w:r>
      <w:r w:rsidR="00FC786C" w:rsidRPr="00AC5D15">
        <w:rPr>
          <w:sz w:val="26"/>
          <w:szCs w:val="26"/>
        </w:rPr>
        <w:t>.</w:t>
      </w:r>
      <w:r w:rsidR="008260ED" w:rsidRPr="00AC5D15">
        <w:rPr>
          <w:sz w:val="26"/>
          <w:szCs w:val="26"/>
        </w:rPr>
        <w:t xml:space="preserve">  </w:t>
      </w:r>
      <w:r w:rsidR="008260ED" w:rsidRPr="00AC5D15">
        <w:rPr>
          <w:i/>
          <w:sz w:val="26"/>
          <w:szCs w:val="26"/>
        </w:rPr>
        <w:t>Id.</w:t>
      </w:r>
      <w:r w:rsidR="00FC786C" w:rsidRPr="00AC5D15">
        <w:rPr>
          <w:sz w:val="26"/>
          <w:szCs w:val="26"/>
        </w:rPr>
        <w:t xml:space="preserve">  </w:t>
      </w:r>
    </w:p>
    <w:p w:rsidR="001242C7" w:rsidRPr="00AC5D15" w:rsidRDefault="001242C7" w:rsidP="00B05E0D">
      <w:pPr>
        <w:jc w:val="left"/>
        <w:rPr>
          <w:sz w:val="26"/>
        </w:rPr>
      </w:pPr>
    </w:p>
    <w:p w:rsidR="001242C7" w:rsidRPr="00AC5D15" w:rsidRDefault="001242C7" w:rsidP="00B05E0D">
      <w:pPr>
        <w:jc w:val="left"/>
        <w:rPr>
          <w:sz w:val="26"/>
          <w:szCs w:val="26"/>
        </w:rPr>
      </w:pPr>
      <w:r w:rsidRPr="00AC5D15">
        <w:rPr>
          <w:sz w:val="26"/>
        </w:rPr>
        <w:tab/>
      </w:r>
      <w:r w:rsidRPr="00AC5D15">
        <w:rPr>
          <w:sz w:val="26"/>
        </w:rPr>
        <w:tab/>
      </w:r>
      <w:r w:rsidR="00B0262A" w:rsidRPr="00AC5D15">
        <w:rPr>
          <w:sz w:val="26"/>
          <w:szCs w:val="26"/>
        </w:rPr>
        <w:t xml:space="preserve">However, the </w:t>
      </w:r>
      <w:r w:rsidR="005513FE" w:rsidRPr="00AC5D15">
        <w:rPr>
          <w:sz w:val="26"/>
          <w:szCs w:val="26"/>
        </w:rPr>
        <w:t xml:space="preserve">OSBA avers that its Complaint involves </w:t>
      </w:r>
      <w:r w:rsidR="00223CD0" w:rsidRPr="00AC5D15">
        <w:rPr>
          <w:sz w:val="26"/>
          <w:szCs w:val="26"/>
        </w:rPr>
        <w:t>a proposed rate, subject to S</w:t>
      </w:r>
      <w:r w:rsidRPr="00AC5D15">
        <w:rPr>
          <w:sz w:val="26"/>
          <w:szCs w:val="26"/>
        </w:rPr>
        <w:t>ection 1301 of the Public Utility Code</w:t>
      </w:r>
      <w:r w:rsidR="00F712A0" w:rsidRPr="00AC5D15">
        <w:rPr>
          <w:sz w:val="26"/>
          <w:szCs w:val="26"/>
        </w:rPr>
        <w:t xml:space="preserve"> (Code) 66 Pa. C.S. § 1301</w:t>
      </w:r>
      <w:r w:rsidR="00223CD0" w:rsidRPr="00AC5D15">
        <w:rPr>
          <w:sz w:val="26"/>
          <w:szCs w:val="26"/>
        </w:rPr>
        <w:t>, which</w:t>
      </w:r>
      <w:r w:rsidRPr="00AC5D15">
        <w:rPr>
          <w:sz w:val="26"/>
          <w:szCs w:val="26"/>
        </w:rPr>
        <w:t xml:space="preserve"> requires that </w:t>
      </w:r>
      <w:r w:rsidR="00D64DAA" w:rsidRPr="00AC5D15">
        <w:rPr>
          <w:sz w:val="26"/>
          <w:szCs w:val="26"/>
        </w:rPr>
        <w:t>“</w:t>
      </w:r>
      <w:r w:rsidRPr="00AC5D15">
        <w:rPr>
          <w:sz w:val="26"/>
          <w:szCs w:val="26"/>
        </w:rPr>
        <w:t>[e]very rate made, demanded, or received by any public utility . . . shall be just and reasonable.</w:t>
      </w:r>
      <w:r w:rsidR="00D64DAA" w:rsidRPr="00AC5D15">
        <w:rPr>
          <w:sz w:val="26"/>
          <w:szCs w:val="26"/>
        </w:rPr>
        <w:t>”</w:t>
      </w:r>
      <w:r w:rsidRPr="00AC5D15">
        <w:rPr>
          <w:sz w:val="26"/>
          <w:szCs w:val="26"/>
        </w:rPr>
        <w:t xml:space="preserve">  Section 315(a) of the Code</w:t>
      </w:r>
      <w:r w:rsidR="00F712A0" w:rsidRPr="00AC5D15">
        <w:rPr>
          <w:sz w:val="26"/>
          <w:szCs w:val="26"/>
        </w:rPr>
        <w:t>, 66 Pa. C.S. §</w:t>
      </w:r>
      <w:r w:rsidRPr="00AC5D15">
        <w:rPr>
          <w:sz w:val="26"/>
          <w:szCs w:val="26"/>
        </w:rPr>
        <w:t xml:space="preserve"> </w:t>
      </w:r>
      <w:r w:rsidR="00F712A0" w:rsidRPr="00AC5D15">
        <w:rPr>
          <w:sz w:val="26"/>
          <w:szCs w:val="26"/>
        </w:rPr>
        <w:t xml:space="preserve">315(a), </w:t>
      </w:r>
      <w:r w:rsidRPr="00AC5D15">
        <w:rPr>
          <w:sz w:val="26"/>
          <w:szCs w:val="26"/>
        </w:rPr>
        <w:t xml:space="preserve">states in pertinent </w:t>
      </w:r>
      <w:r w:rsidR="00F712A0" w:rsidRPr="00AC5D15">
        <w:rPr>
          <w:sz w:val="26"/>
          <w:szCs w:val="26"/>
        </w:rPr>
        <w:t xml:space="preserve">part, </w:t>
      </w:r>
      <w:r w:rsidR="00D64DAA" w:rsidRPr="00AC5D15">
        <w:rPr>
          <w:sz w:val="26"/>
          <w:szCs w:val="26"/>
        </w:rPr>
        <w:t>“</w:t>
      </w:r>
      <w:r w:rsidR="00F712A0" w:rsidRPr="00AC5D15">
        <w:rPr>
          <w:sz w:val="26"/>
          <w:szCs w:val="26"/>
        </w:rPr>
        <w:t xml:space="preserve">in any proceedings </w:t>
      </w:r>
      <w:r w:rsidRPr="00AC5D15">
        <w:rPr>
          <w:sz w:val="26"/>
          <w:szCs w:val="26"/>
        </w:rPr>
        <w:t>upon complaint involving any proposed increase in rates, the burden of proof to show that the rate involved is just and reasonable shall be upon the public utility.</w:t>
      </w:r>
      <w:r w:rsidR="00D64DAA" w:rsidRPr="00AC5D15">
        <w:rPr>
          <w:sz w:val="26"/>
          <w:szCs w:val="26"/>
        </w:rPr>
        <w:t>”</w:t>
      </w:r>
      <w:r w:rsidRPr="00AC5D15">
        <w:rPr>
          <w:sz w:val="26"/>
          <w:szCs w:val="26"/>
        </w:rPr>
        <w:t xml:space="preserve">  </w:t>
      </w:r>
      <w:r w:rsidR="00B0262A" w:rsidRPr="00AC5D15">
        <w:rPr>
          <w:sz w:val="26"/>
          <w:szCs w:val="26"/>
        </w:rPr>
        <w:t>The OSBA avers that</w:t>
      </w:r>
      <w:r w:rsidR="00F712A0" w:rsidRPr="00AC5D15">
        <w:rPr>
          <w:sz w:val="26"/>
          <w:szCs w:val="26"/>
        </w:rPr>
        <w:t>,</w:t>
      </w:r>
      <w:r w:rsidR="00B0262A" w:rsidRPr="00AC5D15">
        <w:rPr>
          <w:sz w:val="26"/>
          <w:szCs w:val="26"/>
        </w:rPr>
        <w:t xml:space="preserve"> a</w:t>
      </w:r>
      <w:r w:rsidRPr="00AC5D15">
        <w:rPr>
          <w:sz w:val="26"/>
          <w:szCs w:val="26"/>
        </w:rPr>
        <w:t>s the public utility proposing the June GSC-1, PPL bears the burden of proving that such rate is just and reasonable.</w:t>
      </w:r>
      <w:r w:rsidR="005513FE" w:rsidRPr="00AC5D15">
        <w:rPr>
          <w:sz w:val="26"/>
          <w:szCs w:val="26"/>
        </w:rPr>
        <w:t xml:space="preserve">  OSBA M.B. at 9.</w:t>
      </w:r>
    </w:p>
    <w:p w:rsidR="00E53BDA" w:rsidRPr="00AC5D15" w:rsidRDefault="00E53BDA" w:rsidP="00B05E0D">
      <w:pPr>
        <w:spacing w:line="240" w:lineRule="auto"/>
        <w:jc w:val="left"/>
        <w:rPr>
          <w:sz w:val="26"/>
        </w:rPr>
      </w:pPr>
    </w:p>
    <w:p w:rsidR="00DC70C4" w:rsidRPr="00AC5D15" w:rsidRDefault="001242C7" w:rsidP="00B05E0D">
      <w:pPr>
        <w:spacing w:line="240" w:lineRule="auto"/>
        <w:ind w:left="1440" w:right="1440"/>
        <w:jc w:val="left"/>
        <w:rPr>
          <w:sz w:val="26"/>
          <w:szCs w:val="26"/>
        </w:rPr>
      </w:pPr>
      <w:r w:rsidRPr="00AC5D15">
        <w:rPr>
          <w:sz w:val="26"/>
          <w:szCs w:val="26"/>
        </w:rPr>
        <w:t xml:space="preserve">A utility company has the burden of proof to show the reasonableness of a </w:t>
      </w:r>
      <w:r w:rsidRPr="00AC5D15">
        <w:rPr>
          <w:i/>
          <w:sz w:val="26"/>
          <w:szCs w:val="26"/>
        </w:rPr>
        <w:t>proposed</w:t>
      </w:r>
      <w:r w:rsidRPr="00AC5D15">
        <w:rPr>
          <w:sz w:val="26"/>
          <w:szCs w:val="26"/>
        </w:rPr>
        <w:t xml:space="preserve"> rate, whereas a complainant bears the burden if the rate is an </w:t>
      </w:r>
      <w:r w:rsidRPr="00AC5D15">
        <w:rPr>
          <w:i/>
          <w:sz w:val="26"/>
          <w:szCs w:val="26"/>
        </w:rPr>
        <w:t>existing</w:t>
      </w:r>
      <w:r w:rsidRPr="00AC5D15">
        <w:rPr>
          <w:sz w:val="26"/>
          <w:szCs w:val="26"/>
        </w:rPr>
        <w:t xml:space="preserve"> one.  In </w:t>
      </w:r>
      <w:r w:rsidRPr="00AC5D15">
        <w:rPr>
          <w:i/>
          <w:sz w:val="26"/>
          <w:szCs w:val="26"/>
        </w:rPr>
        <w:t>Brockway Glass Co. v. Pennsylvania Public Utility Commission</w:t>
      </w:r>
      <w:r w:rsidRPr="00AC5D15">
        <w:rPr>
          <w:sz w:val="26"/>
          <w:szCs w:val="26"/>
        </w:rPr>
        <w:t xml:space="preserve">, the Commonwealth Court explained that </w:t>
      </w:r>
      <w:r w:rsidR="00D64DAA" w:rsidRPr="00AC5D15">
        <w:rPr>
          <w:sz w:val="26"/>
          <w:szCs w:val="26"/>
        </w:rPr>
        <w:t>“</w:t>
      </w:r>
      <w:r w:rsidRPr="00AC5D15">
        <w:rPr>
          <w:sz w:val="26"/>
          <w:szCs w:val="26"/>
        </w:rPr>
        <w:t xml:space="preserve">where a customer is heard to complain concerning a </w:t>
      </w:r>
      <w:r w:rsidRPr="00AC5D15">
        <w:rPr>
          <w:i/>
          <w:sz w:val="26"/>
          <w:szCs w:val="26"/>
        </w:rPr>
        <w:t xml:space="preserve">proposed </w:t>
      </w:r>
      <w:r w:rsidRPr="00AC5D15">
        <w:rPr>
          <w:sz w:val="26"/>
          <w:szCs w:val="26"/>
        </w:rPr>
        <w:t xml:space="preserve">change in rate, the </w:t>
      </w:r>
      <w:r w:rsidRPr="00AC5D15">
        <w:rPr>
          <w:sz w:val="26"/>
          <w:szCs w:val="26"/>
        </w:rPr>
        <w:lastRenderedPageBreak/>
        <w:t xml:space="preserve">burden of proof is upon the public utility to show the proposed rate is just and reasonable.  Where the complaint involves an </w:t>
      </w:r>
      <w:r w:rsidRPr="00AC5D15">
        <w:rPr>
          <w:i/>
          <w:sz w:val="26"/>
          <w:szCs w:val="26"/>
        </w:rPr>
        <w:t>existing</w:t>
      </w:r>
      <w:r w:rsidRPr="00AC5D15">
        <w:rPr>
          <w:sz w:val="26"/>
          <w:szCs w:val="26"/>
        </w:rPr>
        <w:t xml:space="preserve"> rate, however, the burden then falls upon the customer to prove that the charge is no longer reasonable.</w:t>
      </w:r>
      <w:r w:rsidR="00D64DAA" w:rsidRPr="00AC5D15">
        <w:rPr>
          <w:sz w:val="26"/>
          <w:szCs w:val="26"/>
        </w:rPr>
        <w:t>”</w:t>
      </w:r>
      <w:r w:rsidR="00DC70C4" w:rsidRPr="00AC5D15">
        <w:rPr>
          <w:sz w:val="26"/>
          <w:szCs w:val="26"/>
        </w:rPr>
        <w:t xml:space="preserve">  Therefore, the question of which party has the burden of proof in this case turns on whether the June GSC-1 is a Commission-approved, an existing rate, or merely a rate proposed by PPL and subject to Commission review.</w:t>
      </w:r>
    </w:p>
    <w:p w:rsidR="00E53BDA" w:rsidRPr="00AC5D15" w:rsidRDefault="00E53BDA" w:rsidP="00B05E0D">
      <w:pPr>
        <w:spacing w:line="240" w:lineRule="auto"/>
        <w:ind w:left="1440" w:right="1440"/>
        <w:jc w:val="left"/>
        <w:rPr>
          <w:sz w:val="26"/>
          <w:szCs w:val="26"/>
        </w:rPr>
      </w:pPr>
    </w:p>
    <w:p w:rsidR="00DC70C4" w:rsidRPr="00AC5D15" w:rsidRDefault="00DC70C4" w:rsidP="00B05E0D">
      <w:pPr>
        <w:spacing w:line="240" w:lineRule="auto"/>
        <w:ind w:left="1440" w:right="1440"/>
        <w:jc w:val="left"/>
        <w:rPr>
          <w:sz w:val="26"/>
          <w:szCs w:val="26"/>
        </w:rPr>
      </w:pPr>
      <w:r w:rsidRPr="00AC5D15">
        <w:rPr>
          <w:sz w:val="26"/>
          <w:szCs w:val="26"/>
        </w:rPr>
        <w:t>The June GSC-1 is not an existing rate that would shift the burden of proof to the OSBA because it was not in effect at the time the OSBA filed its Complaint.  Specifically, the OSBA filed its Complaint against the proposed June GSC-1 on May 31, 2011, before the rate went into effect on June 1, 2011.  Since as early as 1920, it has been well-established law that if a complaint is filed before a proposed rate goes into effect, the utility bears the burden of proving its reasonableness.</w:t>
      </w:r>
    </w:p>
    <w:p w:rsidR="00E53BDA" w:rsidRPr="00AC5D15" w:rsidRDefault="00E53BDA" w:rsidP="00B05E0D">
      <w:pPr>
        <w:spacing w:line="240" w:lineRule="auto"/>
        <w:ind w:left="1440" w:right="1440"/>
        <w:jc w:val="left"/>
        <w:rPr>
          <w:sz w:val="26"/>
          <w:szCs w:val="26"/>
        </w:rPr>
      </w:pPr>
    </w:p>
    <w:p w:rsidR="0099078D" w:rsidRPr="00AC5D15" w:rsidRDefault="00DC70C4" w:rsidP="00B05E0D">
      <w:pPr>
        <w:spacing w:line="240" w:lineRule="auto"/>
        <w:ind w:left="1440" w:right="1440"/>
        <w:jc w:val="left"/>
        <w:rPr>
          <w:sz w:val="26"/>
          <w:szCs w:val="26"/>
        </w:rPr>
      </w:pPr>
      <w:r w:rsidRPr="00AC5D15">
        <w:rPr>
          <w:sz w:val="26"/>
          <w:szCs w:val="26"/>
        </w:rPr>
        <w:t xml:space="preserve">Moreover, the proposed June GSC-1 has never been adjudicated and approved by the Commission.  Although PPL has already billed and collected the June GSC-1, it has done so without affirmative Commission authorization. The Commission has issued no Order or Secretarial Letter regarding the proposed June GSC-1, as it has in connection with all previous and subsequent </w:t>
      </w:r>
      <w:r w:rsidR="0099078D" w:rsidRPr="00AC5D15">
        <w:rPr>
          <w:sz w:val="26"/>
          <w:szCs w:val="26"/>
        </w:rPr>
        <w:t xml:space="preserve">GSC and GSC-1 quarterly reconciliations.  Unlike every other change to the GSC or GSC-1 rate, the Commission did not approve the proposed June GSC-1 rate and did not direct PPL to submit a tariff supplement implementing revised GSC-1 rates.  Thus, the June GSC-1 is not a Commission-approved, existing rate and PPL retains the burden of proof.  </w:t>
      </w:r>
    </w:p>
    <w:p w:rsidR="00E53BDA" w:rsidRPr="00AC5D15" w:rsidRDefault="00E53BDA" w:rsidP="00B05E0D">
      <w:pPr>
        <w:spacing w:line="240" w:lineRule="auto"/>
        <w:ind w:left="1440" w:right="1440"/>
        <w:jc w:val="left"/>
        <w:rPr>
          <w:sz w:val="26"/>
          <w:szCs w:val="26"/>
        </w:rPr>
      </w:pPr>
    </w:p>
    <w:p w:rsidR="0099078D" w:rsidRPr="00AC5D15" w:rsidRDefault="0099078D" w:rsidP="00B05E0D">
      <w:pPr>
        <w:spacing w:line="240" w:lineRule="auto"/>
        <w:ind w:left="1440" w:right="1440"/>
        <w:jc w:val="left"/>
        <w:rPr>
          <w:sz w:val="26"/>
          <w:szCs w:val="26"/>
        </w:rPr>
      </w:pPr>
      <w:r w:rsidRPr="00AC5D15">
        <w:rPr>
          <w:sz w:val="26"/>
          <w:szCs w:val="26"/>
        </w:rPr>
        <w:t xml:space="preserve">The Company will likely argue that the June GSC-1 was </w:t>
      </w:r>
      <w:r w:rsidR="00D64DAA" w:rsidRPr="00AC5D15">
        <w:rPr>
          <w:sz w:val="26"/>
          <w:szCs w:val="26"/>
        </w:rPr>
        <w:t>“</w:t>
      </w:r>
      <w:r w:rsidRPr="00AC5D15">
        <w:rPr>
          <w:sz w:val="26"/>
          <w:szCs w:val="26"/>
        </w:rPr>
        <w:t>pre-approved</w:t>
      </w:r>
      <w:r w:rsidR="00D64DAA" w:rsidRPr="00AC5D15">
        <w:rPr>
          <w:sz w:val="26"/>
          <w:szCs w:val="26"/>
        </w:rPr>
        <w:t>”</w:t>
      </w:r>
      <w:r w:rsidRPr="00AC5D15">
        <w:rPr>
          <w:sz w:val="26"/>
          <w:szCs w:val="26"/>
        </w:rPr>
        <w:t xml:space="preserve"> by the Commission because PPL followed the reconciliation </w:t>
      </w:r>
      <w:r w:rsidRPr="00AC5D15">
        <w:rPr>
          <w:i/>
          <w:sz w:val="26"/>
          <w:szCs w:val="26"/>
        </w:rPr>
        <w:t>procedures</w:t>
      </w:r>
      <w:r w:rsidRPr="00AC5D15">
        <w:rPr>
          <w:sz w:val="26"/>
          <w:szCs w:val="26"/>
        </w:rPr>
        <w:t xml:space="preserve"> provided for in its tariff to calculate the June GSC-1.  The OSBA does not dispute that the Commission has approved the reconciliation </w:t>
      </w:r>
      <w:r w:rsidRPr="00AC5D15">
        <w:rPr>
          <w:i/>
          <w:sz w:val="26"/>
          <w:szCs w:val="26"/>
        </w:rPr>
        <w:t xml:space="preserve">procedures </w:t>
      </w:r>
      <w:r w:rsidRPr="00AC5D15">
        <w:rPr>
          <w:sz w:val="26"/>
          <w:szCs w:val="26"/>
        </w:rPr>
        <w:t>in PPL</w:t>
      </w:r>
      <w:r w:rsidR="00D64DAA" w:rsidRPr="00AC5D15">
        <w:rPr>
          <w:sz w:val="26"/>
          <w:szCs w:val="26"/>
        </w:rPr>
        <w:t>’</w:t>
      </w:r>
      <w:r w:rsidRPr="00AC5D15">
        <w:rPr>
          <w:sz w:val="26"/>
          <w:szCs w:val="26"/>
        </w:rPr>
        <w:t xml:space="preserve">s tariff.  However, approval of the </w:t>
      </w:r>
      <w:r w:rsidRPr="00AC5D15">
        <w:rPr>
          <w:i/>
          <w:sz w:val="26"/>
          <w:szCs w:val="26"/>
        </w:rPr>
        <w:t xml:space="preserve">procedures </w:t>
      </w:r>
      <w:r w:rsidRPr="00AC5D15">
        <w:rPr>
          <w:sz w:val="26"/>
          <w:szCs w:val="26"/>
        </w:rPr>
        <w:t>is not dispositive, in that the OSBA is arguing that PPL has not properly implemented those procedures.</w:t>
      </w:r>
      <w:r w:rsidR="008D3E20" w:rsidRPr="00AC5D15">
        <w:rPr>
          <w:sz w:val="26"/>
          <w:szCs w:val="26"/>
        </w:rPr>
        <w:t xml:space="preserve">  </w:t>
      </w:r>
      <w:r w:rsidRPr="00AC5D15">
        <w:rPr>
          <w:sz w:val="26"/>
          <w:szCs w:val="26"/>
        </w:rPr>
        <w:t xml:space="preserve">PPL may also point to language in its tariff stating that a proposed GSC-1 shall become effective </w:t>
      </w:r>
      <w:r w:rsidR="00D64DAA" w:rsidRPr="00AC5D15">
        <w:rPr>
          <w:sz w:val="26"/>
          <w:szCs w:val="26"/>
        </w:rPr>
        <w:t>“</w:t>
      </w:r>
      <w:r w:rsidRPr="00AC5D15">
        <w:rPr>
          <w:sz w:val="26"/>
          <w:szCs w:val="26"/>
        </w:rPr>
        <w:t xml:space="preserve">unless otherwise ordered by the </w:t>
      </w:r>
      <w:r w:rsidRPr="00AC5D15">
        <w:rPr>
          <w:sz w:val="26"/>
          <w:szCs w:val="26"/>
        </w:rPr>
        <w:lastRenderedPageBreak/>
        <w:t>Commission.</w:t>
      </w:r>
      <w:r w:rsidR="00D64DAA" w:rsidRPr="00AC5D15">
        <w:rPr>
          <w:sz w:val="26"/>
          <w:szCs w:val="26"/>
        </w:rPr>
        <w:t>”</w:t>
      </w:r>
      <w:r w:rsidRPr="00AC5D15">
        <w:rPr>
          <w:sz w:val="26"/>
          <w:szCs w:val="26"/>
        </w:rPr>
        <w:t xml:space="preserve">  The OSBA does not dispute that the June GSC-1 went into effect on June 1, 2011, after the OSBA filed its complaint.  However, this fact does not insulate the June GSC-1 from Commission review and does not absolve PPL of its burden to prove that this rate is just and reasonable.  In that regard, PPL</w:t>
      </w:r>
      <w:r w:rsidR="00D64DAA" w:rsidRPr="00AC5D15">
        <w:rPr>
          <w:sz w:val="26"/>
          <w:szCs w:val="26"/>
        </w:rPr>
        <w:t>’</w:t>
      </w:r>
      <w:r w:rsidRPr="00AC5D15">
        <w:rPr>
          <w:sz w:val="26"/>
          <w:szCs w:val="26"/>
        </w:rPr>
        <w:t>s tariff also states, in pertinent part:</w:t>
      </w:r>
    </w:p>
    <w:p w:rsidR="003160A7" w:rsidRPr="00AC5D15" w:rsidRDefault="003160A7" w:rsidP="00B05E0D">
      <w:pPr>
        <w:spacing w:line="240" w:lineRule="auto"/>
        <w:ind w:left="1440" w:right="1440"/>
        <w:jc w:val="left"/>
        <w:rPr>
          <w:sz w:val="26"/>
          <w:szCs w:val="26"/>
        </w:rPr>
      </w:pPr>
    </w:p>
    <w:p w:rsidR="0099078D" w:rsidRPr="00AC5D15" w:rsidRDefault="0099078D" w:rsidP="00B05E0D">
      <w:pPr>
        <w:spacing w:line="240" w:lineRule="auto"/>
        <w:ind w:left="2160" w:right="1440"/>
        <w:jc w:val="left"/>
        <w:rPr>
          <w:sz w:val="26"/>
          <w:szCs w:val="26"/>
        </w:rPr>
      </w:pPr>
      <w:r w:rsidRPr="00AC5D15">
        <w:rPr>
          <w:sz w:val="26"/>
          <w:szCs w:val="26"/>
        </w:rPr>
        <w:t xml:space="preserve">Application of the GSC-1 shall be subject to continuous review and audit by the Commission at intervals it shall determine.  The Commission shall review the reasonableness and lawfulness of the level of charges produced by the GSC-1 </w:t>
      </w:r>
      <w:r w:rsidR="008D3E20" w:rsidRPr="00AC5D15">
        <w:rPr>
          <w:sz w:val="26"/>
          <w:szCs w:val="26"/>
        </w:rPr>
        <w:t>and the costs included therein.</w:t>
      </w:r>
    </w:p>
    <w:p w:rsidR="0099078D" w:rsidRPr="00AC5D15" w:rsidRDefault="0099078D" w:rsidP="00B05E0D">
      <w:pPr>
        <w:spacing w:line="240" w:lineRule="auto"/>
        <w:ind w:left="1440" w:right="1440"/>
        <w:jc w:val="left"/>
        <w:rPr>
          <w:sz w:val="26"/>
          <w:szCs w:val="26"/>
        </w:rPr>
      </w:pPr>
    </w:p>
    <w:p w:rsidR="00E53BDA" w:rsidRPr="00AC5D15" w:rsidRDefault="0099078D" w:rsidP="00B05E0D">
      <w:pPr>
        <w:spacing w:line="240" w:lineRule="auto"/>
        <w:ind w:left="1440" w:right="1440"/>
        <w:jc w:val="left"/>
        <w:rPr>
          <w:sz w:val="26"/>
          <w:szCs w:val="26"/>
        </w:rPr>
      </w:pPr>
      <w:r w:rsidRPr="00AC5D15">
        <w:rPr>
          <w:sz w:val="26"/>
          <w:szCs w:val="26"/>
        </w:rPr>
        <w:t xml:space="preserve">PPL cannot reasonably interpret its tariff to mean that the Commission, by approving mere </w:t>
      </w:r>
      <w:r w:rsidRPr="00AC5D15">
        <w:rPr>
          <w:i/>
          <w:sz w:val="26"/>
          <w:szCs w:val="26"/>
        </w:rPr>
        <w:t>procedures</w:t>
      </w:r>
      <w:r w:rsidRPr="00AC5D15">
        <w:rPr>
          <w:sz w:val="26"/>
          <w:szCs w:val="26"/>
        </w:rPr>
        <w:t xml:space="preserve">, had prospectively approved not only the June GSC-1, but also the GSC-1 rate for every subsequent quarter.  First, the tariff acknowledges that each change to the GSC-1 necessitates a new application to the Commission for review.  Second, the tariff requires PPL to file with the Commission a proposed GSC-1 every quarter, thus making the proposed GSC-1 subject to Commission review and complaints by interested parties.  Each </w:t>
      </w:r>
      <w:r w:rsidR="00E53BDA" w:rsidRPr="00AC5D15">
        <w:rPr>
          <w:sz w:val="26"/>
          <w:szCs w:val="26"/>
        </w:rPr>
        <w:t xml:space="preserve">quarter, PPL retains the burden of proof to show the reasonableness and lawfulness of the proposed GSC-1 for that quarter.  </w:t>
      </w:r>
    </w:p>
    <w:p w:rsidR="00342AEB" w:rsidRPr="00AC5D15" w:rsidRDefault="00342AEB" w:rsidP="00B05E0D">
      <w:pPr>
        <w:spacing w:line="240" w:lineRule="auto"/>
        <w:ind w:left="1440" w:right="1440"/>
        <w:jc w:val="left"/>
        <w:rPr>
          <w:sz w:val="26"/>
          <w:szCs w:val="26"/>
        </w:rPr>
      </w:pPr>
    </w:p>
    <w:p w:rsidR="00223CD0" w:rsidRPr="00AC5D15" w:rsidRDefault="00223CD0" w:rsidP="00B05E0D">
      <w:pPr>
        <w:spacing w:line="240" w:lineRule="auto"/>
        <w:ind w:right="1440"/>
        <w:jc w:val="left"/>
        <w:rPr>
          <w:sz w:val="26"/>
          <w:szCs w:val="26"/>
        </w:rPr>
      </w:pPr>
      <w:r w:rsidRPr="00AC5D15">
        <w:rPr>
          <w:sz w:val="26"/>
          <w:szCs w:val="26"/>
        </w:rPr>
        <w:t>OSBA M</w:t>
      </w:r>
      <w:r w:rsidR="005513FE" w:rsidRPr="00AC5D15">
        <w:rPr>
          <w:sz w:val="26"/>
          <w:szCs w:val="26"/>
        </w:rPr>
        <w:t>.</w:t>
      </w:r>
      <w:r w:rsidRPr="00AC5D15">
        <w:rPr>
          <w:sz w:val="26"/>
          <w:szCs w:val="26"/>
        </w:rPr>
        <w:t>B</w:t>
      </w:r>
      <w:r w:rsidR="005513FE" w:rsidRPr="00AC5D15">
        <w:rPr>
          <w:sz w:val="26"/>
          <w:szCs w:val="26"/>
        </w:rPr>
        <w:t>. at 9</w:t>
      </w:r>
      <w:r w:rsidRPr="00AC5D15">
        <w:rPr>
          <w:sz w:val="26"/>
          <w:szCs w:val="26"/>
        </w:rPr>
        <w:t>-</w:t>
      </w:r>
      <w:r w:rsidR="005513FE" w:rsidRPr="00AC5D15">
        <w:rPr>
          <w:sz w:val="26"/>
          <w:szCs w:val="26"/>
        </w:rPr>
        <w:t>12</w:t>
      </w:r>
      <w:r w:rsidRPr="00AC5D15">
        <w:rPr>
          <w:sz w:val="26"/>
          <w:szCs w:val="26"/>
        </w:rPr>
        <w:t>.</w:t>
      </w:r>
    </w:p>
    <w:p w:rsidR="00E53BDA" w:rsidRPr="00AC5D15" w:rsidRDefault="00E53BDA" w:rsidP="00B05E0D">
      <w:pPr>
        <w:jc w:val="left"/>
        <w:rPr>
          <w:sz w:val="26"/>
        </w:rPr>
      </w:pPr>
    </w:p>
    <w:p w:rsidR="000C650C" w:rsidRPr="00AC5D15" w:rsidRDefault="00E03935" w:rsidP="00B05E0D">
      <w:pPr>
        <w:ind w:firstLine="720"/>
        <w:contextualSpacing/>
        <w:jc w:val="left"/>
        <w:rPr>
          <w:b/>
          <w:sz w:val="26"/>
          <w:szCs w:val="26"/>
        </w:rPr>
      </w:pPr>
      <w:r w:rsidRPr="00AC5D15">
        <w:rPr>
          <w:b/>
          <w:sz w:val="26"/>
          <w:szCs w:val="26"/>
        </w:rPr>
        <w:t>2</w:t>
      </w:r>
      <w:r w:rsidR="003E5CC9" w:rsidRPr="00AC5D15">
        <w:rPr>
          <w:b/>
          <w:sz w:val="26"/>
          <w:szCs w:val="26"/>
        </w:rPr>
        <w:t>.</w:t>
      </w:r>
      <w:r w:rsidR="003E5CC9" w:rsidRPr="00AC5D15">
        <w:rPr>
          <w:b/>
          <w:sz w:val="26"/>
          <w:szCs w:val="26"/>
        </w:rPr>
        <w:tab/>
        <w:t>ALJ</w:t>
      </w:r>
      <w:r w:rsidR="00D64DAA" w:rsidRPr="00AC5D15">
        <w:rPr>
          <w:b/>
          <w:sz w:val="26"/>
          <w:szCs w:val="26"/>
        </w:rPr>
        <w:t>’</w:t>
      </w:r>
      <w:r w:rsidR="003E5CC9" w:rsidRPr="00AC5D15">
        <w:rPr>
          <w:b/>
          <w:sz w:val="26"/>
          <w:szCs w:val="26"/>
        </w:rPr>
        <w:t>s Recommendation</w:t>
      </w:r>
    </w:p>
    <w:p w:rsidR="00223CD0" w:rsidRPr="00AC5D15" w:rsidRDefault="00223CD0" w:rsidP="00B05E0D">
      <w:pPr>
        <w:contextualSpacing/>
        <w:jc w:val="left"/>
        <w:rPr>
          <w:sz w:val="26"/>
        </w:rPr>
      </w:pPr>
    </w:p>
    <w:p w:rsidR="000270C8" w:rsidRPr="00AC5D15" w:rsidRDefault="000C650C" w:rsidP="00B05E0D">
      <w:pPr>
        <w:contextualSpacing/>
        <w:jc w:val="left"/>
        <w:rPr>
          <w:sz w:val="26"/>
          <w:szCs w:val="26"/>
        </w:rPr>
      </w:pPr>
      <w:r w:rsidRPr="00AC5D15">
        <w:rPr>
          <w:sz w:val="26"/>
        </w:rPr>
        <w:tab/>
      </w:r>
      <w:r w:rsidRPr="00AC5D15">
        <w:rPr>
          <w:sz w:val="26"/>
        </w:rPr>
        <w:tab/>
      </w:r>
      <w:r w:rsidR="003E5CC9" w:rsidRPr="00AC5D15">
        <w:rPr>
          <w:sz w:val="26"/>
          <w:szCs w:val="26"/>
        </w:rPr>
        <w:t>The ALJ stated that t</w:t>
      </w:r>
      <w:r w:rsidRPr="00AC5D15">
        <w:rPr>
          <w:sz w:val="26"/>
          <w:szCs w:val="26"/>
        </w:rPr>
        <w:t xml:space="preserve">he rate under consideration here is one which was implemented following Commission approval of the mechanism to determine it.  </w:t>
      </w:r>
      <w:r w:rsidR="003E5CC9" w:rsidRPr="00AC5D15">
        <w:rPr>
          <w:sz w:val="26"/>
          <w:szCs w:val="26"/>
        </w:rPr>
        <w:t>According to the ALJ, u</w:t>
      </w:r>
      <w:r w:rsidR="007257D8" w:rsidRPr="00AC5D15">
        <w:rPr>
          <w:sz w:val="26"/>
          <w:szCs w:val="26"/>
        </w:rPr>
        <w:t xml:space="preserve">nder </w:t>
      </w:r>
      <w:r w:rsidR="003E5CC9" w:rsidRPr="00AC5D15">
        <w:rPr>
          <w:sz w:val="26"/>
          <w:szCs w:val="26"/>
        </w:rPr>
        <w:t xml:space="preserve">the </w:t>
      </w:r>
      <w:r w:rsidR="007257D8" w:rsidRPr="00AC5D15">
        <w:rPr>
          <w:sz w:val="26"/>
          <w:szCs w:val="26"/>
        </w:rPr>
        <w:t>OSBA</w:t>
      </w:r>
      <w:r w:rsidR="00D64DAA" w:rsidRPr="00AC5D15">
        <w:rPr>
          <w:sz w:val="26"/>
          <w:szCs w:val="26"/>
        </w:rPr>
        <w:t>’</w:t>
      </w:r>
      <w:r w:rsidR="007257D8" w:rsidRPr="00AC5D15">
        <w:rPr>
          <w:sz w:val="26"/>
          <w:szCs w:val="26"/>
        </w:rPr>
        <w:t xml:space="preserve">s analysis, no rate would be anything but </w:t>
      </w:r>
      <w:r w:rsidR="00D64DAA" w:rsidRPr="00AC5D15">
        <w:rPr>
          <w:sz w:val="26"/>
          <w:szCs w:val="26"/>
        </w:rPr>
        <w:t>“</w:t>
      </w:r>
      <w:r w:rsidR="007257D8" w:rsidRPr="00AC5D15">
        <w:rPr>
          <w:sz w:val="26"/>
          <w:szCs w:val="26"/>
        </w:rPr>
        <w:t>proposed</w:t>
      </w:r>
      <w:r w:rsidR="00D64DAA" w:rsidRPr="00AC5D15">
        <w:rPr>
          <w:sz w:val="26"/>
          <w:szCs w:val="26"/>
        </w:rPr>
        <w:t>”</w:t>
      </w:r>
      <w:r w:rsidR="007257D8" w:rsidRPr="00AC5D15">
        <w:rPr>
          <w:sz w:val="26"/>
          <w:szCs w:val="26"/>
        </w:rPr>
        <w:t xml:space="preserve"> until it is charged. </w:t>
      </w:r>
      <w:r w:rsidR="003E5CC9" w:rsidRPr="00AC5D15">
        <w:rPr>
          <w:sz w:val="26"/>
          <w:szCs w:val="26"/>
        </w:rPr>
        <w:t xml:space="preserve"> The ALJ opines that</w:t>
      </w:r>
      <w:r w:rsidR="007257D8" w:rsidRPr="00AC5D15">
        <w:rPr>
          <w:sz w:val="26"/>
          <w:szCs w:val="26"/>
        </w:rPr>
        <w:t xml:space="preserve"> </w:t>
      </w:r>
      <w:r w:rsidR="003E5CC9" w:rsidRPr="00AC5D15">
        <w:rPr>
          <w:sz w:val="26"/>
          <w:szCs w:val="26"/>
        </w:rPr>
        <w:t>t</w:t>
      </w:r>
      <w:r w:rsidR="007257D8" w:rsidRPr="00AC5D15">
        <w:rPr>
          <w:sz w:val="26"/>
          <w:szCs w:val="26"/>
        </w:rPr>
        <w:t xml:space="preserve">his is not consistent with the </w:t>
      </w:r>
      <w:r w:rsidR="000270C8" w:rsidRPr="00AC5D15">
        <w:rPr>
          <w:sz w:val="26"/>
          <w:szCs w:val="26"/>
        </w:rPr>
        <w:t xml:space="preserve">ratemaking </w:t>
      </w:r>
      <w:r w:rsidR="007257D8" w:rsidRPr="00AC5D15">
        <w:rPr>
          <w:sz w:val="26"/>
          <w:szCs w:val="26"/>
        </w:rPr>
        <w:t>process</w:t>
      </w:r>
      <w:r w:rsidR="000270C8" w:rsidRPr="00AC5D15">
        <w:rPr>
          <w:sz w:val="26"/>
          <w:szCs w:val="26"/>
        </w:rPr>
        <w:t xml:space="preserve">, which approves formulas, as there are variables involved.  </w:t>
      </w:r>
      <w:r w:rsidR="003E5CC9" w:rsidRPr="00AC5D15">
        <w:rPr>
          <w:sz w:val="26"/>
          <w:szCs w:val="26"/>
        </w:rPr>
        <w:t xml:space="preserve">The ALJ found that </w:t>
      </w:r>
      <w:r w:rsidR="00342AEB" w:rsidRPr="00AC5D15">
        <w:rPr>
          <w:sz w:val="26"/>
          <w:szCs w:val="26"/>
        </w:rPr>
        <w:t xml:space="preserve">the </w:t>
      </w:r>
      <w:r w:rsidR="000270C8" w:rsidRPr="00AC5D15">
        <w:rPr>
          <w:sz w:val="26"/>
          <w:szCs w:val="26"/>
        </w:rPr>
        <w:t>OSBA</w:t>
      </w:r>
      <w:r w:rsidR="00D64DAA" w:rsidRPr="00AC5D15">
        <w:rPr>
          <w:sz w:val="26"/>
          <w:szCs w:val="26"/>
        </w:rPr>
        <w:t>’</w:t>
      </w:r>
      <w:r w:rsidR="000270C8" w:rsidRPr="00AC5D15">
        <w:rPr>
          <w:sz w:val="26"/>
          <w:szCs w:val="26"/>
        </w:rPr>
        <w:t xml:space="preserve">s analysis would make the utility responsible for establishing the reasonableness of a formula even after Commission approval.  </w:t>
      </w:r>
      <w:r w:rsidR="003E5CC9" w:rsidRPr="00AC5D15">
        <w:rPr>
          <w:sz w:val="26"/>
          <w:szCs w:val="26"/>
        </w:rPr>
        <w:t xml:space="preserve">As a result, the ALJ </w:t>
      </w:r>
      <w:r w:rsidR="003E5CC9" w:rsidRPr="00AC5D15">
        <w:rPr>
          <w:sz w:val="26"/>
          <w:szCs w:val="26"/>
        </w:rPr>
        <w:lastRenderedPageBreak/>
        <w:t>concluded that t</w:t>
      </w:r>
      <w:r w:rsidR="000270C8" w:rsidRPr="00AC5D15">
        <w:rPr>
          <w:sz w:val="26"/>
          <w:szCs w:val="26"/>
        </w:rPr>
        <w:t xml:space="preserve">his is an established rate, and </w:t>
      </w:r>
      <w:r w:rsidR="003E5CC9" w:rsidRPr="00AC5D15">
        <w:rPr>
          <w:sz w:val="26"/>
          <w:szCs w:val="26"/>
        </w:rPr>
        <w:t xml:space="preserve">the </w:t>
      </w:r>
      <w:r w:rsidR="000270C8" w:rsidRPr="00AC5D15">
        <w:rPr>
          <w:sz w:val="26"/>
          <w:szCs w:val="26"/>
        </w:rPr>
        <w:t>OSBA has the burden of proving that it is unreasonable.</w:t>
      </w:r>
      <w:r w:rsidR="003E5CC9" w:rsidRPr="00AC5D15">
        <w:rPr>
          <w:sz w:val="26"/>
          <w:szCs w:val="26"/>
        </w:rPr>
        <w:t xml:space="preserve">  R.D. at 19-20.</w:t>
      </w:r>
    </w:p>
    <w:p w:rsidR="003E5CC9" w:rsidRPr="00AC5D15" w:rsidRDefault="003E5CC9" w:rsidP="00B05E0D">
      <w:pPr>
        <w:contextualSpacing/>
        <w:jc w:val="left"/>
        <w:rPr>
          <w:sz w:val="26"/>
          <w:szCs w:val="26"/>
        </w:rPr>
      </w:pPr>
    </w:p>
    <w:p w:rsidR="003E5CC9" w:rsidRPr="00AC5D15" w:rsidRDefault="00E03935" w:rsidP="00B05E0D">
      <w:pPr>
        <w:ind w:firstLine="720"/>
        <w:contextualSpacing/>
        <w:jc w:val="left"/>
        <w:rPr>
          <w:b/>
          <w:sz w:val="26"/>
          <w:szCs w:val="26"/>
        </w:rPr>
      </w:pPr>
      <w:r w:rsidRPr="00AC5D15">
        <w:rPr>
          <w:b/>
          <w:sz w:val="26"/>
          <w:szCs w:val="26"/>
        </w:rPr>
        <w:t>3</w:t>
      </w:r>
      <w:r w:rsidR="003E5CC9" w:rsidRPr="00AC5D15">
        <w:rPr>
          <w:b/>
          <w:sz w:val="26"/>
          <w:szCs w:val="26"/>
        </w:rPr>
        <w:t>.</w:t>
      </w:r>
      <w:r w:rsidR="003E5CC9" w:rsidRPr="00AC5D15">
        <w:rPr>
          <w:b/>
          <w:sz w:val="26"/>
          <w:szCs w:val="26"/>
        </w:rPr>
        <w:tab/>
        <w:t>Exceptions and Replies</w:t>
      </w:r>
    </w:p>
    <w:p w:rsidR="003E5CC9" w:rsidRPr="00AC5D15" w:rsidRDefault="003E5CC9" w:rsidP="00B05E0D">
      <w:pPr>
        <w:contextualSpacing/>
        <w:jc w:val="left"/>
        <w:rPr>
          <w:b/>
          <w:sz w:val="26"/>
          <w:szCs w:val="26"/>
        </w:rPr>
      </w:pPr>
    </w:p>
    <w:p w:rsidR="008A07B5" w:rsidRPr="00AC5D15" w:rsidRDefault="008A07B5" w:rsidP="00B05E0D">
      <w:pPr>
        <w:contextualSpacing/>
        <w:jc w:val="left"/>
        <w:rPr>
          <w:sz w:val="26"/>
          <w:szCs w:val="26"/>
        </w:rPr>
      </w:pPr>
      <w:r w:rsidRPr="00AC5D15">
        <w:rPr>
          <w:b/>
          <w:sz w:val="26"/>
          <w:szCs w:val="26"/>
        </w:rPr>
        <w:tab/>
      </w:r>
      <w:r w:rsidRPr="00AC5D15">
        <w:rPr>
          <w:b/>
          <w:sz w:val="26"/>
          <w:szCs w:val="26"/>
        </w:rPr>
        <w:tab/>
      </w:r>
      <w:r w:rsidR="009E19D3" w:rsidRPr="00AC5D15">
        <w:rPr>
          <w:sz w:val="26"/>
          <w:szCs w:val="26"/>
        </w:rPr>
        <w:t>The OSBA did not file E</w:t>
      </w:r>
      <w:r w:rsidRPr="00AC5D15">
        <w:rPr>
          <w:sz w:val="26"/>
          <w:szCs w:val="26"/>
        </w:rPr>
        <w:t>xceptions to the ALJ</w:t>
      </w:r>
      <w:r w:rsidR="00D64DAA" w:rsidRPr="00AC5D15">
        <w:rPr>
          <w:sz w:val="26"/>
          <w:szCs w:val="26"/>
        </w:rPr>
        <w:t>’</w:t>
      </w:r>
      <w:r w:rsidR="00490566" w:rsidRPr="00AC5D15">
        <w:rPr>
          <w:sz w:val="26"/>
          <w:szCs w:val="26"/>
        </w:rPr>
        <w:t>s conclusion with regard to the</w:t>
      </w:r>
      <w:r w:rsidRPr="00AC5D15">
        <w:rPr>
          <w:sz w:val="26"/>
          <w:szCs w:val="26"/>
        </w:rPr>
        <w:t xml:space="preserve"> burden of proof.  In its Exceptions, PPL noted that the OSBA had a heavy burden to prove that its reconciliation methodology was unreasonable and had failed.  PPL Exc. at</w:t>
      </w:r>
      <w:r w:rsidR="003160A7" w:rsidRPr="00AC5D15">
        <w:rPr>
          <w:sz w:val="26"/>
          <w:szCs w:val="26"/>
        </w:rPr>
        <w:t> </w:t>
      </w:r>
      <w:r w:rsidRPr="00AC5D15">
        <w:rPr>
          <w:sz w:val="26"/>
          <w:szCs w:val="26"/>
        </w:rPr>
        <w:t>23.</w:t>
      </w:r>
    </w:p>
    <w:p w:rsidR="008A07B5" w:rsidRPr="00AC5D15" w:rsidRDefault="008A07B5" w:rsidP="00B05E0D">
      <w:pPr>
        <w:contextualSpacing/>
        <w:jc w:val="left"/>
        <w:rPr>
          <w:sz w:val="26"/>
          <w:szCs w:val="26"/>
        </w:rPr>
      </w:pPr>
    </w:p>
    <w:p w:rsidR="008A07B5" w:rsidRPr="00AC5D15" w:rsidRDefault="008A07B5" w:rsidP="00B05E0D">
      <w:pPr>
        <w:contextualSpacing/>
        <w:jc w:val="left"/>
        <w:rPr>
          <w:sz w:val="26"/>
          <w:szCs w:val="26"/>
        </w:rPr>
      </w:pPr>
      <w:r w:rsidRPr="00AC5D15">
        <w:rPr>
          <w:sz w:val="26"/>
          <w:szCs w:val="26"/>
        </w:rPr>
        <w:tab/>
      </w:r>
      <w:r w:rsidRPr="00AC5D15">
        <w:rPr>
          <w:sz w:val="26"/>
          <w:szCs w:val="26"/>
        </w:rPr>
        <w:tab/>
        <w:t>In reply, the OSBA concedes that it is challenging a rate implemented by a Commission-approved reconciliation mechanism, namely the GSC-1.  However, the OSBA avers that it does not challenge the reasonableness of PPL</w:t>
      </w:r>
      <w:r w:rsidR="00D64DAA" w:rsidRPr="00AC5D15">
        <w:rPr>
          <w:sz w:val="26"/>
          <w:szCs w:val="26"/>
        </w:rPr>
        <w:t>’</w:t>
      </w:r>
      <w:r w:rsidRPr="00AC5D15">
        <w:rPr>
          <w:sz w:val="26"/>
          <w:szCs w:val="26"/>
        </w:rPr>
        <w:t>s Commission-ap</w:t>
      </w:r>
      <w:r w:rsidR="00490566" w:rsidRPr="00AC5D15">
        <w:rPr>
          <w:sz w:val="26"/>
          <w:szCs w:val="26"/>
        </w:rPr>
        <w:t>proved GSC-</w:t>
      </w:r>
      <w:r w:rsidRPr="00AC5D15">
        <w:rPr>
          <w:sz w:val="26"/>
          <w:szCs w:val="26"/>
        </w:rPr>
        <w:t>1 reconciliation mechanism, but rather the accounting methodology used by PPL to implement that mechanism.  OSBA R. Exc. at 8.</w:t>
      </w:r>
    </w:p>
    <w:p w:rsidR="008A07B5" w:rsidRPr="00AC5D15" w:rsidRDefault="008A07B5" w:rsidP="00B05E0D">
      <w:pPr>
        <w:contextualSpacing/>
        <w:jc w:val="left"/>
        <w:rPr>
          <w:sz w:val="26"/>
          <w:szCs w:val="26"/>
        </w:rPr>
      </w:pPr>
    </w:p>
    <w:p w:rsidR="003E5CC9" w:rsidRPr="00AC5D15" w:rsidRDefault="00E03935" w:rsidP="00B05E0D">
      <w:pPr>
        <w:keepNext/>
        <w:ind w:firstLine="720"/>
        <w:contextualSpacing/>
        <w:jc w:val="left"/>
        <w:rPr>
          <w:b/>
          <w:sz w:val="26"/>
          <w:szCs w:val="26"/>
        </w:rPr>
      </w:pPr>
      <w:r w:rsidRPr="00AC5D15">
        <w:rPr>
          <w:b/>
          <w:sz w:val="26"/>
          <w:szCs w:val="26"/>
        </w:rPr>
        <w:t>4</w:t>
      </w:r>
      <w:r w:rsidR="003E5CC9" w:rsidRPr="00AC5D15">
        <w:rPr>
          <w:b/>
          <w:sz w:val="26"/>
          <w:szCs w:val="26"/>
        </w:rPr>
        <w:t>.</w:t>
      </w:r>
      <w:r w:rsidR="003E5CC9" w:rsidRPr="00AC5D15">
        <w:rPr>
          <w:b/>
          <w:sz w:val="26"/>
          <w:szCs w:val="26"/>
        </w:rPr>
        <w:tab/>
        <w:t>Disposition</w:t>
      </w:r>
    </w:p>
    <w:p w:rsidR="00490566" w:rsidRPr="00AC5D15" w:rsidRDefault="00490566" w:rsidP="00B05E0D">
      <w:pPr>
        <w:keepNext/>
        <w:ind w:firstLine="720"/>
        <w:contextualSpacing/>
        <w:jc w:val="left"/>
        <w:rPr>
          <w:b/>
          <w:sz w:val="26"/>
          <w:szCs w:val="26"/>
        </w:rPr>
      </w:pPr>
    </w:p>
    <w:p w:rsidR="00490566" w:rsidRPr="00AC5D15" w:rsidRDefault="00490566" w:rsidP="00B05E0D">
      <w:pPr>
        <w:contextualSpacing/>
        <w:jc w:val="left"/>
        <w:rPr>
          <w:sz w:val="26"/>
          <w:szCs w:val="26"/>
        </w:rPr>
      </w:pPr>
      <w:r w:rsidRPr="00AC5D15">
        <w:rPr>
          <w:b/>
          <w:sz w:val="26"/>
          <w:szCs w:val="26"/>
        </w:rPr>
        <w:tab/>
      </w:r>
      <w:r w:rsidRPr="00AC5D15">
        <w:rPr>
          <w:b/>
          <w:sz w:val="26"/>
          <w:szCs w:val="26"/>
        </w:rPr>
        <w:tab/>
      </w:r>
      <w:r w:rsidRPr="00AC5D15">
        <w:rPr>
          <w:sz w:val="26"/>
          <w:szCs w:val="26"/>
        </w:rPr>
        <w:t xml:space="preserve">No </w:t>
      </w:r>
      <w:r w:rsidR="00B34F39" w:rsidRPr="00AC5D15">
        <w:rPr>
          <w:sz w:val="26"/>
          <w:szCs w:val="26"/>
        </w:rPr>
        <w:t xml:space="preserve">Party filed </w:t>
      </w:r>
      <w:r w:rsidRPr="00AC5D15">
        <w:rPr>
          <w:sz w:val="26"/>
          <w:szCs w:val="26"/>
        </w:rPr>
        <w:t>Exceptions to the ALJ</w:t>
      </w:r>
      <w:r w:rsidR="00D64DAA" w:rsidRPr="00AC5D15">
        <w:rPr>
          <w:sz w:val="26"/>
          <w:szCs w:val="26"/>
        </w:rPr>
        <w:t>’</w:t>
      </w:r>
      <w:r w:rsidRPr="00AC5D15">
        <w:rPr>
          <w:sz w:val="26"/>
          <w:szCs w:val="26"/>
        </w:rPr>
        <w:t>s deter</w:t>
      </w:r>
      <w:r w:rsidR="00342AEB" w:rsidRPr="00AC5D15">
        <w:rPr>
          <w:sz w:val="26"/>
          <w:szCs w:val="26"/>
        </w:rPr>
        <w:t>mination that the OSBA possesses</w:t>
      </w:r>
      <w:r w:rsidRPr="00AC5D15">
        <w:rPr>
          <w:sz w:val="26"/>
          <w:szCs w:val="26"/>
        </w:rPr>
        <w:t xml:space="preserve"> the burden of proof in this instance.  Finding the ALJ</w:t>
      </w:r>
      <w:r w:rsidR="00D64DAA" w:rsidRPr="00AC5D15">
        <w:rPr>
          <w:sz w:val="26"/>
          <w:szCs w:val="26"/>
        </w:rPr>
        <w:t>’</w:t>
      </w:r>
      <w:r w:rsidRPr="00AC5D15">
        <w:rPr>
          <w:sz w:val="26"/>
          <w:szCs w:val="26"/>
        </w:rPr>
        <w:t>s recommendation to be reasonable and appropriate, we adopt her recommendation.</w:t>
      </w:r>
    </w:p>
    <w:p w:rsidR="00223CD0" w:rsidRPr="00AC5D15" w:rsidRDefault="00223CD0" w:rsidP="00B05E0D">
      <w:pPr>
        <w:jc w:val="left"/>
        <w:rPr>
          <w:sz w:val="26"/>
          <w:szCs w:val="26"/>
        </w:rPr>
      </w:pPr>
    </w:p>
    <w:p w:rsidR="00187588" w:rsidRPr="00AC5D15" w:rsidRDefault="00E03935" w:rsidP="00886144">
      <w:pPr>
        <w:keepNext/>
        <w:contextualSpacing/>
        <w:jc w:val="left"/>
        <w:rPr>
          <w:b/>
          <w:sz w:val="26"/>
          <w:szCs w:val="26"/>
        </w:rPr>
      </w:pPr>
      <w:r w:rsidRPr="00AC5D15">
        <w:rPr>
          <w:b/>
          <w:sz w:val="26"/>
          <w:szCs w:val="26"/>
        </w:rPr>
        <w:t>B.</w:t>
      </w:r>
      <w:r w:rsidRPr="00AC5D15">
        <w:rPr>
          <w:b/>
          <w:sz w:val="26"/>
          <w:szCs w:val="26"/>
        </w:rPr>
        <w:tab/>
        <w:t>Proration Accounting Methodology</w:t>
      </w:r>
    </w:p>
    <w:p w:rsidR="00D72974" w:rsidRPr="00AC5D15" w:rsidRDefault="00D72974" w:rsidP="00886144">
      <w:pPr>
        <w:keepNext/>
        <w:contextualSpacing/>
        <w:jc w:val="left"/>
        <w:rPr>
          <w:b/>
          <w:sz w:val="26"/>
          <w:szCs w:val="26"/>
        </w:rPr>
      </w:pPr>
    </w:p>
    <w:p w:rsidR="00E03935" w:rsidRPr="00AC5D15" w:rsidRDefault="00E03935" w:rsidP="00886144">
      <w:pPr>
        <w:keepNext/>
        <w:contextualSpacing/>
        <w:jc w:val="left"/>
        <w:rPr>
          <w:b/>
          <w:sz w:val="26"/>
          <w:szCs w:val="26"/>
        </w:rPr>
      </w:pPr>
      <w:r w:rsidRPr="00AC5D15">
        <w:rPr>
          <w:b/>
          <w:sz w:val="26"/>
          <w:szCs w:val="26"/>
        </w:rPr>
        <w:tab/>
        <w:t>1.</w:t>
      </w:r>
      <w:r w:rsidRPr="00AC5D15">
        <w:rPr>
          <w:b/>
          <w:sz w:val="26"/>
          <w:szCs w:val="26"/>
        </w:rPr>
        <w:tab/>
        <w:t>Positions of the Parties</w:t>
      </w:r>
    </w:p>
    <w:p w:rsidR="00B0793D" w:rsidRPr="00AC5D15" w:rsidRDefault="00B0793D" w:rsidP="00886144">
      <w:pPr>
        <w:keepNext/>
        <w:contextualSpacing/>
        <w:jc w:val="left"/>
        <w:rPr>
          <w:b/>
          <w:sz w:val="26"/>
        </w:rPr>
      </w:pPr>
    </w:p>
    <w:p w:rsidR="002F23BD" w:rsidRPr="00AC5D15" w:rsidRDefault="0080045C" w:rsidP="00B05E0D">
      <w:pPr>
        <w:contextualSpacing/>
        <w:jc w:val="left"/>
        <w:rPr>
          <w:sz w:val="26"/>
          <w:szCs w:val="26"/>
        </w:rPr>
      </w:pPr>
      <w:r w:rsidRPr="00AC5D15">
        <w:rPr>
          <w:sz w:val="26"/>
        </w:rPr>
        <w:tab/>
      </w:r>
      <w:r w:rsidRPr="00AC5D15">
        <w:rPr>
          <w:sz w:val="26"/>
        </w:rPr>
        <w:tab/>
      </w:r>
      <w:r w:rsidR="00E03935" w:rsidRPr="00AC5D15">
        <w:rPr>
          <w:sz w:val="26"/>
          <w:szCs w:val="26"/>
        </w:rPr>
        <w:t xml:space="preserve">The </w:t>
      </w:r>
      <w:r w:rsidRPr="00AC5D15">
        <w:rPr>
          <w:sz w:val="26"/>
          <w:szCs w:val="26"/>
        </w:rPr>
        <w:t>OSBA alleges that PPL</w:t>
      </w:r>
      <w:r w:rsidR="00D64DAA" w:rsidRPr="00AC5D15">
        <w:rPr>
          <w:sz w:val="26"/>
          <w:szCs w:val="26"/>
        </w:rPr>
        <w:t>’</w:t>
      </w:r>
      <w:r w:rsidRPr="00AC5D15">
        <w:rPr>
          <w:sz w:val="26"/>
          <w:szCs w:val="26"/>
        </w:rPr>
        <w:t>s accounting method is flawed because: (1)</w:t>
      </w:r>
      <w:r w:rsidR="00337E72" w:rsidRPr="00AC5D15">
        <w:rPr>
          <w:sz w:val="26"/>
          <w:szCs w:val="26"/>
        </w:rPr>
        <w:t> </w:t>
      </w:r>
      <w:r w:rsidR="00D64DAA" w:rsidRPr="00AC5D15">
        <w:rPr>
          <w:sz w:val="26"/>
          <w:szCs w:val="26"/>
        </w:rPr>
        <w:t>“</w:t>
      </w:r>
      <w:r w:rsidRPr="00AC5D15">
        <w:rPr>
          <w:sz w:val="26"/>
          <w:szCs w:val="26"/>
        </w:rPr>
        <w:t>proration</w:t>
      </w:r>
      <w:r w:rsidR="00D64DAA" w:rsidRPr="00AC5D15">
        <w:rPr>
          <w:sz w:val="26"/>
          <w:szCs w:val="26"/>
        </w:rPr>
        <w:t>”</w:t>
      </w:r>
      <w:r w:rsidRPr="00AC5D15">
        <w:rPr>
          <w:sz w:val="26"/>
          <w:szCs w:val="26"/>
        </w:rPr>
        <w:t xml:space="preserve"> is inconsistent with the matching principle; (2)</w:t>
      </w:r>
      <w:r w:rsidR="00337E72" w:rsidRPr="00AC5D15">
        <w:rPr>
          <w:sz w:val="26"/>
          <w:szCs w:val="26"/>
        </w:rPr>
        <w:t> </w:t>
      </w:r>
      <w:r w:rsidR="00D64DAA" w:rsidRPr="00AC5D15">
        <w:rPr>
          <w:sz w:val="26"/>
          <w:szCs w:val="26"/>
        </w:rPr>
        <w:t>PPL</w:t>
      </w:r>
      <w:r w:rsidRPr="00AC5D15">
        <w:rPr>
          <w:sz w:val="26"/>
          <w:szCs w:val="26"/>
        </w:rPr>
        <w:t xml:space="preserve"> admits the flaws; (3)</w:t>
      </w:r>
      <w:r w:rsidR="00337E72" w:rsidRPr="00AC5D15">
        <w:rPr>
          <w:sz w:val="26"/>
          <w:szCs w:val="26"/>
        </w:rPr>
        <w:t> </w:t>
      </w:r>
      <w:r w:rsidRPr="00AC5D15">
        <w:rPr>
          <w:sz w:val="26"/>
          <w:szCs w:val="26"/>
        </w:rPr>
        <w:t>Commission precedent is distinguishable; (4)</w:t>
      </w:r>
      <w:r w:rsidR="00337E72" w:rsidRPr="00AC5D15">
        <w:rPr>
          <w:sz w:val="26"/>
          <w:szCs w:val="26"/>
        </w:rPr>
        <w:t> </w:t>
      </w:r>
      <w:r w:rsidRPr="00AC5D15">
        <w:rPr>
          <w:sz w:val="26"/>
          <w:szCs w:val="26"/>
        </w:rPr>
        <w:t xml:space="preserve">shopping does not increase accounting </w:t>
      </w:r>
      <w:r w:rsidR="00BF36DD" w:rsidRPr="00AC5D15">
        <w:rPr>
          <w:sz w:val="26"/>
          <w:szCs w:val="26"/>
        </w:rPr>
        <w:lastRenderedPageBreak/>
        <w:t>under collections</w:t>
      </w:r>
      <w:r w:rsidRPr="00AC5D15">
        <w:rPr>
          <w:sz w:val="26"/>
          <w:szCs w:val="26"/>
        </w:rPr>
        <w:t>; and (5)</w:t>
      </w:r>
      <w:r w:rsidR="00337E72" w:rsidRPr="00AC5D15">
        <w:rPr>
          <w:sz w:val="26"/>
          <w:szCs w:val="26"/>
        </w:rPr>
        <w:t> </w:t>
      </w:r>
      <w:r w:rsidRPr="00AC5D15">
        <w:rPr>
          <w:sz w:val="26"/>
          <w:szCs w:val="26"/>
        </w:rPr>
        <w:t xml:space="preserve">working capital is after-the-fact justification.  </w:t>
      </w:r>
      <w:r w:rsidR="00EB5495" w:rsidRPr="00AC5D15">
        <w:rPr>
          <w:sz w:val="26"/>
          <w:szCs w:val="26"/>
        </w:rPr>
        <w:t xml:space="preserve">According to </w:t>
      </w:r>
      <w:r w:rsidR="00E03935" w:rsidRPr="00AC5D15">
        <w:rPr>
          <w:sz w:val="26"/>
          <w:szCs w:val="26"/>
        </w:rPr>
        <w:t xml:space="preserve">the </w:t>
      </w:r>
      <w:r w:rsidR="00EB5495" w:rsidRPr="00AC5D15">
        <w:rPr>
          <w:sz w:val="26"/>
          <w:szCs w:val="26"/>
        </w:rPr>
        <w:t>OSBA, t</w:t>
      </w:r>
      <w:r w:rsidRPr="00AC5D15">
        <w:rPr>
          <w:sz w:val="26"/>
          <w:szCs w:val="26"/>
        </w:rPr>
        <w:t>hese problems accent the under-reporting of revenues, and the proposed solutions are not justified.</w:t>
      </w:r>
      <w:r w:rsidR="00C715A5" w:rsidRPr="00AC5D15">
        <w:rPr>
          <w:sz w:val="26"/>
          <w:szCs w:val="26"/>
        </w:rPr>
        <w:t xml:space="preserve">  OSBA M.B. at 13-24.</w:t>
      </w:r>
    </w:p>
    <w:p w:rsidR="0080045C" w:rsidRPr="00AC5D15" w:rsidRDefault="0080045C" w:rsidP="00B05E0D">
      <w:pPr>
        <w:contextualSpacing/>
        <w:jc w:val="left"/>
        <w:rPr>
          <w:sz w:val="26"/>
        </w:rPr>
      </w:pPr>
    </w:p>
    <w:p w:rsidR="00C715A5" w:rsidRPr="00AC5D15" w:rsidRDefault="00187588" w:rsidP="00B05E0D">
      <w:pPr>
        <w:contextualSpacing/>
        <w:jc w:val="left"/>
        <w:rPr>
          <w:sz w:val="26"/>
          <w:szCs w:val="26"/>
        </w:rPr>
      </w:pPr>
      <w:r w:rsidRPr="00AC5D15">
        <w:rPr>
          <w:sz w:val="26"/>
        </w:rPr>
        <w:tab/>
      </w:r>
      <w:r w:rsidRPr="00AC5D15">
        <w:rPr>
          <w:sz w:val="26"/>
        </w:rPr>
        <w:tab/>
      </w:r>
      <w:r w:rsidR="00CE3381" w:rsidRPr="00AC5D15">
        <w:rPr>
          <w:sz w:val="26"/>
          <w:szCs w:val="26"/>
        </w:rPr>
        <w:t>According to PPL, a</w:t>
      </w:r>
      <w:r w:rsidR="003D381B" w:rsidRPr="00AC5D15">
        <w:rPr>
          <w:sz w:val="26"/>
          <w:szCs w:val="26"/>
        </w:rPr>
        <w:t xml:space="preserve"> Section 1307(e) cost recovery mechanism has two primary components.  The first, the C factor, is a projection of costs for the application period.  The second, the E factor, provides for the refund or recovery of prior </w:t>
      </w:r>
      <w:r w:rsidR="00CE3381" w:rsidRPr="00AC5D15">
        <w:rPr>
          <w:sz w:val="26"/>
          <w:szCs w:val="26"/>
        </w:rPr>
        <w:t xml:space="preserve">period </w:t>
      </w:r>
      <w:r w:rsidR="003D381B" w:rsidRPr="00AC5D15">
        <w:rPr>
          <w:sz w:val="26"/>
          <w:szCs w:val="26"/>
        </w:rPr>
        <w:t>over/</w:t>
      </w:r>
      <w:r w:rsidR="00BF36DD" w:rsidRPr="00AC5D15">
        <w:rPr>
          <w:sz w:val="26"/>
          <w:szCs w:val="26"/>
        </w:rPr>
        <w:t>under collections</w:t>
      </w:r>
      <w:r w:rsidR="00162D0C" w:rsidRPr="00AC5D15">
        <w:rPr>
          <w:sz w:val="26"/>
          <w:szCs w:val="26"/>
        </w:rPr>
        <w:t xml:space="preserve">.  </w:t>
      </w:r>
      <w:r w:rsidR="007F51D1" w:rsidRPr="00AC5D15">
        <w:rPr>
          <w:sz w:val="26"/>
          <w:szCs w:val="26"/>
        </w:rPr>
        <w:t>N.T. at 39; PPL M.B. at 12.</w:t>
      </w:r>
    </w:p>
    <w:p w:rsidR="00C715A5" w:rsidRPr="00AC5D15" w:rsidRDefault="00C715A5" w:rsidP="00B05E0D">
      <w:pPr>
        <w:contextualSpacing/>
        <w:jc w:val="left"/>
        <w:rPr>
          <w:sz w:val="26"/>
          <w:szCs w:val="26"/>
        </w:rPr>
      </w:pPr>
    </w:p>
    <w:p w:rsidR="0080045C" w:rsidRPr="00AC5D15" w:rsidRDefault="00764863" w:rsidP="00B05E0D">
      <w:pPr>
        <w:ind w:firstLine="1440"/>
        <w:contextualSpacing/>
        <w:jc w:val="left"/>
        <w:rPr>
          <w:sz w:val="26"/>
          <w:szCs w:val="26"/>
        </w:rPr>
      </w:pPr>
      <w:r w:rsidRPr="00AC5D15">
        <w:rPr>
          <w:sz w:val="26"/>
          <w:szCs w:val="26"/>
        </w:rPr>
        <w:t xml:space="preserve">It is </w:t>
      </w:r>
      <w:r w:rsidR="00D64DAA" w:rsidRPr="00AC5D15">
        <w:rPr>
          <w:sz w:val="26"/>
          <w:szCs w:val="26"/>
        </w:rPr>
        <w:t>PPL’</w:t>
      </w:r>
      <w:r w:rsidRPr="00AC5D15">
        <w:rPr>
          <w:sz w:val="26"/>
          <w:szCs w:val="26"/>
        </w:rPr>
        <w:t>s determinat</w:t>
      </w:r>
      <w:r w:rsidR="00CE3381" w:rsidRPr="00AC5D15">
        <w:rPr>
          <w:sz w:val="26"/>
          <w:szCs w:val="26"/>
        </w:rPr>
        <w:t xml:space="preserve">ion of the </w:t>
      </w:r>
      <w:r w:rsidR="00D64DAA" w:rsidRPr="00AC5D15">
        <w:rPr>
          <w:sz w:val="26"/>
          <w:szCs w:val="26"/>
        </w:rPr>
        <w:t>“</w:t>
      </w:r>
      <w:r w:rsidR="00CE3381" w:rsidRPr="00AC5D15">
        <w:rPr>
          <w:sz w:val="26"/>
          <w:szCs w:val="26"/>
        </w:rPr>
        <w:t>E</w:t>
      </w:r>
      <w:r w:rsidR="00D64DAA" w:rsidRPr="00AC5D15">
        <w:rPr>
          <w:sz w:val="26"/>
          <w:szCs w:val="26"/>
        </w:rPr>
        <w:t>”</w:t>
      </w:r>
      <w:r w:rsidR="00CE3381" w:rsidRPr="00AC5D15">
        <w:rPr>
          <w:sz w:val="26"/>
          <w:szCs w:val="26"/>
        </w:rPr>
        <w:t xml:space="preserve"> factor that is being</w:t>
      </w:r>
      <w:r w:rsidRPr="00AC5D15">
        <w:rPr>
          <w:sz w:val="26"/>
          <w:szCs w:val="26"/>
        </w:rPr>
        <w:t xml:space="preserve"> question</w:t>
      </w:r>
      <w:r w:rsidR="00CE3381" w:rsidRPr="00AC5D15">
        <w:rPr>
          <w:sz w:val="26"/>
          <w:szCs w:val="26"/>
        </w:rPr>
        <w:t>ed by the OSBA</w:t>
      </w:r>
      <w:r w:rsidRPr="00AC5D15">
        <w:rPr>
          <w:sz w:val="26"/>
          <w:szCs w:val="26"/>
        </w:rPr>
        <w:t xml:space="preserve">.  </w:t>
      </w:r>
      <w:r w:rsidR="00CE3381" w:rsidRPr="00AC5D15">
        <w:rPr>
          <w:sz w:val="26"/>
          <w:szCs w:val="26"/>
        </w:rPr>
        <w:t xml:space="preserve">The </w:t>
      </w:r>
      <w:r w:rsidR="003D381B" w:rsidRPr="00AC5D15">
        <w:rPr>
          <w:sz w:val="26"/>
          <w:szCs w:val="26"/>
        </w:rPr>
        <w:t>OSBA alleges that the method used by PP</w:t>
      </w:r>
      <w:r w:rsidR="00CE3381" w:rsidRPr="00AC5D15">
        <w:rPr>
          <w:sz w:val="26"/>
          <w:szCs w:val="26"/>
        </w:rPr>
        <w:t xml:space="preserve">L </w:t>
      </w:r>
      <w:r w:rsidR="003D381B" w:rsidRPr="00AC5D15">
        <w:rPr>
          <w:sz w:val="26"/>
          <w:szCs w:val="26"/>
        </w:rPr>
        <w:t xml:space="preserve">in determining </w:t>
      </w:r>
      <w:r w:rsidR="00162D0C" w:rsidRPr="00AC5D15">
        <w:rPr>
          <w:sz w:val="26"/>
          <w:szCs w:val="26"/>
        </w:rPr>
        <w:t>it</w:t>
      </w:r>
      <w:r w:rsidR="00BF36DD" w:rsidRPr="00AC5D15">
        <w:rPr>
          <w:sz w:val="26"/>
          <w:szCs w:val="26"/>
        </w:rPr>
        <w:t>s</w:t>
      </w:r>
      <w:r w:rsidR="003D381B" w:rsidRPr="00AC5D15">
        <w:rPr>
          <w:sz w:val="26"/>
          <w:szCs w:val="26"/>
        </w:rPr>
        <w:t xml:space="preserve"> </w:t>
      </w:r>
      <w:r w:rsidR="00BF36DD" w:rsidRPr="00AC5D15">
        <w:rPr>
          <w:sz w:val="26"/>
          <w:szCs w:val="26"/>
        </w:rPr>
        <w:t>under collection</w:t>
      </w:r>
      <w:r w:rsidR="003D381B" w:rsidRPr="00AC5D15">
        <w:rPr>
          <w:sz w:val="26"/>
          <w:szCs w:val="26"/>
        </w:rPr>
        <w:t xml:space="preserve"> </w:t>
      </w:r>
      <w:r w:rsidR="00CE3381" w:rsidRPr="00AC5D15">
        <w:rPr>
          <w:sz w:val="26"/>
          <w:szCs w:val="26"/>
        </w:rPr>
        <w:t xml:space="preserve">amount </w:t>
      </w:r>
      <w:r w:rsidR="003D381B" w:rsidRPr="00AC5D15">
        <w:rPr>
          <w:sz w:val="26"/>
          <w:szCs w:val="26"/>
        </w:rPr>
        <w:t>for June 1, 2011 through August 31, 2011</w:t>
      </w:r>
      <w:r w:rsidR="00CE3381" w:rsidRPr="00AC5D15">
        <w:rPr>
          <w:sz w:val="26"/>
          <w:szCs w:val="26"/>
        </w:rPr>
        <w:t>,</w:t>
      </w:r>
      <w:r w:rsidR="003D381B" w:rsidRPr="00AC5D15">
        <w:rPr>
          <w:sz w:val="26"/>
          <w:szCs w:val="26"/>
        </w:rPr>
        <w:t xml:space="preserve"> was not proper.  </w:t>
      </w:r>
      <w:r w:rsidR="00CE3381" w:rsidRPr="00AC5D15">
        <w:rPr>
          <w:sz w:val="26"/>
          <w:szCs w:val="26"/>
        </w:rPr>
        <w:t xml:space="preserve">The </w:t>
      </w:r>
      <w:r w:rsidR="003D381B" w:rsidRPr="00AC5D15">
        <w:rPr>
          <w:sz w:val="26"/>
          <w:szCs w:val="26"/>
        </w:rPr>
        <w:t xml:space="preserve">OSBA describes </w:t>
      </w:r>
      <w:r w:rsidR="0080045C" w:rsidRPr="00AC5D15">
        <w:rPr>
          <w:sz w:val="26"/>
          <w:szCs w:val="26"/>
        </w:rPr>
        <w:t>the events leading to this Complaint</w:t>
      </w:r>
      <w:r w:rsidR="00CE3381" w:rsidRPr="00AC5D15">
        <w:rPr>
          <w:sz w:val="26"/>
          <w:szCs w:val="26"/>
        </w:rPr>
        <w:t xml:space="preserve"> as follows</w:t>
      </w:r>
      <w:r w:rsidR="0080045C" w:rsidRPr="00AC5D15">
        <w:rPr>
          <w:sz w:val="26"/>
          <w:szCs w:val="26"/>
        </w:rPr>
        <w:t>:</w:t>
      </w:r>
    </w:p>
    <w:p w:rsidR="0080045C" w:rsidRPr="00AC5D15" w:rsidRDefault="0080045C" w:rsidP="00B05E0D">
      <w:pPr>
        <w:contextualSpacing/>
        <w:jc w:val="left"/>
        <w:rPr>
          <w:sz w:val="26"/>
        </w:rPr>
      </w:pPr>
    </w:p>
    <w:p w:rsidR="0080045C" w:rsidRPr="00AC5D15" w:rsidRDefault="0080045C" w:rsidP="00B05E0D">
      <w:pPr>
        <w:keepLines/>
        <w:spacing w:line="240" w:lineRule="auto"/>
        <w:ind w:left="1440" w:right="1440"/>
        <w:contextualSpacing/>
        <w:jc w:val="left"/>
        <w:rPr>
          <w:sz w:val="26"/>
          <w:szCs w:val="26"/>
        </w:rPr>
      </w:pPr>
      <w:r w:rsidRPr="00AC5D15">
        <w:rPr>
          <w:sz w:val="26"/>
          <w:szCs w:val="26"/>
        </w:rPr>
        <w:t>Beginning January 1, 2010, PPL distributed electricity procured under the CBP to meet the needs of its default service customers.  Pursuant to PPL</w:t>
      </w:r>
      <w:r w:rsidR="00D64DAA" w:rsidRPr="00AC5D15">
        <w:rPr>
          <w:sz w:val="26"/>
          <w:szCs w:val="26"/>
        </w:rPr>
        <w:t>’</w:t>
      </w:r>
      <w:r w:rsidRPr="00AC5D15">
        <w:rPr>
          <w:sz w:val="26"/>
          <w:szCs w:val="26"/>
        </w:rPr>
        <w:t xml:space="preserve">s reconciliation accounting method, the Company recorded the costs associated with those purchases, </w:t>
      </w:r>
      <w:r w:rsidRPr="00AC5D15">
        <w:rPr>
          <w:i/>
          <w:sz w:val="26"/>
          <w:szCs w:val="26"/>
        </w:rPr>
        <w:t>i.e</w:t>
      </w:r>
      <w:r w:rsidRPr="00AC5D15">
        <w:rPr>
          <w:sz w:val="26"/>
          <w:szCs w:val="26"/>
        </w:rPr>
        <w:t>., the amounts paid to the wholesale suppliers plus the approved administrative charges and the GRT.  Thus, PPL recorded an entire month of costs in January 2010.</w:t>
      </w:r>
    </w:p>
    <w:p w:rsidR="0069651E" w:rsidRPr="00AC5D15" w:rsidRDefault="0069651E" w:rsidP="00B05E0D">
      <w:pPr>
        <w:spacing w:line="240" w:lineRule="auto"/>
        <w:ind w:left="1350" w:right="1440"/>
        <w:contextualSpacing/>
        <w:jc w:val="left"/>
        <w:rPr>
          <w:sz w:val="26"/>
          <w:szCs w:val="26"/>
        </w:rPr>
      </w:pPr>
    </w:p>
    <w:p w:rsidR="0080045C" w:rsidRPr="00AC5D15" w:rsidRDefault="0080045C" w:rsidP="00B05E0D">
      <w:pPr>
        <w:spacing w:line="240" w:lineRule="auto"/>
        <w:ind w:left="1440" w:right="1440"/>
        <w:contextualSpacing/>
        <w:jc w:val="left"/>
        <w:rPr>
          <w:sz w:val="26"/>
          <w:szCs w:val="26"/>
        </w:rPr>
      </w:pPr>
      <w:r w:rsidRPr="00AC5D15">
        <w:rPr>
          <w:sz w:val="26"/>
          <w:szCs w:val="26"/>
        </w:rPr>
        <w:t xml:space="preserve">However, revenues in January 2010 were handled differently.  PPL recorded only about 15 days of </w:t>
      </w:r>
      <w:r w:rsidRPr="00AC5D15">
        <w:rPr>
          <w:i/>
          <w:sz w:val="26"/>
          <w:szCs w:val="26"/>
        </w:rPr>
        <w:t xml:space="preserve">billed </w:t>
      </w:r>
      <w:r w:rsidRPr="00AC5D15">
        <w:rPr>
          <w:sz w:val="26"/>
          <w:szCs w:val="26"/>
        </w:rPr>
        <w:t xml:space="preserve">revenues rather than 30 days of </w:t>
      </w:r>
      <w:r w:rsidRPr="00AC5D15">
        <w:rPr>
          <w:i/>
          <w:sz w:val="26"/>
          <w:szCs w:val="26"/>
        </w:rPr>
        <w:t xml:space="preserve">earned </w:t>
      </w:r>
      <w:r w:rsidRPr="00AC5D15">
        <w:rPr>
          <w:sz w:val="26"/>
          <w:szCs w:val="26"/>
        </w:rPr>
        <w:t>revenues.  Because PPL</w:t>
      </w:r>
      <w:r w:rsidR="00D64DAA" w:rsidRPr="00AC5D15">
        <w:rPr>
          <w:sz w:val="26"/>
          <w:szCs w:val="26"/>
        </w:rPr>
        <w:t>’</w:t>
      </w:r>
      <w:r w:rsidRPr="00AC5D15">
        <w:rPr>
          <w:sz w:val="26"/>
          <w:szCs w:val="26"/>
        </w:rPr>
        <w:t>s billing cycle does not follow a calendar month, roughly half of the revenues billed in January 2010 were for electricity supplied in December 2009.  The January 2010 revenues associated with Dece</w:t>
      </w:r>
      <w:r w:rsidR="006D4A27" w:rsidRPr="00AC5D15">
        <w:rPr>
          <w:sz w:val="26"/>
          <w:szCs w:val="26"/>
        </w:rPr>
        <w:t xml:space="preserve">mber 2009 consumption were </w:t>
      </w:r>
      <w:r w:rsidR="00D64DAA" w:rsidRPr="00AC5D15">
        <w:rPr>
          <w:sz w:val="26"/>
          <w:szCs w:val="26"/>
        </w:rPr>
        <w:t>“</w:t>
      </w:r>
      <w:r w:rsidR="006D4A27" w:rsidRPr="00AC5D15">
        <w:rPr>
          <w:sz w:val="26"/>
          <w:szCs w:val="26"/>
        </w:rPr>
        <w:t>pro</w:t>
      </w:r>
      <w:r w:rsidR="006D4A27" w:rsidRPr="00AC5D15">
        <w:rPr>
          <w:sz w:val="26"/>
          <w:szCs w:val="26"/>
        </w:rPr>
        <w:noBreakHyphen/>
      </w:r>
      <w:r w:rsidRPr="00AC5D15">
        <w:rPr>
          <w:sz w:val="26"/>
          <w:szCs w:val="26"/>
        </w:rPr>
        <w:t>rated</w:t>
      </w:r>
      <w:r w:rsidR="00D64DAA" w:rsidRPr="00AC5D15">
        <w:rPr>
          <w:sz w:val="26"/>
          <w:szCs w:val="26"/>
        </w:rPr>
        <w:t>”</w:t>
      </w:r>
      <w:r w:rsidRPr="00AC5D15">
        <w:rPr>
          <w:sz w:val="26"/>
          <w:szCs w:val="26"/>
        </w:rPr>
        <w:t xml:space="preserve"> to December 2009.  Thus, only approximately 15 days of revenue billed in January were for January consumption.  The other 15 days of January consumption were subsequently billed in February.  Although PPL </w:t>
      </w:r>
      <w:r w:rsidRPr="00AC5D15">
        <w:rPr>
          <w:i/>
          <w:sz w:val="26"/>
          <w:szCs w:val="26"/>
        </w:rPr>
        <w:t xml:space="preserve">earned </w:t>
      </w:r>
      <w:r w:rsidRPr="00AC5D15">
        <w:rPr>
          <w:sz w:val="26"/>
          <w:szCs w:val="26"/>
        </w:rPr>
        <w:t xml:space="preserve">an entire month of revenue in January, only 15 days of </w:t>
      </w:r>
      <w:r w:rsidRPr="00AC5D15">
        <w:rPr>
          <w:i/>
          <w:sz w:val="26"/>
          <w:szCs w:val="26"/>
        </w:rPr>
        <w:t xml:space="preserve">billed </w:t>
      </w:r>
      <w:r w:rsidRPr="00AC5D15">
        <w:rPr>
          <w:sz w:val="26"/>
          <w:szCs w:val="26"/>
        </w:rPr>
        <w:t xml:space="preserve">revenue were recorded for reconciliation purposes in January.  By the end </w:t>
      </w:r>
      <w:r w:rsidRPr="00AC5D15">
        <w:rPr>
          <w:sz w:val="26"/>
          <w:szCs w:val="26"/>
        </w:rPr>
        <w:lastRenderedPageBreak/>
        <w:t>of February 2010, PPL had incurred costs for two full months; it had billed for all of the January service, but had only billed for approximately half of February.  This pattern continued throughout 2010.</w:t>
      </w:r>
    </w:p>
    <w:p w:rsidR="006D4A27" w:rsidRPr="00AC5D15" w:rsidRDefault="006D4A27" w:rsidP="00B05E0D">
      <w:pPr>
        <w:spacing w:line="240" w:lineRule="auto"/>
        <w:ind w:left="1440" w:right="1440"/>
        <w:contextualSpacing/>
        <w:jc w:val="left"/>
        <w:rPr>
          <w:sz w:val="26"/>
          <w:szCs w:val="26"/>
        </w:rPr>
      </w:pPr>
    </w:p>
    <w:p w:rsidR="006D4A27" w:rsidRPr="00AC5D15" w:rsidRDefault="0080045C" w:rsidP="00B05E0D">
      <w:pPr>
        <w:spacing w:line="240" w:lineRule="auto"/>
        <w:ind w:left="1440" w:right="1440"/>
        <w:contextualSpacing/>
        <w:jc w:val="left"/>
        <w:rPr>
          <w:sz w:val="26"/>
          <w:szCs w:val="26"/>
        </w:rPr>
      </w:pPr>
      <w:r w:rsidRPr="00AC5D15">
        <w:rPr>
          <w:sz w:val="26"/>
          <w:szCs w:val="26"/>
        </w:rPr>
        <w:t xml:space="preserve">At the end of 2010, however, PPL did not pro-rate January 2011 billings to December 2010 in the same manner as it pro-rated January 2010 billings to December 2009.  Therefore, at the end of 2010, PPL reported 12 months of costs and 11 ½ months of </w:t>
      </w:r>
      <w:r w:rsidRPr="00AC5D15">
        <w:rPr>
          <w:i/>
          <w:sz w:val="26"/>
          <w:szCs w:val="26"/>
        </w:rPr>
        <w:t>billed</w:t>
      </w:r>
      <w:r w:rsidRPr="00AC5D15">
        <w:rPr>
          <w:sz w:val="26"/>
          <w:szCs w:val="26"/>
        </w:rPr>
        <w:t xml:space="preserve"> revenues, rather than 12 months of </w:t>
      </w:r>
      <w:r w:rsidR="00EB5495" w:rsidRPr="00AC5D15">
        <w:rPr>
          <w:i/>
          <w:sz w:val="26"/>
          <w:szCs w:val="26"/>
        </w:rPr>
        <w:t>earned</w:t>
      </w:r>
      <w:r w:rsidRPr="00AC5D15">
        <w:rPr>
          <w:sz w:val="26"/>
          <w:szCs w:val="26"/>
        </w:rPr>
        <w:t xml:space="preserve"> revenues.  This resulted in a substantial reported 2010 </w:t>
      </w:r>
      <w:r w:rsidR="00D64DAA" w:rsidRPr="00AC5D15">
        <w:rPr>
          <w:sz w:val="26"/>
          <w:szCs w:val="26"/>
        </w:rPr>
        <w:t>“</w:t>
      </w:r>
      <w:r w:rsidR="00BF36DD" w:rsidRPr="00AC5D15">
        <w:rPr>
          <w:sz w:val="26"/>
          <w:szCs w:val="26"/>
        </w:rPr>
        <w:t>under collection</w:t>
      </w:r>
      <w:r w:rsidRPr="00AC5D15">
        <w:rPr>
          <w:sz w:val="26"/>
          <w:szCs w:val="26"/>
        </w:rPr>
        <w:t>.</w:t>
      </w:r>
      <w:r w:rsidR="00D64DAA" w:rsidRPr="00AC5D15">
        <w:rPr>
          <w:sz w:val="26"/>
          <w:szCs w:val="26"/>
        </w:rPr>
        <w:t>”</w:t>
      </w:r>
    </w:p>
    <w:p w:rsidR="00CE3381" w:rsidRPr="00AC5D15" w:rsidRDefault="00CE3381" w:rsidP="00B05E0D">
      <w:pPr>
        <w:spacing w:line="240" w:lineRule="auto"/>
        <w:ind w:left="1440" w:right="1440"/>
        <w:contextualSpacing/>
        <w:jc w:val="left"/>
        <w:rPr>
          <w:sz w:val="26"/>
          <w:szCs w:val="26"/>
        </w:rPr>
      </w:pPr>
    </w:p>
    <w:p w:rsidR="0080045C" w:rsidRPr="00AC5D15" w:rsidRDefault="0080045C" w:rsidP="00B05E0D">
      <w:pPr>
        <w:spacing w:line="240" w:lineRule="auto"/>
        <w:ind w:left="1440" w:right="1440"/>
        <w:contextualSpacing/>
        <w:jc w:val="left"/>
        <w:rPr>
          <w:sz w:val="26"/>
          <w:szCs w:val="26"/>
        </w:rPr>
      </w:pPr>
      <w:r w:rsidRPr="00AC5D15">
        <w:rPr>
          <w:sz w:val="26"/>
          <w:szCs w:val="26"/>
        </w:rPr>
        <w:t>The OSBA</w:t>
      </w:r>
      <w:r w:rsidR="00D64DAA" w:rsidRPr="00AC5D15">
        <w:rPr>
          <w:sz w:val="26"/>
          <w:szCs w:val="26"/>
        </w:rPr>
        <w:t>’</w:t>
      </w:r>
      <w:r w:rsidRPr="00AC5D15">
        <w:rPr>
          <w:sz w:val="26"/>
          <w:szCs w:val="26"/>
        </w:rPr>
        <w:t>s argument is that PPL</w:t>
      </w:r>
      <w:r w:rsidR="00D64DAA" w:rsidRPr="00AC5D15">
        <w:rPr>
          <w:sz w:val="26"/>
          <w:szCs w:val="26"/>
        </w:rPr>
        <w:t>’</w:t>
      </w:r>
      <w:r w:rsidRPr="00AC5D15">
        <w:rPr>
          <w:sz w:val="26"/>
          <w:szCs w:val="26"/>
        </w:rPr>
        <w:t xml:space="preserve">s reconciliation accounting method results in a reported </w:t>
      </w:r>
      <w:r w:rsidR="00BF36DD" w:rsidRPr="00AC5D15">
        <w:rPr>
          <w:sz w:val="26"/>
          <w:szCs w:val="26"/>
        </w:rPr>
        <w:t>under collection</w:t>
      </w:r>
      <w:r w:rsidRPr="00AC5D15">
        <w:rPr>
          <w:sz w:val="26"/>
          <w:szCs w:val="26"/>
        </w:rPr>
        <w:t xml:space="preserve"> that is not really an </w:t>
      </w:r>
      <w:r w:rsidR="00BF36DD" w:rsidRPr="00AC5D15">
        <w:rPr>
          <w:sz w:val="26"/>
          <w:szCs w:val="26"/>
        </w:rPr>
        <w:t>under collection</w:t>
      </w:r>
      <w:r w:rsidRPr="00AC5D15">
        <w:rPr>
          <w:sz w:val="26"/>
          <w:szCs w:val="26"/>
        </w:rPr>
        <w:t xml:space="preserve"> at all, in that PPL billed for all of its 2010 costs by the first billing period in January 2011.  By billing through the reconciliation process for a reported </w:t>
      </w:r>
      <w:r w:rsidR="00BF36DD" w:rsidRPr="00AC5D15">
        <w:rPr>
          <w:sz w:val="26"/>
          <w:szCs w:val="26"/>
        </w:rPr>
        <w:t>under collection</w:t>
      </w:r>
      <w:r w:rsidRPr="00AC5D15">
        <w:rPr>
          <w:sz w:val="26"/>
          <w:szCs w:val="26"/>
        </w:rPr>
        <w:t xml:space="preserve"> that does not really exist, PPL is receiving a fi</w:t>
      </w:r>
      <w:r w:rsidR="006D4A27" w:rsidRPr="00AC5D15">
        <w:rPr>
          <w:sz w:val="26"/>
          <w:szCs w:val="26"/>
        </w:rPr>
        <w:t>nancing benefit by way of a pre</w:t>
      </w:r>
      <w:r w:rsidR="006D4A27" w:rsidRPr="00AC5D15">
        <w:rPr>
          <w:sz w:val="26"/>
          <w:szCs w:val="26"/>
        </w:rPr>
        <w:noBreakHyphen/>
      </w:r>
      <w:r w:rsidRPr="00AC5D15">
        <w:rPr>
          <w:sz w:val="26"/>
          <w:szCs w:val="26"/>
        </w:rPr>
        <w:t>payment from ratepayers.  Such a financing benefit was not anticipated when the Company</w:t>
      </w:r>
      <w:r w:rsidR="00D64DAA" w:rsidRPr="00AC5D15">
        <w:rPr>
          <w:sz w:val="26"/>
          <w:szCs w:val="26"/>
        </w:rPr>
        <w:t>’</w:t>
      </w:r>
      <w:r w:rsidRPr="00AC5D15">
        <w:rPr>
          <w:sz w:val="26"/>
          <w:szCs w:val="26"/>
        </w:rPr>
        <w:t>s CBP was approved by the Commission and was not claimed when PPL established the 2010 GSC.  Therefore, this payment is being imposed retrospectively.</w:t>
      </w:r>
    </w:p>
    <w:p w:rsidR="00162D0C" w:rsidRPr="00AC5D15" w:rsidRDefault="00162D0C" w:rsidP="00B05E0D">
      <w:pPr>
        <w:spacing w:line="240" w:lineRule="auto"/>
        <w:ind w:left="1350" w:right="1440"/>
        <w:contextualSpacing/>
        <w:jc w:val="left"/>
        <w:rPr>
          <w:sz w:val="26"/>
          <w:szCs w:val="26"/>
        </w:rPr>
      </w:pPr>
    </w:p>
    <w:p w:rsidR="0080045C" w:rsidRPr="00AC5D15" w:rsidRDefault="0080045C" w:rsidP="00B05E0D">
      <w:pPr>
        <w:spacing w:line="240" w:lineRule="auto"/>
        <w:ind w:right="1440"/>
        <w:contextualSpacing/>
        <w:jc w:val="left"/>
        <w:rPr>
          <w:sz w:val="26"/>
          <w:szCs w:val="26"/>
        </w:rPr>
      </w:pPr>
      <w:r w:rsidRPr="00AC5D15">
        <w:rPr>
          <w:sz w:val="26"/>
          <w:szCs w:val="26"/>
        </w:rPr>
        <w:t>OSBA M</w:t>
      </w:r>
      <w:r w:rsidR="00C715A5" w:rsidRPr="00AC5D15">
        <w:rPr>
          <w:sz w:val="26"/>
          <w:szCs w:val="26"/>
        </w:rPr>
        <w:t>.</w:t>
      </w:r>
      <w:r w:rsidRPr="00AC5D15">
        <w:rPr>
          <w:sz w:val="26"/>
          <w:szCs w:val="26"/>
        </w:rPr>
        <w:t>B</w:t>
      </w:r>
      <w:r w:rsidR="00C715A5" w:rsidRPr="00AC5D15">
        <w:rPr>
          <w:sz w:val="26"/>
          <w:szCs w:val="26"/>
        </w:rPr>
        <w:t>.</w:t>
      </w:r>
      <w:r w:rsidRPr="00AC5D15">
        <w:rPr>
          <w:sz w:val="26"/>
          <w:szCs w:val="26"/>
        </w:rPr>
        <w:t xml:space="preserve"> at 13-14.</w:t>
      </w:r>
    </w:p>
    <w:p w:rsidR="0080045C" w:rsidRPr="00AC5D15" w:rsidRDefault="0080045C" w:rsidP="00B05E0D">
      <w:pPr>
        <w:contextualSpacing/>
        <w:jc w:val="left"/>
        <w:rPr>
          <w:sz w:val="26"/>
        </w:rPr>
      </w:pPr>
    </w:p>
    <w:p w:rsidR="00583CFA" w:rsidRPr="00AC5D15" w:rsidRDefault="00583CFA" w:rsidP="00B05E0D">
      <w:pPr>
        <w:contextualSpacing/>
        <w:jc w:val="left"/>
        <w:rPr>
          <w:sz w:val="26"/>
          <w:szCs w:val="26"/>
        </w:rPr>
      </w:pPr>
      <w:r w:rsidRPr="00AC5D15">
        <w:rPr>
          <w:sz w:val="26"/>
        </w:rPr>
        <w:tab/>
      </w:r>
      <w:r w:rsidRPr="00AC5D15">
        <w:rPr>
          <w:sz w:val="26"/>
          <w:szCs w:val="26"/>
        </w:rPr>
        <w:tab/>
      </w:r>
      <w:r w:rsidR="00CE3381" w:rsidRPr="00AC5D15">
        <w:rPr>
          <w:sz w:val="26"/>
          <w:szCs w:val="26"/>
        </w:rPr>
        <w:t xml:space="preserve">The </w:t>
      </w:r>
      <w:r w:rsidRPr="00AC5D15">
        <w:rPr>
          <w:sz w:val="26"/>
          <w:szCs w:val="26"/>
        </w:rPr>
        <w:t xml:space="preserve">OSBA </w:t>
      </w:r>
      <w:r w:rsidR="00CE3381" w:rsidRPr="00AC5D15">
        <w:rPr>
          <w:sz w:val="26"/>
          <w:szCs w:val="26"/>
        </w:rPr>
        <w:t>stated</w:t>
      </w:r>
      <w:r w:rsidRPr="00AC5D15">
        <w:rPr>
          <w:sz w:val="26"/>
          <w:szCs w:val="26"/>
        </w:rPr>
        <w:t xml:space="preserve"> that one of the most basic principles of accounting is the matching principle, where costs are reported as expenses in the period in which the associated revenue is reported.  In addition, the Commission</w:t>
      </w:r>
      <w:r w:rsidR="00D64DAA" w:rsidRPr="00AC5D15">
        <w:rPr>
          <w:sz w:val="26"/>
          <w:szCs w:val="26"/>
        </w:rPr>
        <w:t>’</w:t>
      </w:r>
      <w:r w:rsidRPr="00AC5D15">
        <w:rPr>
          <w:sz w:val="26"/>
          <w:szCs w:val="26"/>
        </w:rPr>
        <w:t xml:space="preserve">s Opinion and Order in the CBP proceeding stated that </w:t>
      </w:r>
      <w:r w:rsidR="00D64DAA" w:rsidRPr="00AC5D15">
        <w:rPr>
          <w:sz w:val="26"/>
          <w:szCs w:val="26"/>
        </w:rPr>
        <w:t>“</w:t>
      </w:r>
      <w:r w:rsidRPr="00AC5D15">
        <w:rPr>
          <w:sz w:val="26"/>
          <w:szCs w:val="26"/>
        </w:rPr>
        <w:t>it is important to match current POLR costs with current POLR revenues in order to e</w:t>
      </w:r>
      <w:r w:rsidR="0072707E" w:rsidRPr="00AC5D15">
        <w:rPr>
          <w:sz w:val="26"/>
          <w:szCs w:val="26"/>
        </w:rPr>
        <w:t xml:space="preserve">nsure the timely collection </w:t>
      </w:r>
      <w:r w:rsidRPr="00AC5D15">
        <w:rPr>
          <w:sz w:val="26"/>
          <w:szCs w:val="26"/>
        </w:rPr>
        <w:t>or refund of imbalances and to minimize the potential for future POLR customers to be subsidized by current POLR customers.</w:t>
      </w:r>
      <w:r w:rsidR="00D64DAA" w:rsidRPr="00AC5D15">
        <w:rPr>
          <w:sz w:val="26"/>
          <w:szCs w:val="26"/>
        </w:rPr>
        <w:t>”</w:t>
      </w:r>
      <w:r w:rsidR="00CE3381" w:rsidRPr="00AC5D15">
        <w:rPr>
          <w:sz w:val="26"/>
          <w:szCs w:val="26"/>
        </w:rPr>
        <w:t xml:space="preserve">  OSBA S</w:t>
      </w:r>
      <w:r w:rsidRPr="00AC5D15">
        <w:rPr>
          <w:sz w:val="26"/>
          <w:szCs w:val="26"/>
        </w:rPr>
        <w:t>t. 1 at 8; OSBA M</w:t>
      </w:r>
      <w:r w:rsidR="00C715A5" w:rsidRPr="00AC5D15">
        <w:rPr>
          <w:sz w:val="26"/>
          <w:szCs w:val="26"/>
        </w:rPr>
        <w:t>.</w:t>
      </w:r>
      <w:r w:rsidRPr="00AC5D15">
        <w:rPr>
          <w:sz w:val="26"/>
          <w:szCs w:val="26"/>
        </w:rPr>
        <w:t>B</w:t>
      </w:r>
      <w:r w:rsidR="00C715A5" w:rsidRPr="00AC5D15">
        <w:rPr>
          <w:sz w:val="26"/>
          <w:szCs w:val="26"/>
        </w:rPr>
        <w:t>.</w:t>
      </w:r>
      <w:r w:rsidRPr="00AC5D15">
        <w:rPr>
          <w:sz w:val="26"/>
          <w:szCs w:val="26"/>
        </w:rPr>
        <w:t xml:space="preserve"> at 14; </w:t>
      </w:r>
      <w:r w:rsidRPr="00AC5D15">
        <w:rPr>
          <w:i/>
          <w:sz w:val="26"/>
          <w:szCs w:val="26"/>
        </w:rPr>
        <w:t>C</w:t>
      </w:r>
      <w:r w:rsidR="00162D0C" w:rsidRPr="00AC5D15">
        <w:rPr>
          <w:i/>
          <w:sz w:val="26"/>
          <w:szCs w:val="26"/>
        </w:rPr>
        <w:t xml:space="preserve">ompetitive </w:t>
      </w:r>
      <w:r w:rsidRPr="00AC5D15">
        <w:rPr>
          <w:i/>
          <w:sz w:val="26"/>
          <w:szCs w:val="26"/>
        </w:rPr>
        <w:t>B</w:t>
      </w:r>
      <w:r w:rsidR="00162D0C" w:rsidRPr="00AC5D15">
        <w:rPr>
          <w:i/>
          <w:sz w:val="26"/>
          <w:szCs w:val="26"/>
        </w:rPr>
        <w:t xml:space="preserve">ridge </w:t>
      </w:r>
      <w:r w:rsidRPr="00AC5D15">
        <w:rPr>
          <w:i/>
          <w:sz w:val="26"/>
          <w:szCs w:val="26"/>
        </w:rPr>
        <w:t>P</w:t>
      </w:r>
      <w:r w:rsidR="00162D0C" w:rsidRPr="00AC5D15">
        <w:rPr>
          <w:i/>
          <w:sz w:val="26"/>
          <w:szCs w:val="26"/>
        </w:rPr>
        <w:t>lan</w:t>
      </w:r>
      <w:r w:rsidRPr="00AC5D15">
        <w:rPr>
          <w:i/>
          <w:sz w:val="26"/>
          <w:szCs w:val="26"/>
        </w:rPr>
        <w:t xml:space="preserve"> Opinion and Order, </w:t>
      </w:r>
      <w:r w:rsidR="00336EA9" w:rsidRPr="00AC5D15">
        <w:rPr>
          <w:sz w:val="26"/>
          <w:szCs w:val="26"/>
        </w:rPr>
        <w:t xml:space="preserve">Docket No. </w:t>
      </w:r>
      <w:r w:rsidRPr="00AC5D15">
        <w:rPr>
          <w:sz w:val="26"/>
          <w:szCs w:val="26"/>
        </w:rPr>
        <w:t>P-00062277</w:t>
      </w:r>
      <w:r w:rsidR="00162D0C" w:rsidRPr="00AC5D15">
        <w:rPr>
          <w:sz w:val="26"/>
          <w:szCs w:val="26"/>
        </w:rPr>
        <w:t xml:space="preserve"> (</w:t>
      </w:r>
      <w:r w:rsidR="00336EA9" w:rsidRPr="00AC5D15">
        <w:rPr>
          <w:sz w:val="26"/>
          <w:szCs w:val="26"/>
        </w:rPr>
        <w:t xml:space="preserve">Order </w:t>
      </w:r>
      <w:r w:rsidRPr="00AC5D15">
        <w:rPr>
          <w:sz w:val="26"/>
          <w:szCs w:val="26"/>
        </w:rPr>
        <w:t>entered May 17, 2007</w:t>
      </w:r>
      <w:r w:rsidR="00162D0C" w:rsidRPr="00AC5D15">
        <w:rPr>
          <w:sz w:val="26"/>
          <w:szCs w:val="26"/>
        </w:rPr>
        <w:t>)</w:t>
      </w:r>
      <w:r w:rsidRPr="00AC5D15">
        <w:rPr>
          <w:sz w:val="26"/>
          <w:szCs w:val="26"/>
        </w:rPr>
        <w:t xml:space="preserve"> at 54.  </w:t>
      </w:r>
    </w:p>
    <w:p w:rsidR="00583CFA" w:rsidRPr="00AC5D15" w:rsidRDefault="00583CFA" w:rsidP="00B05E0D">
      <w:pPr>
        <w:contextualSpacing/>
        <w:jc w:val="left"/>
        <w:rPr>
          <w:sz w:val="26"/>
        </w:rPr>
      </w:pPr>
    </w:p>
    <w:p w:rsidR="00583CFA" w:rsidRPr="00AC5D15" w:rsidRDefault="00583CFA" w:rsidP="00B05E0D">
      <w:pPr>
        <w:contextualSpacing/>
        <w:jc w:val="left"/>
        <w:rPr>
          <w:sz w:val="26"/>
          <w:szCs w:val="26"/>
        </w:rPr>
      </w:pPr>
      <w:r w:rsidRPr="00AC5D15">
        <w:rPr>
          <w:sz w:val="26"/>
        </w:rPr>
        <w:lastRenderedPageBreak/>
        <w:tab/>
      </w:r>
      <w:r w:rsidRPr="00AC5D15">
        <w:rPr>
          <w:sz w:val="26"/>
        </w:rPr>
        <w:tab/>
      </w:r>
      <w:r w:rsidR="00CE3381" w:rsidRPr="00AC5D15">
        <w:rPr>
          <w:sz w:val="26"/>
          <w:szCs w:val="26"/>
        </w:rPr>
        <w:t>Additionally</w:t>
      </w:r>
      <w:r w:rsidRPr="00AC5D15">
        <w:rPr>
          <w:sz w:val="26"/>
          <w:szCs w:val="26"/>
        </w:rPr>
        <w:t xml:space="preserve">, </w:t>
      </w:r>
      <w:r w:rsidR="00CE3381" w:rsidRPr="00AC5D15">
        <w:rPr>
          <w:sz w:val="26"/>
          <w:szCs w:val="26"/>
        </w:rPr>
        <w:t xml:space="preserve">the OSBA claimed </w:t>
      </w:r>
      <w:r w:rsidRPr="00AC5D15">
        <w:rPr>
          <w:sz w:val="26"/>
          <w:szCs w:val="26"/>
        </w:rPr>
        <w:t xml:space="preserve">there is no actual requirement that the proration method as presented by </w:t>
      </w:r>
      <w:r w:rsidR="00D64DAA" w:rsidRPr="00AC5D15">
        <w:rPr>
          <w:sz w:val="26"/>
          <w:szCs w:val="26"/>
        </w:rPr>
        <w:t>PPL</w:t>
      </w:r>
      <w:r w:rsidRPr="00AC5D15">
        <w:rPr>
          <w:sz w:val="26"/>
          <w:szCs w:val="26"/>
        </w:rPr>
        <w:t xml:space="preserve"> be used, as the requirement d</w:t>
      </w:r>
      <w:r w:rsidR="00CE3381" w:rsidRPr="00AC5D15">
        <w:rPr>
          <w:sz w:val="26"/>
          <w:szCs w:val="26"/>
        </w:rPr>
        <w:t>oes not appear in a Commission O</w:t>
      </w:r>
      <w:r w:rsidRPr="00AC5D15">
        <w:rPr>
          <w:sz w:val="26"/>
          <w:szCs w:val="26"/>
        </w:rPr>
        <w:t xml:space="preserve">rder or in </w:t>
      </w:r>
      <w:r w:rsidR="00D64DAA" w:rsidRPr="00AC5D15">
        <w:rPr>
          <w:sz w:val="26"/>
          <w:szCs w:val="26"/>
        </w:rPr>
        <w:t>PPL’</w:t>
      </w:r>
      <w:r w:rsidRPr="00AC5D15">
        <w:rPr>
          <w:sz w:val="26"/>
          <w:szCs w:val="26"/>
        </w:rPr>
        <w:t>s tariff.  OSBA M</w:t>
      </w:r>
      <w:r w:rsidR="007A6A04" w:rsidRPr="00AC5D15">
        <w:rPr>
          <w:sz w:val="26"/>
          <w:szCs w:val="26"/>
        </w:rPr>
        <w:t>.</w:t>
      </w:r>
      <w:r w:rsidRPr="00AC5D15">
        <w:rPr>
          <w:sz w:val="26"/>
          <w:szCs w:val="26"/>
        </w:rPr>
        <w:t>B</w:t>
      </w:r>
      <w:r w:rsidR="007A6A04" w:rsidRPr="00AC5D15">
        <w:rPr>
          <w:sz w:val="26"/>
          <w:szCs w:val="26"/>
        </w:rPr>
        <w:t>.</w:t>
      </w:r>
      <w:r w:rsidRPr="00AC5D15">
        <w:rPr>
          <w:sz w:val="26"/>
          <w:szCs w:val="26"/>
        </w:rPr>
        <w:t xml:space="preserve"> at 20.  Rather, </w:t>
      </w:r>
      <w:r w:rsidR="00CE3381" w:rsidRPr="00AC5D15">
        <w:rPr>
          <w:sz w:val="26"/>
          <w:szCs w:val="26"/>
        </w:rPr>
        <w:t xml:space="preserve">according to the OSBA, </w:t>
      </w:r>
      <w:r w:rsidRPr="00AC5D15">
        <w:rPr>
          <w:sz w:val="26"/>
          <w:szCs w:val="26"/>
        </w:rPr>
        <w:t xml:space="preserve">the CBP Order specifically states that </w:t>
      </w:r>
      <w:r w:rsidR="00D64DAA" w:rsidRPr="00AC5D15">
        <w:rPr>
          <w:sz w:val="26"/>
          <w:szCs w:val="26"/>
        </w:rPr>
        <w:t>“</w:t>
      </w:r>
      <w:r w:rsidRPr="00AC5D15">
        <w:rPr>
          <w:sz w:val="26"/>
          <w:szCs w:val="26"/>
        </w:rPr>
        <w:t>it is important to match current POLR costs with current POLR revenues.</w:t>
      </w:r>
      <w:r w:rsidR="00D64DAA" w:rsidRPr="00AC5D15">
        <w:rPr>
          <w:sz w:val="26"/>
          <w:szCs w:val="26"/>
        </w:rPr>
        <w:t>”</w:t>
      </w:r>
      <w:r w:rsidRPr="00AC5D15">
        <w:rPr>
          <w:sz w:val="26"/>
          <w:szCs w:val="26"/>
        </w:rPr>
        <w:t xml:space="preserve">  OSBA M</w:t>
      </w:r>
      <w:r w:rsidR="007A6A04" w:rsidRPr="00AC5D15">
        <w:rPr>
          <w:sz w:val="26"/>
          <w:szCs w:val="26"/>
        </w:rPr>
        <w:t>.</w:t>
      </w:r>
      <w:r w:rsidRPr="00AC5D15">
        <w:rPr>
          <w:sz w:val="26"/>
          <w:szCs w:val="26"/>
        </w:rPr>
        <w:t>B</w:t>
      </w:r>
      <w:r w:rsidR="007A6A04" w:rsidRPr="00AC5D15">
        <w:rPr>
          <w:sz w:val="26"/>
          <w:szCs w:val="26"/>
        </w:rPr>
        <w:t>.</w:t>
      </w:r>
      <w:r w:rsidRPr="00AC5D15">
        <w:rPr>
          <w:sz w:val="26"/>
          <w:szCs w:val="26"/>
        </w:rPr>
        <w:t xml:space="preserve"> at 21.</w:t>
      </w:r>
    </w:p>
    <w:p w:rsidR="00583CFA" w:rsidRPr="00AC5D15" w:rsidRDefault="00583CFA" w:rsidP="00B05E0D">
      <w:pPr>
        <w:contextualSpacing/>
        <w:jc w:val="left"/>
        <w:rPr>
          <w:sz w:val="26"/>
        </w:rPr>
      </w:pPr>
    </w:p>
    <w:p w:rsidR="008F4528" w:rsidRPr="00AC5D15" w:rsidRDefault="008F4528" w:rsidP="00B05E0D">
      <w:pPr>
        <w:contextualSpacing/>
        <w:jc w:val="left"/>
        <w:rPr>
          <w:sz w:val="26"/>
          <w:szCs w:val="26"/>
        </w:rPr>
      </w:pPr>
      <w:r w:rsidRPr="00AC5D15">
        <w:rPr>
          <w:sz w:val="26"/>
        </w:rPr>
        <w:tab/>
      </w:r>
      <w:r w:rsidRPr="00AC5D15">
        <w:rPr>
          <w:sz w:val="26"/>
        </w:rPr>
        <w:tab/>
      </w:r>
      <w:r w:rsidR="00222D05" w:rsidRPr="00AC5D15">
        <w:rPr>
          <w:sz w:val="26"/>
          <w:szCs w:val="26"/>
        </w:rPr>
        <w:t>In response, PPL</w:t>
      </w:r>
      <w:r w:rsidR="00D64DAA" w:rsidRPr="00AC5D15">
        <w:rPr>
          <w:sz w:val="26"/>
          <w:szCs w:val="26"/>
        </w:rPr>
        <w:t>’</w:t>
      </w:r>
      <w:r w:rsidRPr="00AC5D15">
        <w:rPr>
          <w:sz w:val="26"/>
          <w:szCs w:val="26"/>
        </w:rPr>
        <w:t xml:space="preserve">s position is that the numbers were unexpectedly high, but the methodology was routine.  The initial rate for January 2010 was calculated by taking </w:t>
      </w:r>
      <w:r w:rsidR="008F2D7C" w:rsidRPr="00AC5D15">
        <w:rPr>
          <w:sz w:val="26"/>
          <w:szCs w:val="26"/>
        </w:rPr>
        <w:t>twelve</w:t>
      </w:r>
      <w:r w:rsidRPr="00AC5D15">
        <w:rPr>
          <w:sz w:val="26"/>
          <w:szCs w:val="26"/>
        </w:rPr>
        <w:t xml:space="preserve"> months of projected expenses for 2010 and dividing it by </w:t>
      </w:r>
      <w:r w:rsidR="008F2D7C" w:rsidRPr="00AC5D15">
        <w:rPr>
          <w:sz w:val="26"/>
          <w:szCs w:val="26"/>
        </w:rPr>
        <w:t>twelve</w:t>
      </w:r>
      <w:r w:rsidRPr="00AC5D15">
        <w:rPr>
          <w:sz w:val="26"/>
          <w:szCs w:val="26"/>
        </w:rPr>
        <w:t xml:space="preserve"> months of projected sales.  At the end of the first </w:t>
      </w:r>
      <w:r w:rsidR="008F2D7C" w:rsidRPr="00AC5D15">
        <w:rPr>
          <w:sz w:val="26"/>
          <w:szCs w:val="26"/>
        </w:rPr>
        <w:t>twelve</w:t>
      </w:r>
      <w:r w:rsidRPr="00AC5D15">
        <w:rPr>
          <w:sz w:val="26"/>
          <w:szCs w:val="26"/>
        </w:rPr>
        <w:t xml:space="preserve"> months, there are only </w:t>
      </w:r>
      <w:r w:rsidR="008F2D7C" w:rsidRPr="00AC5D15">
        <w:rPr>
          <w:sz w:val="26"/>
          <w:szCs w:val="26"/>
        </w:rPr>
        <w:t>eleven and one-half</w:t>
      </w:r>
      <w:r w:rsidRPr="00AC5D15">
        <w:rPr>
          <w:sz w:val="26"/>
          <w:szCs w:val="26"/>
        </w:rPr>
        <w:t xml:space="preserve"> months of revenue versus </w:t>
      </w:r>
      <w:r w:rsidR="008F2D7C" w:rsidRPr="00AC5D15">
        <w:rPr>
          <w:sz w:val="26"/>
          <w:szCs w:val="26"/>
        </w:rPr>
        <w:t xml:space="preserve">twelve </w:t>
      </w:r>
      <w:r w:rsidRPr="00AC5D15">
        <w:rPr>
          <w:sz w:val="26"/>
          <w:szCs w:val="26"/>
        </w:rPr>
        <w:t>months of expenses.</w:t>
      </w:r>
      <w:r w:rsidR="00F703D7" w:rsidRPr="00AC5D15">
        <w:rPr>
          <w:sz w:val="26"/>
          <w:szCs w:val="26"/>
        </w:rPr>
        <w:t xml:space="preserve">  PPL M.B. at 13-14.</w:t>
      </w:r>
    </w:p>
    <w:p w:rsidR="008F4528" w:rsidRPr="00AC5D15" w:rsidRDefault="008F4528" w:rsidP="00B05E0D">
      <w:pPr>
        <w:contextualSpacing/>
        <w:jc w:val="left"/>
        <w:rPr>
          <w:sz w:val="26"/>
        </w:rPr>
      </w:pPr>
    </w:p>
    <w:p w:rsidR="008F4528" w:rsidRPr="00AC5D15" w:rsidRDefault="008F4528" w:rsidP="00B05E0D">
      <w:pPr>
        <w:contextualSpacing/>
        <w:jc w:val="left"/>
        <w:rPr>
          <w:sz w:val="26"/>
          <w:szCs w:val="26"/>
        </w:rPr>
      </w:pPr>
      <w:r w:rsidRPr="00AC5D15">
        <w:rPr>
          <w:sz w:val="26"/>
        </w:rPr>
        <w:tab/>
      </w:r>
      <w:r w:rsidRPr="00AC5D15">
        <w:rPr>
          <w:sz w:val="26"/>
        </w:rPr>
        <w:tab/>
      </w:r>
      <w:r w:rsidR="00222D05" w:rsidRPr="00AC5D15">
        <w:rPr>
          <w:sz w:val="26"/>
          <w:szCs w:val="26"/>
        </w:rPr>
        <w:t>At the hearing, PPL</w:t>
      </w:r>
      <w:r w:rsidRPr="00AC5D15">
        <w:rPr>
          <w:sz w:val="26"/>
          <w:szCs w:val="26"/>
        </w:rPr>
        <w:t xml:space="preserve"> witness Kleha affirmed his counsel</w:t>
      </w:r>
      <w:r w:rsidR="00D64DAA" w:rsidRPr="00AC5D15">
        <w:rPr>
          <w:sz w:val="26"/>
          <w:szCs w:val="26"/>
        </w:rPr>
        <w:t>’</w:t>
      </w:r>
      <w:r w:rsidRPr="00AC5D15">
        <w:rPr>
          <w:sz w:val="26"/>
          <w:szCs w:val="26"/>
        </w:rPr>
        <w:t>s assertions that there were three ways of dealing with the matter:</w:t>
      </w:r>
    </w:p>
    <w:p w:rsidR="006D4A27" w:rsidRPr="00AC5D15" w:rsidRDefault="006D4A27" w:rsidP="00B05E0D">
      <w:pPr>
        <w:contextualSpacing/>
        <w:jc w:val="left"/>
        <w:rPr>
          <w:sz w:val="26"/>
          <w:szCs w:val="26"/>
        </w:rPr>
      </w:pPr>
    </w:p>
    <w:p w:rsidR="008F4528" w:rsidRPr="00AC5D15" w:rsidRDefault="008F4528" w:rsidP="00B05E0D">
      <w:pPr>
        <w:pStyle w:val="ListParagraph"/>
        <w:numPr>
          <w:ilvl w:val="0"/>
          <w:numId w:val="8"/>
        </w:numPr>
        <w:spacing w:line="240" w:lineRule="auto"/>
        <w:ind w:right="1440" w:firstLine="0"/>
        <w:jc w:val="left"/>
        <w:rPr>
          <w:sz w:val="26"/>
          <w:szCs w:val="26"/>
        </w:rPr>
      </w:pPr>
      <w:r w:rsidRPr="00AC5D15">
        <w:rPr>
          <w:sz w:val="26"/>
          <w:szCs w:val="26"/>
        </w:rPr>
        <w:t>Project 11 ½ months of revenue and 12 months of expenses, which would have resulted in a higher rate.</w:t>
      </w:r>
    </w:p>
    <w:p w:rsidR="006D4A27" w:rsidRPr="00AC5D15" w:rsidRDefault="006D4A27" w:rsidP="00B05E0D">
      <w:pPr>
        <w:pStyle w:val="ListParagraph"/>
        <w:spacing w:line="240" w:lineRule="auto"/>
        <w:ind w:left="1440" w:right="1440"/>
        <w:jc w:val="left"/>
        <w:rPr>
          <w:sz w:val="26"/>
          <w:szCs w:val="26"/>
        </w:rPr>
      </w:pPr>
    </w:p>
    <w:p w:rsidR="00276E10" w:rsidRPr="00AC5D15" w:rsidRDefault="008F4528" w:rsidP="00B05E0D">
      <w:pPr>
        <w:spacing w:line="240" w:lineRule="auto"/>
        <w:ind w:left="1440" w:right="1440"/>
        <w:contextualSpacing/>
        <w:jc w:val="left"/>
        <w:rPr>
          <w:sz w:val="26"/>
          <w:szCs w:val="26"/>
        </w:rPr>
      </w:pPr>
      <w:r w:rsidRPr="00AC5D15">
        <w:rPr>
          <w:sz w:val="26"/>
          <w:szCs w:val="26"/>
        </w:rPr>
        <w:t>2.</w:t>
      </w:r>
      <w:r w:rsidRPr="00AC5D15">
        <w:rPr>
          <w:sz w:val="26"/>
          <w:szCs w:val="26"/>
        </w:rPr>
        <w:tab/>
        <w:t>Revise the clause for reconciliation purposes to include both billed and unbilled revenue.</w:t>
      </w:r>
      <w:r w:rsidR="00276E10" w:rsidRPr="00AC5D15">
        <w:rPr>
          <w:sz w:val="26"/>
          <w:szCs w:val="26"/>
        </w:rPr>
        <w:t xml:space="preserve">  The second is the approach recommended by OSBA, but the Company protests this vigorously:</w:t>
      </w:r>
    </w:p>
    <w:p w:rsidR="00542F8B" w:rsidRPr="00AC5D15" w:rsidRDefault="00542F8B" w:rsidP="00B05E0D">
      <w:pPr>
        <w:spacing w:line="240" w:lineRule="auto"/>
        <w:ind w:left="1440" w:right="1440"/>
        <w:contextualSpacing/>
        <w:jc w:val="left"/>
        <w:rPr>
          <w:sz w:val="26"/>
          <w:szCs w:val="26"/>
        </w:rPr>
      </w:pPr>
    </w:p>
    <w:p w:rsidR="00276E10" w:rsidRPr="00AC5D15" w:rsidRDefault="00276E10" w:rsidP="00B05E0D">
      <w:pPr>
        <w:spacing w:line="240" w:lineRule="auto"/>
        <w:ind w:left="2160" w:right="2160"/>
        <w:contextualSpacing/>
        <w:jc w:val="left"/>
        <w:rPr>
          <w:sz w:val="26"/>
          <w:szCs w:val="26"/>
        </w:rPr>
      </w:pPr>
      <w:r w:rsidRPr="00AC5D15">
        <w:rPr>
          <w:sz w:val="26"/>
          <w:szCs w:val="26"/>
        </w:rPr>
        <w:t>Nowhere can you use unbilled revenues.  I mean, not in base rates, not in clauses.  You can</w:t>
      </w:r>
      <w:r w:rsidR="00D64DAA" w:rsidRPr="00AC5D15">
        <w:rPr>
          <w:sz w:val="26"/>
          <w:szCs w:val="26"/>
        </w:rPr>
        <w:t>’</w:t>
      </w:r>
      <w:r w:rsidRPr="00AC5D15">
        <w:rPr>
          <w:sz w:val="26"/>
          <w:szCs w:val="26"/>
        </w:rPr>
        <w:t xml:space="preserve">t have a true reconciliation of costs that </w:t>
      </w:r>
      <w:r w:rsidR="00BF36DD" w:rsidRPr="00AC5D15">
        <w:rPr>
          <w:sz w:val="26"/>
          <w:szCs w:val="26"/>
        </w:rPr>
        <w:t>are actual</w:t>
      </w:r>
      <w:r w:rsidRPr="00AC5D15">
        <w:rPr>
          <w:sz w:val="26"/>
          <w:szCs w:val="26"/>
        </w:rPr>
        <w:t xml:space="preserve"> to revenues that are an estimate.  That is not a reconciliation.  You can</w:t>
      </w:r>
      <w:r w:rsidR="00D64DAA" w:rsidRPr="00AC5D15">
        <w:rPr>
          <w:sz w:val="26"/>
          <w:szCs w:val="26"/>
        </w:rPr>
        <w:t>’</w:t>
      </w:r>
      <w:r w:rsidRPr="00AC5D15">
        <w:rPr>
          <w:sz w:val="26"/>
          <w:szCs w:val="26"/>
        </w:rPr>
        <w:t>t verify that number.  It</w:t>
      </w:r>
      <w:r w:rsidR="00D64DAA" w:rsidRPr="00AC5D15">
        <w:rPr>
          <w:sz w:val="26"/>
          <w:szCs w:val="26"/>
        </w:rPr>
        <w:t>’</w:t>
      </w:r>
      <w:r w:rsidRPr="00AC5D15">
        <w:rPr>
          <w:sz w:val="26"/>
          <w:szCs w:val="26"/>
        </w:rPr>
        <w:t>s going to change because it</w:t>
      </w:r>
      <w:r w:rsidR="00D64DAA" w:rsidRPr="00AC5D15">
        <w:rPr>
          <w:sz w:val="26"/>
          <w:szCs w:val="26"/>
        </w:rPr>
        <w:t>’</w:t>
      </w:r>
      <w:r w:rsidRPr="00AC5D15">
        <w:rPr>
          <w:sz w:val="26"/>
          <w:szCs w:val="26"/>
        </w:rPr>
        <w:t>s an estimate.  An actual number is an actual number that can be verified; and, from an audit perspective, that</w:t>
      </w:r>
      <w:r w:rsidR="00D64DAA" w:rsidRPr="00AC5D15">
        <w:rPr>
          <w:sz w:val="26"/>
          <w:szCs w:val="26"/>
        </w:rPr>
        <w:t>’</w:t>
      </w:r>
      <w:r w:rsidRPr="00AC5D15">
        <w:rPr>
          <w:sz w:val="26"/>
          <w:szCs w:val="26"/>
        </w:rPr>
        <w:t xml:space="preserve">s exactly what the auditors in this agency </w:t>
      </w:r>
      <w:r w:rsidR="00714F23" w:rsidRPr="00AC5D15">
        <w:rPr>
          <w:sz w:val="26"/>
          <w:szCs w:val="26"/>
        </w:rPr>
        <w:t>d</w:t>
      </w:r>
      <w:r w:rsidRPr="00AC5D15">
        <w:rPr>
          <w:sz w:val="26"/>
          <w:szCs w:val="26"/>
        </w:rPr>
        <w:t>o as the auditors do in every other agency.</w:t>
      </w:r>
    </w:p>
    <w:p w:rsidR="00276E10" w:rsidRPr="00AC5D15" w:rsidRDefault="00B462BD" w:rsidP="00B05E0D">
      <w:pPr>
        <w:spacing w:line="240" w:lineRule="auto"/>
        <w:ind w:left="90" w:right="2160"/>
        <w:contextualSpacing/>
        <w:jc w:val="left"/>
        <w:rPr>
          <w:sz w:val="26"/>
          <w:szCs w:val="26"/>
        </w:rPr>
      </w:pPr>
      <w:r w:rsidRPr="00AC5D15">
        <w:rPr>
          <w:sz w:val="26"/>
          <w:szCs w:val="26"/>
        </w:rPr>
        <w:t>Tr.</w:t>
      </w:r>
      <w:r w:rsidR="00276E10" w:rsidRPr="00AC5D15">
        <w:rPr>
          <w:sz w:val="26"/>
          <w:szCs w:val="26"/>
        </w:rPr>
        <w:t xml:space="preserve"> </w:t>
      </w:r>
      <w:r w:rsidR="00222D05" w:rsidRPr="00AC5D15">
        <w:rPr>
          <w:sz w:val="26"/>
          <w:szCs w:val="26"/>
        </w:rPr>
        <w:t>at 49.</w:t>
      </w:r>
    </w:p>
    <w:p w:rsidR="00D828B3" w:rsidRPr="00AC5D15" w:rsidRDefault="008F4528" w:rsidP="00B05E0D">
      <w:pPr>
        <w:spacing w:line="240" w:lineRule="auto"/>
        <w:ind w:left="1440" w:right="1440"/>
        <w:contextualSpacing/>
        <w:jc w:val="left"/>
        <w:rPr>
          <w:sz w:val="26"/>
          <w:szCs w:val="26"/>
        </w:rPr>
      </w:pPr>
      <w:r w:rsidRPr="00AC5D15">
        <w:rPr>
          <w:sz w:val="26"/>
          <w:szCs w:val="26"/>
        </w:rPr>
        <w:lastRenderedPageBreak/>
        <w:t>3.</w:t>
      </w:r>
      <w:r w:rsidRPr="00AC5D15">
        <w:rPr>
          <w:sz w:val="26"/>
          <w:szCs w:val="26"/>
        </w:rPr>
        <w:tab/>
        <w:t>Figure the reconciliation</w:t>
      </w:r>
      <w:r w:rsidR="006D4A27" w:rsidRPr="00AC5D15">
        <w:rPr>
          <w:sz w:val="26"/>
          <w:szCs w:val="26"/>
        </w:rPr>
        <w:t xml:space="preserve"> based on billed revenues.  One</w:t>
      </w:r>
      <w:r w:rsidR="006D4A27" w:rsidRPr="00AC5D15">
        <w:rPr>
          <w:sz w:val="26"/>
          <w:szCs w:val="26"/>
        </w:rPr>
        <w:noBreakHyphen/>
      </w:r>
      <w:r w:rsidRPr="00AC5D15">
        <w:rPr>
          <w:sz w:val="26"/>
          <w:szCs w:val="26"/>
        </w:rPr>
        <w:t xml:space="preserve">half month of </w:t>
      </w:r>
      <w:r w:rsidR="00BF36DD" w:rsidRPr="00AC5D15">
        <w:rPr>
          <w:sz w:val="26"/>
          <w:szCs w:val="26"/>
        </w:rPr>
        <w:t>under collection</w:t>
      </w:r>
      <w:r w:rsidRPr="00AC5D15">
        <w:rPr>
          <w:sz w:val="26"/>
          <w:szCs w:val="26"/>
        </w:rPr>
        <w:t xml:space="preserve"> is collected in the second year.  </w:t>
      </w:r>
      <w:r w:rsidR="00276E10" w:rsidRPr="00AC5D15">
        <w:rPr>
          <w:sz w:val="26"/>
          <w:szCs w:val="26"/>
        </w:rPr>
        <w:t xml:space="preserve">This is the traditional method used and approved by the Commission.  </w:t>
      </w:r>
    </w:p>
    <w:p w:rsidR="00B462BD" w:rsidRPr="00AC5D15" w:rsidRDefault="00B462BD" w:rsidP="00B05E0D">
      <w:pPr>
        <w:spacing w:line="240" w:lineRule="auto"/>
        <w:ind w:left="1440" w:right="1440"/>
        <w:contextualSpacing/>
        <w:jc w:val="left"/>
        <w:rPr>
          <w:sz w:val="26"/>
          <w:szCs w:val="26"/>
        </w:rPr>
      </w:pPr>
    </w:p>
    <w:p w:rsidR="004E2B20" w:rsidRPr="00AC5D15" w:rsidRDefault="00B462BD" w:rsidP="00B05E0D">
      <w:pPr>
        <w:ind w:right="1440"/>
        <w:contextualSpacing/>
        <w:jc w:val="left"/>
        <w:rPr>
          <w:sz w:val="26"/>
          <w:szCs w:val="26"/>
        </w:rPr>
      </w:pPr>
      <w:r w:rsidRPr="00AC5D15">
        <w:rPr>
          <w:sz w:val="26"/>
          <w:szCs w:val="26"/>
        </w:rPr>
        <w:t>Tr. at</w:t>
      </w:r>
      <w:r w:rsidR="00222D05" w:rsidRPr="00AC5D15">
        <w:rPr>
          <w:sz w:val="26"/>
          <w:szCs w:val="26"/>
        </w:rPr>
        <w:t xml:space="preserve"> </w:t>
      </w:r>
      <w:r w:rsidR="00D16AEB" w:rsidRPr="00AC5D15">
        <w:rPr>
          <w:sz w:val="26"/>
          <w:szCs w:val="26"/>
        </w:rPr>
        <w:t>49.</w:t>
      </w:r>
    </w:p>
    <w:p w:rsidR="00A92C96" w:rsidRPr="00AC5D15" w:rsidRDefault="00A92C96" w:rsidP="00B05E0D">
      <w:pPr>
        <w:ind w:left="1440" w:right="1440"/>
        <w:contextualSpacing/>
        <w:jc w:val="left"/>
        <w:rPr>
          <w:sz w:val="26"/>
          <w:szCs w:val="26"/>
        </w:rPr>
      </w:pPr>
    </w:p>
    <w:p w:rsidR="00A92C96" w:rsidRPr="00AC5D15" w:rsidRDefault="00A92C96" w:rsidP="00B05E0D">
      <w:pPr>
        <w:ind w:right="1440"/>
        <w:contextualSpacing/>
        <w:jc w:val="left"/>
        <w:rPr>
          <w:b/>
          <w:sz w:val="26"/>
          <w:szCs w:val="26"/>
        </w:rPr>
      </w:pPr>
      <w:r w:rsidRPr="00AC5D15">
        <w:rPr>
          <w:sz w:val="26"/>
          <w:szCs w:val="26"/>
        </w:rPr>
        <w:tab/>
      </w:r>
      <w:r w:rsidRPr="00AC5D15">
        <w:rPr>
          <w:b/>
          <w:sz w:val="26"/>
          <w:szCs w:val="26"/>
        </w:rPr>
        <w:t>2.</w:t>
      </w:r>
      <w:r w:rsidRPr="00AC5D15">
        <w:rPr>
          <w:b/>
          <w:sz w:val="26"/>
          <w:szCs w:val="26"/>
        </w:rPr>
        <w:tab/>
        <w:t>ALJ</w:t>
      </w:r>
      <w:r w:rsidR="00D64DAA" w:rsidRPr="00AC5D15">
        <w:rPr>
          <w:b/>
          <w:sz w:val="26"/>
          <w:szCs w:val="26"/>
        </w:rPr>
        <w:t>’</w:t>
      </w:r>
      <w:r w:rsidRPr="00AC5D15">
        <w:rPr>
          <w:b/>
          <w:sz w:val="26"/>
          <w:szCs w:val="26"/>
        </w:rPr>
        <w:t>s Recommendation</w:t>
      </w:r>
    </w:p>
    <w:p w:rsidR="00583CFA" w:rsidRPr="00AC5D15" w:rsidRDefault="00583CFA" w:rsidP="00B05E0D">
      <w:pPr>
        <w:contextualSpacing/>
        <w:jc w:val="left"/>
        <w:rPr>
          <w:sz w:val="26"/>
        </w:rPr>
      </w:pPr>
    </w:p>
    <w:p w:rsidR="002F2D5A" w:rsidRPr="00AC5D15" w:rsidRDefault="002F2D5A" w:rsidP="00B05E0D">
      <w:pPr>
        <w:contextualSpacing/>
        <w:jc w:val="left"/>
        <w:rPr>
          <w:sz w:val="26"/>
          <w:szCs w:val="26"/>
        </w:rPr>
      </w:pPr>
      <w:r w:rsidRPr="00AC5D15">
        <w:rPr>
          <w:sz w:val="26"/>
        </w:rPr>
        <w:tab/>
      </w:r>
      <w:r w:rsidRPr="00AC5D15">
        <w:rPr>
          <w:sz w:val="26"/>
        </w:rPr>
        <w:tab/>
      </w:r>
      <w:r w:rsidRPr="00AC5D15">
        <w:rPr>
          <w:sz w:val="26"/>
          <w:szCs w:val="26"/>
        </w:rPr>
        <w:t>The ALJ found that the OSBA Complaint was supported by substantial evidence and recommended that the Commission grant it insofar as it seeks a determination that the accounting method used by PPL</w:t>
      </w:r>
      <w:r w:rsidR="00892CAB" w:rsidRPr="00AC5D15">
        <w:rPr>
          <w:sz w:val="26"/>
          <w:szCs w:val="26"/>
        </w:rPr>
        <w:t>,</w:t>
      </w:r>
      <w:r w:rsidRPr="00AC5D15">
        <w:rPr>
          <w:sz w:val="26"/>
          <w:szCs w:val="26"/>
        </w:rPr>
        <w:t xml:space="preserve"> which did not include two weeks of revenues in January 2010 but did include the entire month</w:t>
      </w:r>
      <w:r w:rsidR="00D64DAA" w:rsidRPr="00AC5D15">
        <w:rPr>
          <w:sz w:val="26"/>
          <w:szCs w:val="26"/>
        </w:rPr>
        <w:t>’</w:t>
      </w:r>
      <w:r w:rsidRPr="00AC5D15">
        <w:rPr>
          <w:sz w:val="26"/>
          <w:szCs w:val="26"/>
        </w:rPr>
        <w:t>s expenses</w:t>
      </w:r>
      <w:r w:rsidR="00892CAB" w:rsidRPr="00AC5D15">
        <w:rPr>
          <w:sz w:val="26"/>
          <w:szCs w:val="26"/>
        </w:rPr>
        <w:t>,</w:t>
      </w:r>
      <w:r w:rsidRPr="00AC5D15">
        <w:rPr>
          <w:sz w:val="26"/>
          <w:szCs w:val="26"/>
        </w:rPr>
        <w:t xml:space="preserve"> was inappropriate for the purposes of Section 1307(e).  R.D. at 30</w:t>
      </w:r>
      <w:r w:rsidR="00BF36DD" w:rsidRPr="00AC5D15">
        <w:rPr>
          <w:sz w:val="26"/>
          <w:szCs w:val="26"/>
        </w:rPr>
        <w:t>, 34</w:t>
      </w:r>
      <w:r w:rsidRPr="00AC5D15">
        <w:rPr>
          <w:sz w:val="26"/>
          <w:szCs w:val="26"/>
        </w:rPr>
        <w:t>.</w:t>
      </w:r>
    </w:p>
    <w:p w:rsidR="002F2D5A" w:rsidRPr="00AC5D15" w:rsidRDefault="002F2D5A" w:rsidP="00B05E0D">
      <w:pPr>
        <w:contextualSpacing/>
        <w:jc w:val="left"/>
        <w:rPr>
          <w:sz w:val="26"/>
        </w:rPr>
      </w:pPr>
    </w:p>
    <w:p w:rsidR="0080045C" w:rsidRPr="00AC5D15" w:rsidRDefault="00583CFA" w:rsidP="00B05E0D">
      <w:pPr>
        <w:contextualSpacing/>
        <w:jc w:val="left"/>
        <w:rPr>
          <w:sz w:val="26"/>
          <w:szCs w:val="26"/>
        </w:rPr>
      </w:pPr>
      <w:r w:rsidRPr="00AC5D15">
        <w:rPr>
          <w:sz w:val="26"/>
        </w:rPr>
        <w:tab/>
      </w:r>
      <w:r w:rsidRPr="00AC5D15">
        <w:rPr>
          <w:sz w:val="26"/>
        </w:rPr>
        <w:tab/>
      </w:r>
      <w:r w:rsidR="005F1B11" w:rsidRPr="00AC5D15">
        <w:rPr>
          <w:sz w:val="26"/>
          <w:szCs w:val="26"/>
        </w:rPr>
        <w:t xml:space="preserve">According to the ALJ, </w:t>
      </w:r>
      <w:r w:rsidR="00D64DAA" w:rsidRPr="00AC5D15">
        <w:rPr>
          <w:sz w:val="26"/>
          <w:szCs w:val="26"/>
        </w:rPr>
        <w:t>“</w:t>
      </w:r>
      <w:r w:rsidR="00D828B3" w:rsidRPr="00AC5D15">
        <w:rPr>
          <w:sz w:val="26"/>
          <w:szCs w:val="26"/>
        </w:rPr>
        <w:t>p</w:t>
      </w:r>
      <w:r w:rsidRPr="00AC5D15">
        <w:rPr>
          <w:sz w:val="26"/>
          <w:szCs w:val="26"/>
        </w:rPr>
        <w:t>ro rate</w:t>
      </w:r>
      <w:r w:rsidR="00D64DAA" w:rsidRPr="00AC5D15">
        <w:rPr>
          <w:sz w:val="26"/>
          <w:szCs w:val="26"/>
        </w:rPr>
        <w:t>”</w:t>
      </w:r>
      <w:r w:rsidRPr="00AC5D15">
        <w:rPr>
          <w:sz w:val="26"/>
          <w:szCs w:val="26"/>
        </w:rPr>
        <w:t xml:space="preserve"> means </w:t>
      </w:r>
      <w:r w:rsidR="00D64DAA" w:rsidRPr="00AC5D15">
        <w:rPr>
          <w:sz w:val="26"/>
          <w:szCs w:val="26"/>
        </w:rPr>
        <w:t>“</w:t>
      </w:r>
      <w:r w:rsidRPr="00AC5D15">
        <w:rPr>
          <w:sz w:val="26"/>
          <w:szCs w:val="26"/>
        </w:rPr>
        <w:t>to divide, share, or distribute proportionately; to assess or apportion pro-rata.  The act of adjusting, dividing, or prorating property taxes, interest, insurance premiums, rental income, etc., between buyer and seller proportionately to time of use, or the date of clos</w:t>
      </w:r>
      <w:r w:rsidR="00C328E2" w:rsidRPr="00AC5D15">
        <w:rPr>
          <w:sz w:val="26"/>
          <w:szCs w:val="26"/>
        </w:rPr>
        <w:t>ing.</w:t>
      </w:r>
      <w:r w:rsidR="00D64DAA" w:rsidRPr="00AC5D15">
        <w:rPr>
          <w:sz w:val="26"/>
          <w:szCs w:val="26"/>
        </w:rPr>
        <w:t>”</w:t>
      </w:r>
      <w:r w:rsidR="00C328E2" w:rsidRPr="00AC5D15">
        <w:rPr>
          <w:sz w:val="26"/>
          <w:szCs w:val="26"/>
        </w:rPr>
        <w:t xml:space="preserve">  Black</w:t>
      </w:r>
      <w:r w:rsidR="00D64DAA" w:rsidRPr="00AC5D15">
        <w:rPr>
          <w:sz w:val="26"/>
          <w:szCs w:val="26"/>
        </w:rPr>
        <w:t>’</w:t>
      </w:r>
      <w:r w:rsidR="00C328E2" w:rsidRPr="00AC5D15">
        <w:rPr>
          <w:sz w:val="26"/>
          <w:szCs w:val="26"/>
        </w:rPr>
        <w:t>s Law Dictionary, Fifth E</w:t>
      </w:r>
      <w:r w:rsidRPr="00AC5D15">
        <w:rPr>
          <w:sz w:val="26"/>
          <w:szCs w:val="26"/>
        </w:rPr>
        <w:t>dition.</w:t>
      </w:r>
      <w:r w:rsidR="005F1B11" w:rsidRPr="00AC5D15">
        <w:rPr>
          <w:sz w:val="26"/>
          <w:szCs w:val="26"/>
        </w:rPr>
        <w:t xml:space="preserve">  The ALJ noted that i</w:t>
      </w:r>
      <w:r w:rsidR="0080045C" w:rsidRPr="00AC5D15">
        <w:rPr>
          <w:sz w:val="26"/>
          <w:szCs w:val="26"/>
        </w:rPr>
        <w:t xml:space="preserve">t is entirely appropriate, even required, that </w:t>
      </w:r>
      <w:r w:rsidR="00D64DAA" w:rsidRPr="00AC5D15">
        <w:rPr>
          <w:sz w:val="26"/>
          <w:szCs w:val="26"/>
        </w:rPr>
        <w:t>PPL</w:t>
      </w:r>
      <w:r w:rsidR="0080045C" w:rsidRPr="00AC5D15">
        <w:rPr>
          <w:sz w:val="26"/>
          <w:szCs w:val="26"/>
        </w:rPr>
        <w:t xml:space="preserve"> </w:t>
      </w:r>
      <w:r w:rsidR="00D828B3" w:rsidRPr="00AC5D15">
        <w:rPr>
          <w:sz w:val="26"/>
          <w:szCs w:val="26"/>
        </w:rPr>
        <w:t>prorate</w:t>
      </w:r>
      <w:r w:rsidR="0080045C" w:rsidRPr="00AC5D15">
        <w:rPr>
          <w:sz w:val="26"/>
          <w:szCs w:val="26"/>
        </w:rPr>
        <w:t xml:space="preserve"> the assessment of the rates if the rate </w:t>
      </w:r>
      <w:r w:rsidR="00D84547" w:rsidRPr="00AC5D15">
        <w:rPr>
          <w:sz w:val="26"/>
          <w:szCs w:val="26"/>
        </w:rPr>
        <w:t xml:space="preserve">itself </w:t>
      </w:r>
      <w:r w:rsidR="0080045C" w:rsidRPr="00AC5D15">
        <w:rPr>
          <w:sz w:val="26"/>
          <w:szCs w:val="26"/>
        </w:rPr>
        <w:t xml:space="preserve">changes during a billing cycle.  Because the new rates were effective January 1, 2010, customer usage on and after that date would be billed at the new, higher rates.  As expected, the usage for the time period from the beginning of the billing cycle in mid-December until December 31, 2009, would reflect the old rates.  </w:t>
      </w:r>
      <w:r w:rsidR="00D64DAA" w:rsidRPr="00AC5D15">
        <w:rPr>
          <w:sz w:val="26"/>
          <w:szCs w:val="26"/>
        </w:rPr>
        <w:t>PPL</w:t>
      </w:r>
      <w:r w:rsidR="0080045C" w:rsidRPr="00AC5D15">
        <w:rPr>
          <w:sz w:val="26"/>
          <w:szCs w:val="26"/>
        </w:rPr>
        <w:t xml:space="preserve"> did this.</w:t>
      </w:r>
      <w:r w:rsidR="00E24883" w:rsidRPr="00AC5D15">
        <w:rPr>
          <w:sz w:val="26"/>
          <w:szCs w:val="26"/>
        </w:rPr>
        <w:t xml:space="preserve"> </w:t>
      </w:r>
      <w:r w:rsidR="00CE1A6E" w:rsidRPr="00AC5D15">
        <w:rPr>
          <w:sz w:val="26"/>
          <w:szCs w:val="26"/>
        </w:rPr>
        <w:t xml:space="preserve"> R.D. at 24.</w:t>
      </w:r>
    </w:p>
    <w:p w:rsidR="0080045C" w:rsidRPr="00AC5D15" w:rsidRDefault="0080045C" w:rsidP="00B05E0D">
      <w:pPr>
        <w:contextualSpacing/>
        <w:jc w:val="left"/>
        <w:rPr>
          <w:sz w:val="26"/>
        </w:rPr>
      </w:pPr>
    </w:p>
    <w:p w:rsidR="00FE2847" w:rsidRPr="00AC5D15" w:rsidRDefault="0080045C" w:rsidP="00B05E0D">
      <w:pPr>
        <w:contextualSpacing/>
        <w:jc w:val="left"/>
        <w:rPr>
          <w:sz w:val="26"/>
          <w:szCs w:val="26"/>
        </w:rPr>
      </w:pPr>
      <w:r w:rsidRPr="00AC5D15">
        <w:rPr>
          <w:sz w:val="26"/>
        </w:rPr>
        <w:tab/>
      </w:r>
      <w:r w:rsidRPr="00AC5D15">
        <w:rPr>
          <w:sz w:val="26"/>
        </w:rPr>
        <w:tab/>
      </w:r>
      <w:r w:rsidRPr="00AC5D15">
        <w:rPr>
          <w:sz w:val="26"/>
          <w:szCs w:val="26"/>
        </w:rPr>
        <w:t xml:space="preserve">However, </w:t>
      </w:r>
      <w:r w:rsidR="00CE1A6E" w:rsidRPr="00AC5D15">
        <w:rPr>
          <w:sz w:val="26"/>
          <w:szCs w:val="26"/>
        </w:rPr>
        <w:t>the ALJ explained that PPL</w:t>
      </w:r>
      <w:r w:rsidRPr="00AC5D15">
        <w:rPr>
          <w:sz w:val="26"/>
          <w:szCs w:val="26"/>
        </w:rPr>
        <w:t xml:space="preserve"> uses </w:t>
      </w:r>
      <w:r w:rsidR="00D64DAA" w:rsidRPr="00AC5D15">
        <w:rPr>
          <w:sz w:val="26"/>
          <w:szCs w:val="26"/>
        </w:rPr>
        <w:t>“</w:t>
      </w:r>
      <w:r w:rsidRPr="00AC5D15">
        <w:rPr>
          <w:sz w:val="26"/>
          <w:szCs w:val="26"/>
        </w:rPr>
        <w:t>pro-ration</w:t>
      </w:r>
      <w:r w:rsidR="00D64DAA" w:rsidRPr="00AC5D15">
        <w:rPr>
          <w:sz w:val="26"/>
          <w:szCs w:val="26"/>
        </w:rPr>
        <w:t>”</w:t>
      </w:r>
      <w:r w:rsidRPr="00AC5D15">
        <w:rPr>
          <w:sz w:val="26"/>
          <w:szCs w:val="26"/>
        </w:rPr>
        <w:t xml:space="preserve"> to mean that the revenues from the </w:t>
      </w:r>
      <w:r w:rsidR="00FE2847" w:rsidRPr="00AC5D15">
        <w:rPr>
          <w:sz w:val="26"/>
          <w:szCs w:val="26"/>
        </w:rPr>
        <w:t>first two weeks</w:t>
      </w:r>
      <w:r w:rsidRPr="00AC5D15">
        <w:rPr>
          <w:sz w:val="26"/>
          <w:szCs w:val="26"/>
        </w:rPr>
        <w:t xml:space="preserve"> of</w:t>
      </w:r>
      <w:r w:rsidR="00B817E4" w:rsidRPr="00AC5D15">
        <w:rPr>
          <w:sz w:val="26"/>
          <w:szCs w:val="26"/>
        </w:rPr>
        <w:t xml:space="preserve"> the </w:t>
      </w:r>
      <w:r w:rsidRPr="00AC5D15">
        <w:rPr>
          <w:sz w:val="26"/>
          <w:szCs w:val="26"/>
        </w:rPr>
        <w:t xml:space="preserve">January 2010 </w:t>
      </w:r>
      <w:r w:rsidR="00B817E4" w:rsidRPr="00AC5D15">
        <w:rPr>
          <w:sz w:val="26"/>
          <w:szCs w:val="26"/>
        </w:rPr>
        <w:t xml:space="preserve">billing cycle </w:t>
      </w:r>
      <w:r w:rsidRPr="00AC5D15">
        <w:rPr>
          <w:sz w:val="26"/>
          <w:szCs w:val="26"/>
        </w:rPr>
        <w:t xml:space="preserve">would not be counted because </w:t>
      </w:r>
      <w:r w:rsidR="00FE2847" w:rsidRPr="00AC5D15">
        <w:rPr>
          <w:sz w:val="26"/>
          <w:szCs w:val="26"/>
        </w:rPr>
        <w:t xml:space="preserve">it was </w:t>
      </w:r>
      <w:r w:rsidRPr="00AC5D15">
        <w:rPr>
          <w:sz w:val="26"/>
          <w:szCs w:val="26"/>
        </w:rPr>
        <w:t>half of the cycle</w:t>
      </w:r>
      <w:r w:rsidR="00D828B3" w:rsidRPr="00AC5D15">
        <w:rPr>
          <w:sz w:val="26"/>
          <w:szCs w:val="26"/>
        </w:rPr>
        <w:t xml:space="preserve"> that</w:t>
      </w:r>
      <w:r w:rsidRPr="00AC5D15">
        <w:rPr>
          <w:sz w:val="26"/>
          <w:szCs w:val="26"/>
        </w:rPr>
        <w:t xml:space="preserve"> occurred under the prior rate schedule</w:t>
      </w:r>
      <w:r w:rsidR="00FE2847" w:rsidRPr="00AC5D15">
        <w:rPr>
          <w:sz w:val="26"/>
          <w:szCs w:val="26"/>
        </w:rPr>
        <w:t>, during the last half of December 2009</w:t>
      </w:r>
      <w:r w:rsidRPr="00AC5D15">
        <w:rPr>
          <w:sz w:val="26"/>
          <w:szCs w:val="26"/>
        </w:rPr>
        <w:t xml:space="preserve">.  Accordingly, </w:t>
      </w:r>
      <w:r w:rsidR="00CE1A6E" w:rsidRPr="00AC5D15">
        <w:rPr>
          <w:sz w:val="26"/>
          <w:szCs w:val="26"/>
        </w:rPr>
        <w:t xml:space="preserve">she noted that </w:t>
      </w:r>
      <w:r w:rsidRPr="00AC5D15">
        <w:rPr>
          <w:sz w:val="26"/>
          <w:szCs w:val="26"/>
        </w:rPr>
        <w:t xml:space="preserve">PPL did not count the January 2010 </w:t>
      </w:r>
      <w:r w:rsidRPr="00AC5D15">
        <w:rPr>
          <w:sz w:val="26"/>
          <w:szCs w:val="26"/>
        </w:rPr>
        <w:lastRenderedPageBreak/>
        <w:t xml:space="preserve">portion of the revenues billed mid-January 2010 as revenue </w:t>
      </w:r>
      <w:r w:rsidR="00D64DAA" w:rsidRPr="00AC5D15">
        <w:rPr>
          <w:sz w:val="26"/>
          <w:szCs w:val="26"/>
        </w:rPr>
        <w:t>“</w:t>
      </w:r>
      <w:r w:rsidRPr="00AC5D15">
        <w:rPr>
          <w:sz w:val="26"/>
          <w:szCs w:val="26"/>
        </w:rPr>
        <w:t>received</w:t>
      </w:r>
      <w:r w:rsidR="00D64DAA" w:rsidRPr="00AC5D15">
        <w:rPr>
          <w:sz w:val="26"/>
          <w:szCs w:val="26"/>
        </w:rPr>
        <w:t>”</w:t>
      </w:r>
      <w:r w:rsidR="00FE2847" w:rsidRPr="00AC5D15">
        <w:rPr>
          <w:sz w:val="26"/>
          <w:szCs w:val="26"/>
        </w:rPr>
        <w:t xml:space="preserve"> (within the meaning of Section 1307(e))</w:t>
      </w:r>
      <w:r w:rsidRPr="00AC5D15">
        <w:rPr>
          <w:sz w:val="26"/>
          <w:szCs w:val="26"/>
        </w:rPr>
        <w:t xml:space="preserve"> in January 2010, leaving the expenses for half of the month unmatched by any revenue.</w:t>
      </w:r>
      <w:r w:rsidR="00B817E4" w:rsidRPr="00AC5D15">
        <w:rPr>
          <w:sz w:val="26"/>
          <w:szCs w:val="26"/>
        </w:rPr>
        <w:t xml:space="preserve">  </w:t>
      </w:r>
      <w:r w:rsidR="00CE1A6E" w:rsidRPr="00AC5D15">
        <w:rPr>
          <w:sz w:val="26"/>
          <w:szCs w:val="26"/>
        </w:rPr>
        <w:t>The ALJ stated that t</w:t>
      </w:r>
      <w:r w:rsidR="00B817E4" w:rsidRPr="00AC5D15">
        <w:rPr>
          <w:sz w:val="26"/>
          <w:szCs w:val="26"/>
        </w:rPr>
        <w:t xml:space="preserve">his was not corrected at the end of the year, as </w:t>
      </w:r>
      <w:r w:rsidR="00D64DAA" w:rsidRPr="00AC5D15">
        <w:rPr>
          <w:sz w:val="26"/>
          <w:szCs w:val="26"/>
        </w:rPr>
        <w:t>PPL</w:t>
      </w:r>
      <w:r w:rsidR="00B817E4" w:rsidRPr="00AC5D15">
        <w:rPr>
          <w:sz w:val="26"/>
          <w:szCs w:val="26"/>
        </w:rPr>
        <w:t xml:space="preserve"> di</w:t>
      </w:r>
      <w:r w:rsidR="008B319E" w:rsidRPr="00AC5D15">
        <w:rPr>
          <w:sz w:val="26"/>
          <w:szCs w:val="26"/>
        </w:rPr>
        <w:t xml:space="preserve">d not prorate the January 2011 </w:t>
      </w:r>
      <w:r w:rsidR="00342AEB" w:rsidRPr="00AC5D15">
        <w:rPr>
          <w:sz w:val="26"/>
          <w:szCs w:val="26"/>
        </w:rPr>
        <w:t xml:space="preserve">revenues billed </w:t>
      </w:r>
      <w:r w:rsidR="00B817E4" w:rsidRPr="00AC5D15">
        <w:rPr>
          <w:sz w:val="26"/>
          <w:szCs w:val="26"/>
        </w:rPr>
        <w:t>to</w:t>
      </w:r>
      <w:r w:rsidR="00D828B3" w:rsidRPr="00AC5D15">
        <w:rPr>
          <w:sz w:val="26"/>
          <w:szCs w:val="26"/>
        </w:rPr>
        <w:t xml:space="preserve"> December 2010 in a manner that</w:t>
      </w:r>
      <w:r w:rsidR="00B817E4" w:rsidRPr="00AC5D15">
        <w:rPr>
          <w:sz w:val="26"/>
          <w:szCs w:val="26"/>
        </w:rPr>
        <w:t xml:space="preserve"> would close the loop.</w:t>
      </w:r>
      <w:r w:rsidRPr="00AC5D15">
        <w:rPr>
          <w:sz w:val="26"/>
          <w:szCs w:val="26"/>
        </w:rPr>
        <w:t xml:space="preserve">  </w:t>
      </w:r>
      <w:r w:rsidR="00B817E4" w:rsidRPr="00AC5D15">
        <w:rPr>
          <w:sz w:val="26"/>
          <w:szCs w:val="26"/>
        </w:rPr>
        <w:t xml:space="preserve">Therefore, </w:t>
      </w:r>
      <w:r w:rsidR="00CE1A6E" w:rsidRPr="00AC5D15">
        <w:rPr>
          <w:sz w:val="26"/>
          <w:szCs w:val="26"/>
        </w:rPr>
        <w:t>according to the ALJ, PPL</w:t>
      </w:r>
      <w:r w:rsidR="00B817E4" w:rsidRPr="00AC5D15">
        <w:rPr>
          <w:sz w:val="26"/>
          <w:szCs w:val="26"/>
        </w:rPr>
        <w:t xml:space="preserve"> matched 11 ½ months of revenues against 12 months of expenses.  </w:t>
      </w:r>
      <w:r w:rsidR="00CE1A6E" w:rsidRPr="00AC5D15">
        <w:rPr>
          <w:sz w:val="26"/>
          <w:szCs w:val="26"/>
        </w:rPr>
        <w:t>R.D. at 24-25.</w:t>
      </w:r>
    </w:p>
    <w:p w:rsidR="00FE2847" w:rsidRPr="00AC5D15" w:rsidRDefault="00FE2847" w:rsidP="00B05E0D">
      <w:pPr>
        <w:contextualSpacing/>
        <w:jc w:val="left"/>
        <w:rPr>
          <w:sz w:val="26"/>
        </w:rPr>
      </w:pPr>
    </w:p>
    <w:p w:rsidR="00764863" w:rsidRPr="00AC5D15" w:rsidRDefault="00FE2847" w:rsidP="00B05E0D">
      <w:pPr>
        <w:contextualSpacing/>
        <w:jc w:val="left"/>
        <w:rPr>
          <w:sz w:val="26"/>
          <w:szCs w:val="26"/>
        </w:rPr>
      </w:pPr>
      <w:r w:rsidRPr="00AC5D15">
        <w:rPr>
          <w:sz w:val="26"/>
        </w:rPr>
        <w:tab/>
      </w:r>
      <w:r w:rsidRPr="00AC5D15">
        <w:rPr>
          <w:sz w:val="26"/>
        </w:rPr>
        <w:tab/>
      </w:r>
      <w:r w:rsidR="00A3359A" w:rsidRPr="00AC5D15">
        <w:rPr>
          <w:sz w:val="26"/>
          <w:szCs w:val="26"/>
        </w:rPr>
        <w:t xml:space="preserve">The ALJ concluded that </w:t>
      </w:r>
      <w:r w:rsidR="00D64DAA" w:rsidRPr="00AC5D15">
        <w:rPr>
          <w:sz w:val="26"/>
          <w:szCs w:val="26"/>
        </w:rPr>
        <w:t>PPL’</w:t>
      </w:r>
      <w:r w:rsidR="00764863" w:rsidRPr="00AC5D15">
        <w:rPr>
          <w:sz w:val="26"/>
          <w:szCs w:val="26"/>
        </w:rPr>
        <w:t xml:space="preserve">s proration method would be unremarkable if the </w:t>
      </w:r>
      <w:r w:rsidR="00D64DAA" w:rsidRPr="00AC5D15">
        <w:rPr>
          <w:sz w:val="26"/>
          <w:szCs w:val="26"/>
        </w:rPr>
        <w:t>“</w:t>
      </w:r>
      <w:r w:rsidR="00764863" w:rsidRPr="00AC5D15">
        <w:rPr>
          <w:sz w:val="26"/>
          <w:szCs w:val="26"/>
        </w:rPr>
        <w:t>E</w:t>
      </w:r>
      <w:r w:rsidR="00D64DAA" w:rsidRPr="00AC5D15">
        <w:rPr>
          <w:sz w:val="26"/>
          <w:szCs w:val="26"/>
        </w:rPr>
        <w:t>”</w:t>
      </w:r>
      <w:r w:rsidR="00764863" w:rsidRPr="00AC5D15">
        <w:rPr>
          <w:sz w:val="26"/>
          <w:szCs w:val="26"/>
        </w:rPr>
        <w:t xml:space="preserve"> factor represented a true </w:t>
      </w:r>
      <w:r w:rsidR="00BF36DD" w:rsidRPr="00AC5D15">
        <w:rPr>
          <w:sz w:val="26"/>
          <w:szCs w:val="26"/>
        </w:rPr>
        <w:t>under collection</w:t>
      </w:r>
      <w:r w:rsidR="00764863" w:rsidRPr="00AC5D15">
        <w:rPr>
          <w:sz w:val="26"/>
          <w:szCs w:val="26"/>
        </w:rPr>
        <w:t xml:space="preserve"> and if the customer base were static.  However, </w:t>
      </w:r>
      <w:r w:rsidR="00A3359A" w:rsidRPr="00AC5D15">
        <w:rPr>
          <w:sz w:val="26"/>
          <w:szCs w:val="26"/>
        </w:rPr>
        <w:t xml:space="preserve">she stated that </w:t>
      </w:r>
      <w:r w:rsidR="00764863" w:rsidRPr="00AC5D15">
        <w:rPr>
          <w:sz w:val="26"/>
          <w:szCs w:val="26"/>
        </w:rPr>
        <w:t xml:space="preserve">where the customer base is shrinking due to shopping, not all of the customers who used the commodity are charged with the costs.  Therefore, </w:t>
      </w:r>
      <w:r w:rsidR="00A3359A" w:rsidRPr="00AC5D15">
        <w:rPr>
          <w:sz w:val="26"/>
          <w:szCs w:val="26"/>
        </w:rPr>
        <w:t xml:space="preserve">according to the ALJ, </w:t>
      </w:r>
      <w:r w:rsidR="00764863" w:rsidRPr="00AC5D15">
        <w:rPr>
          <w:sz w:val="26"/>
          <w:szCs w:val="26"/>
        </w:rPr>
        <w:t xml:space="preserve">it is essential that the calculations be as accurate as possible to properly allocate costs to cost-causation.  </w:t>
      </w:r>
      <w:r w:rsidR="002F2D5A" w:rsidRPr="00AC5D15">
        <w:rPr>
          <w:sz w:val="26"/>
          <w:szCs w:val="26"/>
        </w:rPr>
        <w:t>The ALJ further noted that q</w:t>
      </w:r>
      <w:r w:rsidR="00764863" w:rsidRPr="00AC5D15">
        <w:rPr>
          <w:sz w:val="26"/>
          <w:szCs w:val="26"/>
        </w:rPr>
        <w:t xml:space="preserve">uarterly reconciliation occurs before the revenues and expenses for the first three months have been finalized, which results in more inaccuracies than necessary.  </w:t>
      </w:r>
      <w:r w:rsidR="00892CAB" w:rsidRPr="00AC5D15">
        <w:rPr>
          <w:sz w:val="26"/>
          <w:szCs w:val="26"/>
        </w:rPr>
        <w:t>R.D. at 25.</w:t>
      </w:r>
    </w:p>
    <w:p w:rsidR="00764863" w:rsidRPr="00AC5D15" w:rsidRDefault="00764863" w:rsidP="00B05E0D">
      <w:pPr>
        <w:contextualSpacing/>
        <w:jc w:val="left"/>
        <w:rPr>
          <w:sz w:val="26"/>
          <w:szCs w:val="26"/>
        </w:rPr>
      </w:pPr>
    </w:p>
    <w:p w:rsidR="00FE2847" w:rsidRPr="00AC5D15" w:rsidRDefault="00FE2847" w:rsidP="00B05E0D">
      <w:pPr>
        <w:contextualSpacing/>
        <w:jc w:val="left"/>
        <w:rPr>
          <w:sz w:val="26"/>
          <w:szCs w:val="26"/>
        </w:rPr>
      </w:pPr>
      <w:r w:rsidRPr="00AC5D15">
        <w:rPr>
          <w:sz w:val="26"/>
          <w:szCs w:val="26"/>
        </w:rPr>
        <w:tab/>
      </w:r>
      <w:r w:rsidRPr="00AC5D15">
        <w:rPr>
          <w:sz w:val="26"/>
          <w:szCs w:val="26"/>
        </w:rPr>
        <w:tab/>
      </w:r>
      <w:r w:rsidR="002F2D5A" w:rsidRPr="00AC5D15">
        <w:rPr>
          <w:sz w:val="26"/>
          <w:szCs w:val="26"/>
        </w:rPr>
        <w:t>The ALJ stated that</w:t>
      </w:r>
      <w:r w:rsidR="00D828B3" w:rsidRPr="00AC5D15">
        <w:rPr>
          <w:sz w:val="26"/>
          <w:szCs w:val="26"/>
        </w:rPr>
        <w:t>,</w:t>
      </w:r>
      <w:r w:rsidR="002F2D5A" w:rsidRPr="00AC5D15">
        <w:rPr>
          <w:sz w:val="26"/>
          <w:szCs w:val="26"/>
        </w:rPr>
        <w:t xml:space="preserve"> w</w:t>
      </w:r>
      <w:r w:rsidRPr="00AC5D15">
        <w:rPr>
          <w:sz w:val="26"/>
          <w:szCs w:val="26"/>
        </w:rPr>
        <w:t xml:space="preserve">here the reconciliation is quarterly, the opportunity for wild fluctuation increases, and it is especially important to measure the exact time period of the expenses against the same time period for revenues.  </w:t>
      </w:r>
      <w:r w:rsidR="002F2D5A" w:rsidRPr="00AC5D15">
        <w:rPr>
          <w:sz w:val="26"/>
          <w:szCs w:val="26"/>
        </w:rPr>
        <w:t>She found that t</w:t>
      </w:r>
      <w:r w:rsidRPr="00AC5D15">
        <w:rPr>
          <w:sz w:val="26"/>
          <w:szCs w:val="26"/>
        </w:rPr>
        <w:t xml:space="preserve">he two-week lag at the beginning of 2010 distorted the first quarter, and subsequent reconciliations continued the distortion.  </w:t>
      </w:r>
      <w:r w:rsidR="002F2D5A" w:rsidRPr="00AC5D15">
        <w:rPr>
          <w:sz w:val="26"/>
          <w:szCs w:val="26"/>
        </w:rPr>
        <w:t>She explained that t</w:t>
      </w:r>
      <w:r w:rsidRPr="00AC5D15">
        <w:rPr>
          <w:sz w:val="26"/>
          <w:szCs w:val="26"/>
        </w:rPr>
        <w:t xml:space="preserve">he two-week lag might be absorbed into a one-year evaluation period, and certainly would be absorbed into two, but it could not be fairly reconciled quarterly.  </w:t>
      </w:r>
      <w:r w:rsidR="00892CAB" w:rsidRPr="00AC5D15">
        <w:rPr>
          <w:sz w:val="26"/>
          <w:szCs w:val="26"/>
        </w:rPr>
        <w:t>R.D. at 25-26.</w:t>
      </w:r>
    </w:p>
    <w:p w:rsidR="00542F8B" w:rsidRPr="00AC5D15" w:rsidRDefault="00542F8B" w:rsidP="00B05E0D">
      <w:pPr>
        <w:contextualSpacing/>
        <w:jc w:val="left"/>
        <w:rPr>
          <w:sz w:val="26"/>
        </w:rPr>
      </w:pPr>
    </w:p>
    <w:p w:rsidR="00FE2847" w:rsidRPr="00AC5D15" w:rsidRDefault="00FE2847" w:rsidP="00B05E0D">
      <w:pPr>
        <w:contextualSpacing/>
        <w:jc w:val="left"/>
        <w:rPr>
          <w:sz w:val="26"/>
          <w:szCs w:val="26"/>
        </w:rPr>
      </w:pPr>
      <w:r w:rsidRPr="00AC5D15">
        <w:rPr>
          <w:sz w:val="26"/>
        </w:rPr>
        <w:tab/>
      </w:r>
      <w:r w:rsidRPr="00AC5D15">
        <w:rPr>
          <w:sz w:val="26"/>
        </w:rPr>
        <w:tab/>
      </w:r>
      <w:r w:rsidR="002F2D5A" w:rsidRPr="00AC5D15">
        <w:rPr>
          <w:sz w:val="26"/>
          <w:szCs w:val="26"/>
        </w:rPr>
        <w:t>The ALJ</w:t>
      </w:r>
      <w:r w:rsidRPr="00AC5D15">
        <w:rPr>
          <w:sz w:val="26"/>
          <w:szCs w:val="26"/>
        </w:rPr>
        <w:t xml:space="preserve"> </w:t>
      </w:r>
      <w:r w:rsidR="002F2D5A" w:rsidRPr="00AC5D15">
        <w:rPr>
          <w:sz w:val="26"/>
          <w:szCs w:val="26"/>
        </w:rPr>
        <w:t xml:space="preserve">further </w:t>
      </w:r>
      <w:r w:rsidRPr="00AC5D15">
        <w:rPr>
          <w:sz w:val="26"/>
          <w:szCs w:val="26"/>
        </w:rPr>
        <w:t>note</w:t>
      </w:r>
      <w:r w:rsidR="002F2D5A" w:rsidRPr="00AC5D15">
        <w:rPr>
          <w:sz w:val="26"/>
          <w:szCs w:val="26"/>
        </w:rPr>
        <w:t>d</w:t>
      </w:r>
      <w:r w:rsidRPr="00AC5D15">
        <w:rPr>
          <w:sz w:val="26"/>
          <w:szCs w:val="26"/>
        </w:rPr>
        <w:t xml:space="preserve"> that the quarterly reconciliation was required by Commission Order and not advocated by </w:t>
      </w:r>
      <w:r w:rsidR="00D64DAA" w:rsidRPr="00AC5D15">
        <w:rPr>
          <w:sz w:val="26"/>
          <w:szCs w:val="26"/>
        </w:rPr>
        <w:t>PPL</w:t>
      </w:r>
      <w:r w:rsidRPr="00AC5D15">
        <w:rPr>
          <w:sz w:val="26"/>
          <w:szCs w:val="26"/>
        </w:rPr>
        <w:t xml:space="preserve">, which </w:t>
      </w:r>
      <w:r w:rsidR="002F2D5A" w:rsidRPr="00AC5D15">
        <w:rPr>
          <w:sz w:val="26"/>
          <w:szCs w:val="26"/>
        </w:rPr>
        <w:t>strongly weighed</w:t>
      </w:r>
      <w:r w:rsidR="005D75D7" w:rsidRPr="00AC5D15">
        <w:rPr>
          <w:sz w:val="26"/>
          <w:szCs w:val="26"/>
        </w:rPr>
        <w:t xml:space="preserve"> a</w:t>
      </w:r>
      <w:r w:rsidRPr="00AC5D15">
        <w:rPr>
          <w:sz w:val="26"/>
          <w:szCs w:val="26"/>
        </w:rPr>
        <w:t xml:space="preserve">gainst a finding of unjust or unreasonable service on the part of </w:t>
      </w:r>
      <w:r w:rsidR="00D64DAA" w:rsidRPr="00AC5D15">
        <w:rPr>
          <w:sz w:val="26"/>
          <w:szCs w:val="26"/>
        </w:rPr>
        <w:t>PPL</w:t>
      </w:r>
      <w:r w:rsidRPr="00AC5D15">
        <w:rPr>
          <w:sz w:val="26"/>
          <w:szCs w:val="26"/>
        </w:rPr>
        <w:t xml:space="preserve">.  </w:t>
      </w:r>
      <w:r w:rsidR="002155E1" w:rsidRPr="00AC5D15">
        <w:rPr>
          <w:sz w:val="26"/>
          <w:szCs w:val="26"/>
        </w:rPr>
        <w:t xml:space="preserve">In addition, </w:t>
      </w:r>
      <w:r w:rsidR="002F2D5A" w:rsidRPr="00AC5D15">
        <w:rPr>
          <w:sz w:val="26"/>
          <w:szCs w:val="26"/>
        </w:rPr>
        <w:t xml:space="preserve">she noted that </w:t>
      </w:r>
      <w:r w:rsidR="002155E1" w:rsidRPr="00AC5D15">
        <w:rPr>
          <w:sz w:val="26"/>
          <w:szCs w:val="26"/>
        </w:rPr>
        <w:t xml:space="preserve">changing the length of the reconciliation period is a remedy sought by </w:t>
      </w:r>
      <w:r w:rsidR="00D64DAA" w:rsidRPr="00AC5D15">
        <w:rPr>
          <w:sz w:val="26"/>
          <w:szCs w:val="26"/>
        </w:rPr>
        <w:t>PPL</w:t>
      </w:r>
      <w:r w:rsidR="002155E1" w:rsidRPr="00AC5D15">
        <w:rPr>
          <w:sz w:val="26"/>
          <w:szCs w:val="26"/>
        </w:rPr>
        <w:t xml:space="preserve"> itself in </w:t>
      </w:r>
      <w:r w:rsidR="00D828B3" w:rsidRPr="00AC5D15">
        <w:rPr>
          <w:sz w:val="26"/>
          <w:szCs w:val="26"/>
        </w:rPr>
        <w:t xml:space="preserve">its </w:t>
      </w:r>
      <w:r w:rsidR="00D828B3" w:rsidRPr="00AC5D15">
        <w:rPr>
          <w:i/>
          <w:sz w:val="26"/>
          <w:szCs w:val="26"/>
        </w:rPr>
        <w:t>Reconciliation Rider Proceeding at Docket No.</w:t>
      </w:r>
      <w:r w:rsidR="002155E1" w:rsidRPr="00AC5D15">
        <w:rPr>
          <w:i/>
          <w:sz w:val="26"/>
          <w:szCs w:val="26"/>
        </w:rPr>
        <w:t xml:space="preserve"> </w:t>
      </w:r>
      <w:r w:rsidR="002F2D5A" w:rsidRPr="00AC5D15">
        <w:rPr>
          <w:sz w:val="26"/>
          <w:szCs w:val="26"/>
        </w:rPr>
        <w:t>P-2011-2256365</w:t>
      </w:r>
      <w:r w:rsidR="00701E15" w:rsidRPr="00AC5D15">
        <w:rPr>
          <w:sz w:val="26"/>
          <w:szCs w:val="26"/>
        </w:rPr>
        <w:t>,</w:t>
      </w:r>
      <w:r w:rsidR="00D828B3" w:rsidRPr="00AC5D15">
        <w:rPr>
          <w:sz w:val="26"/>
          <w:szCs w:val="26"/>
        </w:rPr>
        <w:t xml:space="preserve"> </w:t>
      </w:r>
      <w:r w:rsidR="00D828B3" w:rsidRPr="00AC5D15">
        <w:rPr>
          <w:sz w:val="26"/>
          <w:szCs w:val="26"/>
          <w:u w:val="single"/>
        </w:rPr>
        <w:t>supra.</w:t>
      </w:r>
      <w:r w:rsidR="00892CAB" w:rsidRPr="00AC5D15">
        <w:rPr>
          <w:sz w:val="26"/>
          <w:szCs w:val="26"/>
        </w:rPr>
        <w:t xml:space="preserve">  R.D. at 27.</w:t>
      </w:r>
    </w:p>
    <w:p w:rsidR="00194401" w:rsidRPr="00AC5D15" w:rsidRDefault="00194401" w:rsidP="00B05E0D">
      <w:pPr>
        <w:contextualSpacing/>
        <w:jc w:val="left"/>
        <w:rPr>
          <w:sz w:val="26"/>
          <w:szCs w:val="26"/>
        </w:rPr>
      </w:pPr>
      <w:r w:rsidRPr="00AC5D15">
        <w:rPr>
          <w:sz w:val="26"/>
        </w:rPr>
        <w:lastRenderedPageBreak/>
        <w:tab/>
      </w:r>
      <w:r w:rsidRPr="00AC5D15">
        <w:rPr>
          <w:sz w:val="26"/>
        </w:rPr>
        <w:tab/>
      </w:r>
      <w:r w:rsidR="002F2D5A" w:rsidRPr="00AC5D15">
        <w:rPr>
          <w:sz w:val="26"/>
          <w:szCs w:val="26"/>
        </w:rPr>
        <w:t>According to the ALJ, i</w:t>
      </w:r>
      <w:r w:rsidRPr="00AC5D15">
        <w:rPr>
          <w:sz w:val="26"/>
          <w:szCs w:val="26"/>
        </w:rPr>
        <w:t>n a situation like this one, it is essential that the time period for expenses and revenues match</w:t>
      </w:r>
      <w:r w:rsidR="00701E15" w:rsidRPr="00AC5D15">
        <w:rPr>
          <w:sz w:val="26"/>
          <w:szCs w:val="26"/>
        </w:rPr>
        <w:t>.  If not,</w:t>
      </w:r>
      <w:r w:rsidRPr="00AC5D15">
        <w:rPr>
          <w:sz w:val="26"/>
          <w:szCs w:val="26"/>
        </w:rPr>
        <w:t xml:space="preserve"> the ratepayers will be charged for an </w:t>
      </w:r>
      <w:r w:rsidR="00BF36DD" w:rsidRPr="00AC5D15">
        <w:rPr>
          <w:sz w:val="26"/>
          <w:szCs w:val="26"/>
        </w:rPr>
        <w:t>under collection</w:t>
      </w:r>
      <w:r w:rsidRPr="00AC5D15">
        <w:rPr>
          <w:sz w:val="26"/>
          <w:szCs w:val="26"/>
        </w:rPr>
        <w:t xml:space="preserve"> </w:t>
      </w:r>
      <w:r w:rsidR="00701E15" w:rsidRPr="00AC5D15">
        <w:rPr>
          <w:sz w:val="26"/>
          <w:szCs w:val="26"/>
        </w:rPr>
        <w:t>that</w:t>
      </w:r>
      <w:r w:rsidRPr="00AC5D15">
        <w:rPr>
          <w:sz w:val="26"/>
          <w:szCs w:val="26"/>
        </w:rPr>
        <w:t xml:space="preserve"> does not actually exist, and the next reconciliation period</w:t>
      </w:r>
      <w:r w:rsidR="00D64DAA" w:rsidRPr="00AC5D15">
        <w:rPr>
          <w:sz w:val="26"/>
          <w:szCs w:val="26"/>
        </w:rPr>
        <w:t>’</w:t>
      </w:r>
      <w:r w:rsidRPr="00AC5D15">
        <w:rPr>
          <w:sz w:val="26"/>
          <w:szCs w:val="26"/>
        </w:rPr>
        <w:t xml:space="preserve">s rates will be artificially inflated to cover the fictional </w:t>
      </w:r>
      <w:r w:rsidR="00BF36DD" w:rsidRPr="00AC5D15">
        <w:rPr>
          <w:sz w:val="26"/>
          <w:szCs w:val="26"/>
        </w:rPr>
        <w:t>under collection</w:t>
      </w:r>
      <w:r w:rsidRPr="00AC5D15">
        <w:rPr>
          <w:sz w:val="26"/>
          <w:szCs w:val="26"/>
        </w:rPr>
        <w:t xml:space="preserve">.  </w:t>
      </w:r>
      <w:r w:rsidR="002F2D5A" w:rsidRPr="00AC5D15">
        <w:rPr>
          <w:sz w:val="26"/>
          <w:szCs w:val="26"/>
        </w:rPr>
        <w:t>She explained that if</w:t>
      </w:r>
      <w:r w:rsidRPr="00AC5D15">
        <w:rPr>
          <w:sz w:val="26"/>
          <w:szCs w:val="26"/>
        </w:rPr>
        <w:t xml:space="preserve"> the revenues for January, February and March perfectly match the expenses, th</w:t>
      </w:r>
      <w:r w:rsidR="002F2D5A" w:rsidRPr="00AC5D15">
        <w:rPr>
          <w:sz w:val="26"/>
          <w:szCs w:val="26"/>
        </w:rPr>
        <w:t>ere would, under PPL</w:t>
      </w:r>
      <w:r w:rsidR="00D64DAA" w:rsidRPr="00AC5D15">
        <w:rPr>
          <w:sz w:val="26"/>
          <w:szCs w:val="26"/>
        </w:rPr>
        <w:t>’</w:t>
      </w:r>
      <w:r w:rsidR="002F2D5A" w:rsidRPr="00AC5D15">
        <w:rPr>
          <w:sz w:val="26"/>
          <w:szCs w:val="26"/>
        </w:rPr>
        <w:t xml:space="preserve">s </w:t>
      </w:r>
      <w:r w:rsidRPr="00AC5D15">
        <w:rPr>
          <w:sz w:val="26"/>
          <w:szCs w:val="26"/>
        </w:rPr>
        <w:t>method</w:t>
      </w:r>
      <w:r w:rsidR="00701E15" w:rsidRPr="00AC5D15">
        <w:rPr>
          <w:sz w:val="26"/>
          <w:szCs w:val="26"/>
        </w:rPr>
        <w:t>, still be two weeks of revenue</w:t>
      </w:r>
      <w:r w:rsidRPr="00AC5D15">
        <w:rPr>
          <w:sz w:val="26"/>
          <w:szCs w:val="26"/>
        </w:rPr>
        <w:t xml:space="preserve"> </w:t>
      </w:r>
      <w:r w:rsidR="00BF36DD" w:rsidRPr="00AC5D15">
        <w:rPr>
          <w:sz w:val="26"/>
          <w:szCs w:val="26"/>
        </w:rPr>
        <w:t>under collection</w:t>
      </w:r>
      <w:r w:rsidRPr="00AC5D15">
        <w:rPr>
          <w:sz w:val="26"/>
          <w:szCs w:val="26"/>
        </w:rPr>
        <w:t xml:space="preserve"> because </w:t>
      </w:r>
      <w:r w:rsidR="00D64DAA" w:rsidRPr="00AC5D15">
        <w:rPr>
          <w:sz w:val="26"/>
          <w:szCs w:val="26"/>
        </w:rPr>
        <w:t>PPL</w:t>
      </w:r>
      <w:r w:rsidRPr="00AC5D15">
        <w:rPr>
          <w:sz w:val="26"/>
          <w:szCs w:val="26"/>
        </w:rPr>
        <w:t xml:space="preserve"> did not consider half of the January revenues when reconciling its books.  This two</w:t>
      </w:r>
      <w:r w:rsidR="00401135" w:rsidRPr="00AC5D15">
        <w:rPr>
          <w:sz w:val="26"/>
          <w:szCs w:val="26"/>
        </w:rPr>
        <w:t>-</w:t>
      </w:r>
      <w:r w:rsidRPr="00AC5D15">
        <w:rPr>
          <w:sz w:val="26"/>
          <w:szCs w:val="26"/>
        </w:rPr>
        <w:t xml:space="preserve">week amount is then added, </w:t>
      </w:r>
      <w:r w:rsidRPr="00AC5D15">
        <w:rPr>
          <w:i/>
          <w:sz w:val="26"/>
          <w:szCs w:val="26"/>
        </w:rPr>
        <w:t>with interest</w:t>
      </w:r>
      <w:r w:rsidRPr="00AC5D15">
        <w:rPr>
          <w:sz w:val="26"/>
          <w:szCs w:val="26"/>
        </w:rPr>
        <w:t xml:space="preserve">, to the computation for the billing of the next period, creating inflated rates for customers and a capital influx for </w:t>
      </w:r>
      <w:r w:rsidR="00D64DAA" w:rsidRPr="00AC5D15">
        <w:rPr>
          <w:sz w:val="26"/>
          <w:szCs w:val="26"/>
        </w:rPr>
        <w:t>PPL</w:t>
      </w:r>
      <w:r w:rsidRPr="00AC5D15">
        <w:rPr>
          <w:sz w:val="26"/>
          <w:szCs w:val="26"/>
        </w:rPr>
        <w:t xml:space="preserve">.  </w:t>
      </w:r>
      <w:r w:rsidR="002F2D5A" w:rsidRPr="00AC5D15">
        <w:rPr>
          <w:sz w:val="26"/>
          <w:szCs w:val="26"/>
        </w:rPr>
        <w:t>The ALJ stated that t</w:t>
      </w:r>
      <w:r w:rsidRPr="00AC5D15">
        <w:rPr>
          <w:sz w:val="26"/>
          <w:szCs w:val="26"/>
        </w:rPr>
        <w:t xml:space="preserve">here would appear to be a substantial </w:t>
      </w:r>
      <w:r w:rsidR="00BF36DD" w:rsidRPr="00AC5D15">
        <w:rPr>
          <w:sz w:val="26"/>
          <w:szCs w:val="26"/>
        </w:rPr>
        <w:t>under collection</w:t>
      </w:r>
      <w:r w:rsidRPr="00AC5D15">
        <w:rPr>
          <w:sz w:val="26"/>
          <w:szCs w:val="26"/>
        </w:rPr>
        <w:t xml:space="preserve"> although none exists.  </w:t>
      </w:r>
      <w:r w:rsidR="00FC71F1" w:rsidRPr="00AC5D15">
        <w:rPr>
          <w:sz w:val="26"/>
          <w:szCs w:val="26"/>
        </w:rPr>
        <w:t>R.D. at 27-28.</w:t>
      </w:r>
    </w:p>
    <w:p w:rsidR="00963D2A" w:rsidRPr="00AC5D15" w:rsidRDefault="00963D2A" w:rsidP="00B05E0D">
      <w:pPr>
        <w:contextualSpacing/>
        <w:jc w:val="left"/>
        <w:rPr>
          <w:sz w:val="26"/>
          <w:szCs w:val="26"/>
        </w:rPr>
      </w:pPr>
    </w:p>
    <w:p w:rsidR="00963D2A" w:rsidRPr="00AC5D15" w:rsidRDefault="00963D2A" w:rsidP="00B05E0D">
      <w:pPr>
        <w:contextualSpacing/>
        <w:jc w:val="left"/>
        <w:rPr>
          <w:b/>
          <w:sz w:val="26"/>
          <w:szCs w:val="26"/>
        </w:rPr>
      </w:pPr>
      <w:r w:rsidRPr="00AC5D15">
        <w:rPr>
          <w:sz w:val="26"/>
          <w:szCs w:val="26"/>
        </w:rPr>
        <w:tab/>
      </w:r>
      <w:r w:rsidRPr="00AC5D15">
        <w:rPr>
          <w:b/>
          <w:sz w:val="26"/>
          <w:szCs w:val="26"/>
        </w:rPr>
        <w:t>3.</w:t>
      </w:r>
      <w:r w:rsidRPr="00AC5D15">
        <w:rPr>
          <w:b/>
          <w:sz w:val="26"/>
          <w:szCs w:val="26"/>
        </w:rPr>
        <w:tab/>
        <w:t>Exceptions and Replies</w:t>
      </w:r>
    </w:p>
    <w:p w:rsidR="00963D2A" w:rsidRPr="00AC5D15" w:rsidRDefault="00963D2A" w:rsidP="00B05E0D">
      <w:pPr>
        <w:contextualSpacing/>
        <w:jc w:val="left"/>
        <w:rPr>
          <w:b/>
          <w:sz w:val="26"/>
          <w:szCs w:val="26"/>
        </w:rPr>
      </w:pPr>
    </w:p>
    <w:p w:rsidR="00846233" w:rsidRPr="00AC5D15" w:rsidRDefault="008B319E" w:rsidP="00B05E0D">
      <w:pPr>
        <w:pStyle w:val="BodyText2"/>
        <w:spacing w:line="360" w:lineRule="auto"/>
        <w:jc w:val="left"/>
        <w:rPr>
          <w:sz w:val="26"/>
          <w:szCs w:val="26"/>
        </w:rPr>
      </w:pPr>
      <w:r w:rsidRPr="00AC5D15">
        <w:rPr>
          <w:b/>
          <w:sz w:val="26"/>
          <w:szCs w:val="26"/>
        </w:rPr>
        <w:tab/>
      </w:r>
      <w:r w:rsidR="00846233" w:rsidRPr="00AC5D15">
        <w:rPr>
          <w:sz w:val="26"/>
          <w:szCs w:val="26"/>
        </w:rPr>
        <w:t xml:space="preserve">In its Exceptions, PPL states that the </w:t>
      </w:r>
      <w:r w:rsidR="00701E15" w:rsidRPr="00AC5D15">
        <w:rPr>
          <w:sz w:val="26"/>
          <w:szCs w:val="26"/>
        </w:rPr>
        <w:t>ALJ</w:t>
      </w:r>
      <w:r w:rsidR="00D64DAA" w:rsidRPr="00AC5D15">
        <w:rPr>
          <w:sz w:val="26"/>
          <w:szCs w:val="26"/>
        </w:rPr>
        <w:t>’</w:t>
      </w:r>
      <w:r w:rsidR="00701E15" w:rsidRPr="00AC5D15">
        <w:rPr>
          <w:sz w:val="26"/>
          <w:szCs w:val="26"/>
        </w:rPr>
        <w:t xml:space="preserve">s </w:t>
      </w:r>
      <w:r w:rsidR="00846233" w:rsidRPr="00AC5D15">
        <w:rPr>
          <w:sz w:val="26"/>
          <w:szCs w:val="26"/>
        </w:rPr>
        <w:t xml:space="preserve">primary concern </w:t>
      </w:r>
      <w:r w:rsidR="00701E15" w:rsidRPr="00AC5D15">
        <w:rPr>
          <w:sz w:val="26"/>
          <w:szCs w:val="26"/>
        </w:rPr>
        <w:t>i</w:t>
      </w:r>
      <w:r w:rsidR="00846233" w:rsidRPr="00AC5D15">
        <w:rPr>
          <w:sz w:val="26"/>
          <w:szCs w:val="26"/>
        </w:rPr>
        <w:t xml:space="preserve">s </w:t>
      </w:r>
      <w:r w:rsidR="001F224A" w:rsidRPr="00AC5D15">
        <w:rPr>
          <w:sz w:val="26"/>
          <w:szCs w:val="26"/>
        </w:rPr>
        <w:t>that PPL</w:t>
      </w:r>
      <w:r w:rsidR="00D64DAA" w:rsidRPr="00AC5D15">
        <w:rPr>
          <w:sz w:val="26"/>
          <w:szCs w:val="26"/>
        </w:rPr>
        <w:t>’</w:t>
      </w:r>
      <w:r w:rsidR="001F224A" w:rsidRPr="00AC5D15">
        <w:rPr>
          <w:sz w:val="26"/>
          <w:szCs w:val="26"/>
        </w:rPr>
        <w:t>s</w:t>
      </w:r>
      <w:r w:rsidR="00846233" w:rsidRPr="00AC5D15">
        <w:rPr>
          <w:sz w:val="26"/>
          <w:szCs w:val="26"/>
        </w:rPr>
        <w:t xml:space="preserve"> reconciliation methodology creates a mismatch between revenues and expenses for each Application Period</w:t>
      </w:r>
      <w:r w:rsidR="00701E15" w:rsidRPr="00AC5D15">
        <w:rPr>
          <w:sz w:val="26"/>
          <w:szCs w:val="26"/>
        </w:rPr>
        <w:t xml:space="preserve">. </w:t>
      </w:r>
      <w:r w:rsidR="00846233" w:rsidRPr="00AC5D15">
        <w:rPr>
          <w:sz w:val="26"/>
          <w:szCs w:val="26"/>
        </w:rPr>
        <w:t xml:space="preserve"> </w:t>
      </w:r>
      <w:r w:rsidR="00701E15" w:rsidRPr="00AC5D15">
        <w:rPr>
          <w:sz w:val="26"/>
          <w:szCs w:val="26"/>
        </w:rPr>
        <w:t xml:space="preserve">The ALJ concluded </w:t>
      </w:r>
      <w:r w:rsidR="00846233" w:rsidRPr="00AC5D15">
        <w:rPr>
          <w:sz w:val="26"/>
          <w:szCs w:val="26"/>
        </w:rPr>
        <w:t>that this mismatch is unreasonable for reconci</w:t>
      </w:r>
      <w:r w:rsidR="001C4E03" w:rsidRPr="00AC5D15">
        <w:rPr>
          <w:sz w:val="26"/>
          <w:szCs w:val="26"/>
        </w:rPr>
        <w:t xml:space="preserve">liation purposes.  PPL </w:t>
      </w:r>
      <w:r w:rsidR="00846233" w:rsidRPr="00AC5D15">
        <w:rPr>
          <w:sz w:val="26"/>
          <w:szCs w:val="26"/>
        </w:rPr>
        <w:t>acknowledges that</w:t>
      </w:r>
      <w:r w:rsidR="00EC5867" w:rsidRPr="00AC5D15">
        <w:rPr>
          <w:sz w:val="26"/>
          <w:szCs w:val="26"/>
        </w:rPr>
        <w:t xml:space="preserve"> there is an apparent mismatch, </w:t>
      </w:r>
      <w:r w:rsidR="00846233" w:rsidRPr="00AC5D15">
        <w:rPr>
          <w:sz w:val="26"/>
          <w:szCs w:val="26"/>
        </w:rPr>
        <w:t xml:space="preserve">but submits that there are good and valid reasons supporting this approach.  According to PPL, </w:t>
      </w:r>
      <w:r w:rsidR="001F224A" w:rsidRPr="00AC5D15">
        <w:rPr>
          <w:sz w:val="26"/>
          <w:szCs w:val="26"/>
        </w:rPr>
        <w:t>this</w:t>
      </w:r>
      <w:r w:rsidR="00846233" w:rsidRPr="00AC5D15">
        <w:rPr>
          <w:sz w:val="26"/>
          <w:szCs w:val="26"/>
        </w:rPr>
        <w:t xml:space="preserve"> methodology is reasonable because it is consistent with the relevant statute, is consistent with thirty years of practi</w:t>
      </w:r>
      <w:r w:rsidR="001F224A" w:rsidRPr="00AC5D15">
        <w:rPr>
          <w:sz w:val="26"/>
          <w:szCs w:val="26"/>
        </w:rPr>
        <w:t>ce and precedent by PPL</w:t>
      </w:r>
      <w:r w:rsidR="00846233" w:rsidRPr="00AC5D15">
        <w:rPr>
          <w:sz w:val="26"/>
          <w:szCs w:val="26"/>
        </w:rPr>
        <w:t xml:space="preserve"> and other electric utilities, and allo</w:t>
      </w:r>
      <w:r w:rsidR="001F224A" w:rsidRPr="00AC5D15">
        <w:rPr>
          <w:sz w:val="26"/>
          <w:szCs w:val="26"/>
        </w:rPr>
        <w:t xml:space="preserve">ws PPL </w:t>
      </w:r>
      <w:r w:rsidR="00846233" w:rsidRPr="00AC5D15">
        <w:rPr>
          <w:sz w:val="26"/>
          <w:szCs w:val="26"/>
        </w:rPr>
        <w:t>to fully recover its costs, including a cash working capital allowance for its POLR costs.  PPL Exc. at 4.</w:t>
      </w:r>
    </w:p>
    <w:p w:rsidR="001F224A" w:rsidRPr="00AC5D15" w:rsidRDefault="001F224A" w:rsidP="00B05E0D">
      <w:pPr>
        <w:pStyle w:val="BodyText2"/>
        <w:spacing w:line="360" w:lineRule="auto"/>
        <w:ind w:firstLine="0"/>
        <w:jc w:val="left"/>
        <w:rPr>
          <w:sz w:val="26"/>
          <w:szCs w:val="26"/>
        </w:rPr>
      </w:pPr>
    </w:p>
    <w:p w:rsidR="001F224A" w:rsidRPr="00AC5D15" w:rsidRDefault="001F224A" w:rsidP="00B05E0D">
      <w:pPr>
        <w:pStyle w:val="BodyText2"/>
        <w:spacing w:line="360" w:lineRule="auto"/>
        <w:ind w:firstLine="1440"/>
        <w:jc w:val="left"/>
        <w:rPr>
          <w:sz w:val="26"/>
          <w:szCs w:val="26"/>
        </w:rPr>
      </w:pPr>
      <w:r w:rsidRPr="00AC5D15">
        <w:rPr>
          <w:sz w:val="26"/>
          <w:szCs w:val="26"/>
        </w:rPr>
        <w:t>PPL avers that</w:t>
      </w:r>
      <w:r w:rsidR="00701E15" w:rsidRPr="00AC5D15">
        <w:rPr>
          <w:sz w:val="26"/>
          <w:szCs w:val="26"/>
        </w:rPr>
        <w:t>,</w:t>
      </w:r>
      <w:r w:rsidRPr="00AC5D15">
        <w:rPr>
          <w:sz w:val="26"/>
          <w:szCs w:val="26"/>
        </w:rPr>
        <w:t xml:space="preserve"> i</w:t>
      </w:r>
      <w:r w:rsidR="00846233" w:rsidRPr="00AC5D15">
        <w:rPr>
          <w:sz w:val="26"/>
          <w:szCs w:val="26"/>
        </w:rPr>
        <w:t>n acceptin</w:t>
      </w:r>
      <w:r w:rsidRPr="00AC5D15">
        <w:rPr>
          <w:sz w:val="26"/>
          <w:szCs w:val="26"/>
        </w:rPr>
        <w:t>g the OSBA</w:t>
      </w:r>
      <w:r w:rsidR="00D64DAA" w:rsidRPr="00AC5D15">
        <w:rPr>
          <w:sz w:val="26"/>
          <w:szCs w:val="26"/>
        </w:rPr>
        <w:t>’</w:t>
      </w:r>
      <w:r w:rsidRPr="00AC5D15">
        <w:rPr>
          <w:sz w:val="26"/>
          <w:szCs w:val="26"/>
        </w:rPr>
        <w:t>s arguments, the ALJ</w:t>
      </w:r>
      <w:r w:rsidR="00846233" w:rsidRPr="00AC5D15">
        <w:rPr>
          <w:sz w:val="26"/>
          <w:szCs w:val="26"/>
        </w:rPr>
        <w:t xml:space="preserve"> appare</w:t>
      </w:r>
      <w:r w:rsidRPr="00AC5D15">
        <w:rPr>
          <w:sz w:val="26"/>
          <w:szCs w:val="26"/>
        </w:rPr>
        <w:t>ntly concludes that PPL</w:t>
      </w:r>
      <w:r w:rsidR="00846233" w:rsidRPr="00AC5D15">
        <w:rPr>
          <w:sz w:val="26"/>
          <w:szCs w:val="26"/>
        </w:rPr>
        <w:t xml:space="preserve"> should have either:  (1) included billed revenues for service provided under capped rates in 2009 in the reconciliation clause for</w:t>
      </w:r>
      <w:r w:rsidRPr="00AC5D15">
        <w:rPr>
          <w:sz w:val="26"/>
          <w:szCs w:val="26"/>
        </w:rPr>
        <w:t xml:space="preserve"> 2010, or (2) that PPL </w:t>
      </w:r>
      <w:r w:rsidR="00846233" w:rsidRPr="00AC5D15">
        <w:rPr>
          <w:sz w:val="26"/>
          <w:szCs w:val="26"/>
        </w:rPr>
        <w:t xml:space="preserve">should have included unbilled or </w:t>
      </w:r>
      <w:r w:rsidR="00D64DAA" w:rsidRPr="00AC5D15">
        <w:rPr>
          <w:sz w:val="26"/>
          <w:szCs w:val="26"/>
        </w:rPr>
        <w:t>“</w:t>
      </w:r>
      <w:r w:rsidR="00846233" w:rsidRPr="00AC5D15">
        <w:rPr>
          <w:sz w:val="26"/>
          <w:szCs w:val="26"/>
        </w:rPr>
        <w:t>realized revenues</w:t>
      </w:r>
      <w:r w:rsidR="00D64DAA" w:rsidRPr="00AC5D15">
        <w:rPr>
          <w:sz w:val="26"/>
          <w:szCs w:val="26"/>
        </w:rPr>
        <w:t>”</w:t>
      </w:r>
      <w:r w:rsidR="00846233" w:rsidRPr="00AC5D15">
        <w:rPr>
          <w:sz w:val="26"/>
          <w:szCs w:val="26"/>
        </w:rPr>
        <w:t xml:space="preserve"> for December 2010 in the reconciliation </w:t>
      </w:r>
      <w:r w:rsidRPr="00AC5D15">
        <w:rPr>
          <w:sz w:val="26"/>
          <w:szCs w:val="26"/>
        </w:rPr>
        <w:t>of its clause.  PPL offers that n</w:t>
      </w:r>
      <w:r w:rsidR="00846233" w:rsidRPr="00AC5D15">
        <w:rPr>
          <w:sz w:val="26"/>
          <w:szCs w:val="26"/>
        </w:rPr>
        <w:t>either of these contentions can be accepted.</w:t>
      </w:r>
      <w:r w:rsidRPr="00AC5D15">
        <w:rPr>
          <w:sz w:val="26"/>
          <w:szCs w:val="26"/>
        </w:rPr>
        <w:t xml:space="preserve">  PPL Exc. at 4.</w:t>
      </w:r>
    </w:p>
    <w:p w:rsidR="00846233" w:rsidRPr="00AC5D15" w:rsidRDefault="00846233" w:rsidP="00B05E0D">
      <w:pPr>
        <w:pStyle w:val="BodyText2"/>
        <w:spacing w:line="360" w:lineRule="auto"/>
        <w:ind w:left="720"/>
        <w:jc w:val="left"/>
        <w:rPr>
          <w:sz w:val="26"/>
          <w:szCs w:val="26"/>
        </w:rPr>
      </w:pPr>
      <w:r w:rsidRPr="00AC5D15">
        <w:rPr>
          <w:sz w:val="26"/>
          <w:szCs w:val="26"/>
        </w:rPr>
        <w:t xml:space="preserve">  </w:t>
      </w:r>
    </w:p>
    <w:p w:rsidR="00846233" w:rsidRPr="00AC5D15" w:rsidRDefault="00846233" w:rsidP="00B05E0D">
      <w:pPr>
        <w:pStyle w:val="BodyText2"/>
        <w:spacing w:line="360" w:lineRule="auto"/>
        <w:ind w:firstLine="1440"/>
        <w:jc w:val="left"/>
        <w:rPr>
          <w:sz w:val="26"/>
          <w:szCs w:val="26"/>
        </w:rPr>
      </w:pPr>
      <w:r w:rsidRPr="00AC5D15">
        <w:rPr>
          <w:sz w:val="26"/>
          <w:szCs w:val="26"/>
        </w:rPr>
        <w:lastRenderedPageBreak/>
        <w:t xml:space="preserve">First, </w:t>
      </w:r>
      <w:r w:rsidR="00457D99" w:rsidRPr="00AC5D15">
        <w:rPr>
          <w:sz w:val="26"/>
          <w:szCs w:val="26"/>
        </w:rPr>
        <w:t xml:space="preserve">PPL states that </w:t>
      </w:r>
      <w:r w:rsidRPr="00AC5D15">
        <w:rPr>
          <w:sz w:val="26"/>
          <w:szCs w:val="26"/>
        </w:rPr>
        <w:t xml:space="preserve">it is clear that </w:t>
      </w:r>
      <w:r w:rsidR="00457D99" w:rsidRPr="00AC5D15">
        <w:rPr>
          <w:sz w:val="26"/>
          <w:szCs w:val="26"/>
        </w:rPr>
        <w:t>it</w:t>
      </w:r>
      <w:r w:rsidRPr="00AC5D15">
        <w:rPr>
          <w:sz w:val="26"/>
          <w:szCs w:val="26"/>
        </w:rPr>
        <w:t xml:space="preserve"> properly excluded revenues billed in January 2010 for service provided in December 2009 from the GSC reconciliation mechanism.  </w:t>
      </w:r>
      <w:r w:rsidR="00457D99" w:rsidRPr="00AC5D15">
        <w:rPr>
          <w:sz w:val="26"/>
          <w:szCs w:val="26"/>
        </w:rPr>
        <w:t>According to PPL, t</w:t>
      </w:r>
      <w:r w:rsidRPr="00AC5D15">
        <w:rPr>
          <w:sz w:val="26"/>
          <w:szCs w:val="26"/>
        </w:rPr>
        <w:t>he end of December 2009 marked a clear demarcation between non-reconciled, capped generation rates</w:t>
      </w:r>
      <w:r w:rsidR="00457D99" w:rsidRPr="00AC5D15">
        <w:rPr>
          <w:sz w:val="26"/>
          <w:szCs w:val="26"/>
        </w:rPr>
        <w:t xml:space="preserve"> provided for under PPL</w:t>
      </w:r>
      <w:r w:rsidR="00D64DAA" w:rsidRPr="00AC5D15">
        <w:rPr>
          <w:sz w:val="26"/>
          <w:szCs w:val="26"/>
        </w:rPr>
        <w:t>’</w:t>
      </w:r>
      <w:r w:rsidRPr="00AC5D15">
        <w:rPr>
          <w:sz w:val="26"/>
          <w:szCs w:val="26"/>
        </w:rPr>
        <w:t xml:space="preserve">s restructuring settlement and fully reconciled, non-capped generation rates that were offered to default service customers after the generation rate caps expired effective January 1, 2010. </w:t>
      </w:r>
      <w:r w:rsidR="00457D99" w:rsidRPr="00AC5D15">
        <w:rPr>
          <w:sz w:val="26"/>
          <w:szCs w:val="26"/>
        </w:rPr>
        <w:t xml:space="preserve"> PPL opines that i</w:t>
      </w:r>
      <w:r w:rsidRPr="00AC5D15">
        <w:rPr>
          <w:sz w:val="26"/>
          <w:szCs w:val="26"/>
        </w:rPr>
        <w:t>t would be completely inappropriate, un</w:t>
      </w:r>
      <w:r w:rsidR="00E21931" w:rsidRPr="00AC5D15">
        <w:rPr>
          <w:sz w:val="26"/>
          <w:szCs w:val="26"/>
        </w:rPr>
        <w:t>reasonable and unlawful for it</w:t>
      </w:r>
      <w:r w:rsidRPr="00AC5D15">
        <w:rPr>
          <w:sz w:val="26"/>
          <w:szCs w:val="26"/>
        </w:rPr>
        <w:t xml:space="preserve"> to include those revenues billed for service provided under the capped rate period in the reconciliation of the Section 1307(e) clause that was designed to recover the generation supply costs incurred for service provided after </w:t>
      </w:r>
      <w:r w:rsidR="00457D99" w:rsidRPr="00AC5D15">
        <w:rPr>
          <w:sz w:val="26"/>
          <w:szCs w:val="26"/>
        </w:rPr>
        <w:t xml:space="preserve">the </w:t>
      </w:r>
      <w:r w:rsidRPr="00AC5D15">
        <w:rPr>
          <w:sz w:val="26"/>
          <w:szCs w:val="26"/>
        </w:rPr>
        <w:t xml:space="preserve">rate caps expired.  </w:t>
      </w:r>
      <w:r w:rsidR="00457D99" w:rsidRPr="00AC5D15">
        <w:rPr>
          <w:sz w:val="26"/>
          <w:szCs w:val="26"/>
        </w:rPr>
        <w:t>PPL avers that t</w:t>
      </w:r>
      <w:r w:rsidRPr="00AC5D15">
        <w:rPr>
          <w:sz w:val="26"/>
          <w:szCs w:val="26"/>
        </w:rPr>
        <w:t>his approach wo</w:t>
      </w:r>
      <w:r w:rsidR="00457D99" w:rsidRPr="00AC5D15">
        <w:rPr>
          <w:sz w:val="26"/>
          <w:szCs w:val="26"/>
        </w:rPr>
        <w:t xml:space="preserve">uld prevent it </w:t>
      </w:r>
      <w:r w:rsidRPr="00AC5D15">
        <w:rPr>
          <w:sz w:val="26"/>
          <w:szCs w:val="26"/>
        </w:rPr>
        <w:t>from recovering its generation supply costs for service provided under capped rates.</w:t>
      </w:r>
      <w:r w:rsidR="00457D99" w:rsidRPr="00AC5D15">
        <w:rPr>
          <w:sz w:val="26"/>
          <w:szCs w:val="26"/>
        </w:rPr>
        <w:t xml:space="preserve">  PPL Exc. at 5.</w:t>
      </w:r>
    </w:p>
    <w:p w:rsidR="00457D99" w:rsidRPr="00AC5D15" w:rsidRDefault="00457D99" w:rsidP="00B05E0D">
      <w:pPr>
        <w:pStyle w:val="BodyText2"/>
        <w:spacing w:line="360" w:lineRule="auto"/>
        <w:ind w:left="720" w:firstLine="1440"/>
        <w:rPr>
          <w:sz w:val="26"/>
          <w:szCs w:val="26"/>
        </w:rPr>
      </w:pPr>
    </w:p>
    <w:p w:rsidR="00846233" w:rsidRPr="00AC5D15" w:rsidRDefault="00846233" w:rsidP="00B05E0D">
      <w:pPr>
        <w:pStyle w:val="BodyText2"/>
        <w:spacing w:line="360" w:lineRule="auto"/>
        <w:ind w:firstLine="1440"/>
        <w:jc w:val="left"/>
        <w:rPr>
          <w:sz w:val="26"/>
          <w:szCs w:val="26"/>
        </w:rPr>
      </w:pPr>
      <w:r w:rsidRPr="00AC5D15">
        <w:rPr>
          <w:sz w:val="26"/>
          <w:szCs w:val="26"/>
        </w:rPr>
        <w:t xml:space="preserve">Similarly, </w:t>
      </w:r>
      <w:r w:rsidR="00587F4C" w:rsidRPr="00AC5D15">
        <w:rPr>
          <w:sz w:val="26"/>
          <w:szCs w:val="26"/>
        </w:rPr>
        <w:t xml:space="preserve">PPL claims that </w:t>
      </w:r>
      <w:r w:rsidRPr="00AC5D15">
        <w:rPr>
          <w:sz w:val="26"/>
          <w:szCs w:val="26"/>
        </w:rPr>
        <w:t xml:space="preserve">it is not appropriate to include unbilled or </w:t>
      </w:r>
      <w:r w:rsidR="00D64DAA" w:rsidRPr="00AC5D15">
        <w:rPr>
          <w:sz w:val="26"/>
          <w:szCs w:val="26"/>
        </w:rPr>
        <w:t>“</w:t>
      </w:r>
      <w:r w:rsidRPr="00AC5D15">
        <w:rPr>
          <w:sz w:val="26"/>
          <w:szCs w:val="26"/>
        </w:rPr>
        <w:t>realized revenues</w:t>
      </w:r>
      <w:r w:rsidR="00D64DAA" w:rsidRPr="00AC5D15">
        <w:rPr>
          <w:sz w:val="26"/>
          <w:szCs w:val="26"/>
        </w:rPr>
        <w:t>”</w:t>
      </w:r>
      <w:r w:rsidRPr="00AC5D15">
        <w:rPr>
          <w:sz w:val="26"/>
          <w:szCs w:val="26"/>
        </w:rPr>
        <w:t xml:space="preserve"> in the GSC.  </w:t>
      </w:r>
      <w:r w:rsidR="00587F4C" w:rsidRPr="00AC5D15">
        <w:rPr>
          <w:sz w:val="26"/>
          <w:szCs w:val="26"/>
        </w:rPr>
        <w:t>PPL avers that t</w:t>
      </w:r>
      <w:r w:rsidRPr="00AC5D15">
        <w:rPr>
          <w:sz w:val="26"/>
          <w:szCs w:val="26"/>
        </w:rPr>
        <w:t>his recommendation is inconsistent with the plain language of Section 1307(e) o</w:t>
      </w:r>
      <w:r w:rsidR="00701E15" w:rsidRPr="00AC5D15">
        <w:rPr>
          <w:sz w:val="26"/>
          <w:szCs w:val="26"/>
        </w:rPr>
        <w:t xml:space="preserve">f the </w:t>
      </w:r>
      <w:r w:rsidRPr="00AC5D15">
        <w:rPr>
          <w:sz w:val="26"/>
          <w:szCs w:val="26"/>
        </w:rPr>
        <w:t>Code.  66 Pa.</w:t>
      </w:r>
      <w:r w:rsidR="007F51D1">
        <w:rPr>
          <w:sz w:val="26"/>
          <w:szCs w:val="26"/>
        </w:rPr>
        <w:t xml:space="preserve"> </w:t>
      </w:r>
      <w:r w:rsidRPr="00AC5D15">
        <w:rPr>
          <w:sz w:val="26"/>
          <w:szCs w:val="26"/>
        </w:rPr>
        <w:t xml:space="preserve">C.S. § 1307(e).  </w:t>
      </w:r>
      <w:r w:rsidR="00587F4C" w:rsidRPr="00AC5D15">
        <w:rPr>
          <w:sz w:val="26"/>
          <w:szCs w:val="26"/>
        </w:rPr>
        <w:t>According to PPL, t</w:t>
      </w:r>
      <w:r w:rsidRPr="00AC5D15">
        <w:rPr>
          <w:sz w:val="26"/>
          <w:szCs w:val="26"/>
        </w:rPr>
        <w:t xml:space="preserve">he plain language of Section 1307(e) requires reconciliation of </w:t>
      </w:r>
      <w:r w:rsidR="00D64DAA" w:rsidRPr="00AC5D15">
        <w:rPr>
          <w:sz w:val="26"/>
          <w:szCs w:val="26"/>
        </w:rPr>
        <w:t>“</w:t>
      </w:r>
      <w:r w:rsidRPr="00AC5D15">
        <w:rPr>
          <w:sz w:val="26"/>
          <w:szCs w:val="26"/>
        </w:rPr>
        <w:t>revenues received.</w:t>
      </w:r>
      <w:r w:rsidR="00D64DAA" w:rsidRPr="00AC5D15">
        <w:rPr>
          <w:sz w:val="26"/>
          <w:szCs w:val="26"/>
        </w:rPr>
        <w:t>”</w:t>
      </w:r>
      <w:r w:rsidRPr="00AC5D15">
        <w:rPr>
          <w:sz w:val="26"/>
          <w:szCs w:val="26"/>
        </w:rPr>
        <w:t xml:space="preserve">  </w:t>
      </w:r>
      <w:r w:rsidR="00587F4C" w:rsidRPr="00AC5D15">
        <w:rPr>
          <w:sz w:val="26"/>
          <w:szCs w:val="26"/>
        </w:rPr>
        <w:t>PPL states that u</w:t>
      </w:r>
      <w:r w:rsidRPr="00AC5D15">
        <w:rPr>
          <w:sz w:val="26"/>
          <w:szCs w:val="26"/>
        </w:rPr>
        <w:t>nbilled revenues are not included in the reconciliation of a Section 1307(e) cost recovery mechanism because they are merely estimates of</w:t>
      </w:r>
      <w:r w:rsidR="00587F4C" w:rsidRPr="00AC5D15">
        <w:rPr>
          <w:sz w:val="26"/>
          <w:szCs w:val="26"/>
        </w:rPr>
        <w:t xml:space="preserve"> revenues</w:t>
      </w:r>
      <w:r w:rsidR="00701E15" w:rsidRPr="00AC5D15">
        <w:rPr>
          <w:sz w:val="26"/>
          <w:szCs w:val="26"/>
        </w:rPr>
        <w:t xml:space="preserve">.  PPL states that </w:t>
      </w:r>
      <w:r w:rsidR="00587F4C" w:rsidRPr="00AC5D15">
        <w:rPr>
          <w:sz w:val="26"/>
          <w:szCs w:val="26"/>
        </w:rPr>
        <w:t xml:space="preserve">it always </w:t>
      </w:r>
      <w:r w:rsidRPr="00AC5D15">
        <w:rPr>
          <w:sz w:val="26"/>
          <w:szCs w:val="26"/>
        </w:rPr>
        <w:t xml:space="preserve">has reconciled costs with actual billed revenues under its Section 1307(e) cost recovery mechanism.  </w:t>
      </w:r>
      <w:r w:rsidR="00587F4C" w:rsidRPr="00AC5D15">
        <w:rPr>
          <w:sz w:val="26"/>
          <w:szCs w:val="26"/>
        </w:rPr>
        <w:t>PPL Exc. at 5.</w:t>
      </w:r>
    </w:p>
    <w:p w:rsidR="00587F4C" w:rsidRPr="00AC5D15" w:rsidRDefault="00587F4C" w:rsidP="00B05E0D">
      <w:pPr>
        <w:pStyle w:val="BodyText2"/>
        <w:spacing w:line="360" w:lineRule="auto"/>
        <w:ind w:firstLine="1440"/>
        <w:jc w:val="left"/>
        <w:rPr>
          <w:sz w:val="26"/>
          <w:szCs w:val="26"/>
        </w:rPr>
      </w:pPr>
    </w:p>
    <w:p w:rsidR="00846233" w:rsidRPr="00AC5D15" w:rsidRDefault="00587F4C" w:rsidP="00B05E0D">
      <w:pPr>
        <w:pStyle w:val="BodyText2"/>
        <w:spacing w:line="360" w:lineRule="auto"/>
        <w:ind w:firstLine="1440"/>
        <w:jc w:val="left"/>
        <w:rPr>
          <w:sz w:val="26"/>
          <w:szCs w:val="26"/>
        </w:rPr>
      </w:pPr>
      <w:r w:rsidRPr="00AC5D15">
        <w:rPr>
          <w:sz w:val="26"/>
          <w:szCs w:val="26"/>
        </w:rPr>
        <w:t xml:space="preserve">PPL maintains that </w:t>
      </w:r>
      <w:r w:rsidR="00EE0FCA" w:rsidRPr="00AC5D15">
        <w:rPr>
          <w:sz w:val="26"/>
          <w:szCs w:val="26"/>
        </w:rPr>
        <w:t>its</w:t>
      </w:r>
      <w:r w:rsidR="00846233" w:rsidRPr="00AC5D15">
        <w:rPr>
          <w:sz w:val="26"/>
          <w:szCs w:val="26"/>
        </w:rPr>
        <w:t xml:space="preserve"> reconciliation methodology is consistent with the method it and other utilities have used to reconcile costs and recoveries under Section 1307(e) cost reco</w:t>
      </w:r>
      <w:r w:rsidRPr="00AC5D15">
        <w:rPr>
          <w:sz w:val="26"/>
          <w:szCs w:val="26"/>
        </w:rPr>
        <w:t>very mechanisms for more than thirty</w:t>
      </w:r>
      <w:r w:rsidR="00846233" w:rsidRPr="00AC5D15">
        <w:rPr>
          <w:sz w:val="26"/>
          <w:szCs w:val="26"/>
        </w:rPr>
        <w:t xml:space="preserve"> years.  </w:t>
      </w:r>
      <w:r w:rsidRPr="00AC5D15">
        <w:rPr>
          <w:sz w:val="26"/>
          <w:szCs w:val="26"/>
        </w:rPr>
        <w:t>PPL opines that a</w:t>
      </w:r>
      <w:r w:rsidR="00846233" w:rsidRPr="00AC5D15">
        <w:rPr>
          <w:sz w:val="26"/>
          <w:szCs w:val="26"/>
        </w:rPr>
        <w:t xml:space="preserve">ny changes to this methodology should not be made for a single utility </w:t>
      </w:r>
      <w:r w:rsidR="00701E15" w:rsidRPr="00AC5D15">
        <w:rPr>
          <w:sz w:val="26"/>
          <w:szCs w:val="26"/>
        </w:rPr>
        <w:t>and</w:t>
      </w:r>
      <w:r w:rsidR="00846233" w:rsidRPr="00AC5D15">
        <w:rPr>
          <w:sz w:val="26"/>
          <w:szCs w:val="26"/>
        </w:rPr>
        <w:t xml:space="preserve"> a single reconciliation clause.  </w:t>
      </w:r>
      <w:r w:rsidRPr="00AC5D15">
        <w:rPr>
          <w:sz w:val="26"/>
          <w:szCs w:val="26"/>
        </w:rPr>
        <w:t>According to PPL, t</w:t>
      </w:r>
      <w:r w:rsidR="00846233" w:rsidRPr="00AC5D15">
        <w:rPr>
          <w:sz w:val="26"/>
          <w:szCs w:val="26"/>
        </w:rPr>
        <w:t xml:space="preserve">he Commission must carefully consider the </w:t>
      </w:r>
      <w:r w:rsidR="00EE0FCA" w:rsidRPr="00AC5D15">
        <w:rPr>
          <w:sz w:val="26"/>
          <w:szCs w:val="26"/>
        </w:rPr>
        <w:t>effect</w:t>
      </w:r>
      <w:r w:rsidR="00846233" w:rsidRPr="00AC5D15">
        <w:rPr>
          <w:sz w:val="26"/>
          <w:szCs w:val="26"/>
        </w:rPr>
        <w:t xml:space="preserve"> of any changes to this long-standing p</w:t>
      </w:r>
      <w:r w:rsidRPr="00AC5D15">
        <w:rPr>
          <w:sz w:val="26"/>
          <w:szCs w:val="26"/>
        </w:rPr>
        <w:t>ractice on not only PPL</w:t>
      </w:r>
      <w:r w:rsidR="00846233" w:rsidRPr="00AC5D15">
        <w:rPr>
          <w:sz w:val="26"/>
          <w:szCs w:val="26"/>
        </w:rPr>
        <w:t xml:space="preserve">, but also on the other utilities that use a similar method.  Furthermore, </w:t>
      </w:r>
      <w:r w:rsidRPr="00AC5D15">
        <w:rPr>
          <w:sz w:val="26"/>
          <w:szCs w:val="26"/>
        </w:rPr>
        <w:t>PPL states that</w:t>
      </w:r>
      <w:r w:rsidR="00701E15" w:rsidRPr="00AC5D15">
        <w:rPr>
          <w:sz w:val="26"/>
          <w:szCs w:val="26"/>
        </w:rPr>
        <w:t>,</w:t>
      </w:r>
      <w:r w:rsidRPr="00AC5D15">
        <w:rPr>
          <w:sz w:val="26"/>
          <w:szCs w:val="26"/>
        </w:rPr>
        <w:t xml:space="preserve"> </w:t>
      </w:r>
      <w:r w:rsidR="00846233" w:rsidRPr="00AC5D15">
        <w:rPr>
          <w:sz w:val="26"/>
          <w:szCs w:val="26"/>
        </w:rPr>
        <w:t xml:space="preserve">to the extent the </w:t>
      </w:r>
      <w:r w:rsidR="00846233" w:rsidRPr="00AC5D15">
        <w:rPr>
          <w:sz w:val="26"/>
          <w:szCs w:val="26"/>
        </w:rPr>
        <w:lastRenderedPageBreak/>
        <w:t>Commission believes that it is appropriate to depart from o</w:t>
      </w:r>
      <w:r w:rsidRPr="00AC5D15">
        <w:rPr>
          <w:sz w:val="26"/>
          <w:szCs w:val="26"/>
        </w:rPr>
        <w:t>ver thirty</w:t>
      </w:r>
      <w:r w:rsidR="00846233" w:rsidRPr="00AC5D15">
        <w:rPr>
          <w:sz w:val="26"/>
          <w:szCs w:val="26"/>
        </w:rPr>
        <w:t xml:space="preserve"> years of Commission practice and policy, any such unprecedented change to the reconciliation method should only be made on a prospective basis.  </w:t>
      </w:r>
      <w:r w:rsidRPr="00AC5D15">
        <w:rPr>
          <w:sz w:val="26"/>
          <w:szCs w:val="26"/>
        </w:rPr>
        <w:t>PPL opines that i</w:t>
      </w:r>
      <w:r w:rsidR="00846233" w:rsidRPr="00AC5D15">
        <w:rPr>
          <w:sz w:val="26"/>
          <w:szCs w:val="26"/>
        </w:rPr>
        <w:t>t</w:t>
      </w:r>
      <w:r w:rsidRPr="00AC5D15">
        <w:rPr>
          <w:sz w:val="26"/>
          <w:szCs w:val="26"/>
        </w:rPr>
        <w:t xml:space="preserve"> is unreasonable to itself</w:t>
      </w:r>
      <w:r w:rsidR="00846233" w:rsidRPr="00AC5D15">
        <w:rPr>
          <w:sz w:val="26"/>
          <w:szCs w:val="26"/>
        </w:rPr>
        <w:t xml:space="preserve"> and to other utilities to impose such significant changes on a retroactive basis.</w:t>
      </w:r>
      <w:r w:rsidRPr="00AC5D15">
        <w:rPr>
          <w:sz w:val="26"/>
          <w:szCs w:val="26"/>
        </w:rPr>
        <w:t xml:space="preserve">  PPL Exc. at </w:t>
      </w:r>
      <w:r w:rsidR="00811DA4" w:rsidRPr="00AC5D15">
        <w:rPr>
          <w:sz w:val="26"/>
          <w:szCs w:val="26"/>
        </w:rPr>
        <w:t>5-6.</w:t>
      </w:r>
    </w:p>
    <w:p w:rsidR="005C13D2" w:rsidRPr="00AC5D15" w:rsidRDefault="005C13D2" w:rsidP="00B05E0D">
      <w:pPr>
        <w:pStyle w:val="BodyText2"/>
        <w:spacing w:line="360" w:lineRule="auto"/>
        <w:rPr>
          <w:sz w:val="26"/>
          <w:szCs w:val="26"/>
        </w:rPr>
      </w:pPr>
    </w:p>
    <w:p w:rsidR="00846233" w:rsidRPr="00AC5D15" w:rsidRDefault="005C13D2" w:rsidP="00B05E0D">
      <w:pPr>
        <w:pStyle w:val="BodyText2"/>
        <w:spacing w:line="360" w:lineRule="auto"/>
        <w:ind w:firstLine="1440"/>
        <w:jc w:val="left"/>
        <w:rPr>
          <w:sz w:val="26"/>
          <w:szCs w:val="26"/>
        </w:rPr>
      </w:pPr>
      <w:r w:rsidRPr="00AC5D15">
        <w:rPr>
          <w:sz w:val="26"/>
          <w:szCs w:val="26"/>
        </w:rPr>
        <w:t>Next, PPL points out that the ALJ</w:t>
      </w:r>
      <w:r w:rsidR="00D64DAA" w:rsidRPr="00AC5D15">
        <w:rPr>
          <w:sz w:val="26"/>
          <w:szCs w:val="26"/>
        </w:rPr>
        <w:t>’</w:t>
      </w:r>
      <w:r w:rsidR="00846233" w:rsidRPr="00AC5D15">
        <w:rPr>
          <w:sz w:val="26"/>
          <w:szCs w:val="26"/>
        </w:rPr>
        <w:t>s fundamenta</w:t>
      </w:r>
      <w:r w:rsidR="00701E15" w:rsidRPr="00AC5D15">
        <w:rPr>
          <w:sz w:val="26"/>
          <w:szCs w:val="26"/>
        </w:rPr>
        <w:t>l concern appears to be that it</w:t>
      </w:r>
      <w:r w:rsidRPr="00AC5D15">
        <w:rPr>
          <w:sz w:val="26"/>
          <w:szCs w:val="26"/>
        </w:rPr>
        <w:t>s</w:t>
      </w:r>
      <w:r w:rsidR="00846233" w:rsidRPr="00AC5D15">
        <w:rPr>
          <w:sz w:val="26"/>
          <w:szCs w:val="26"/>
        </w:rPr>
        <w:t xml:space="preserve"> methodology creates a first year mismatch between revenues and expense for reconciliation purposes, i.e., the first year reconciliation reflects 12 months of expense, but only 11 and one-half months of revenue.  </w:t>
      </w:r>
      <w:r w:rsidRPr="00AC5D15">
        <w:rPr>
          <w:sz w:val="26"/>
          <w:szCs w:val="26"/>
        </w:rPr>
        <w:t xml:space="preserve">While PPL </w:t>
      </w:r>
      <w:r w:rsidR="00846233" w:rsidRPr="00AC5D15">
        <w:rPr>
          <w:sz w:val="26"/>
          <w:szCs w:val="26"/>
        </w:rPr>
        <w:t xml:space="preserve">acknowledges this </w:t>
      </w:r>
      <w:r w:rsidR="00D64DAA" w:rsidRPr="00AC5D15">
        <w:rPr>
          <w:sz w:val="26"/>
          <w:szCs w:val="26"/>
        </w:rPr>
        <w:t>“</w:t>
      </w:r>
      <w:r w:rsidRPr="00AC5D15">
        <w:rPr>
          <w:sz w:val="26"/>
          <w:szCs w:val="26"/>
        </w:rPr>
        <w:t>mismatch,</w:t>
      </w:r>
      <w:r w:rsidR="00D64DAA" w:rsidRPr="00AC5D15">
        <w:rPr>
          <w:sz w:val="26"/>
          <w:szCs w:val="26"/>
        </w:rPr>
        <w:t>”</w:t>
      </w:r>
      <w:r w:rsidRPr="00AC5D15">
        <w:rPr>
          <w:sz w:val="26"/>
          <w:szCs w:val="26"/>
        </w:rPr>
        <w:t xml:space="preserve"> </w:t>
      </w:r>
      <w:r w:rsidR="00D64DAA" w:rsidRPr="00AC5D15">
        <w:rPr>
          <w:sz w:val="26"/>
          <w:szCs w:val="26"/>
        </w:rPr>
        <w:t>PPL</w:t>
      </w:r>
      <w:r w:rsidR="00701E15" w:rsidRPr="00AC5D15">
        <w:rPr>
          <w:sz w:val="26"/>
          <w:szCs w:val="26"/>
        </w:rPr>
        <w:t xml:space="preserve"> submits</w:t>
      </w:r>
      <w:r w:rsidRPr="00AC5D15">
        <w:rPr>
          <w:sz w:val="26"/>
          <w:szCs w:val="26"/>
        </w:rPr>
        <w:t xml:space="preserve"> that </w:t>
      </w:r>
      <w:r w:rsidR="00846233" w:rsidRPr="00AC5D15">
        <w:rPr>
          <w:sz w:val="26"/>
          <w:szCs w:val="26"/>
        </w:rPr>
        <w:t>it has a valid and lawful purpos</w:t>
      </w:r>
      <w:r w:rsidRPr="00AC5D15">
        <w:rPr>
          <w:sz w:val="26"/>
          <w:szCs w:val="26"/>
        </w:rPr>
        <w:t xml:space="preserve">e, </w:t>
      </w:r>
      <w:r w:rsidR="00EE0FCA" w:rsidRPr="00AC5D15">
        <w:rPr>
          <w:sz w:val="26"/>
          <w:szCs w:val="26"/>
        </w:rPr>
        <w:t>i.e.</w:t>
      </w:r>
      <w:r w:rsidRPr="00AC5D15">
        <w:rPr>
          <w:sz w:val="26"/>
          <w:szCs w:val="26"/>
        </w:rPr>
        <w:t>, it provides PPL</w:t>
      </w:r>
      <w:r w:rsidR="00846233" w:rsidRPr="00AC5D15">
        <w:rPr>
          <w:sz w:val="26"/>
          <w:szCs w:val="26"/>
        </w:rPr>
        <w:t xml:space="preserve"> with </w:t>
      </w:r>
      <w:r w:rsidR="008E3BC8" w:rsidRPr="00AC5D15">
        <w:rPr>
          <w:sz w:val="26"/>
          <w:szCs w:val="26"/>
        </w:rPr>
        <w:t>a lawful cash working capital (</w:t>
      </w:r>
      <w:r w:rsidR="00846233" w:rsidRPr="00AC5D15">
        <w:rPr>
          <w:sz w:val="26"/>
          <w:szCs w:val="26"/>
        </w:rPr>
        <w:t xml:space="preserve">CWC) allowance for its default service costs.  </w:t>
      </w:r>
      <w:r w:rsidRPr="00AC5D15">
        <w:rPr>
          <w:sz w:val="26"/>
          <w:szCs w:val="26"/>
        </w:rPr>
        <w:t>According to PPL, i</w:t>
      </w:r>
      <w:r w:rsidR="00846233" w:rsidRPr="00AC5D15">
        <w:rPr>
          <w:sz w:val="26"/>
          <w:szCs w:val="26"/>
        </w:rPr>
        <w:t>t is well-established that CWC is a necessary and appropriate part of a utility</w:t>
      </w:r>
      <w:r w:rsidR="00D64DAA" w:rsidRPr="00AC5D15">
        <w:rPr>
          <w:sz w:val="26"/>
          <w:szCs w:val="26"/>
        </w:rPr>
        <w:t>’</w:t>
      </w:r>
      <w:r w:rsidR="00846233" w:rsidRPr="00AC5D15">
        <w:rPr>
          <w:sz w:val="26"/>
          <w:szCs w:val="26"/>
        </w:rPr>
        <w:t xml:space="preserve">s revenue requirement.  </w:t>
      </w:r>
      <w:r w:rsidR="006B6F7F" w:rsidRPr="00AC5D15">
        <w:rPr>
          <w:sz w:val="26"/>
          <w:szCs w:val="26"/>
        </w:rPr>
        <w:t xml:space="preserve">PPL notes that it </w:t>
      </w:r>
      <w:r w:rsidR="00846233" w:rsidRPr="00AC5D15">
        <w:rPr>
          <w:sz w:val="26"/>
          <w:szCs w:val="26"/>
        </w:rPr>
        <w:t>and other E</w:t>
      </w:r>
      <w:r w:rsidR="00004844" w:rsidRPr="00AC5D15">
        <w:rPr>
          <w:sz w:val="26"/>
          <w:szCs w:val="26"/>
        </w:rPr>
        <w:t xml:space="preserve">lectric </w:t>
      </w:r>
      <w:r w:rsidR="00846233" w:rsidRPr="00AC5D15">
        <w:rPr>
          <w:sz w:val="26"/>
          <w:szCs w:val="26"/>
        </w:rPr>
        <w:t>D</w:t>
      </w:r>
      <w:r w:rsidR="00004844" w:rsidRPr="00AC5D15">
        <w:rPr>
          <w:sz w:val="26"/>
          <w:szCs w:val="26"/>
        </w:rPr>
        <w:t xml:space="preserve">istribution </w:t>
      </w:r>
      <w:r w:rsidR="00846233" w:rsidRPr="00AC5D15">
        <w:rPr>
          <w:sz w:val="26"/>
          <w:szCs w:val="26"/>
        </w:rPr>
        <w:t>C</w:t>
      </w:r>
      <w:r w:rsidR="00004844" w:rsidRPr="00AC5D15">
        <w:rPr>
          <w:sz w:val="26"/>
          <w:szCs w:val="26"/>
        </w:rPr>
        <w:t>ompanies</w:t>
      </w:r>
      <w:r w:rsidR="00846233" w:rsidRPr="00AC5D15">
        <w:rPr>
          <w:sz w:val="26"/>
          <w:szCs w:val="26"/>
        </w:rPr>
        <w:t xml:space="preserve"> </w:t>
      </w:r>
      <w:r w:rsidR="00004844" w:rsidRPr="00AC5D15">
        <w:rPr>
          <w:sz w:val="26"/>
          <w:szCs w:val="26"/>
        </w:rPr>
        <w:t xml:space="preserve">(EDCs) </w:t>
      </w:r>
      <w:r w:rsidR="00846233" w:rsidRPr="00AC5D15">
        <w:rPr>
          <w:sz w:val="26"/>
          <w:szCs w:val="26"/>
        </w:rPr>
        <w:t xml:space="preserve">have long recovered a CWC allowance on their energy costs through their energy cost reconciliation mechanisms.  Prior to deregulation this was done through the Energy Cost Rate reconciliation; after deregulation it is done through the GSC reconciliation.  </w:t>
      </w:r>
      <w:r w:rsidR="006B6F7F" w:rsidRPr="00AC5D15">
        <w:rPr>
          <w:sz w:val="26"/>
          <w:szCs w:val="26"/>
        </w:rPr>
        <w:t>PPL states it is important to note that it</w:t>
      </w:r>
      <w:r w:rsidR="00846233" w:rsidRPr="00AC5D15">
        <w:rPr>
          <w:sz w:val="26"/>
          <w:szCs w:val="26"/>
        </w:rPr>
        <w:t xml:space="preserve"> has never claimed a CWC allowance on this investment in base rat</w:t>
      </w:r>
      <w:r w:rsidR="006B6F7F" w:rsidRPr="00AC5D15">
        <w:rPr>
          <w:sz w:val="26"/>
          <w:szCs w:val="26"/>
        </w:rPr>
        <w:t xml:space="preserve">es; rather, </w:t>
      </w:r>
      <w:r w:rsidR="00846233" w:rsidRPr="00AC5D15">
        <w:rPr>
          <w:sz w:val="26"/>
          <w:szCs w:val="26"/>
        </w:rPr>
        <w:t xml:space="preserve">it has recovered this CWC allowance through the Section 1307(e) reconciliation method.  </w:t>
      </w:r>
      <w:r w:rsidR="006B6F7F" w:rsidRPr="00AC5D15">
        <w:rPr>
          <w:sz w:val="26"/>
          <w:szCs w:val="26"/>
        </w:rPr>
        <w:t>PPL maintains that t</w:t>
      </w:r>
      <w:r w:rsidR="00846233" w:rsidRPr="00AC5D15">
        <w:rPr>
          <w:sz w:val="26"/>
          <w:szCs w:val="26"/>
        </w:rPr>
        <w:t xml:space="preserve">he </w:t>
      </w:r>
      <w:r w:rsidR="006B6F7F" w:rsidRPr="00AC5D15">
        <w:rPr>
          <w:sz w:val="26"/>
          <w:szCs w:val="26"/>
        </w:rPr>
        <w:t>ALJ</w:t>
      </w:r>
      <w:r w:rsidR="00846233" w:rsidRPr="00AC5D15">
        <w:rPr>
          <w:sz w:val="26"/>
          <w:szCs w:val="26"/>
        </w:rPr>
        <w:t xml:space="preserve"> ack</w:t>
      </w:r>
      <w:r w:rsidR="006B6F7F" w:rsidRPr="00AC5D15">
        <w:rPr>
          <w:sz w:val="26"/>
          <w:szCs w:val="26"/>
        </w:rPr>
        <w:t>nowledges that PPL</w:t>
      </w:r>
      <w:r w:rsidR="00846233" w:rsidRPr="00AC5D15">
        <w:rPr>
          <w:sz w:val="26"/>
          <w:szCs w:val="26"/>
        </w:rPr>
        <w:t xml:space="preserve"> is entitled to a cash working capital allowance on its default service co</w:t>
      </w:r>
      <w:r w:rsidR="006B6F7F" w:rsidRPr="00AC5D15">
        <w:rPr>
          <w:sz w:val="26"/>
          <w:szCs w:val="26"/>
        </w:rPr>
        <w:t>sts, but criticizes it</w:t>
      </w:r>
      <w:r w:rsidR="00846233" w:rsidRPr="00AC5D15">
        <w:rPr>
          <w:sz w:val="26"/>
          <w:szCs w:val="26"/>
        </w:rPr>
        <w:t xml:space="preserve"> for not claiming this cost in its base rates or in a default service proceeding.  </w:t>
      </w:r>
      <w:r w:rsidR="006B6F7F" w:rsidRPr="00AC5D15">
        <w:rPr>
          <w:sz w:val="26"/>
          <w:szCs w:val="26"/>
        </w:rPr>
        <w:t xml:space="preserve">PPL opines that </w:t>
      </w:r>
      <w:r w:rsidR="00EE0FCA" w:rsidRPr="00AC5D15">
        <w:rPr>
          <w:sz w:val="26"/>
          <w:szCs w:val="26"/>
        </w:rPr>
        <w:t>this is</w:t>
      </w:r>
      <w:r w:rsidR="00846233" w:rsidRPr="00AC5D15">
        <w:rPr>
          <w:sz w:val="26"/>
          <w:szCs w:val="26"/>
        </w:rPr>
        <w:t xml:space="preserve"> an unfair and inappropriate crit</w:t>
      </w:r>
      <w:r w:rsidR="006B6F7F" w:rsidRPr="00AC5D15">
        <w:rPr>
          <w:sz w:val="26"/>
          <w:szCs w:val="26"/>
        </w:rPr>
        <w:t xml:space="preserve">icism </w:t>
      </w:r>
      <w:r w:rsidR="00701E15" w:rsidRPr="00AC5D15">
        <w:rPr>
          <w:sz w:val="26"/>
          <w:szCs w:val="26"/>
        </w:rPr>
        <w:t>because,</w:t>
      </w:r>
      <w:r w:rsidR="006B6F7F" w:rsidRPr="00AC5D15">
        <w:rPr>
          <w:sz w:val="26"/>
          <w:szCs w:val="26"/>
        </w:rPr>
        <w:t xml:space="preserve"> </w:t>
      </w:r>
      <w:r w:rsidR="00846233" w:rsidRPr="00AC5D15">
        <w:rPr>
          <w:sz w:val="26"/>
          <w:szCs w:val="26"/>
        </w:rPr>
        <w:t xml:space="preserve">over the past thirty years, </w:t>
      </w:r>
      <w:r w:rsidR="006B6F7F" w:rsidRPr="00AC5D15">
        <w:rPr>
          <w:sz w:val="26"/>
          <w:szCs w:val="26"/>
        </w:rPr>
        <w:t xml:space="preserve">it </w:t>
      </w:r>
      <w:r w:rsidR="00846233" w:rsidRPr="00AC5D15">
        <w:rPr>
          <w:sz w:val="26"/>
          <w:szCs w:val="26"/>
        </w:rPr>
        <w:t xml:space="preserve">has effectively recovered a cash working allowance on its energy costs through the Section 1307(e) reconciliation process.  </w:t>
      </w:r>
      <w:r w:rsidR="006B6F7F" w:rsidRPr="00AC5D15">
        <w:rPr>
          <w:sz w:val="26"/>
          <w:szCs w:val="26"/>
        </w:rPr>
        <w:t>According to PPL, r</w:t>
      </w:r>
      <w:r w:rsidR="00846233" w:rsidRPr="00AC5D15">
        <w:rPr>
          <w:sz w:val="26"/>
          <w:szCs w:val="26"/>
        </w:rPr>
        <w:t>ecovery in a base rate case or in</w:t>
      </w:r>
      <w:r w:rsidR="00701E15" w:rsidRPr="00AC5D15">
        <w:rPr>
          <w:sz w:val="26"/>
          <w:szCs w:val="26"/>
        </w:rPr>
        <w:t xml:space="preserve"> a default service proceeding i</w:t>
      </w:r>
      <w:r w:rsidR="00846233" w:rsidRPr="00AC5D15">
        <w:rPr>
          <w:sz w:val="26"/>
          <w:szCs w:val="26"/>
        </w:rPr>
        <w:t>s unnecessary and indeed, would have constituted a double recovery of costs, and would not have been accepted by the Commission.</w:t>
      </w:r>
      <w:r w:rsidR="006B6F7F" w:rsidRPr="00AC5D15">
        <w:rPr>
          <w:sz w:val="26"/>
          <w:szCs w:val="26"/>
        </w:rPr>
        <w:t xml:space="preserve">  PPL Exc. at</w:t>
      </w:r>
      <w:r w:rsidR="00401135" w:rsidRPr="00AC5D15">
        <w:rPr>
          <w:sz w:val="26"/>
          <w:szCs w:val="26"/>
        </w:rPr>
        <w:t> </w:t>
      </w:r>
      <w:r w:rsidR="006B6F7F" w:rsidRPr="00AC5D15">
        <w:rPr>
          <w:sz w:val="26"/>
          <w:szCs w:val="26"/>
        </w:rPr>
        <w:t>6</w:t>
      </w:r>
      <w:r w:rsidR="00401135" w:rsidRPr="00AC5D15">
        <w:rPr>
          <w:sz w:val="26"/>
          <w:szCs w:val="26"/>
        </w:rPr>
        <w:noBreakHyphen/>
      </w:r>
      <w:r w:rsidR="006B6F7F" w:rsidRPr="00AC5D15">
        <w:rPr>
          <w:sz w:val="26"/>
          <w:szCs w:val="26"/>
        </w:rPr>
        <w:t>7.</w:t>
      </w:r>
      <w:r w:rsidR="00846233" w:rsidRPr="00AC5D15">
        <w:rPr>
          <w:sz w:val="26"/>
          <w:szCs w:val="26"/>
        </w:rPr>
        <w:t xml:space="preserve">  </w:t>
      </w:r>
    </w:p>
    <w:p w:rsidR="009E19D3" w:rsidRPr="00AC5D15" w:rsidRDefault="009E19D3" w:rsidP="00B05E0D">
      <w:pPr>
        <w:pStyle w:val="BodyText2"/>
        <w:spacing w:line="360" w:lineRule="auto"/>
        <w:ind w:firstLine="1440"/>
        <w:jc w:val="left"/>
        <w:rPr>
          <w:sz w:val="26"/>
          <w:szCs w:val="26"/>
        </w:rPr>
      </w:pPr>
    </w:p>
    <w:p w:rsidR="00846233" w:rsidRPr="00AC5D15" w:rsidRDefault="003A266D" w:rsidP="00B05E0D">
      <w:pPr>
        <w:pStyle w:val="BodyText2"/>
        <w:spacing w:line="360" w:lineRule="auto"/>
        <w:ind w:firstLine="1440"/>
        <w:jc w:val="left"/>
        <w:rPr>
          <w:sz w:val="26"/>
          <w:szCs w:val="26"/>
        </w:rPr>
      </w:pPr>
      <w:r w:rsidRPr="00AC5D15">
        <w:rPr>
          <w:sz w:val="26"/>
          <w:szCs w:val="26"/>
        </w:rPr>
        <w:lastRenderedPageBreak/>
        <w:t xml:space="preserve">Furthermore, PPL offers </w:t>
      </w:r>
      <w:r w:rsidR="009E19D3" w:rsidRPr="00AC5D15">
        <w:rPr>
          <w:sz w:val="26"/>
          <w:szCs w:val="26"/>
        </w:rPr>
        <w:t xml:space="preserve">that </w:t>
      </w:r>
      <w:r w:rsidRPr="00AC5D15">
        <w:rPr>
          <w:sz w:val="26"/>
          <w:szCs w:val="26"/>
        </w:rPr>
        <w:t>t</w:t>
      </w:r>
      <w:r w:rsidR="00846233" w:rsidRPr="00AC5D15">
        <w:rPr>
          <w:sz w:val="26"/>
          <w:szCs w:val="26"/>
        </w:rPr>
        <w:t xml:space="preserve">he </w:t>
      </w:r>
      <w:r w:rsidRPr="00AC5D15">
        <w:rPr>
          <w:sz w:val="26"/>
          <w:szCs w:val="26"/>
        </w:rPr>
        <w:t>ALJ</w:t>
      </w:r>
      <w:r w:rsidR="00846233" w:rsidRPr="00AC5D15">
        <w:rPr>
          <w:sz w:val="26"/>
          <w:szCs w:val="26"/>
        </w:rPr>
        <w:t xml:space="preserve"> compounds this error by apparently finding that the GSC is no</w:t>
      </w:r>
      <w:r w:rsidR="00294D2B" w:rsidRPr="00AC5D15">
        <w:rPr>
          <w:sz w:val="26"/>
          <w:szCs w:val="26"/>
        </w:rPr>
        <w:t>t a Commission-made rate and</w:t>
      </w:r>
      <w:r w:rsidR="00401135" w:rsidRPr="00AC5D15">
        <w:rPr>
          <w:sz w:val="26"/>
          <w:szCs w:val="26"/>
        </w:rPr>
        <w:t xml:space="preserve">, </w:t>
      </w:r>
      <w:r w:rsidR="00846233" w:rsidRPr="00AC5D15">
        <w:rPr>
          <w:sz w:val="26"/>
          <w:szCs w:val="26"/>
        </w:rPr>
        <w:t>therefore</w:t>
      </w:r>
      <w:r w:rsidR="00401135" w:rsidRPr="00AC5D15">
        <w:rPr>
          <w:sz w:val="26"/>
          <w:szCs w:val="26"/>
        </w:rPr>
        <w:t>,</w:t>
      </w:r>
      <w:r w:rsidR="00846233" w:rsidRPr="00AC5D15">
        <w:rPr>
          <w:sz w:val="26"/>
          <w:szCs w:val="26"/>
        </w:rPr>
        <w:t xml:space="preserve"> </w:t>
      </w:r>
      <w:r w:rsidR="00294D2B" w:rsidRPr="00AC5D15">
        <w:rPr>
          <w:sz w:val="26"/>
          <w:szCs w:val="26"/>
        </w:rPr>
        <w:t xml:space="preserve">is </w:t>
      </w:r>
      <w:r w:rsidR="00846233" w:rsidRPr="00AC5D15">
        <w:rPr>
          <w:sz w:val="26"/>
          <w:szCs w:val="26"/>
        </w:rPr>
        <w:t>potentially subject to refund.</w:t>
      </w:r>
      <w:r w:rsidR="00846233" w:rsidRPr="00AC5D15">
        <w:rPr>
          <w:rStyle w:val="FootnoteReference"/>
          <w:sz w:val="26"/>
          <w:szCs w:val="26"/>
        </w:rPr>
        <w:footnoteReference w:id="3"/>
      </w:r>
      <w:r w:rsidR="00846233" w:rsidRPr="00AC5D15">
        <w:rPr>
          <w:sz w:val="26"/>
          <w:szCs w:val="26"/>
        </w:rPr>
        <w:t xml:space="preserve">  </w:t>
      </w:r>
      <w:r w:rsidRPr="00AC5D15">
        <w:rPr>
          <w:sz w:val="26"/>
          <w:szCs w:val="26"/>
        </w:rPr>
        <w:t>PPL opines that t</w:t>
      </w:r>
      <w:r w:rsidR="00846233" w:rsidRPr="00AC5D15">
        <w:rPr>
          <w:sz w:val="26"/>
          <w:szCs w:val="26"/>
        </w:rPr>
        <w:t>his appears to set up t</w:t>
      </w:r>
      <w:r w:rsidRPr="00AC5D15">
        <w:rPr>
          <w:sz w:val="26"/>
          <w:szCs w:val="26"/>
        </w:rPr>
        <w:t>he possibility that it</w:t>
      </w:r>
      <w:r w:rsidR="00846233" w:rsidRPr="00AC5D15">
        <w:rPr>
          <w:sz w:val="26"/>
          <w:szCs w:val="26"/>
        </w:rPr>
        <w:t xml:space="preserve"> will be denied a CWC allowance on its default service costs back to January 1, 2010, but will not be able to go back to replace this disallowance with base rate or default service recovery.  </w:t>
      </w:r>
      <w:r w:rsidRPr="00AC5D15">
        <w:rPr>
          <w:sz w:val="26"/>
          <w:szCs w:val="26"/>
        </w:rPr>
        <w:t>According to PPL, t</w:t>
      </w:r>
      <w:r w:rsidR="00846233" w:rsidRPr="00AC5D15">
        <w:rPr>
          <w:sz w:val="26"/>
          <w:szCs w:val="26"/>
        </w:rPr>
        <w:t>his would result in an unlawful and inappropriate denial of reasonab</w:t>
      </w:r>
      <w:r w:rsidRPr="00AC5D15">
        <w:rPr>
          <w:sz w:val="26"/>
          <w:szCs w:val="26"/>
        </w:rPr>
        <w:t xml:space="preserve">le and prudent costs.  PPL maintains that </w:t>
      </w:r>
      <w:r w:rsidR="00846233" w:rsidRPr="00AC5D15">
        <w:rPr>
          <w:sz w:val="26"/>
          <w:szCs w:val="26"/>
        </w:rPr>
        <w:t>if the reconciliation method is changed it should only be done prospectively.</w:t>
      </w:r>
      <w:r w:rsidRPr="00AC5D15">
        <w:rPr>
          <w:sz w:val="26"/>
          <w:szCs w:val="26"/>
        </w:rPr>
        <w:t xml:space="preserve">  PPL Exc. at 7.</w:t>
      </w:r>
    </w:p>
    <w:p w:rsidR="005C13D2" w:rsidRPr="00AC5D15" w:rsidRDefault="005C13D2" w:rsidP="00B05E0D">
      <w:pPr>
        <w:pStyle w:val="BodyText2"/>
        <w:spacing w:line="360" w:lineRule="auto"/>
        <w:ind w:firstLine="0"/>
        <w:jc w:val="left"/>
        <w:rPr>
          <w:sz w:val="26"/>
          <w:szCs w:val="26"/>
        </w:rPr>
      </w:pPr>
    </w:p>
    <w:p w:rsidR="00846233" w:rsidRPr="00AC5D15" w:rsidRDefault="00846233" w:rsidP="00B05E0D">
      <w:pPr>
        <w:pStyle w:val="BodyText2"/>
        <w:spacing w:line="360" w:lineRule="auto"/>
        <w:ind w:firstLine="1440"/>
        <w:jc w:val="left"/>
        <w:rPr>
          <w:sz w:val="26"/>
          <w:szCs w:val="26"/>
        </w:rPr>
      </w:pPr>
      <w:r w:rsidRPr="00AC5D15">
        <w:rPr>
          <w:sz w:val="26"/>
          <w:szCs w:val="26"/>
        </w:rPr>
        <w:t xml:space="preserve">Moreover, </w:t>
      </w:r>
      <w:r w:rsidR="003A266D" w:rsidRPr="00AC5D15">
        <w:rPr>
          <w:sz w:val="26"/>
          <w:szCs w:val="26"/>
        </w:rPr>
        <w:t xml:space="preserve">PPL states that </w:t>
      </w:r>
      <w:r w:rsidRPr="00AC5D15">
        <w:rPr>
          <w:sz w:val="26"/>
          <w:szCs w:val="26"/>
        </w:rPr>
        <w:t xml:space="preserve">the </w:t>
      </w:r>
      <w:r w:rsidR="00EE0FCA" w:rsidRPr="00AC5D15">
        <w:rPr>
          <w:sz w:val="26"/>
          <w:szCs w:val="26"/>
        </w:rPr>
        <w:t>cause of the significant rate increases</w:t>
      </w:r>
      <w:r w:rsidRPr="00AC5D15">
        <w:rPr>
          <w:sz w:val="26"/>
          <w:szCs w:val="26"/>
        </w:rPr>
        <w:t xml:space="preserve"> for the Small C&amp;I customers </w:t>
      </w:r>
      <w:r w:rsidR="003A266D" w:rsidRPr="00AC5D15">
        <w:rPr>
          <w:sz w:val="26"/>
          <w:szCs w:val="26"/>
        </w:rPr>
        <w:t xml:space="preserve">was not </w:t>
      </w:r>
      <w:r w:rsidR="00EE0FCA" w:rsidRPr="00AC5D15">
        <w:rPr>
          <w:sz w:val="26"/>
          <w:szCs w:val="26"/>
        </w:rPr>
        <w:t>its</w:t>
      </w:r>
      <w:r w:rsidR="00294D2B" w:rsidRPr="00AC5D15">
        <w:rPr>
          <w:sz w:val="26"/>
          <w:szCs w:val="26"/>
        </w:rPr>
        <w:t xml:space="preserve"> reconciliation methodology but, rather, </w:t>
      </w:r>
      <w:r w:rsidR="003A266D" w:rsidRPr="00AC5D15">
        <w:rPr>
          <w:sz w:val="26"/>
          <w:szCs w:val="26"/>
        </w:rPr>
        <w:t xml:space="preserve">the fact that PPL </w:t>
      </w:r>
      <w:r w:rsidRPr="00AC5D15">
        <w:rPr>
          <w:sz w:val="26"/>
          <w:szCs w:val="26"/>
        </w:rPr>
        <w:t>was required to reconcile the over and under collections on a quarterly basis as opposed t</w:t>
      </w:r>
      <w:r w:rsidR="003A266D" w:rsidRPr="00AC5D15">
        <w:rPr>
          <w:sz w:val="26"/>
          <w:szCs w:val="26"/>
        </w:rPr>
        <w:t>o an annual basis.  PPL notes it</w:t>
      </w:r>
      <w:r w:rsidRPr="00AC5D15">
        <w:rPr>
          <w:sz w:val="26"/>
          <w:szCs w:val="26"/>
        </w:rPr>
        <w:t xml:space="preserve"> has proposed annual reconciliation of over/under collectio</w:t>
      </w:r>
      <w:r w:rsidR="003A266D" w:rsidRPr="00AC5D15">
        <w:rPr>
          <w:sz w:val="26"/>
          <w:szCs w:val="26"/>
        </w:rPr>
        <w:t xml:space="preserve">ns in its </w:t>
      </w:r>
      <w:r w:rsidR="003A266D" w:rsidRPr="00AC5D15">
        <w:rPr>
          <w:i/>
          <w:sz w:val="26"/>
          <w:szCs w:val="26"/>
        </w:rPr>
        <w:t>Reconciliation Rider</w:t>
      </w:r>
      <w:r w:rsidR="00294D2B" w:rsidRPr="00AC5D15">
        <w:rPr>
          <w:i/>
          <w:sz w:val="26"/>
          <w:szCs w:val="26"/>
        </w:rPr>
        <w:t xml:space="preserve"> P</w:t>
      </w:r>
      <w:r w:rsidRPr="00AC5D15">
        <w:rPr>
          <w:i/>
          <w:sz w:val="26"/>
          <w:szCs w:val="26"/>
        </w:rPr>
        <w:t>roceeding</w:t>
      </w:r>
      <w:r w:rsidR="00294D2B" w:rsidRPr="00AC5D15">
        <w:rPr>
          <w:i/>
          <w:sz w:val="26"/>
          <w:szCs w:val="26"/>
        </w:rPr>
        <w:t xml:space="preserve"> </w:t>
      </w:r>
      <w:r w:rsidR="00294D2B" w:rsidRPr="00AC5D15">
        <w:rPr>
          <w:sz w:val="26"/>
          <w:szCs w:val="26"/>
        </w:rPr>
        <w:t>at Docket No. P</w:t>
      </w:r>
      <w:r w:rsidR="00D213EA" w:rsidRPr="00AC5D15">
        <w:rPr>
          <w:sz w:val="26"/>
          <w:szCs w:val="26"/>
        </w:rPr>
        <w:noBreakHyphen/>
      </w:r>
      <w:r w:rsidR="00294D2B" w:rsidRPr="00AC5D15">
        <w:rPr>
          <w:sz w:val="26"/>
          <w:szCs w:val="26"/>
        </w:rPr>
        <w:t>2011</w:t>
      </w:r>
      <w:r w:rsidR="00D213EA" w:rsidRPr="00AC5D15">
        <w:rPr>
          <w:sz w:val="26"/>
          <w:szCs w:val="26"/>
        </w:rPr>
        <w:noBreakHyphen/>
      </w:r>
      <w:r w:rsidR="00294D2B" w:rsidRPr="00AC5D15">
        <w:rPr>
          <w:sz w:val="26"/>
          <w:szCs w:val="26"/>
        </w:rPr>
        <w:t xml:space="preserve">2256365, </w:t>
      </w:r>
      <w:r w:rsidR="00294D2B" w:rsidRPr="00AC5D15">
        <w:rPr>
          <w:i/>
          <w:sz w:val="26"/>
          <w:szCs w:val="26"/>
          <w:u w:val="single"/>
        </w:rPr>
        <w:t>supra</w:t>
      </w:r>
      <w:r w:rsidR="00D213EA" w:rsidRPr="00AC5D15">
        <w:rPr>
          <w:sz w:val="26"/>
          <w:szCs w:val="26"/>
          <w:u w:val="single"/>
        </w:rPr>
        <w:t>,</w:t>
      </w:r>
      <w:r w:rsidRPr="00AC5D15">
        <w:rPr>
          <w:sz w:val="26"/>
          <w:szCs w:val="26"/>
        </w:rPr>
        <w:t xml:space="preserve"> and the ALJ has recommended approval of annual reconciliation in that proceeding.  </w:t>
      </w:r>
      <w:r w:rsidR="003A266D" w:rsidRPr="00AC5D15">
        <w:rPr>
          <w:sz w:val="26"/>
          <w:szCs w:val="26"/>
        </w:rPr>
        <w:t>According to PPL, t</w:t>
      </w:r>
      <w:r w:rsidRPr="00AC5D15">
        <w:rPr>
          <w:sz w:val="26"/>
          <w:szCs w:val="26"/>
        </w:rPr>
        <w:t xml:space="preserve">his will smooth the reconciliation effects for customers.  Finally, </w:t>
      </w:r>
      <w:r w:rsidR="003A266D" w:rsidRPr="00AC5D15">
        <w:rPr>
          <w:sz w:val="26"/>
          <w:szCs w:val="26"/>
        </w:rPr>
        <w:t xml:space="preserve">PPL avers that </w:t>
      </w:r>
      <w:r w:rsidRPr="00AC5D15">
        <w:rPr>
          <w:sz w:val="26"/>
          <w:szCs w:val="26"/>
        </w:rPr>
        <w:t>the overall amount of the under collection for Small C&amp;I customers has been significantly reduced and there is no need to make significant and unpre</w:t>
      </w:r>
      <w:r w:rsidR="003A266D" w:rsidRPr="00AC5D15">
        <w:rPr>
          <w:sz w:val="26"/>
          <w:szCs w:val="26"/>
        </w:rPr>
        <w:t>cedented changes to PPL</w:t>
      </w:r>
      <w:r w:rsidR="00D64DAA" w:rsidRPr="00AC5D15">
        <w:rPr>
          <w:sz w:val="26"/>
          <w:szCs w:val="26"/>
        </w:rPr>
        <w:t>’</w:t>
      </w:r>
      <w:r w:rsidRPr="00AC5D15">
        <w:rPr>
          <w:sz w:val="26"/>
          <w:szCs w:val="26"/>
        </w:rPr>
        <w:t>s reconciliation method.</w:t>
      </w:r>
      <w:r w:rsidR="003A266D" w:rsidRPr="00AC5D15">
        <w:rPr>
          <w:sz w:val="26"/>
          <w:szCs w:val="26"/>
        </w:rPr>
        <w:t xml:space="preserve">  PPL Exc. at 7-8.</w:t>
      </w:r>
    </w:p>
    <w:p w:rsidR="00963D2A" w:rsidRPr="00AC5D15" w:rsidRDefault="00963D2A" w:rsidP="00B05E0D">
      <w:pPr>
        <w:contextualSpacing/>
        <w:jc w:val="left"/>
        <w:rPr>
          <w:b/>
          <w:sz w:val="26"/>
          <w:szCs w:val="26"/>
        </w:rPr>
      </w:pPr>
    </w:p>
    <w:p w:rsidR="00963D2A" w:rsidRPr="00AC5D15" w:rsidRDefault="00104106" w:rsidP="00B05E0D">
      <w:pPr>
        <w:contextualSpacing/>
        <w:jc w:val="left"/>
        <w:rPr>
          <w:sz w:val="26"/>
          <w:szCs w:val="26"/>
        </w:rPr>
      </w:pPr>
      <w:r w:rsidRPr="00AC5D15">
        <w:rPr>
          <w:b/>
          <w:sz w:val="26"/>
          <w:szCs w:val="26"/>
        </w:rPr>
        <w:tab/>
      </w:r>
      <w:r w:rsidRPr="00AC5D15">
        <w:rPr>
          <w:b/>
          <w:sz w:val="26"/>
          <w:szCs w:val="26"/>
        </w:rPr>
        <w:tab/>
      </w:r>
      <w:r w:rsidRPr="00AC5D15">
        <w:rPr>
          <w:sz w:val="26"/>
          <w:szCs w:val="26"/>
        </w:rPr>
        <w:t>In reply, the OSBA</w:t>
      </w:r>
      <w:r w:rsidR="00D72974" w:rsidRPr="00AC5D15">
        <w:rPr>
          <w:sz w:val="26"/>
          <w:szCs w:val="26"/>
        </w:rPr>
        <w:t xml:space="preserve"> claims that it has never suggested including revenues billed in January 2010 for service rendered in 2009 in the reconciliation of PPL</w:t>
      </w:r>
      <w:r w:rsidR="00D64DAA" w:rsidRPr="00AC5D15">
        <w:rPr>
          <w:sz w:val="26"/>
          <w:szCs w:val="26"/>
        </w:rPr>
        <w:t>’</w:t>
      </w:r>
      <w:r w:rsidR="00D72974" w:rsidRPr="00AC5D15">
        <w:rPr>
          <w:sz w:val="26"/>
          <w:szCs w:val="26"/>
        </w:rPr>
        <w:t xml:space="preserve">s GSC.  The OSBA maintains that those revenues were properly excluded and the ALJ did not suggest otherwise.  According to the OSBA, the ALJ was referring to the exclusion of two weeks of revenue </w:t>
      </w:r>
      <w:r w:rsidR="00D64DAA" w:rsidRPr="00AC5D15">
        <w:rPr>
          <w:sz w:val="26"/>
          <w:szCs w:val="26"/>
        </w:rPr>
        <w:t>“</w:t>
      </w:r>
      <w:r w:rsidR="00D72974" w:rsidRPr="00AC5D15">
        <w:rPr>
          <w:sz w:val="26"/>
          <w:szCs w:val="26"/>
        </w:rPr>
        <w:t>realized</w:t>
      </w:r>
      <w:r w:rsidR="00D64DAA" w:rsidRPr="00AC5D15">
        <w:rPr>
          <w:sz w:val="26"/>
          <w:szCs w:val="26"/>
        </w:rPr>
        <w:t>”</w:t>
      </w:r>
      <w:r w:rsidR="00D72974" w:rsidRPr="00AC5D15">
        <w:rPr>
          <w:sz w:val="26"/>
          <w:szCs w:val="26"/>
        </w:rPr>
        <w:t xml:space="preserve"> in January 2010 that was not billed until February 2010.  The OSBA avers</w:t>
      </w:r>
      <w:r w:rsidR="00294D2B" w:rsidRPr="00AC5D15">
        <w:rPr>
          <w:sz w:val="26"/>
          <w:szCs w:val="26"/>
        </w:rPr>
        <w:t xml:space="preserve"> that</w:t>
      </w:r>
      <w:r w:rsidR="00D72974" w:rsidRPr="00AC5D15">
        <w:rPr>
          <w:sz w:val="26"/>
          <w:szCs w:val="26"/>
        </w:rPr>
        <w:t xml:space="preserve"> the ALJ </w:t>
      </w:r>
      <w:r w:rsidR="001929BE" w:rsidRPr="00AC5D15">
        <w:rPr>
          <w:sz w:val="26"/>
          <w:szCs w:val="26"/>
        </w:rPr>
        <w:t xml:space="preserve">also </w:t>
      </w:r>
      <w:r w:rsidR="00D72974" w:rsidRPr="00AC5D15">
        <w:rPr>
          <w:sz w:val="26"/>
          <w:szCs w:val="26"/>
        </w:rPr>
        <w:t>found it unreasonable</w:t>
      </w:r>
      <w:r w:rsidR="001929BE" w:rsidRPr="00AC5D15">
        <w:rPr>
          <w:sz w:val="26"/>
          <w:szCs w:val="26"/>
        </w:rPr>
        <w:t xml:space="preserve"> that PPL</w:t>
      </w:r>
      <w:r w:rsidR="00D64DAA" w:rsidRPr="00AC5D15">
        <w:rPr>
          <w:sz w:val="26"/>
          <w:szCs w:val="26"/>
        </w:rPr>
        <w:t>’</w:t>
      </w:r>
      <w:r w:rsidR="001929BE" w:rsidRPr="00AC5D15">
        <w:rPr>
          <w:sz w:val="26"/>
          <w:szCs w:val="26"/>
        </w:rPr>
        <w:t xml:space="preserve">s accounting method would </w:t>
      </w:r>
      <w:r w:rsidR="00D64DAA" w:rsidRPr="00AC5D15">
        <w:rPr>
          <w:sz w:val="26"/>
          <w:szCs w:val="26"/>
        </w:rPr>
        <w:t>“</w:t>
      </w:r>
      <w:r w:rsidR="001929BE" w:rsidRPr="00AC5D15">
        <w:rPr>
          <w:sz w:val="26"/>
          <w:szCs w:val="26"/>
        </w:rPr>
        <w:t>pro-rate</w:t>
      </w:r>
      <w:r w:rsidR="00D64DAA" w:rsidRPr="00AC5D15">
        <w:rPr>
          <w:sz w:val="26"/>
          <w:szCs w:val="26"/>
        </w:rPr>
        <w:t>”</w:t>
      </w:r>
      <w:r w:rsidR="001929BE" w:rsidRPr="00AC5D15">
        <w:rPr>
          <w:sz w:val="26"/>
          <w:szCs w:val="26"/>
        </w:rPr>
        <w:t xml:space="preserve"> revenues billed in January 2010 to December 2009, but would not </w:t>
      </w:r>
      <w:r w:rsidR="001929BE" w:rsidRPr="00AC5D15">
        <w:rPr>
          <w:sz w:val="26"/>
          <w:szCs w:val="26"/>
        </w:rPr>
        <w:lastRenderedPageBreak/>
        <w:t xml:space="preserve">similarly </w:t>
      </w:r>
      <w:r w:rsidR="00D64DAA" w:rsidRPr="00AC5D15">
        <w:rPr>
          <w:sz w:val="26"/>
          <w:szCs w:val="26"/>
        </w:rPr>
        <w:t>“</w:t>
      </w:r>
      <w:r w:rsidR="001929BE" w:rsidRPr="00AC5D15">
        <w:rPr>
          <w:sz w:val="26"/>
          <w:szCs w:val="26"/>
        </w:rPr>
        <w:t>pro-rate</w:t>
      </w:r>
      <w:r w:rsidR="00D64DAA" w:rsidRPr="00AC5D15">
        <w:rPr>
          <w:sz w:val="26"/>
          <w:szCs w:val="26"/>
        </w:rPr>
        <w:t>”</w:t>
      </w:r>
      <w:r w:rsidR="001929BE" w:rsidRPr="00AC5D15">
        <w:rPr>
          <w:sz w:val="26"/>
          <w:szCs w:val="26"/>
        </w:rPr>
        <w:t xml:space="preserve"> revenues billed in January 2011 to December 2010.  The OSBA avers </w:t>
      </w:r>
      <w:r w:rsidR="00294D2B" w:rsidRPr="00AC5D15">
        <w:rPr>
          <w:sz w:val="26"/>
          <w:szCs w:val="26"/>
        </w:rPr>
        <w:t xml:space="preserve">that </w:t>
      </w:r>
      <w:r w:rsidR="001929BE" w:rsidRPr="00AC5D15">
        <w:rPr>
          <w:sz w:val="26"/>
          <w:szCs w:val="26"/>
        </w:rPr>
        <w:t>the ALJ correctly found that PPL</w:t>
      </w:r>
      <w:r w:rsidR="00D64DAA" w:rsidRPr="00AC5D15">
        <w:rPr>
          <w:sz w:val="26"/>
          <w:szCs w:val="26"/>
        </w:rPr>
        <w:t>’</w:t>
      </w:r>
      <w:r w:rsidR="001929BE" w:rsidRPr="00AC5D15">
        <w:rPr>
          <w:sz w:val="26"/>
          <w:szCs w:val="26"/>
        </w:rPr>
        <w:t>s accounting is unreasonable because it applies different accounting methodologies to different time periods.  OSBA R. Exc. at</w:t>
      </w:r>
      <w:r w:rsidR="0021357B" w:rsidRPr="00AC5D15">
        <w:rPr>
          <w:sz w:val="26"/>
          <w:szCs w:val="26"/>
        </w:rPr>
        <w:t> </w:t>
      </w:r>
      <w:r w:rsidR="001929BE" w:rsidRPr="00AC5D15">
        <w:rPr>
          <w:sz w:val="26"/>
          <w:szCs w:val="26"/>
        </w:rPr>
        <w:t>8</w:t>
      </w:r>
      <w:r w:rsidR="0021357B" w:rsidRPr="00AC5D15">
        <w:rPr>
          <w:sz w:val="26"/>
          <w:szCs w:val="26"/>
        </w:rPr>
        <w:noBreakHyphen/>
      </w:r>
      <w:r w:rsidR="001929BE" w:rsidRPr="00AC5D15">
        <w:rPr>
          <w:sz w:val="26"/>
          <w:szCs w:val="26"/>
        </w:rPr>
        <w:t>9.</w:t>
      </w:r>
    </w:p>
    <w:p w:rsidR="00EC5867" w:rsidRPr="00AC5D15" w:rsidRDefault="00EC5867" w:rsidP="00B05E0D">
      <w:pPr>
        <w:contextualSpacing/>
        <w:jc w:val="left"/>
        <w:rPr>
          <w:sz w:val="26"/>
          <w:szCs w:val="26"/>
        </w:rPr>
      </w:pPr>
    </w:p>
    <w:p w:rsidR="00EC5867" w:rsidRPr="00AC5D15" w:rsidRDefault="00C46720" w:rsidP="00B05E0D">
      <w:pPr>
        <w:ind w:firstLine="1440"/>
        <w:jc w:val="left"/>
        <w:rPr>
          <w:sz w:val="26"/>
          <w:szCs w:val="26"/>
        </w:rPr>
      </w:pPr>
      <w:r w:rsidRPr="00AC5D15">
        <w:rPr>
          <w:sz w:val="26"/>
          <w:szCs w:val="26"/>
        </w:rPr>
        <w:t xml:space="preserve">Next, the OSBA argues that including earned but unbilled revenue in the reconciliation is consistent with Section 1307(e) of the Code.  The OSBA notes that </w:t>
      </w:r>
      <w:r w:rsidR="00EC5867" w:rsidRPr="00AC5D15">
        <w:rPr>
          <w:sz w:val="26"/>
          <w:szCs w:val="26"/>
        </w:rPr>
        <w:t>PPL</w:t>
      </w:r>
      <w:r w:rsidR="00D64DAA" w:rsidRPr="00AC5D15">
        <w:rPr>
          <w:sz w:val="26"/>
          <w:szCs w:val="26"/>
        </w:rPr>
        <w:t>’</w:t>
      </w:r>
      <w:r w:rsidRPr="00AC5D15">
        <w:rPr>
          <w:sz w:val="26"/>
          <w:szCs w:val="26"/>
        </w:rPr>
        <w:t>s</w:t>
      </w:r>
      <w:r w:rsidR="00EC5867" w:rsidRPr="00AC5D15">
        <w:rPr>
          <w:sz w:val="26"/>
          <w:szCs w:val="26"/>
        </w:rPr>
        <w:t xml:space="preserve"> </w:t>
      </w:r>
      <w:r w:rsidRPr="00AC5D15">
        <w:rPr>
          <w:sz w:val="26"/>
          <w:szCs w:val="26"/>
        </w:rPr>
        <w:t xml:space="preserve">position is that its </w:t>
      </w:r>
      <w:r w:rsidR="00EC5867" w:rsidRPr="00AC5D15">
        <w:rPr>
          <w:sz w:val="26"/>
          <w:szCs w:val="26"/>
        </w:rPr>
        <w:t>methodology of reconciling expenses incurred in a given period with revenues billed in that period is consistent with the plain language of Secti</w:t>
      </w:r>
      <w:r w:rsidRPr="00AC5D15">
        <w:rPr>
          <w:sz w:val="26"/>
          <w:szCs w:val="26"/>
        </w:rPr>
        <w:t>on 1307(e)</w:t>
      </w:r>
      <w:r w:rsidR="00EC5867" w:rsidRPr="00AC5D15">
        <w:rPr>
          <w:sz w:val="26"/>
          <w:szCs w:val="26"/>
        </w:rPr>
        <w:t xml:space="preserve">.  </w:t>
      </w:r>
      <w:r w:rsidRPr="00AC5D15">
        <w:rPr>
          <w:sz w:val="26"/>
          <w:szCs w:val="26"/>
        </w:rPr>
        <w:t xml:space="preserve">According to the OSBA, </w:t>
      </w:r>
      <w:r w:rsidR="00EC5867" w:rsidRPr="00AC5D15">
        <w:rPr>
          <w:sz w:val="26"/>
          <w:szCs w:val="26"/>
        </w:rPr>
        <w:t xml:space="preserve">PPL equates </w:t>
      </w:r>
      <w:r w:rsidR="00D64DAA" w:rsidRPr="00AC5D15">
        <w:rPr>
          <w:sz w:val="26"/>
          <w:szCs w:val="26"/>
        </w:rPr>
        <w:t>“</w:t>
      </w:r>
      <w:r w:rsidR="00EC5867" w:rsidRPr="00AC5D15">
        <w:rPr>
          <w:sz w:val="26"/>
          <w:szCs w:val="26"/>
        </w:rPr>
        <w:t>billed revenues</w:t>
      </w:r>
      <w:r w:rsidR="00D64DAA" w:rsidRPr="00AC5D15">
        <w:rPr>
          <w:sz w:val="26"/>
          <w:szCs w:val="26"/>
        </w:rPr>
        <w:t>”</w:t>
      </w:r>
      <w:r w:rsidR="00EC5867" w:rsidRPr="00AC5D15">
        <w:rPr>
          <w:sz w:val="26"/>
          <w:szCs w:val="26"/>
        </w:rPr>
        <w:t xml:space="preserve"> with </w:t>
      </w:r>
      <w:r w:rsidR="00D64DAA" w:rsidRPr="00AC5D15">
        <w:rPr>
          <w:sz w:val="26"/>
          <w:szCs w:val="26"/>
        </w:rPr>
        <w:t>“</w:t>
      </w:r>
      <w:r w:rsidR="00EC5867" w:rsidRPr="00AC5D15">
        <w:rPr>
          <w:sz w:val="26"/>
          <w:szCs w:val="26"/>
        </w:rPr>
        <w:t>revenue received</w:t>
      </w:r>
      <w:r w:rsidR="00D64DAA" w:rsidRPr="00AC5D15">
        <w:rPr>
          <w:sz w:val="26"/>
          <w:szCs w:val="26"/>
        </w:rPr>
        <w:t>”</w:t>
      </w:r>
      <w:r w:rsidR="00EC5867" w:rsidRPr="00AC5D15">
        <w:rPr>
          <w:sz w:val="26"/>
          <w:szCs w:val="26"/>
        </w:rPr>
        <w:t xml:space="preserve"> </w:t>
      </w:r>
      <w:r w:rsidRPr="00AC5D15">
        <w:rPr>
          <w:sz w:val="26"/>
          <w:szCs w:val="26"/>
        </w:rPr>
        <w:t xml:space="preserve">and therefore, </w:t>
      </w:r>
      <w:r w:rsidR="00EC5867" w:rsidRPr="00AC5D15">
        <w:rPr>
          <w:sz w:val="26"/>
          <w:szCs w:val="26"/>
        </w:rPr>
        <w:t xml:space="preserve">it excludes revenue that has been earned or realized, but has not yet been billed.  </w:t>
      </w:r>
      <w:r w:rsidR="00CB5252" w:rsidRPr="00AC5D15">
        <w:rPr>
          <w:sz w:val="26"/>
          <w:szCs w:val="26"/>
        </w:rPr>
        <w:t>The OSBA argues that t</w:t>
      </w:r>
      <w:r w:rsidR="00EC5867" w:rsidRPr="00AC5D15">
        <w:rPr>
          <w:sz w:val="26"/>
          <w:szCs w:val="26"/>
        </w:rPr>
        <w:t xml:space="preserve">he </w:t>
      </w:r>
      <w:r w:rsidR="00CB5252" w:rsidRPr="00AC5D15">
        <w:rPr>
          <w:sz w:val="26"/>
          <w:szCs w:val="26"/>
        </w:rPr>
        <w:t>ALJ</w:t>
      </w:r>
      <w:r w:rsidR="00D64DAA" w:rsidRPr="00AC5D15">
        <w:rPr>
          <w:sz w:val="26"/>
          <w:szCs w:val="26"/>
        </w:rPr>
        <w:t>’</w:t>
      </w:r>
      <w:r w:rsidR="00EC5867" w:rsidRPr="00AC5D15">
        <w:rPr>
          <w:sz w:val="26"/>
          <w:szCs w:val="26"/>
        </w:rPr>
        <w:t xml:space="preserve">s recommended use of earned revenue in </w:t>
      </w:r>
      <w:r w:rsidR="00CB5252" w:rsidRPr="00AC5D15">
        <w:rPr>
          <w:sz w:val="26"/>
          <w:szCs w:val="26"/>
        </w:rPr>
        <w:t xml:space="preserve">the </w:t>
      </w:r>
      <w:r w:rsidR="00EC5867" w:rsidRPr="00AC5D15">
        <w:rPr>
          <w:sz w:val="26"/>
          <w:szCs w:val="26"/>
        </w:rPr>
        <w:t>reconciliation of the GSC and GSC-1 is certainly no more inconsistent with Section 1307(e)</w:t>
      </w:r>
      <w:r w:rsidR="00D64DAA" w:rsidRPr="00AC5D15">
        <w:rPr>
          <w:sz w:val="26"/>
          <w:szCs w:val="26"/>
        </w:rPr>
        <w:t>’</w:t>
      </w:r>
      <w:r w:rsidR="00EC5867" w:rsidRPr="00AC5D15">
        <w:rPr>
          <w:sz w:val="26"/>
          <w:szCs w:val="26"/>
        </w:rPr>
        <w:t xml:space="preserve">s requirement of using </w:t>
      </w:r>
      <w:r w:rsidR="00D64DAA" w:rsidRPr="00AC5D15">
        <w:rPr>
          <w:sz w:val="26"/>
          <w:szCs w:val="26"/>
        </w:rPr>
        <w:t>“</w:t>
      </w:r>
      <w:r w:rsidR="00EC5867" w:rsidRPr="00AC5D15">
        <w:rPr>
          <w:sz w:val="26"/>
          <w:szCs w:val="26"/>
        </w:rPr>
        <w:t>revenue received</w:t>
      </w:r>
      <w:r w:rsidR="00D64DAA" w:rsidRPr="00AC5D15">
        <w:rPr>
          <w:sz w:val="26"/>
          <w:szCs w:val="26"/>
        </w:rPr>
        <w:t>”</w:t>
      </w:r>
      <w:r w:rsidR="00EC5867" w:rsidRPr="00AC5D15">
        <w:rPr>
          <w:sz w:val="26"/>
          <w:szCs w:val="26"/>
        </w:rPr>
        <w:t xml:space="preserve"> than is PPL</w:t>
      </w:r>
      <w:r w:rsidR="00D64DAA" w:rsidRPr="00AC5D15">
        <w:rPr>
          <w:sz w:val="26"/>
          <w:szCs w:val="26"/>
        </w:rPr>
        <w:t>’</w:t>
      </w:r>
      <w:r w:rsidR="00EC5867" w:rsidRPr="00AC5D15">
        <w:rPr>
          <w:sz w:val="26"/>
          <w:szCs w:val="26"/>
        </w:rPr>
        <w:t xml:space="preserve">s use of billed revenue, and is arguably more consistent with that requirement.  </w:t>
      </w:r>
      <w:r w:rsidR="00CB5252" w:rsidRPr="00AC5D15">
        <w:rPr>
          <w:sz w:val="26"/>
          <w:szCs w:val="26"/>
        </w:rPr>
        <w:t>The OSBA opines that e</w:t>
      </w:r>
      <w:r w:rsidR="00EC5867" w:rsidRPr="00AC5D15">
        <w:rPr>
          <w:sz w:val="26"/>
          <w:szCs w:val="26"/>
        </w:rPr>
        <w:t>arned revenue, consistent with G</w:t>
      </w:r>
      <w:r w:rsidR="00004844" w:rsidRPr="00AC5D15">
        <w:rPr>
          <w:sz w:val="26"/>
          <w:szCs w:val="26"/>
        </w:rPr>
        <w:t xml:space="preserve">enerally </w:t>
      </w:r>
      <w:r w:rsidR="00EC5867" w:rsidRPr="00AC5D15">
        <w:rPr>
          <w:sz w:val="26"/>
          <w:szCs w:val="26"/>
        </w:rPr>
        <w:t>A</w:t>
      </w:r>
      <w:r w:rsidR="00004844" w:rsidRPr="00AC5D15">
        <w:rPr>
          <w:sz w:val="26"/>
          <w:szCs w:val="26"/>
        </w:rPr>
        <w:t xml:space="preserve">ccepted </w:t>
      </w:r>
      <w:r w:rsidR="00EC5867" w:rsidRPr="00AC5D15">
        <w:rPr>
          <w:sz w:val="26"/>
          <w:szCs w:val="26"/>
        </w:rPr>
        <w:t>A</w:t>
      </w:r>
      <w:r w:rsidR="00004844" w:rsidRPr="00AC5D15">
        <w:rPr>
          <w:sz w:val="26"/>
          <w:szCs w:val="26"/>
        </w:rPr>
        <w:t xml:space="preserve">ccounting </w:t>
      </w:r>
      <w:r w:rsidR="00EC5867" w:rsidRPr="00AC5D15">
        <w:rPr>
          <w:sz w:val="26"/>
          <w:szCs w:val="26"/>
        </w:rPr>
        <w:t>P</w:t>
      </w:r>
      <w:r w:rsidR="00004844" w:rsidRPr="00AC5D15">
        <w:rPr>
          <w:sz w:val="26"/>
          <w:szCs w:val="26"/>
        </w:rPr>
        <w:t>rinciples</w:t>
      </w:r>
      <w:r w:rsidR="00EC5867" w:rsidRPr="00AC5D15">
        <w:rPr>
          <w:sz w:val="26"/>
          <w:szCs w:val="26"/>
        </w:rPr>
        <w:t xml:space="preserve">, is the more reasonable interpretation of </w:t>
      </w:r>
      <w:r w:rsidR="00D64DAA" w:rsidRPr="00AC5D15">
        <w:rPr>
          <w:sz w:val="26"/>
          <w:szCs w:val="26"/>
        </w:rPr>
        <w:t>“</w:t>
      </w:r>
      <w:r w:rsidR="00EC5867" w:rsidRPr="00AC5D15">
        <w:rPr>
          <w:sz w:val="26"/>
          <w:szCs w:val="26"/>
        </w:rPr>
        <w:t>revenue received</w:t>
      </w:r>
      <w:r w:rsidR="00D64DAA" w:rsidRPr="00AC5D15">
        <w:rPr>
          <w:sz w:val="26"/>
          <w:szCs w:val="26"/>
        </w:rPr>
        <w:t>”</w:t>
      </w:r>
      <w:r w:rsidR="00EC5867" w:rsidRPr="00AC5D15">
        <w:rPr>
          <w:sz w:val="26"/>
          <w:szCs w:val="26"/>
        </w:rPr>
        <w:t xml:space="preserve"> for use in a reconciliation calculation, because it properly matches costs and revenues and</w:t>
      </w:r>
      <w:r w:rsidRPr="00AC5D15">
        <w:rPr>
          <w:sz w:val="26"/>
          <w:szCs w:val="26"/>
        </w:rPr>
        <w:t xml:space="preserve"> does not result in the phantom </w:t>
      </w:r>
      <w:r w:rsidR="00EC5867" w:rsidRPr="00AC5D15">
        <w:rPr>
          <w:sz w:val="26"/>
          <w:szCs w:val="26"/>
        </w:rPr>
        <w:t>under</w:t>
      </w:r>
      <w:r w:rsidR="00CB5252" w:rsidRPr="00AC5D15">
        <w:rPr>
          <w:sz w:val="26"/>
          <w:szCs w:val="26"/>
        </w:rPr>
        <w:t xml:space="preserve"> </w:t>
      </w:r>
      <w:r w:rsidR="00EC5867" w:rsidRPr="00AC5D15">
        <w:rPr>
          <w:sz w:val="26"/>
          <w:szCs w:val="26"/>
        </w:rPr>
        <w:t>collection that results from PPL</w:t>
      </w:r>
      <w:r w:rsidR="00D64DAA" w:rsidRPr="00AC5D15">
        <w:rPr>
          <w:sz w:val="26"/>
          <w:szCs w:val="26"/>
        </w:rPr>
        <w:t>’</w:t>
      </w:r>
      <w:r w:rsidR="00EC5867" w:rsidRPr="00AC5D15">
        <w:rPr>
          <w:sz w:val="26"/>
          <w:szCs w:val="26"/>
        </w:rPr>
        <w:t>s accounting method.</w:t>
      </w:r>
      <w:r w:rsidR="00CB5252" w:rsidRPr="00AC5D15">
        <w:rPr>
          <w:sz w:val="26"/>
          <w:szCs w:val="26"/>
        </w:rPr>
        <w:t xml:space="preserve">  OSBA R. Exc. at 9-10.</w:t>
      </w:r>
    </w:p>
    <w:p w:rsidR="00CB5252" w:rsidRPr="00AC5D15" w:rsidRDefault="00CB5252" w:rsidP="00B05E0D">
      <w:pPr>
        <w:ind w:firstLine="1440"/>
        <w:jc w:val="both"/>
        <w:rPr>
          <w:sz w:val="26"/>
          <w:szCs w:val="26"/>
        </w:rPr>
      </w:pPr>
    </w:p>
    <w:p w:rsidR="00EC5867" w:rsidRPr="00AC5D15" w:rsidRDefault="00884651" w:rsidP="00B05E0D">
      <w:pPr>
        <w:ind w:firstLine="1440"/>
        <w:jc w:val="left"/>
        <w:rPr>
          <w:sz w:val="26"/>
          <w:szCs w:val="26"/>
        </w:rPr>
      </w:pPr>
      <w:r w:rsidRPr="00AC5D15">
        <w:rPr>
          <w:sz w:val="26"/>
          <w:szCs w:val="26"/>
        </w:rPr>
        <w:t>Next, the OSBA avers that PPL</w:t>
      </w:r>
      <w:r w:rsidR="00D64DAA" w:rsidRPr="00AC5D15">
        <w:rPr>
          <w:sz w:val="26"/>
          <w:szCs w:val="26"/>
        </w:rPr>
        <w:t>’</w:t>
      </w:r>
      <w:r w:rsidRPr="00AC5D15">
        <w:rPr>
          <w:sz w:val="26"/>
          <w:szCs w:val="26"/>
        </w:rPr>
        <w:t>s reconciliation accounting methodology w</w:t>
      </w:r>
      <w:r w:rsidR="00EC5867" w:rsidRPr="00AC5D15">
        <w:rPr>
          <w:sz w:val="26"/>
          <w:szCs w:val="26"/>
        </w:rPr>
        <w:t xml:space="preserve">as </w:t>
      </w:r>
      <w:r w:rsidRPr="00AC5D15">
        <w:rPr>
          <w:sz w:val="26"/>
          <w:szCs w:val="26"/>
        </w:rPr>
        <w:t>e</w:t>
      </w:r>
      <w:r w:rsidR="001C4E03" w:rsidRPr="00AC5D15">
        <w:rPr>
          <w:sz w:val="26"/>
          <w:szCs w:val="26"/>
        </w:rPr>
        <w:t>stablished thirty</w:t>
      </w:r>
      <w:r w:rsidR="00EC5867" w:rsidRPr="00AC5D15">
        <w:rPr>
          <w:sz w:val="26"/>
          <w:szCs w:val="26"/>
        </w:rPr>
        <w:t xml:space="preserve"> </w:t>
      </w:r>
      <w:r w:rsidRPr="00AC5D15">
        <w:rPr>
          <w:sz w:val="26"/>
          <w:szCs w:val="26"/>
        </w:rPr>
        <w:t>y</w:t>
      </w:r>
      <w:r w:rsidR="00EC5867" w:rsidRPr="00AC5D15">
        <w:rPr>
          <w:sz w:val="26"/>
          <w:szCs w:val="26"/>
        </w:rPr>
        <w:t xml:space="preserve">ears </w:t>
      </w:r>
      <w:r w:rsidRPr="00AC5D15">
        <w:rPr>
          <w:sz w:val="26"/>
          <w:szCs w:val="26"/>
        </w:rPr>
        <w:t>a</w:t>
      </w:r>
      <w:r w:rsidR="00EC5867" w:rsidRPr="00AC5D15">
        <w:rPr>
          <w:sz w:val="26"/>
          <w:szCs w:val="26"/>
        </w:rPr>
        <w:t xml:space="preserve">go </w:t>
      </w:r>
      <w:r w:rsidRPr="00AC5D15">
        <w:rPr>
          <w:sz w:val="26"/>
          <w:szCs w:val="26"/>
        </w:rPr>
        <w:t>a</w:t>
      </w:r>
      <w:r w:rsidR="00EC5867" w:rsidRPr="00AC5D15">
        <w:rPr>
          <w:sz w:val="26"/>
          <w:szCs w:val="26"/>
        </w:rPr>
        <w:t xml:space="preserve">nd </w:t>
      </w:r>
      <w:r w:rsidRPr="00AC5D15">
        <w:rPr>
          <w:sz w:val="26"/>
          <w:szCs w:val="26"/>
        </w:rPr>
        <w:t>h</w:t>
      </w:r>
      <w:r w:rsidR="00EC5867" w:rsidRPr="00AC5D15">
        <w:rPr>
          <w:sz w:val="26"/>
          <w:szCs w:val="26"/>
        </w:rPr>
        <w:t xml:space="preserve">as </w:t>
      </w:r>
      <w:r w:rsidRPr="00AC5D15">
        <w:rPr>
          <w:sz w:val="26"/>
          <w:szCs w:val="26"/>
        </w:rPr>
        <w:t>n</w:t>
      </w:r>
      <w:r w:rsidR="00EC5867" w:rsidRPr="00AC5D15">
        <w:rPr>
          <w:sz w:val="26"/>
          <w:szCs w:val="26"/>
        </w:rPr>
        <w:t xml:space="preserve">ot </w:t>
      </w:r>
      <w:r w:rsidRPr="00AC5D15">
        <w:rPr>
          <w:sz w:val="26"/>
          <w:szCs w:val="26"/>
        </w:rPr>
        <w:t>b</w:t>
      </w:r>
      <w:r w:rsidR="00EC5867" w:rsidRPr="00AC5D15">
        <w:rPr>
          <w:sz w:val="26"/>
          <w:szCs w:val="26"/>
        </w:rPr>
        <w:t xml:space="preserve">een </w:t>
      </w:r>
      <w:r w:rsidRPr="00AC5D15">
        <w:rPr>
          <w:sz w:val="26"/>
          <w:szCs w:val="26"/>
        </w:rPr>
        <w:t>u</w:t>
      </w:r>
      <w:r w:rsidR="00EC5867" w:rsidRPr="00AC5D15">
        <w:rPr>
          <w:sz w:val="26"/>
          <w:szCs w:val="26"/>
        </w:rPr>
        <w:t xml:space="preserve">pdated to </w:t>
      </w:r>
      <w:r w:rsidRPr="00AC5D15">
        <w:rPr>
          <w:sz w:val="26"/>
          <w:szCs w:val="26"/>
        </w:rPr>
        <w:t>r</w:t>
      </w:r>
      <w:r w:rsidR="00EC5867" w:rsidRPr="00AC5D15">
        <w:rPr>
          <w:sz w:val="26"/>
          <w:szCs w:val="26"/>
        </w:rPr>
        <w:t xml:space="preserve">eflect </w:t>
      </w:r>
      <w:r w:rsidRPr="00AC5D15">
        <w:rPr>
          <w:sz w:val="26"/>
          <w:szCs w:val="26"/>
        </w:rPr>
        <w:t>t</w:t>
      </w:r>
      <w:r w:rsidR="00EC5867" w:rsidRPr="00AC5D15">
        <w:rPr>
          <w:sz w:val="26"/>
          <w:szCs w:val="26"/>
        </w:rPr>
        <w:t>oday</w:t>
      </w:r>
      <w:r w:rsidR="00D64DAA" w:rsidRPr="00AC5D15">
        <w:rPr>
          <w:sz w:val="26"/>
          <w:szCs w:val="26"/>
        </w:rPr>
        <w:t>’</w:t>
      </w:r>
      <w:r w:rsidR="00EC5867" w:rsidRPr="00AC5D15">
        <w:rPr>
          <w:sz w:val="26"/>
          <w:szCs w:val="26"/>
        </w:rPr>
        <w:t xml:space="preserve">s </w:t>
      </w:r>
      <w:r w:rsidRPr="00AC5D15">
        <w:rPr>
          <w:sz w:val="26"/>
          <w:szCs w:val="26"/>
        </w:rPr>
        <w:t>c</w:t>
      </w:r>
      <w:r w:rsidR="00EC5867" w:rsidRPr="00AC5D15">
        <w:rPr>
          <w:sz w:val="26"/>
          <w:szCs w:val="26"/>
        </w:rPr>
        <w:t xml:space="preserve">ompetitive </w:t>
      </w:r>
      <w:r w:rsidRPr="00AC5D15">
        <w:rPr>
          <w:sz w:val="26"/>
          <w:szCs w:val="26"/>
        </w:rPr>
        <w:t>w</w:t>
      </w:r>
      <w:r w:rsidR="00EC5867" w:rsidRPr="00AC5D15">
        <w:rPr>
          <w:sz w:val="26"/>
          <w:szCs w:val="26"/>
        </w:rPr>
        <w:t>orld</w:t>
      </w:r>
      <w:r w:rsidRPr="00AC5D15">
        <w:rPr>
          <w:sz w:val="26"/>
          <w:szCs w:val="26"/>
        </w:rPr>
        <w:t xml:space="preserve">.  According to the OSBA, </w:t>
      </w:r>
      <w:r w:rsidR="00EC5867" w:rsidRPr="00AC5D15">
        <w:rPr>
          <w:sz w:val="26"/>
          <w:szCs w:val="26"/>
        </w:rPr>
        <w:t xml:space="preserve">PPL has acknowledged that its reconciliation accounting method results in a mismatch between revenues and expenses for each reconciliation period, but argues that there are good reasons for the Commission to support it.  One of those reasons is that this method has been used by PPL and other </w:t>
      </w:r>
      <w:r w:rsidR="001C4E03" w:rsidRPr="00AC5D15">
        <w:rPr>
          <w:sz w:val="26"/>
          <w:szCs w:val="26"/>
        </w:rPr>
        <w:t xml:space="preserve">EDCs for thirty years.  </w:t>
      </w:r>
      <w:r w:rsidR="00EC5867" w:rsidRPr="00AC5D15">
        <w:rPr>
          <w:sz w:val="26"/>
          <w:szCs w:val="26"/>
        </w:rPr>
        <w:t xml:space="preserve">However, </w:t>
      </w:r>
      <w:r w:rsidRPr="00AC5D15">
        <w:rPr>
          <w:sz w:val="26"/>
          <w:szCs w:val="26"/>
        </w:rPr>
        <w:t xml:space="preserve">the OSBA argues that </w:t>
      </w:r>
      <w:r w:rsidR="00EC5867" w:rsidRPr="00AC5D15">
        <w:rPr>
          <w:sz w:val="26"/>
          <w:szCs w:val="26"/>
        </w:rPr>
        <w:t xml:space="preserve">there </w:t>
      </w:r>
      <w:r w:rsidR="008E3BC8" w:rsidRPr="00AC5D15">
        <w:rPr>
          <w:sz w:val="26"/>
          <w:szCs w:val="26"/>
        </w:rPr>
        <w:t>was no competition thirty</w:t>
      </w:r>
      <w:r w:rsidRPr="00AC5D15">
        <w:rPr>
          <w:sz w:val="26"/>
          <w:szCs w:val="26"/>
        </w:rPr>
        <w:t xml:space="preserve"> years ago and</w:t>
      </w:r>
      <w:r w:rsidR="00EC5867" w:rsidRPr="00AC5D15">
        <w:rPr>
          <w:sz w:val="26"/>
          <w:szCs w:val="26"/>
        </w:rPr>
        <w:t xml:space="preserve"> </w:t>
      </w:r>
      <w:r w:rsidRPr="00AC5D15">
        <w:rPr>
          <w:sz w:val="26"/>
          <w:szCs w:val="26"/>
        </w:rPr>
        <w:t>i</w:t>
      </w:r>
      <w:r w:rsidR="00EC5867" w:rsidRPr="00AC5D15">
        <w:rPr>
          <w:sz w:val="26"/>
          <w:szCs w:val="26"/>
        </w:rPr>
        <w:t xml:space="preserve">t was not a time of major rate increases as rate caps expired.  </w:t>
      </w:r>
      <w:r w:rsidRPr="00AC5D15">
        <w:rPr>
          <w:sz w:val="26"/>
          <w:szCs w:val="26"/>
        </w:rPr>
        <w:t>The OSBA argues that t</w:t>
      </w:r>
      <w:r w:rsidR="00EC5867" w:rsidRPr="00AC5D15">
        <w:rPr>
          <w:sz w:val="26"/>
          <w:szCs w:val="26"/>
        </w:rPr>
        <w:t xml:space="preserve">he fact that this method has been in place for thirty years may be an indicator of </w:t>
      </w:r>
      <w:r w:rsidRPr="00AC5D15">
        <w:rPr>
          <w:sz w:val="26"/>
          <w:szCs w:val="26"/>
        </w:rPr>
        <w:t xml:space="preserve">its irrelevance, rather </w:t>
      </w:r>
      <w:r w:rsidRPr="00AC5D15">
        <w:rPr>
          <w:sz w:val="26"/>
          <w:szCs w:val="26"/>
        </w:rPr>
        <w:lastRenderedPageBreak/>
        <w:t xml:space="preserve">than </w:t>
      </w:r>
      <w:r w:rsidR="00EC5867" w:rsidRPr="00AC5D15">
        <w:rPr>
          <w:sz w:val="26"/>
          <w:szCs w:val="26"/>
        </w:rPr>
        <w:t>being an indicator that the method is reasonable for today</w:t>
      </w:r>
      <w:r w:rsidR="00D64DAA" w:rsidRPr="00AC5D15">
        <w:rPr>
          <w:sz w:val="26"/>
          <w:szCs w:val="26"/>
        </w:rPr>
        <w:t>’</w:t>
      </w:r>
      <w:r w:rsidR="00EC5867" w:rsidRPr="00AC5D15">
        <w:rPr>
          <w:sz w:val="26"/>
          <w:szCs w:val="26"/>
        </w:rPr>
        <w:t xml:space="preserve">s circumstances.  </w:t>
      </w:r>
      <w:r w:rsidRPr="00AC5D15">
        <w:rPr>
          <w:sz w:val="26"/>
          <w:szCs w:val="26"/>
        </w:rPr>
        <w:t>OSBA R.</w:t>
      </w:r>
      <w:r w:rsidR="0021357B" w:rsidRPr="00AC5D15">
        <w:rPr>
          <w:sz w:val="26"/>
          <w:szCs w:val="26"/>
        </w:rPr>
        <w:t> </w:t>
      </w:r>
      <w:r w:rsidRPr="00AC5D15">
        <w:rPr>
          <w:sz w:val="26"/>
          <w:szCs w:val="26"/>
        </w:rPr>
        <w:t>Exc. at 10-11.</w:t>
      </w:r>
    </w:p>
    <w:p w:rsidR="00884651" w:rsidRPr="00AC5D15" w:rsidRDefault="00884651" w:rsidP="00B05E0D">
      <w:pPr>
        <w:spacing w:line="480" w:lineRule="auto"/>
        <w:jc w:val="left"/>
        <w:rPr>
          <w:sz w:val="26"/>
        </w:rPr>
      </w:pPr>
    </w:p>
    <w:p w:rsidR="00EC5867" w:rsidRPr="00AC5D15" w:rsidRDefault="0021357B" w:rsidP="00B05E0D">
      <w:pPr>
        <w:jc w:val="left"/>
        <w:rPr>
          <w:sz w:val="26"/>
          <w:szCs w:val="26"/>
        </w:rPr>
      </w:pPr>
      <w:r w:rsidRPr="00AC5D15">
        <w:rPr>
          <w:b/>
          <w:sz w:val="26"/>
          <w:szCs w:val="26"/>
        </w:rPr>
        <w:tab/>
      </w:r>
      <w:r w:rsidR="00EC5867" w:rsidRPr="00AC5D15">
        <w:rPr>
          <w:b/>
          <w:sz w:val="26"/>
          <w:szCs w:val="26"/>
        </w:rPr>
        <w:tab/>
      </w:r>
      <w:r w:rsidR="00495362" w:rsidRPr="00AC5D15">
        <w:rPr>
          <w:sz w:val="26"/>
          <w:szCs w:val="26"/>
        </w:rPr>
        <w:t>In response to PPL</w:t>
      </w:r>
      <w:r w:rsidR="00D64DAA" w:rsidRPr="00AC5D15">
        <w:rPr>
          <w:sz w:val="26"/>
          <w:szCs w:val="26"/>
        </w:rPr>
        <w:t>’</w:t>
      </w:r>
      <w:r w:rsidR="00495362" w:rsidRPr="00AC5D15">
        <w:rPr>
          <w:sz w:val="26"/>
          <w:szCs w:val="26"/>
        </w:rPr>
        <w:t xml:space="preserve">s Exception concerning its CWC allowance, the OSBA states </w:t>
      </w:r>
      <w:r w:rsidR="00EC5867" w:rsidRPr="00AC5D15">
        <w:rPr>
          <w:sz w:val="26"/>
          <w:szCs w:val="26"/>
        </w:rPr>
        <w:t xml:space="preserve">that to the extent that PPL believed that it had a legitimate CWC cost claim, PPL should have made a transparent claim for a CWC allowance in its base rates or default service rates proceedings.  Instead, </w:t>
      </w:r>
      <w:r w:rsidR="00495362" w:rsidRPr="00AC5D15">
        <w:rPr>
          <w:sz w:val="26"/>
          <w:szCs w:val="26"/>
        </w:rPr>
        <w:t xml:space="preserve">according to the OSBA, </w:t>
      </w:r>
      <w:r w:rsidR="00EC5867" w:rsidRPr="00AC5D15">
        <w:rPr>
          <w:sz w:val="26"/>
          <w:szCs w:val="26"/>
        </w:rPr>
        <w:t xml:space="preserve">PPL silently slipped this into its GSC calculation without making an affirmative request to the Commission for approval.  </w:t>
      </w:r>
      <w:r w:rsidR="00495362" w:rsidRPr="00AC5D15">
        <w:rPr>
          <w:sz w:val="26"/>
          <w:szCs w:val="26"/>
        </w:rPr>
        <w:t>OSBA avers that, as a result, n</w:t>
      </w:r>
      <w:r w:rsidR="00EC5867" w:rsidRPr="00AC5D15">
        <w:rPr>
          <w:sz w:val="26"/>
          <w:szCs w:val="26"/>
        </w:rPr>
        <w:t xml:space="preserve">o parties were able to evaluate or challenge either the method or the amount of this CWC allowance, and the Commission was never afforded the opportunity to approve a legitimate claim for working capital costs.  </w:t>
      </w:r>
      <w:r w:rsidR="00495362" w:rsidRPr="00AC5D15">
        <w:rPr>
          <w:sz w:val="26"/>
          <w:szCs w:val="26"/>
        </w:rPr>
        <w:t xml:space="preserve">The OSBA argues that </w:t>
      </w:r>
      <w:r w:rsidR="00EC5867" w:rsidRPr="00AC5D15">
        <w:rPr>
          <w:sz w:val="26"/>
          <w:szCs w:val="26"/>
        </w:rPr>
        <w:t>PPL had every opportunity to openly m</w:t>
      </w:r>
      <w:r w:rsidR="00495362" w:rsidRPr="00AC5D15">
        <w:rPr>
          <w:sz w:val="26"/>
          <w:szCs w:val="26"/>
        </w:rPr>
        <w:t>ake a claim for working capital</w:t>
      </w:r>
      <w:r w:rsidR="00294D2B" w:rsidRPr="00AC5D15">
        <w:rPr>
          <w:sz w:val="26"/>
          <w:szCs w:val="26"/>
        </w:rPr>
        <w:t>,</w:t>
      </w:r>
      <w:r w:rsidR="00495362" w:rsidRPr="00AC5D15">
        <w:rPr>
          <w:sz w:val="26"/>
          <w:szCs w:val="26"/>
        </w:rPr>
        <w:t xml:space="preserve"> and</w:t>
      </w:r>
      <w:r w:rsidR="00EC5867" w:rsidRPr="00AC5D15">
        <w:rPr>
          <w:sz w:val="26"/>
          <w:szCs w:val="26"/>
        </w:rPr>
        <w:t xml:space="preserve"> </w:t>
      </w:r>
      <w:r w:rsidR="00294D2B" w:rsidRPr="00AC5D15">
        <w:rPr>
          <w:sz w:val="26"/>
          <w:szCs w:val="26"/>
        </w:rPr>
        <w:t xml:space="preserve">that </w:t>
      </w:r>
      <w:r w:rsidR="00495362" w:rsidRPr="00AC5D15">
        <w:rPr>
          <w:sz w:val="26"/>
          <w:szCs w:val="26"/>
        </w:rPr>
        <w:t>i</w:t>
      </w:r>
      <w:r w:rsidR="00EC5867" w:rsidRPr="00AC5D15">
        <w:rPr>
          <w:sz w:val="26"/>
          <w:szCs w:val="26"/>
        </w:rPr>
        <w:t>t is disingenuous to now use a CWC benefit that it has unfairly obtained as a justification for a flawed accounting method.</w:t>
      </w:r>
      <w:r w:rsidR="00495362" w:rsidRPr="00AC5D15">
        <w:rPr>
          <w:sz w:val="26"/>
          <w:szCs w:val="26"/>
        </w:rPr>
        <w:t xml:space="preserve">  OSBA R. Exc. at 11-12.</w:t>
      </w:r>
    </w:p>
    <w:p w:rsidR="00495362" w:rsidRPr="00AC5D15" w:rsidRDefault="00495362" w:rsidP="00B05E0D">
      <w:pPr>
        <w:spacing w:line="480" w:lineRule="auto"/>
        <w:rPr>
          <w:sz w:val="26"/>
        </w:rPr>
      </w:pPr>
    </w:p>
    <w:p w:rsidR="00EC5867" w:rsidRPr="00AC5D15" w:rsidRDefault="004C42EF" w:rsidP="00B05E0D">
      <w:pPr>
        <w:ind w:firstLine="1440"/>
        <w:jc w:val="left"/>
        <w:rPr>
          <w:sz w:val="26"/>
          <w:szCs w:val="26"/>
        </w:rPr>
      </w:pPr>
      <w:r w:rsidRPr="00AC5D15">
        <w:rPr>
          <w:sz w:val="26"/>
          <w:szCs w:val="26"/>
        </w:rPr>
        <w:t>Next, the OSBA states that it is unnecessary to apply the recommended accounting change to all EDCs as argued by PPL.  According to the OSBA, it</w:t>
      </w:r>
      <w:r w:rsidR="00EC5867" w:rsidRPr="00AC5D15">
        <w:rPr>
          <w:sz w:val="26"/>
          <w:szCs w:val="26"/>
        </w:rPr>
        <w:t xml:space="preserve"> has not argued in this proceeding, and the </w:t>
      </w:r>
      <w:r w:rsidRPr="00AC5D15">
        <w:rPr>
          <w:sz w:val="26"/>
          <w:szCs w:val="26"/>
        </w:rPr>
        <w:t>ALJ</w:t>
      </w:r>
      <w:r w:rsidR="00EC5867" w:rsidRPr="00AC5D15">
        <w:rPr>
          <w:sz w:val="26"/>
          <w:szCs w:val="26"/>
        </w:rPr>
        <w:t xml:space="preserve"> does not recommend, that changes to PPL</w:t>
      </w:r>
      <w:r w:rsidR="00D64DAA" w:rsidRPr="00AC5D15">
        <w:rPr>
          <w:sz w:val="26"/>
          <w:szCs w:val="26"/>
        </w:rPr>
        <w:t>’</w:t>
      </w:r>
      <w:r w:rsidR="00EC5867" w:rsidRPr="00AC5D15">
        <w:rPr>
          <w:sz w:val="26"/>
          <w:szCs w:val="26"/>
        </w:rPr>
        <w:t xml:space="preserve">s accounting method be instituted by all EDCs. </w:t>
      </w:r>
      <w:r w:rsidRPr="00AC5D15">
        <w:rPr>
          <w:sz w:val="26"/>
          <w:szCs w:val="26"/>
        </w:rPr>
        <w:t xml:space="preserve"> </w:t>
      </w:r>
      <w:r w:rsidR="00EC5867" w:rsidRPr="00AC5D15">
        <w:rPr>
          <w:sz w:val="26"/>
          <w:szCs w:val="26"/>
        </w:rPr>
        <w:t xml:space="preserve">However, </w:t>
      </w:r>
      <w:r w:rsidRPr="00AC5D15">
        <w:rPr>
          <w:sz w:val="26"/>
          <w:szCs w:val="26"/>
        </w:rPr>
        <w:t xml:space="preserve">the OSBA opines that </w:t>
      </w:r>
      <w:r w:rsidR="00EC5867" w:rsidRPr="00AC5D15">
        <w:rPr>
          <w:sz w:val="26"/>
          <w:szCs w:val="26"/>
        </w:rPr>
        <w:t>if the Commission agrees with the OSBA and the ALJ that a change in accounting methodology is appropriate for PPL, it may wish to investigate whether such a change would be appropriate for the other EDCs that use the same methodology.</w:t>
      </w:r>
      <w:r w:rsidRPr="00AC5D15">
        <w:rPr>
          <w:sz w:val="26"/>
          <w:szCs w:val="26"/>
        </w:rPr>
        <w:t xml:space="preserve">  OSBA R. Exc. at 12.</w:t>
      </w:r>
    </w:p>
    <w:p w:rsidR="004C42EF" w:rsidRPr="00AC5D15" w:rsidRDefault="004C42EF" w:rsidP="00B05E0D">
      <w:pPr>
        <w:ind w:firstLine="1440"/>
        <w:jc w:val="left"/>
        <w:rPr>
          <w:sz w:val="26"/>
          <w:szCs w:val="26"/>
        </w:rPr>
      </w:pPr>
    </w:p>
    <w:p w:rsidR="00EC5867" w:rsidRPr="00AC5D15" w:rsidRDefault="004C42EF" w:rsidP="00B05E0D">
      <w:pPr>
        <w:ind w:firstLine="1440"/>
        <w:jc w:val="left"/>
        <w:rPr>
          <w:sz w:val="26"/>
          <w:szCs w:val="26"/>
        </w:rPr>
      </w:pPr>
      <w:r w:rsidRPr="00AC5D15">
        <w:rPr>
          <w:sz w:val="26"/>
        </w:rPr>
        <w:t>Furthermore, t</w:t>
      </w:r>
      <w:r w:rsidRPr="00AC5D15">
        <w:rPr>
          <w:sz w:val="26"/>
          <w:szCs w:val="26"/>
        </w:rPr>
        <w:t xml:space="preserve">he OSBA argues that applying the accounting change </w:t>
      </w:r>
      <w:r w:rsidR="00294D2B" w:rsidRPr="00AC5D15">
        <w:rPr>
          <w:sz w:val="26"/>
          <w:szCs w:val="26"/>
        </w:rPr>
        <w:t xml:space="preserve">only </w:t>
      </w:r>
      <w:r w:rsidRPr="00AC5D15">
        <w:rPr>
          <w:sz w:val="26"/>
          <w:szCs w:val="26"/>
        </w:rPr>
        <w:t xml:space="preserve">prospectively </w:t>
      </w:r>
      <w:r w:rsidR="00294D2B" w:rsidRPr="00AC5D15">
        <w:rPr>
          <w:sz w:val="26"/>
          <w:szCs w:val="26"/>
        </w:rPr>
        <w:t>would be</w:t>
      </w:r>
      <w:r w:rsidRPr="00AC5D15">
        <w:rPr>
          <w:sz w:val="26"/>
          <w:szCs w:val="26"/>
        </w:rPr>
        <w:t xml:space="preserve"> inadequate.  The OSBA requests that</w:t>
      </w:r>
      <w:r w:rsidR="00294D2B" w:rsidRPr="00AC5D15">
        <w:rPr>
          <w:sz w:val="26"/>
          <w:szCs w:val="26"/>
        </w:rPr>
        <w:t>,</w:t>
      </w:r>
      <w:r w:rsidRPr="00AC5D15">
        <w:rPr>
          <w:sz w:val="26"/>
          <w:szCs w:val="26"/>
        </w:rPr>
        <w:t xml:space="preserve"> i</w:t>
      </w:r>
      <w:r w:rsidR="00EC5867" w:rsidRPr="00AC5D15">
        <w:rPr>
          <w:sz w:val="26"/>
          <w:szCs w:val="26"/>
        </w:rPr>
        <w:t>f the Commiss</w:t>
      </w:r>
      <w:r w:rsidRPr="00AC5D15">
        <w:rPr>
          <w:sz w:val="26"/>
          <w:szCs w:val="26"/>
        </w:rPr>
        <w:t>ion adopts the ALJ</w:t>
      </w:r>
      <w:r w:rsidR="00D64DAA" w:rsidRPr="00AC5D15">
        <w:rPr>
          <w:sz w:val="26"/>
          <w:szCs w:val="26"/>
        </w:rPr>
        <w:t>’</w:t>
      </w:r>
      <w:r w:rsidRPr="00AC5D15">
        <w:rPr>
          <w:sz w:val="26"/>
          <w:szCs w:val="26"/>
        </w:rPr>
        <w:t>s recommendation</w:t>
      </w:r>
      <w:r w:rsidR="00EC5867" w:rsidRPr="00AC5D15">
        <w:rPr>
          <w:sz w:val="26"/>
          <w:szCs w:val="26"/>
        </w:rPr>
        <w:t xml:space="preserve"> and finds that PPL</w:t>
      </w:r>
      <w:r w:rsidR="00D64DAA" w:rsidRPr="00AC5D15">
        <w:rPr>
          <w:sz w:val="26"/>
          <w:szCs w:val="26"/>
        </w:rPr>
        <w:t>’</w:t>
      </w:r>
      <w:r w:rsidR="00EC5867" w:rsidRPr="00AC5D15">
        <w:rPr>
          <w:sz w:val="26"/>
          <w:szCs w:val="26"/>
        </w:rPr>
        <w:t>s accounting methodology resulted in unreasonable rates, then appropriate</w:t>
      </w:r>
      <w:r w:rsidR="00294D2B" w:rsidRPr="00AC5D15">
        <w:rPr>
          <w:sz w:val="26"/>
          <w:szCs w:val="26"/>
        </w:rPr>
        <w:t xml:space="preserve"> refunds should be made to the S</w:t>
      </w:r>
      <w:r w:rsidR="008E3BC8" w:rsidRPr="00AC5D15">
        <w:rPr>
          <w:sz w:val="26"/>
          <w:szCs w:val="26"/>
        </w:rPr>
        <w:t xml:space="preserve">mall </w:t>
      </w:r>
      <w:r w:rsidR="00EC5867" w:rsidRPr="00AC5D15">
        <w:rPr>
          <w:sz w:val="26"/>
          <w:szCs w:val="26"/>
        </w:rPr>
        <w:t xml:space="preserve">C&amp;I customers </w:t>
      </w:r>
      <w:r w:rsidR="00EC5867" w:rsidRPr="00AC5D15">
        <w:rPr>
          <w:sz w:val="26"/>
          <w:szCs w:val="26"/>
        </w:rPr>
        <w:lastRenderedPageBreak/>
        <w:t xml:space="preserve">who paid those unreasonable rates in the summer of 2011. </w:t>
      </w:r>
      <w:r w:rsidR="009F2DF6" w:rsidRPr="00AC5D15">
        <w:rPr>
          <w:sz w:val="26"/>
          <w:szCs w:val="26"/>
        </w:rPr>
        <w:t xml:space="preserve"> The OSBA opines that t</w:t>
      </w:r>
      <w:r w:rsidR="00EC5867" w:rsidRPr="00AC5D15">
        <w:rPr>
          <w:sz w:val="26"/>
          <w:szCs w:val="26"/>
        </w:rPr>
        <w:t>hese rates are not Commission-made as they have not yet bee</w:t>
      </w:r>
      <w:r w:rsidR="009F2DF6" w:rsidRPr="00AC5D15">
        <w:rPr>
          <w:sz w:val="26"/>
          <w:szCs w:val="26"/>
        </w:rPr>
        <w:t>n adjudicated by the Commission and</w:t>
      </w:r>
      <w:r w:rsidR="00EC5867" w:rsidRPr="00AC5D15">
        <w:rPr>
          <w:sz w:val="26"/>
          <w:szCs w:val="26"/>
        </w:rPr>
        <w:t xml:space="preserve"> </w:t>
      </w:r>
      <w:r w:rsidR="009F2DF6" w:rsidRPr="00AC5D15">
        <w:rPr>
          <w:sz w:val="26"/>
          <w:szCs w:val="26"/>
        </w:rPr>
        <w:t>i</w:t>
      </w:r>
      <w:r w:rsidR="00EC5867" w:rsidRPr="00AC5D15">
        <w:rPr>
          <w:sz w:val="26"/>
          <w:szCs w:val="26"/>
        </w:rPr>
        <w:t xml:space="preserve">f a rate is not </w:t>
      </w:r>
      <w:r w:rsidR="00D64DAA" w:rsidRPr="00AC5D15">
        <w:rPr>
          <w:sz w:val="26"/>
          <w:szCs w:val="26"/>
        </w:rPr>
        <w:t>“</w:t>
      </w:r>
      <w:r w:rsidR="00EC5867" w:rsidRPr="00AC5D15">
        <w:rPr>
          <w:sz w:val="26"/>
          <w:szCs w:val="26"/>
        </w:rPr>
        <w:t>Commission-made,</w:t>
      </w:r>
      <w:r w:rsidR="00D64DAA" w:rsidRPr="00AC5D15">
        <w:rPr>
          <w:sz w:val="26"/>
          <w:szCs w:val="26"/>
        </w:rPr>
        <w:t>”</w:t>
      </w:r>
      <w:r w:rsidR="00EC5867" w:rsidRPr="00AC5D15">
        <w:rPr>
          <w:sz w:val="26"/>
          <w:szCs w:val="26"/>
        </w:rPr>
        <w:t xml:space="preserve"> a public utility cannot validly expect the charge to be insulated from retroactive modification by the Commission</w:t>
      </w:r>
      <w:r w:rsidR="009F2DF6" w:rsidRPr="00AC5D15">
        <w:rPr>
          <w:sz w:val="26"/>
          <w:szCs w:val="26"/>
        </w:rPr>
        <w:t xml:space="preserve">. </w:t>
      </w:r>
      <w:r w:rsidR="00EC5867" w:rsidRPr="00AC5D15">
        <w:rPr>
          <w:sz w:val="26"/>
          <w:szCs w:val="26"/>
        </w:rPr>
        <w:t xml:space="preserve"> </w:t>
      </w:r>
      <w:r w:rsidR="009F2DF6" w:rsidRPr="00AC5D15">
        <w:rPr>
          <w:sz w:val="26"/>
          <w:szCs w:val="26"/>
        </w:rPr>
        <w:t xml:space="preserve">Additionally, the OSBA avers that </w:t>
      </w:r>
      <w:r w:rsidR="00EC5867" w:rsidRPr="00AC5D15">
        <w:rPr>
          <w:sz w:val="26"/>
          <w:szCs w:val="26"/>
        </w:rPr>
        <w:t>refunds</w:t>
      </w:r>
      <w:r w:rsidR="00FD331C" w:rsidRPr="00AC5D15">
        <w:rPr>
          <w:sz w:val="26"/>
          <w:szCs w:val="26"/>
        </w:rPr>
        <w:t xml:space="preserve"> </w:t>
      </w:r>
      <w:r w:rsidR="00EC5867" w:rsidRPr="00AC5D15">
        <w:rPr>
          <w:sz w:val="26"/>
          <w:szCs w:val="26"/>
        </w:rPr>
        <w:t xml:space="preserve">ultimately </w:t>
      </w:r>
      <w:r w:rsidR="00FD331C" w:rsidRPr="00AC5D15">
        <w:rPr>
          <w:sz w:val="26"/>
          <w:szCs w:val="26"/>
        </w:rPr>
        <w:t xml:space="preserve">may </w:t>
      </w:r>
      <w:r w:rsidR="00EC5867" w:rsidRPr="00AC5D15">
        <w:rPr>
          <w:sz w:val="26"/>
          <w:szCs w:val="26"/>
        </w:rPr>
        <w:t>be appropriate for reasons other than PPL</w:t>
      </w:r>
      <w:r w:rsidR="00D64DAA" w:rsidRPr="00AC5D15">
        <w:rPr>
          <w:sz w:val="26"/>
          <w:szCs w:val="26"/>
        </w:rPr>
        <w:t>’</w:t>
      </w:r>
      <w:r w:rsidR="00EC5867" w:rsidRPr="00AC5D15">
        <w:rPr>
          <w:sz w:val="26"/>
          <w:szCs w:val="26"/>
        </w:rPr>
        <w:t>s accounting mismatch.  A</w:t>
      </w:r>
      <w:r w:rsidR="009F2DF6" w:rsidRPr="00AC5D15">
        <w:rPr>
          <w:sz w:val="26"/>
          <w:szCs w:val="26"/>
        </w:rPr>
        <w:t>ccording to</w:t>
      </w:r>
      <w:r w:rsidR="00EC5867" w:rsidRPr="00AC5D15">
        <w:rPr>
          <w:sz w:val="26"/>
          <w:szCs w:val="26"/>
        </w:rPr>
        <w:t xml:space="preserve"> the OSBA, the accounting issue only explains a portion of PPL</w:t>
      </w:r>
      <w:r w:rsidR="00D64DAA" w:rsidRPr="00AC5D15">
        <w:rPr>
          <w:sz w:val="26"/>
          <w:szCs w:val="26"/>
        </w:rPr>
        <w:t>’</w:t>
      </w:r>
      <w:r w:rsidR="00EC5867" w:rsidRPr="00AC5D15">
        <w:rPr>
          <w:sz w:val="26"/>
          <w:szCs w:val="26"/>
        </w:rPr>
        <w:t>s reported under</w:t>
      </w:r>
      <w:r w:rsidR="009F2DF6" w:rsidRPr="00AC5D15">
        <w:rPr>
          <w:sz w:val="26"/>
          <w:szCs w:val="26"/>
        </w:rPr>
        <w:t xml:space="preserve"> collection as t</w:t>
      </w:r>
      <w:r w:rsidR="00EC5867" w:rsidRPr="00AC5D15">
        <w:rPr>
          <w:sz w:val="26"/>
          <w:szCs w:val="26"/>
        </w:rPr>
        <w:t xml:space="preserve">here also appears to be an under-reporting </w:t>
      </w:r>
      <w:r w:rsidR="009F2DF6" w:rsidRPr="00AC5D15">
        <w:rPr>
          <w:sz w:val="26"/>
          <w:szCs w:val="26"/>
        </w:rPr>
        <w:t xml:space="preserve">of </w:t>
      </w:r>
      <w:r w:rsidR="00EC5867" w:rsidRPr="00AC5D15">
        <w:rPr>
          <w:sz w:val="26"/>
          <w:szCs w:val="26"/>
        </w:rPr>
        <w:t>revenues.</w:t>
      </w:r>
      <w:r w:rsidR="009F2DF6" w:rsidRPr="00AC5D15">
        <w:rPr>
          <w:sz w:val="26"/>
          <w:szCs w:val="26"/>
        </w:rPr>
        <w:t xml:space="preserve">  OSBA R. Exc. at 12-13.</w:t>
      </w:r>
    </w:p>
    <w:p w:rsidR="00B6670D" w:rsidRPr="00AC5D15" w:rsidRDefault="00B6670D" w:rsidP="00B05E0D">
      <w:pPr>
        <w:ind w:firstLine="1440"/>
        <w:jc w:val="left"/>
        <w:rPr>
          <w:sz w:val="26"/>
          <w:szCs w:val="26"/>
        </w:rPr>
      </w:pPr>
    </w:p>
    <w:p w:rsidR="00EC5867" w:rsidRPr="00AC5D15" w:rsidRDefault="00EC5867" w:rsidP="00B05E0D">
      <w:pPr>
        <w:jc w:val="left"/>
        <w:rPr>
          <w:sz w:val="26"/>
          <w:szCs w:val="26"/>
        </w:rPr>
      </w:pPr>
      <w:r w:rsidRPr="00AC5D15">
        <w:rPr>
          <w:b/>
          <w:sz w:val="26"/>
          <w:szCs w:val="26"/>
        </w:rPr>
        <w:tab/>
      </w:r>
      <w:r w:rsidRPr="00AC5D15">
        <w:rPr>
          <w:b/>
          <w:sz w:val="26"/>
          <w:szCs w:val="26"/>
        </w:rPr>
        <w:tab/>
      </w:r>
      <w:r w:rsidR="00132809" w:rsidRPr="00AC5D15">
        <w:rPr>
          <w:sz w:val="26"/>
          <w:szCs w:val="26"/>
        </w:rPr>
        <w:t xml:space="preserve">Finally, the OSBA </w:t>
      </w:r>
      <w:r w:rsidR="0021357B" w:rsidRPr="00AC5D15">
        <w:rPr>
          <w:sz w:val="26"/>
          <w:szCs w:val="26"/>
        </w:rPr>
        <w:t>contends</w:t>
      </w:r>
      <w:r w:rsidR="00132809" w:rsidRPr="00AC5D15">
        <w:rPr>
          <w:sz w:val="26"/>
          <w:szCs w:val="26"/>
        </w:rPr>
        <w:t xml:space="preserve"> that </w:t>
      </w:r>
      <w:r w:rsidRPr="00AC5D15">
        <w:rPr>
          <w:sz w:val="26"/>
          <w:szCs w:val="26"/>
        </w:rPr>
        <w:t>PPL</w:t>
      </w:r>
      <w:r w:rsidR="00D64DAA" w:rsidRPr="00AC5D15">
        <w:rPr>
          <w:sz w:val="26"/>
          <w:szCs w:val="26"/>
        </w:rPr>
        <w:t>’</w:t>
      </w:r>
      <w:r w:rsidRPr="00AC5D15">
        <w:rPr>
          <w:sz w:val="26"/>
          <w:szCs w:val="26"/>
        </w:rPr>
        <w:t>s 2010 under</w:t>
      </w:r>
      <w:r w:rsidR="00132809" w:rsidRPr="00AC5D15">
        <w:rPr>
          <w:sz w:val="26"/>
          <w:szCs w:val="26"/>
        </w:rPr>
        <w:t xml:space="preserve"> </w:t>
      </w:r>
      <w:r w:rsidRPr="00AC5D15">
        <w:rPr>
          <w:sz w:val="26"/>
          <w:szCs w:val="26"/>
        </w:rPr>
        <w:t xml:space="preserve">collection was not caused by </w:t>
      </w:r>
      <w:r w:rsidR="00132809" w:rsidRPr="00AC5D15">
        <w:rPr>
          <w:sz w:val="26"/>
          <w:szCs w:val="26"/>
        </w:rPr>
        <w:t xml:space="preserve">the </w:t>
      </w:r>
      <w:r w:rsidRPr="00AC5D15">
        <w:rPr>
          <w:sz w:val="26"/>
          <w:szCs w:val="26"/>
        </w:rPr>
        <w:t>quarterly reconciliation of default service costs.  Quarterly reconciliation merely made the impact of that under</w:t>
      </w:r>
      <w:r w:rsidR="00132809" w:rsidRPr="00AC5D15">
        <w:rPr>
          <w:sz w:val="26"/>
          <w:szCs w:val="26"/>
        </w:rPr>
        <w:t xml:space="preserve"> </w:t>
      </w:r>
      <w:r w:rsidRPr="00AC5D15">
        <w:rPr>
          <w:sz w:val="26"/>
          <w:szCs w:val="26"/>
        </w:rPr>
        <w:t>collection more extreme, because it required the under</w:t>
      </w:r>
      <w:r w:rsidR="00132809" w:rsidRPr="00AC5D15">
        <w:rPr>
          <w:sz w:val="26"/>
          <w:szCs w:val="26"/>
        </w:rPr>
        <w:t xml:space="preserve"> </w:t>
      </w:r>
      <w:r w:rsidRPr="00AC5D15">
        <w:rPr>
          <w:sz w:val="26"/>
          <w:szCs w:val="26"/>
        </w:rPr>
        <w:t>collec</w:t>
      </w:r>
      <w:r w:rsidR="00FF6F61" w:rsidRPr="00AC5D15">
        <w:rPr>
          <w:sz w:val="26"/>
          <w:szCs w:val="26"/>
        </w:rPr>
        <w:t>tion to be recovered over only three months (or five</w:t>
      </w:r>
      <w:r w:rsidRPr="00AC5D15">
        <w:rPr>
          <w:sz w:val="26"/>
          <w:szCs w:val="26"/>
        </w:rPr>
        <w:t xml:space="preserve"> months, in the case of the first </w:t>
      </w:r>
      <w:r w:rsidR="00D64DAA" w:rsidRPr="00AC5D15">
        <w:rPr>
          <w:sz w:val="26"/>
          <w:szCs w:val="26"/>
        </w:rPr>
        <w:t>“</w:t>
      </w:r>
      <w:r w:rsidRPr="00AC5D15">
        <w:rPr>
          <w:sz w:val="26"/>
          <w:szCs w:val="26"/>
        </w:rPr>
        <w:t>quarter</w:t>
      </w:r>
      <w:r w:rsidR="00D64DAA" w:rsidRPr="00AC5D15">
        <w:rPr>
          <w:sz w:val="26"/>
          <w:szCs w:val="26"/>
        </w:rPr>
        <w:t>”</w:t>
      </w:r>
      <w:r w:rsidRPr="00AC5D15">
        <w:rPr>
          <w:sz w:val="26"/>
          <w:szCs w:val="26"/>
        </w:rPr>
        <w:t xml:space="preserve"> of 2011) instead of a year</w:t>
      </w:r>
      <w:r w:rsidR="00132809" w:rsidRPr="00AC5D15">
        <w:rPr>
          <w:sz w:val="26"/>
          <w:szCs w:val="26"/>
        </w:rPr>
        <w:t>, according to the OSBA</w:t>
      </w:r>
      <w:r w:rsidRPr="00AC5D15">
        <w:rPr>
          <w:sz w:val="26"/>
          <w:szCs w:val="26"/>
        </w:rPr>
        <w:t xml:space="preserve">.  </w:t>
      </w:r>
      <w:r w:rsidR="00132809" w:rsidRPr="00AC5D15">
        <w:rPr>
          <w:sz w:val="26"/>
          <w:szCs w:val="26"/>
        </w:rPr>
        <w:t>While t</w:t>
      </w:r>
      <w:r w:rsidRPr="00AC5D15">
        <w:rPr>
          <w:sz w:val="26"/>
          <w:szCs w:val="26"/>
        </w:rPr>
        <w:t>he OSBA agrees that annual reconciliation would have smoothed out the effects of the reported under</w:t>
      </w:r>
      <w:r w:rsidR="00132809" w:rsidRPr="00AC5D15">
        <w:rPr>
          <w:sz w:val="26"/>
          <w:szCs w:val="26"/>
        </w:rPr>
        <w:t xml:space="preserve"> </w:t>
      </w:r>
      <w:r w:rsidRPr="00AC5D15">
        <w:rPr>
          <w:sz w:val="26"/>
          <w:szCs w:val="26"/>
        </w:rPr>
        <w:t>collection by spreading recovery over a longer period of time</w:t>
      </w:r>
      <w:r w:rsidR="00132809" w:rsidRPr="00AC5D15">
        <w:rPr>
          <w:sz w:val="26"/>
          <w:szCs w:val="26"/>
        </w:rPr>
        <w:t xml:space="preserve">, </w:t>
      </w:r>
      <w:r w:rsidRPr="00AC5D15">
        <w:rPr>
          <w:sz w:val="26"/>
          <w:szCs w:val="26"/>
        </w:rPr>
        <w:t>PPL</w:t>
      </w:r>
      <w:r w:rsidR="00D64DAA" w:rsidRPr="00AC5D15">
        <w:rPr>
          <w:sz w:val="26"/>
          <w:szCs w:val="26"/>
        </w:rPr>
        <w:t>’</w:t>
      </w:r>
      <w:r w:rsidRPr="00AC5D15">
        <w:rPr>
          <w:sz w:val="26"/>
          <w:szCs w:val="26"/>
        </w:rPr>
        <w:t xml:space="preserve">s </w:t>
      </w:r>
      <w:r w:rsidR="00FD331C" w:rsidRPr="00AC5D15">
        <w:rPr>
          <w:sz w:val="26"/>
          <w:szCs w:val="26"/>
        </w:rPr>
        <w:t>argument</w:t>
      </w:r>
      <w:r w:rsidRPr="00AC5D15">
        <w:rPr>
          <w:sz w:val="26"/>
          <w:szCs w:val="26"/>
        </w:rPr>
        <w:t xml:space="preserve"> fails for two reasons.  First, </w:t>
      </w:r>
      <w:r w:rsidR="00132809" w:rsidRPr="00AC5D15">
        <w:rPr>
          <w:sz w:val="26"/>
          <w:szCs w:val="26"/>
        </w:rPr>
        <w:t xml:space="preserve">the OSBA avers that </w:t>
      </w:r>
      <w:r w:rsidRPr="00AC5D15">
        <w:rPr>
          <w:sz w:val="26"/>
          <w:szCs w:val="26"/>
        </w:rPr>
        <w:t>PPL</w:t>
      </w:r>
      <w:r w:rsidR="00D64DAA" w:rsidRPr="00AC5D15">
        <w:rPr>
          <w:sz w:val="26"/>
          <w:szCs w:val="26"/>
        </w:rPr>
        <w:t>’</w:t>
      </w:r>
      <w:r w:rsidRPr="00AC5D15">
        <w:rPr>
          <w:sz w:val="26"/>
          <w:szCs w:val="26"/>
        </w:rPr>
        <w:t>s attempt to blame the Commission</w:t>
      </w:r>
      <w:r w:rsidR="00132809" w:rsidRPr="00AC5D15">
        <w:rPr>
          <w:sz w:val="26"/>
          <w:szCs w:val="26"/>
        </w:rPr>
        <w:t xml:space="preserve"> for this problem is misguided as the Commission </w:t>
      </w:r>
      <w:r w:rsidRPr="00AC5D15">
        <w:rPr>
          <w:sz w:val="26"/>
          <w:szCs w:val="26"/>
        </w:rPr>
        <w:t xml:space="preserve">explicitly approved </w:t>
      </w:r>
      <w:r w:rsidR="00132809" w:rsidRPr="00AC5D15">
        <w:rPr>
          <w:sz w:val="26"/>
          <w:szCs w:val="26"/>
        </w:rPr>
        <w:t>quarterly reconciliation in</w:t>
      </w:r>
      <w:r w:rsidRPr="00AC5D15">
        <w:rPr>
          <w:sz w:val="26"/>
          <w:szCs w:val="26"/>
        </w:rPr>
        <w:t xml:space="preserve"> th</w:t>
      </w:r>
      <w:r w:rsidR="00132809" w:rsidRPr="00AC5D15">
        <w:rPr>
          <w:sz w:val="26"/>
          <w:szCs w:val="26"/>
        </w:rPr>
        <w:t>e CBP</w:t>
      </w:r>
      <w:r w:rsidR="00FD331C" w:rsidRPr="00AC5D15">
        <w:rPr>
          <w:sz w:val="26"/>
          <w:szCs w:val="26"/>
        </w:rPr>
        <w:t xml:space="preserve"> despite the fact that PPL </w:t>
      </w:r>
      <w:r w:rsidRPr="00AC5D15">
        <w:rPr>
          <w:sz w:val="26"/>
          <w:szCs w:val="26"/>
        </w:rPr>
        <w:t xml:space="preserve">originally </w:t>
      </w:r>
      <w:r w:rsidR="00FD331C" w:rsidRPr="00AC5D15">
        <w:rPr>
          <w:sz w:val="26"/>
          <w:szCs w:val="26"/>
        </w:rPr>
        <w:t xml:space="preserve">had </w:t>
      </w:r>
      <w:r w:rsidRPr="00AC5D15">
        <w:rPr>
          <w:sz w:val="26"/>
          <w:szCs w:val="26"/>
        </w:rPr>
        <w:t xml:space="preserve">proposed a 12-month reconciliation period. </w:t>
      </w:r>
      <w:r w:rsidR="00FF6F61" w:rsidRPr="00AC5D15">
        <w:rPr>
          <w:sz w:val="26"/>
          <w:szCs w:val="26"/>
        </w:rPr>
        <w:t xml:space="preserve"> </w:t>
      </w:r>
      <w:r w:rsidR="00132809" w:rsidRPr="00AC5D15">
        <w:rPr>
          <w:sz w:val="26"/>
          <w:szCs w:val="26"/>
        </w:rPr>
        <w:t>The OSBA proffers that t</w:t>
      </w:r>
      <w:r w:rsidRPr="00AC5D15">
        <w:rPr>
          <w:sz w:val="26"/>
          <w:szCs w:val="26"/>
        </w:rPr>
        <w:t>he Commission presumably did so in order to reflect the circumstances which face electric market participants today, rat</w:t>
      </w:r>
      <w:r w:rsidR="00132809" w:rsidRPr="00AC5D15">
        <w:rPr>
          <w:sz w:val="26"/>
          <w:szCs w:val="26"/>
        </w:rPr>
        <w:t>her than the circumstances of thirty</w:t>
      </w:r>
      <w:r w:rsidRPr="00AC5D15">
        <w:rPr>
          <w:sz w:val="26"/>
          <w:szCs w:val="26"/>
        </w:rPr>
        <w:t xml:space="preserve"> years ago which gave rise to the methodology that PPL prefers.  </w:t>
      </w:r>
      <w:r w:rsidR="00132809" w:rsidRPr="00AC5D15">
        <w:rPr>
          <w:sz w:val="26"/>
          <w:szCs w:val="26"/>
        </w:rPr>
        <w:t>T</w:t>
      </w:r>
      <w:r w:rsidRPr="00AC5D15">
        <w:rPr>
          <w:sz w:val="26"/>
          <w:szCs w:val="26"/>
        </w:rPr>
        <w:t>herefore</w:t>
      </w:r>
      <w:r w:rsidR="00132809" w:rsidRPr="00AC5D15">
        <w:rPr>
          <w:sz w:val="26"/>
          <w:szCs w:val="26"/>
        </w:rPr>
        <w:t>, the OSBA argues it is</w:t>
      </w:r>
      <w:r w:rsidRPr="00AC5D15">
        <w:rPr>
          <w:sz w:val="26"/>
          <w:szCs w:val="26"/>
        </w:rPr>
        <w:t xml:space="preserve"> inappropriate for PPL to doggedly cling to an outdated methodology that quite obviously is ineffective in accomplishing the Commission</w:t>
      </w:r>
      <w:r w:rsidR="00D64DAA" w:rsidRPr="00AC5D15">
        <w:rPr>
          <w:sz w:val="26"/>
          <w:szCs w:val="26"/>
        </w:rPr>
        <w:t>’</w:t>
      </w:r>
      <w:r w:rsidRPr="00AC5D15">
        <w:rPr>
          <w:sz w:val="26"/>
          <w:szCs w:val="26"/>
        </w:rPr>
        <w:t>s objectives for today</w:t>
      </w:r>
      <w:r w:rsidR="00D64DAA" w:rsidRPr="00AC5D15">
        <w:rPr>
          <w:sz w:val="26"/>
          <w:szCs w:val="26"/>
        </w:rPr>
        <w:t>’</w:t>
      </w:r>
      <w:r w:rsidRPr="00AC5D15">
        <w:rPr>
          <w:sz w:val="26"/>
          <w:szCs w:val="26"/>
        </w:rPr>
        <w:t>s marketplace.</w:t>
      </w:r>
      <w:r w:rsidR="00132809" w:rsidRPr="00AC5D15">
        <w:rPr>
          <w:sz w:val="26"/>
          <w:szCs w:val="26"/>
        </w:rPr>
        <w:t xml:space="preserve">  </w:t>
      </w:r>
      <w:r w:rsidRPr="00AC5D15">
        <w:rPr>
          <w:sz w:val="26"/>
          <w:szCs w:val="26"/>
        </w:rPr>
        <w:t xml:space="preserve">Second, </w:t>
      </w:r>
      <w:r w:rsidR="00132809" w:rsidRPr="00AC5D15">
        <w:rPr>
          <w:sz w:val="26"/>
          <w:szCs w:val="26"/>
        </w:rPr>
        <w:t xml:space="preserve">the OSBA explains that </w:t>
      </w:r>
      <w:r w:rsidRPr="00AC5D15">
        <w:rPr>
          <w:sz w:val="26"/>
          <w:szCs w:val="26"/>
        </w:rPr>
        <w:t>annual reconciliation only hides the problem, but would not have prevented the reported under</w:t>
      </w:r>
      <w:r w:rsidR="00132809" w:rsidRPr="00AC5D15">
        <w:rPr>
          <w:sz w:val="26"/>
          <w:szCs w:val="26"/>
        </w:rPr>
        <w:t xml:space="preserve"> </w:t>
      </w:r>
      <w:r w:rsidRPr="00AC5D15">
        <w:rPr>
          <w:sz w:val="26"/>
          <w:szCs w:val="26"/>
        </w:rPr>
        <w:t>collection in the first place.</w:t>
      </w:r>
      <w:r w:rsidR="00132809" w:rsidRPr="00AC5D15">
        <w:rPr>
          <w:sz w:val="26"/>
          <w:szCs w:val="26"/>
        </w:rPr>
        <w:t xml:space="preserve">  OSBA R. Exc. at 13-14.</w:t>
      </w:r>
    </w:p>
    <w:p w:rsidR="00132809" w:rsidRPr="00AC5D15" w:rsidRDefault="00132809" w:rsidP="00B05E0D">
      <w:pPr>
        <w:jc w:val="left"/>
        <w:rPr>
          <w:sz w:val="26"/>
          <w:szCs w:val="26"/>
        </w:rPr>
      </w:pPr>
    </w:p>
    <w:p w:rsidR="00963D2A" w:rsidRPr="00AC5D15" w:rsidRDefault="00EC5867" w:rsidP="00886144">
      <w:pPr>
        <w:keepNext/>
        <w:jc w:val="left"/>
        <w:rPr>
          <w:b/>
          <w:sz w:val="26"/>
          <w:szCs w:val="26"/>
        </w:rPr>
      </w:pPr>
      <w:r w:rsidRPr="00AC5D15">
        <w:rPr>
          <w:b/>
          <w:sz w:val="26"/>
          <w:szCs w:val="26"/>
        </w:rPr>
        <w:lastRenderedPageBreak/>
        <w:tab/>
      </w:r>
      <w:r w:rsidR="00132809" w:rsidRPr="00AC5D15">
        <w:rPr>
          <w:b/>
          <w:sz w:val="26"/>
          <w:szCs w:val="26"/>
        </w:rPr>
        <w:tab/>
      </w:r>
      <w:r w:rsidR="00963D2A" w:rsidRPr="00AC5D15">
        <w:rPr>
          <w:b/>
          <w:sz w:val="26"/>
          <w:szCs w:val="26"/>
        </w:rPr>
        <w:t>4.</w:t>
      </w:r>
      <w:r w:rsidR="00963D2A" w:rsidRPr="00AC5D15">
        <w:rPr>
          <w:b/>
          <w:sz w:val="26"/>
          <w:szCs w:val="26"/>
        </w:rPr>
        <w:tab/>
        <w:t>Disposition</w:t>
      </w:r>
    </w:p>
    <w:p w:rsidR="000966B9" w:rsidRPr="00AC5D15" w:rsidRDefault="000966B9" w:rsidP="00886144">
      <w:pPr>
        <w:keepNext/>
        <w:jc w:val="left"/>
        <w:rPr>
          <w:b/>
          <w:sz w:val="26"/>
          <w:szCs w:val="26"/>
        </w:rPr>
      </w:pPr>
    </w:p>
    <w:p w:rsidR="00533DDD" w:rsidRPr="00AC5D15" w:rsidRDefault="000966B9" w:rsidP="00B05E0D">
      <w:pPr>
        <w:jc w:val="left"/>
        <w:rPr>
          <w:sz w:val="26"/>
          <w:szCs w:val="26"/>
        </w:rPr>
      </w:pPr>
      <w:r w:rsidRPr="00AC5D15">
        <w:rPr>
          <w:b/>
          <w:sz w:val="26"/>
          <w:szCs w:val="26"/>
        </w:rPr>
        <w:tab/>
      </w:r>
      <w:r w:rsidRPr="00AC5D15">
        <w:rPr>
          <w:b/>
          <w:sz w:val="26"/>
          <w:szCs w:val="26"/>
        </w:rPr>
        <w:tab/>
      </w:r>
      <w:r w:rsidR="00060C8A" w:rsidRPr="00AC5D15">
        <w:rPr>
          <w:sz w:val="26"/>
          <w:szCs w:val="26"/>
        </w:rPr>
        <w:t>Based upon review and analysis of the record evidence, w</w:t>
      </w:r>
      <w:r w:rsidRPr="00AC5D15">
        <w:rPr>
          <w:sz w:val="26"/>
          <w:szCs w:val="26"/>
        </w:rPr>
        <w:t>e are persuaded by the argumen</w:t>
      </w:r>
      <w:r w:rsidR="00E5752C" w:rsidRPr="00AC5D15">
        <w:rPr>
          <w:sz w:val="26"/>
          <w:szCs w:val="26"/>
        </w:rPr>
        <w:t xml:space="preserve">ts of PPL </w:t>
      </w:r>
      <w:r w:rsidRPr="00AC5D15">
        <w:rPr>
          <w:sz w:val="26"/>
          <w:szCs w:val="26"/>
        </w:rPr>
        <w:t>with regard to the ALJ</w:t>
      </w:r>
      <w:r w:rsidR="00D64DAA" w:rsidRPr="00AC5D15">
        <w:rPr>
          <w:sz w:val="26"/>
          <w:szCs w:val="26"/>
        </w:rPr>
        <w:t>’</w:t>
      </w:r>
      <w:r w:rsidRPr="00AC5D15">
        <w:rPr>
          <w:sz w:val="26"/>
          <w:szCs w:val="26"/>
        </w:rPr>
        <w:t>s recommendation</w:t>
      </w:r>
      <w:r w:rsidR="003D14AE" w:rsidRPr="00AC5D15">
        <w:rPr>
          <w:sz w:val="26"/>
          <w:szCs w:val="26"/>
        </w:rPr>
        <w:t xml:space="preserve"> that the accounting method used by PPL was inappropriate</w:t>
      </w:r>
      <w:r w:rsidRPr="00AC5D15">
        <w:rPr>
          <w:sz w:val="26"/>
          <w:szCs w:val="26"/>
        </w:rPr>
        <w:t>.</w:t>
      </w:r>
      <w:r w:rsidR="00060C8A" w:rsidRPr="00AC5D15">
        <w:rPr>
          <w:sz w:val="26"/>
          <w:szCs w:val="26"/>
        </w:rPr>
        <w:t xml:space="preserve">  </w:t>
      </w:r>
      <w:r w:rsidR="00410C88" w:rsidRPr="00AC5D15">
        <w:rPr>
          <w:sz w:val="26"/>
          <w:szCs w:val="26"/>
        </w:rPr>
        <w:t>While we agreed with the ALJ that the OSBA bore the burden of proof with regard to its challenge to PPL</w:t>
      </w:r>
      <w:r w:rsidR="00D64DAA" w:rsidRPr="00AC5D15">
        <w:rPr>
          <w:sz w:val="26"/>
          <w:szCs w:val="26"/>
        </w:rPr>
        <w:t>’</w:t>
      </w:r>
      <w:r w:rsidR="00410C88" w:rsidRPr="00AC5D15">
        <w:rPr>
          <w:sz w:val="26"/>
          <w:szCs w:val="26"/>
        </w:rPr>
        <w:t>s accounting methodology, we disagree with the ALJ</w:t>
      </w:r>
      <w:r w:rsidR="00D64DAA" w:rsidRPr="00AC5D15">
        <w:rPr>
          <w:sz w:val="26"/>
          <w:szCs w:val="26"/>
        </w:rPr>
        <w:t>’</w:t>
      </w:r>
      <w:r w:rsidR="00FD331C" w:rsidRPr="00AC5D15">
        <w:rPr>
          <w:sz w:val="26"/>
          <w:szCs w:val="26"/>
        </w:rPr>
        <w:t>s conclusion</w:t>
      </w:r>
      <w:r w:rsidR="00410C88" w:rsidRPr="00AC5D15">
        <w:rPr>
          <w:sz w:val="26"/>
          <w:szCs w:val="26"/>
        </w:rPr>
        <w:t xml:space="preserve"> that the OSBA fulfilled this burden.  </w:t>
      </w:r>
      <w:r w:rsidR="009E69B9" w:rsidRPr="00AC5D15">
        <w:rPr>
          <w:sz w:val="26"/>
          <w:szCs w:val="26"/>
        </w:rPr>
        <w:t>We are in agree</w:t>
      </w:r>
      <w:r w:rsidR="003D14AE" w:rsidRPr="00AC5D15">
        <w:rPr>
          <w:sz w:val="26"/>
          <w:szCs w:val="26"/>
        </w:rPr>
        <w:t xml:space="preserve">ment with PPL that its reconciliation methodology at issue was identical to the method it and other electric utilities have employed to reconcile costs and </w:t>
      </w:r>
      <w:r w:rsidR="00FD331C" w:rsidRPr="00AC5D15">
        <w:rPr>
          <w:sz w:val="26"/>
          <w:szCs w:val="26"/>
        </w:rPr>
        <w:t>reven</w:t>
      </w:r>
      <w:r w:rsidR="00D51CF6" w:rsidRPr="00AC5D15">
        <w:rPr>
          <w:sz w:val="26"/>
          <w:szCs w:val="26"/>
        </w:rPr>
        <w:t>u</w:t>
      </w:r>
      <w:r w:rsidR="00FD331C" w:rsidRPr="00AC5D15">
        <w:rPr>
          <w:sz w:val="26"/>
          <w:szCs w:val="26"/>
        </w:rPr>
        <w:t>es under S</w:t>
      </w:r>
      <w:r w:rsidR="003D14AE" w:rsidRPr="00AC5D15">
        <w:rPr>
          <w:sz w:val="26"/>
          <w:szCs w:val="26"/>
        </w:rPr>
        <w:t>ection 1307(e) cost recovery mechanisms for over thirty years.  We further agree with PPL that it followed long-established Commission precedent and practice in matching actual billed revenue with actual incurred costs for each application period.</w:t>
      </w:r>
      <w:r w:rsidR="00E5752C" w:rsidRPr="00AC5D15">
        <w:rPr>
          <w:sz w:val="26"/>
          <w:szCs w:val="26"/>
        </w:rPr>
        <w:t xml:space="preserve">  While the OSBA and the ALJ are correct that PPL</w:t>
      </w:r>
      <w:r w:rsidR="00D64DAA" w:rsidRPr="00AC5D15">
        <w:rPr>
          <w:sz w:val="26"/>
          <w:szCs w:val="26"/>
        </w:rPr>
        <w:t>’</w:t>
      </w:r>
      <w:r w:rsidR="00E5752C" w:rsidRPr="00AC5D15">
        <w:rPr>
          <w:sz w:val="26"/>
          <w:szCs w:val="26"/>
        </w:rPr>
        <w:t xml:space="preserve">s methodology created a mismatch between revenues </w:t>
      </w:r>
      <w:r w:rsidR="006A15C5" w:rsidRPr="00AC5D15">
        <w:rPr>
          <w:sz w:val="26"/>
          <w:szCs w:val="26"/>
        </w:rPr>
        <w:t xml:space="preserve">and expenses, a mismatch acknowledged by </w:t>
      </w:r>
      <w:r w:rsidR="00D64DAA" w:rsidRPr="00AC5D15">
        <w:rPr>
          <w:sz w:val="26"/>
          <w:szCs w:val="26"/>
        </w:rPr>
        <w:t>PPL</w:t>
      </w:r>
      <w:r w:rsidR="006A15C5" w:rsidRPr="00AC5D15">
        <w:rPr>
          <w:sz w:val="26"/>
          <w:szCs w:val="26"/>
        </w:rPr>
        <w:t xml:space="preserve">, the procedures used by </w:t>
      </w:r>
      <w:r w:rsidR="00533DDD" w:rsidRPr="00AC5D15">
        <w:rPr>
          <w:sz w:val="26"/>
          <w:szCs w:val="26"/>
        </w:rPr>
        <w:t xml:space="preserve">PPL </w:t>
      </w:r>
      <w:r w:rsidR="00D51CF6" w:rsidRPr="00AC5D15">
        <w:rPr>
          <w:sz w:val="26"/>
          <w:szCs w:val="26"/>
        </w:rPr>
        <w:t>are</w:t>
      </w:r>
      <w:r w:rsidR="006A15C5" w:rsidRPr="00AC5D15">
        <w:rPr>
          <w:sz w:val="26"/>
          <w:szCs w:val="26"/>
        </w:rPr>
        <w:t xml:space="preserve"> consistent with the relevant statute.  </w:t>
      </w:r>
      <w:r w:rsidR="00533DDD" w:rsidRPr="00AC5D15">
        <w:rPr>
          <w:sz w:val="26"/>
          <w:szCs w:val="26"/>
        </w:rPr>
        <w:t>Therefore, we grant the Exceptions of PPL and reject the recommendation of the ALJ.</w:t>
      </w:r>
    </w:p>
    <w:p w:rsidR="00533DDD" w:rsidRPr="00AC5D15" w:rsidRDefault="00533DDD" w:rsidP="00B05E0D">
      <w:pPr>
        <w:jc w:val="left"/>
        <w:rPr>
          <w:sz w:val="26"/>
          <w:szCs w:val="26"/>
        </w:rPr>
      </w:pPr>
    </w:p>
    <w:p w:rsidR="000966B9" w:rsidRPr="00AC5D15" w:rsidRDefault="00533DDD" w:rsidP="00B05E0D">
      <w:pPr>
        <w:jc w:val="left"/>
        <w:rPr>
          <w:sz w:val="26"/>
          <w:szCs w:val="26"/>
        </w:rPr>
      </w:pPr>
      <w:r w:rsidRPr="00AC5D15">
        <w:rPr>
          <w:sz w:val="26"/>
          <w:szCs w:val="26"/>
        </w:rPr>
        <w:tab/>
      </w:r>
      <w:r w:rsidRPr="00AC5D15">
        <w:rPr>
          <w:sz w:val="26"/>
          <w:szCs w:val="26"/>
        </w:rPr>
        <w:tab/>
        <w:t>Notwithstanding the abov</w:t>
      </w:r>
      <w:r w:rsidR="00FD331C" w:rsidRPr="00AC5D15">
        <w:rPr>
          <w:sz w:val="26"/>
          <w:szCs w:val="26"/>
        </w:rPr>
        <w:t xml:space="preserve">e determination, we do share </w:t>
      </w:r>
      <w:r w:rsidRPr="00AC5D15">
        <w:rPr>
          <w:sz w:val="26"/>
          <w:szCs w:val="26"/>
        </w:rPr>
        <w:t xml:space="preserve">the </w:t>
      </w:r>
      <w:r w:rsidR="00FD331C" w:rsidRPr="00AC5D15">
        <w:rPr>
          <w:sz w:val="26"/>
          <w:szCs w:val="26"/>
        </w:rPr>
        <w:t>OSBA</w:t>
      </w:r>
      <w:r w:rsidR="00D64DAA" w:rsidRPr="00AC5D15">
        <w:rPr>
          <w:sz w:val="26"/>
          <w:szCs w:val="26"/>
        </w:rPr>
        <w:t>’</w:t>
      </w:r>
      <w:r w:rsidR="00FD331C" w:rsidRPr="00AC5D15">
        <w:rPr>
          <w:sz w:val="26"/>
          <w:szCs w:val="26"/>
        </w:rPr>
        <w:t xml:space="preserve">s </w:t>
      </w:r>
      <w:r w:rsidRPr="00AC5D15">
        <w:rPr>
          <w:sz w:val="26"/>
          <w:szCs w:val="26"/>
        </w:rPr>
        <w:t>concerns</w:t>
      </w:r>
      <w:r w:rsidR="00FD331C" w:rsidRPr="00AC5D15">
        <w:rPr>
          <w:sz w:val="26"/>
          <w:szCs w:val="26"/>
        </w:rPr>
        <w:t xml:space="preserve"> </w:t>
      </w:r>
      <w:r w:rsidRPr="00AC5D15">
        <w:rPr>
          <w:sz w:val="26"/>
          <w:szCs w:val="26"/>
        </w:rPr>
        <w:t>that the traditional methods of reconciliation accounting associated with default service costs in</w:t>
      </w:r>
      <w:r w:rsidR="00D97542" w:rsidRPr="00AC5D15">
        <w:rPr>
          <w:sz w:val="26"/>
          <w:szCs w:val="26"/>
        </w:rPr>
        <w:t xml:space="preserve"> this post-rate cap era may </w:t>
      </w:r>
      <w:r w:rsidRPr="00AC5D15">
        <w:rPr>
          <w:sz w:val="26"/>
          <w:szCs w:val="26"/>
        </w:rPr>
        <w:t xml:space="preserve">result in excessive rate volatility and inaccurate price signals for electricity consumers in Pennsylvania.  </w:t>
      </w:r>
      <w:r w:rsidR="00376695" w:rsidRPr="00AC5D15">
        <w:rPr>
          <w:sz w:val="26"/>
          <w:szCs w:val="26"/>
        </w:rPr>
        <w:t>However, we agree with PPL</w:t>
      </w:r>
      <w:r w:rsidR="00D64DAA" w:rsidRPr="00AC5D15">
        <w:rPr>
          <w:sz w:val="26"/>
          <w:szCs w:val="26"/>
        </w:rPr>
        <w:t>’</w:t>
      </w:r>
      <w:r w:rsidR="00376695" w:rsidRPr="00AC5D15">
        <w:rPr>
          <w:sz w:val="26"/>
          <w:szCs w:val="26"/>
        </w:rPr>
        <w:t xml:space="preserve">s argument that any changes to this methodology should not be made for a single utility </w:t>
      </w:r>
      <w:r w:rsidR="00D97542" w:rsidRPr="00AC5D15">
        <w:rPr>
          <w:sz w:val="26"/>
          <w:szCs w:val="26"/>
        </w:rPr>
        <w:t>and</w:t>
      </w:r>
      <w:r w:rsidR="00376695" w:rsidRPr="00AC5D15">
        <w:rPr>
          <w:sz w:val="26"/>
          <w:szCs w:val="26"/>
        </w:rPr>
        <w:t xml:space="preserve"> a single reconciliation clause, but </w:t>
      </w:r>
      <w:r w:rsidR="00D97542" w:rsidRPr="00AC5D15">
        <w:rPr>
          <w:sz w:val="26"/>
          <w:szCs w:val="26"/>
        </w:rPr>
        <w:t xml:space="preserve">instead </w:t>
      </w:r>
      <w:r w:rsidR="00376695" w:rsidRPr="00AC5D15">
        <w:rPr>
          <w:sz w:val="26"/>
          <w:szCs w:val="26"/>
        </w:rPr>
        <w:t xml:space="preserve">should </w:t>
      </w:r>
      <w:r w:rsidR="00D97542" w:rsidRPr="00AC5D15">
        <w:rPr>
          <w:sz w:val="26"/>
          <w:szCs w:val="26"/>
        </w:rPr>
        <w:t>b</w:t>
      </w:r>
      <w:r w:rsidR="00376695" w:rsidRPr="00AC5D15">
        <w:rPr>
          <w:sz w:val="26"/>
          <w:szCs w:val="26"/>
        </w:rPr>
        <w:t xml:space="preserve">e made on a prospective basis in a generic proceeding where all affected utilities have the opportunity to participate.  </w:t>
      </w:r>
      <w:r w:rsidR="00D51CF6" w:rsidRPr="00AC5D15">
        <w:rPr>
          <w:sz w:val="26"/>
          <w:szCs w:val="26"/>
        </w:rPr>
        <w:t xml:space="preserve">In this regard, we </w:t>
      </w:r>
      <w:r w:rsidR="00376695" w:rsidRPr="00AC5D15">
        <w:rPr>
          <w:sz w:val="26"/>
          <w:szCs w:val="26"/>
        </w:rPr>
        <w:t>will issu</w:t>
      </w:r>
      <w:r w:rsidR="00D51CF6" w:rsidRPr="00AC5D15">
        <w:rPr>
          <w:sz w:val="26"/>
          <w:szCs w:val="26"/>
        </w:rPr>
        <w:t>e</w:t>
      </w:r>
      <w:r w:rsidR="00376695" w:rsidRPr="00AC5D15">
        <w:rPr>
          <w:sz w:val="26"/>
          <w:szCs w:val="26"/>
        </w:rPr>
        <w:t xml:space="preserve"> an ord</w:t>
      </w:r>
      <w:r w:rsidR="00D97542" w:rsidRPr="00AC5D15">
        <w:rPr>
          <w:sz w:val="26"/>
          <w:szCs w:val="26"/>
        </w:rPr>
        <w:t xml:space="preserve">er in the immediate future </w:t>
      </w:r>
      <w:r w:rsidR="00D51CF6" w:rsidRPr="00AC5D15">
        <w:rPr>
          <w:sz w:val="26"/>
          <w:szCs w:val="26"/>
        </w:rPr>
        <w:t xml:space="preserve">to </w:t>
      </w:r>
      <w:r w:rsidR="00376695" w:rsidRPr="00AC5D15">
        <w:rPr>
          <w:sz w:val="26"/>
          <w:szCs w:val="26"/>
        </w:rPr>
        <w:t xml:space="preserve">open a docket </w:t>
      </w:r>
      <w:r w:rsidR="00D51CF6" w:rsidRPr="00AC5D15">
        <w:rPr>
          <w:sz w:val="26"/>
          <w:szCs w:val="26"/>
        </w:rPr>
        <w:t xml:space="preserve">that will </w:t>
      </w:r>
      <w:r w:rsidR="00376695" w:rsidRPr="00AC5D15">
        <w:rPr>
          <w:sz w:val="26"/>
          <w:szCs w:val="26"/>
        </w:rPr>
        <w:t xml:space="preserve">seek comments and reply comments on </w:t>
      </w:r>
      <w:r w:rsidR="00D64DAA" w:rsidRPr="00AC5D15">
        <w:rPr>
          <w:sz w:val="26"/>
          <w:szCs w:val="26"/>
        </w:rPr>
        <w:t>“</w:t>
      </w:r>
      <w:r w:rsidR="00376695" w:rsidRPr="00AC5D15">
        <w:rPr>
          <w:sz w:val="26"/>
          <w:szCs w:val="26"/>
        </w:rPr>
        <w:t>Default Service Reconciliation Interim Guidelines.</w:t>
      </w:r>
      <w:r w:rsidR="00D64DAA" w:rsidRPr="00AC5D15">
        <w:rPr>
          <w:sz w:val="26"/>
          <w:szCs w:val="26"/>
        </w:rPr>
        <w:t>”</w:t>
      </w:r>
      <w:r w:rsidR="00376695" w:rsidRPr="00AC5D15">
        <w:rPr>
          <w:sz w:val="26"/>
          <w:szCs w:val="26"/>
        </w:rPr>
        <w:t xml:space="preserve">  It </w:t>
      </w:r>
      <w:r w:rsidR="00B463F5" w:rsidRPr="00AC5D15">
        <w:rPr>
          <w:sz w:val="26"/>
          <w:szCs w:val="26"/>
        </w:rPr>
        <w:t xml:space="preserve">currently </w:t>
      </w:r>
      <w:r w:rsidR="00376695" w:rsidRPr="00AC5D15">
        <w:rPr>
          <w:sz w:val="26"/>
          <w:szCs w:val="26"/>
        </w:rPr>
        <w:t xml:space="preserve">is </w:t>
      </w:r>
      <w:r w:rsidR="00D51CF6" w:rsidRPr="00AC5D15">
        <w:rPr>
          <w:sz w:val="26"/>
          <w:szCs w:val="26"/>
        </w:rPr>
        <w:t xml:space="preserve">our </w:t>
      </w:r>
      <w:r w:rsidR="00376695" w:rsidRPr="00AC5D15">
        <w:rPr>
          <w:sz w:val="26"/>
          <w:szCs w:val="26"/>
        </w:rPr>
        <w:t xml:space="preserve">intention </w:t>
      </w:r>
      <w:r w:rsidR="00B463F5" w:rsidRPr="00AC5D15">
        <w:rPr>
          <w:sz w:val="26"/>
          <w:szCs w:val="26"/>
        </w:rPr>
        <w:t xml:space="preserve">that </w:t>
      </w:r>
      <w:r w:rsidR="00B903B9" w:rsidRPr="00AC5D15">
        <w:rPr>
          <w:sz w:val="26"/>
          <w:szCs w:val="26"/>
        </w:rPr>
        <w:t xml:space="preserve">all issues regarding default service reconciliation riders </w:t>
      </w:r>
      <w:r w:rsidR="00B463F5" w:rsidRPr="00AC5D15">
        <w:rPr>
          <w:sz w:val="26"/>
          <w:szCs w:val="26"/>
        </w:rPr>
        <w:t xml:space="preserve">be addressed </w:t>
      </w:r>
      <w:r w:rsidR="00B903B9" w:rsidRPr="00AC5D15">
        <w:rPr>
          <w:sz w:val="26"/>
          <w:szCs w:val="26"/>
        </w:rPr>
        <w:t>generically</w:t>
      </w:r>
      <w:r w:rsidR="00B463F5" w:rsidRPr="00AC5D15">
        <w:rPr>
          <w:sz w:val="26"/>
          <w:szCs w:val="26"/>
        </w:rPr>
        <w:t xml:space="preserve"> prior to establishing </w:t>
      </w:r>
      <w:r w:rsidR="00B903B9" w:rsidRPr="00AC5D15">
        <w:rPr>
          <w:sz w:val="26"/>
          <w:szCs w:val="26"/>
        </w:rPr>
        <w:t>interim guidelines and mak</w:t>
      </w:r>
      <w:r w:rsidR="00B463F5" w:rsidRPr="00AC5D15">
        <w:rPr>
          <w:sz w:val="26"/>
          <w:szCs w:val="26"/>
        </w:rPr>
        <w:t xml:space="preserve">ing </w:t>
      </w:r>
      <w:r w:rsidR="00B903B9" w:rsidRPr="00AC5D15">
        <w:rPr>
          <w:sz w:val="26"/>
          <w:szCs w:val="26"/>
        </w:rPr>
        <w:t>any necessary changes to our existing default service regulations.</w:t>
      </w:r>
    </w:p>
    <w:p w:rsidR="00FB3E31" w:rsidRPr="00AC5D15" w:rsidRDefault="00FB3E31" w:rsidP="00B05E0D">
      <w:pPr>
        <w:jc w:val="left"/>
        <w:rPr>
          <w:sz w:val="26"/>
          <w:szCs w:val="26"/>
        </w:rPr>
      </w:pPr>
      <w:r w:rsidRPr="00AC5D15">
        <w:rPr>
          <w:sz w:val="26"/>
          <w:szCs w:val="26"/>
        </w:rPr>
        <w:lastRenderedPageBreak/>
        <w:tab/>
      </w:r>
      <w:r w:rsidRPr="00AC5D15">
        <w:rPr>
          <w:sz w:val="26"/>
          <w:szCs w:val="26"/>
        </w:rPr>
        <w:tab/>
      </w:r>
      <w:r w:rsidR="00D97542" w:rsidRPr="00AC5D15">
        <w:rPr>
          <w:sz w:val="26"/>
          <w:szCs w:val="26"/>
        </w:rPr>
        <w:t>Based upon our</w:t>
      </w:r>
      <w:r w:rsidRPr="00AC5D15">
        <w:rPr>
          <w:sz w:val="26"/>
          <w:szCs w:val="26"/>
        </w:rPr>
        <w:t xml:space="preserve"> determination </w:t>
      </w:r>
      <w:r w:rsidR="00B463F5" w:rsidRPr="00AC5D15">
        <w:rPr>
          <w:sz w:val="26"/>
          <w:szCs w:val="26"/>
        </w:rPr>
        <w:t xml:space="preserve">that all </w:t>
      </w:r>
      <w:r w:rsidRPr="00AC5D15">
        <w:rPr>
          <w:sz w:val="26"/>
          <w:szCs w:val="26"/>
        </w:rPr>
        <w:t xml:space="preserve">default service reconciliation issues </w:t>
      </w:r>
      <w:r w:rsidR="00B463F5" w:rsidRPr="00AC5D15">
        <w:rPr>
          <w:sz w:val="26"/>
          <w:szCs w:val="26"/>
        </w:rPr>
        <w:t xml:space="preserve">be addressed </w:t>
      </w:r>
      <w:r w:rsidRPr="00AC5D15">
        <w:rPr>
          <w:sz w:val="26"/>
          <w:szCs w:val="26"/>
        </w:rPr>
        <w:t>generically, we also reject the recommendation of the ALJ to require PPL to reconcile the GSC-1 rate class annually.  On this issue we do not share</w:t>
      </w:r>
      <w:r w:rsidR="00A75170" w:rsidRPr="00AC5D15">
        <w:rPr>
          <w:sz w:val="26"/>
          <w:szCs w:val="26"/>
        </w:rPr>
        <w:t>, at this time,</w:t>
      </w:r>
      <w:r w:rsidRPr="00AC5D15">
        <w:rPr>
          <w:sz w:val="26"/>
          <w:szCs w:val="26"/>
        </w:rPr>
        <w:t xml:space="preserve"> the opinion of </w:t>
      </w:r>
      <w:r w:rsidR="00B463F5" w:rsidRPr="00AC5D15">
        <w:rPr>
          <w:sz w:val="26"/>
          <w:szCs w:val="26"/>
        </w:rPr>
        <w:t xml:space="preserve"> PPL and </w:t>
      </w:r>
      <w:r w:rsidRPr="00AC5D15">
        <w:rPr>
          <w:sz w:val="26"/>
          <w:szCs w:val="26"/>
        </w:rPr>
        <w:t>the ALJ that the quarterly reconciliation of default service costs was a major contributing factor</w:t>
      </w:r>
      <w:r w:rsidR="00C9314C" w:rsidRPr="00AC5D15">
        <w:rPr>
          <w:sz w:val="26"/>
          <w:szCs w:val="26"/>
        </w:rPr>
        <w:t xml:space="preserve"> to the s</w:t>
      </w:r>
      <w:r w:rsidR="00D97542" w:rsidRPr="00AC5D15">
        <w:rPr>
          <w:sz w:val="26"/>
          <w:szCs w:val="26"/>
        </w:rPr>
        <w:t>ignificant rate increase to S</w:t>
      </w:r>
      <w:r w:rsidR="00C9314C" w:rsidRPr="00AC5D15">
        <w:rPr>
          <w:sz w:val="26"/>
          <w:szCs w:val="26"/>
        </w:rPr>
        <w:t xml:space="preserve">mall C&amp;I customers.  </w:t>
      </w:r>
    </w:p>
    <w:p w:rsidR="00927F13" w:rsidRPr="00AC5D15" w:rsidRDefault="00927F13" w:rsidP="00B05E0D">
      <w:pPr>
        <w:contextualSpacing/>
        <w:jc w:val="left"/>
        <w:rPr>
          <w:b/>
          <w:sz w:val="26"/>
          <w:szCs w:val="26"/>
        </w:rPr>
      </w:pPr>
    </w:p>
    <w:p w:rsidR="00927F13" w:rsidRPr="00AC5D15" w:rsidRDefault="00927F13" w:rsidP="00B05E0D">
      <w:pPr>
        <w:keepNext/>
        <w:contextualSpacing/>
        <w:jc w:val="left"/>
        <w:rPr>
          <w:b/>
          <w:sz w:val="26"/>
          <w:szCs w:val="26"/>
        </w:rPr>
      </w:pPr>
      <w:r w:rsidRPr="00AC5D15">
        <w:rPr>
          <w:b/>
          <w:sz w:val="26"/>
          <w:szCs w:val="26"/>
        </w:rPr>
        <w:t>C.</w:t>
      </w:r>
      <w:r w:rsidRPr="00AC5D15">
        <w:rPr>
          <w:b/>
          <w:sz w:val="26"/>
          <w:szCs w:val="26"/>
        </w:rPr>
        <w:tab/>
        <w:t>Commission Audit</w:t>
      </w:r>
    </w:p>
    <w:p w:rsidR="00927F13" w:rsidRPr="00AC5D15" w:rsidRDefault="00927F13" w:rsidP="00B05E0D">
      <w:pPr>
        <w:keepNext/>
        <w:contextualSpacing/>
        <w:jc w:val="left"/>
        <w:rPr>
          <w:b/>
          <w:sz w:val="26"/>
          <w:szCs w:val="26"/>
        </w:rPr>
      </w:pPr>
    </w:p>
    <w:p w:rsidR="00927F13" w:rsidRPr="00AC5D15" w:rsidRDefault="00927F13" w:rsidP="00B05E0D">
      <w:pPr>
        <w:keepNext/>
        <w:contextualSpacing/>
        <w:jc w:val="left"/>
        <w:rPr>
          <w:b/>
          <w:sz w:val="26"/>
          <w:szCs w:val="26"/>
        </w:rPr>
      </w:pPr>
      <w:r w:rsidRPr="00AC5D15">
        <w:rPr>
          <w:b/>
          <w:sz w:val="26"/>
          <w:szCs w:val="26"/>
        </w:rPr>
        <w:tab/>
        <w:t>1.</w:t>
      </w:r>
      <w:r w:rsidRPr="00AC5D15">
        <w:rPr>
          <w:b/>
          <w:sz w:val="26"/>
          <w:szCs w:val="26"/>
        </w:rPr>
        <w:tab/>
        <w:t>Positions of the Parties</w:t>
      </w:r>
    </w:p>
    <w:p w:rsidR="00194401" w:rsidRPr="00AC5D15" w:rsidRDefault="00194401" w:rsidP="00B05E0D">
      <w:pPr>
        <w:keepNext/>
        <w:contextualSpacing/>
        <w:jc w:val="left"/>
        <w:rPr>
          <w:sz w:val="26"/>
        </w:rPr>
      </w:pPr>
    </w:p>
    <w:p w:rsidR="0080045C" w:rsidRPr="00AC5D15" w:rsidRDefault="002155E1" w:rsidP="00B05E0D">
      <w:pPr>
        <w:contextualSpacing/>
        <w:jc w:val="left"/>
        <w:rPr>
          <w:sz w:val="26"/>
          <w:szCs w:val="26"/>
        </w:rPr>
      </w:pPr>
      <w:r w:rsidRPr="00AC5D15">
        <w:rPr>
          <w:sz w:val="26"/>
        </w:rPr>
        <w:tab/>
      </w:r>
      <w:r w:rsidRPr="00AC5D15">
        <w:rPr>
          <w:sz w:val="26"/>
        </w:rPr>
        <w:tab/>
      </w:r>
      <w:r w:rsidR="00AC5D15" w:rsidRPr="00AC5D15">
        <w:rPr>
          <w:sz w:val="26"/>
        </w:rPr>
        <w:t xml:space="preserve">In finding that the </w:t>
      </w:r>
      <w:r w:rsidR="00927F13" w:rsidRPr="00AC5D15">
        <w:rPr>
          <w:sz w:val="26"/>
          <w:szCs w:val="26"/>
        </w:rPr>
        <w:t>OSBA</w:t>
      </w:r>
      <w:r w:rsidR="00B463F5" w:rsidRPr="00AC5D15">
        <w:rPr>
          <w:sz w:val="26"/>
          <w:szCs w:val="26"/>
        </w:rPr>
        <w:t>’s</w:t>
      </w:r>
      <w:r w:rsidR="00927F13" w:rsidRPr="00AC5D15">
        <w:rPr>
          <w:sz w:val="26"/>
          <w:szCs w:val="26"/>
        </w:rPr>
        <w:t xml:space="preserve"> Complaint wa</w:t>
      </w:r>
      <w:r w:rsidR="009037B7" w:rsidRPr="00AC5D15">
        <w:rPr>
          <w:sz w:val="26"/>
          <w:szCs w:val="26"/>
        </w:rPr>
        <w:t>s support</w:t>
      </w:r>
      <w:r w:rsidR="00927F13" w:rsidRPr="00AC5D15">
        <w:rPr>
          <w:sz w:val="26"/>
          <w:szCs w:val="26"/>
        </w:rPr>
        <w:t>ed by substantial evidence</w:t>
      </w:r>
      <w:r w:rsidR="00AC5D15" w:rsidRPr="00AC5D15">
        <w:rPr>
          <w:sz w:val="26"/>
          <w:szCs w:val="26"/>
        </w:rPr>
        <w:t xml:space="preserve">, the ALJ </w:t>
      </w:r>
      <w:r w:rsidR="009037B7" w:rsidRPr="00AC5D15">
        <w:rPr>
          <w:sz w:val="26"/>
          <w:szCs w:val="26"/>
        </w:rPr>
        <w:t>sustained</w:t>
      </w:r>
      <w:r w:rsidR="00AC5D15" w:rsidRPr="00AC5D15">
        <w:rPr>
          <w:sz w:val="26"/>
          <w:szCs w:val="26"/>
        </w:rPr>
        <w:t xml:space="preserve"> the Complaint and </w:t>
      </w:r>
      <w:r w:rsidR="00927F13" w:rsidRPr="00AC5D15">
        <w:rPr>
          <w:sz w:val="26"/>
          <w:szCs w:val="26"/>
        </w:rPr>
        <w:t>noted that the next step wa</w:t>
      </w:r>
      <w:r w:rsidR="009037B7" w:rsidRPr="00AC5D15">
        <w:rPr>
          <w:sz w:val="26"/>
          <w:szCs w:val="26"/>
        </w:rPr>
        <w:t xml:space="preserve">s to determine the remedy.  </w:t>
      </w:r>
      <w:r w:rsidR="00927F13" w:rsidRPr="00AC5D15">
        <w:rPr>
          <w:sz w:val="26"/>
          <w:szCs w:val="26"/>
        </w:rPr>
        <w:t>The OSBA averred that t</w:t>
      </w:r>
      <w:r w:rsidR="004031AD" w:rsidRPr="00AC5D15">
        <w:rPr>
          <w:sz w:val="26"/>
          <w:szCs w:val="26"/>
        </w:rPr>
        <w:t xml:space="preserve">he two-week discrepancy in the comparison between expenses and revenues caused a sizeable </w:t>
      </w:r>
      <w:r w:rsidR="00BF36DD" w:rsidRPr="00AC5D15">
        <w:rPr>
          <w:sz w:val="26"/>
          <w:szCs w:val="26"/>
        </w:rPr>
        <w:t>under collection</w:t>
      </w:r>
      <w:r w:rsidR="004031AD" w:rsidRPr="00AC5D15">
        <w:rPr>
          <w:sz w:val="26"/>
          <w:szCs w:val="26"/>
        </w:rPr>
        <w:t xml:space="preserve">, raising the question of whether there </w:t>
      </w:r>
      <w:r w:rsidR="00927F13" w:rsidRPr="00AC5D15">
        <w:rPr>
          <w:sz w:val="26"/>
          <w:szCs w:val="26"/>
        </w:rPr>
        <w:t xml:space="preserve">was an actual </w:t>
      </w:r>
      <w:r w:rsidR="00BF36DD" w:rsidRPr="00AC5D15">
        <w:rPr>
          <w:sz w:val="26"/>
          <w:szCs w:val="26"/>
        </w:rPr>
        <w:t>under collection</w:t>
      </w:r>
      <w:r w:rsidR="00237E5F" w:rsidRPr="00AC5D15">
        <w:rPr>
          <w:sz w:val="26"/>
          <w:szCs w:val="26"/>
        </w:rPr>
        <w:t>:</w:t>
      </w:r>
    </w:p>
    <w:p w:rsidR="00FF6F61" w:rsidRPr="00AC5D15" w:rsidRDefault="00FF6F61" w:rsidP="00B05E0D">
      <w:pPr>
        <w:contextualSpacing/>
        <w:jc w:val="left"/>
        <w:rPr>
          <w:sz w:val="26"/>
          <w:szCs w:val="26"/>
        </w:rPr>
      </w:pPr>
    </w:p>
    <w:p w:rsidR="00237E5F" w:rsidRPr="00AC5D15" w:rsidRDefault="00237E5F" w:rsidP="00B05E0D">
      <w:pPr>
        <w:spacing w:line="240" w:lineRule="auto"/>
        <w:ind w:left="1440" w:right="1440"/>
        <w:contextualSpacing/>
        <w:jc w:val="left"/>
        <w:rPr>
          <w:sz w:val="26"/>
          <w:szCs w:val="26"/>
        </w:rPr>
      </w:pPr>
      <w:r w:rsidRPr="00AC5D15">
        <w:rPr>
          <w:sz w:val="26"/>
          <w:szCs w:val="26"/>
        </w:rPr>
        <w:t>PPL</w:t>
      </w:r>
      <w:r w:rsidR="00D64DAA" w:rsidRPr="00AC5D15">
        <w:rPr>
          <w:sz w:val="26"/>
          <w:szCs w:val="26"/>
        </w:rPr>
        <w:t>’</w:t>
      </w:r>
      <w:r w:rsidRPr="00AC5D15">
        <w:rPr>
          <w:sz w:val="26"/>
          <w:szCs w:val="26"/>
        </w:rPr>
        <w:t xml:space="preserve">s reported year-end 2010 SC&amp;I </w:t>
      </w:r>
      <w:r w:rsidR="00BF36DD" w:rsidRPr="00AC5D15">
        <w:rPr>
          <w:sz w:val="26"/>
          <w:szCs w:val="26"/>
        </w:rPr>
        <w:t>under collection</w:t>
      </w:r>
      <w:r w:rsidRPr="00AC5D15">
        <w:rPr>
          <w:sz w:val="26"/>
          <w:szCs w:val="26"/>
        </w:rPr>
        <w:t xml:space="preserve"> is $29.2 million.  PPL reported December 2010 unbilled revenues to be $14.8 million.  In other words, $14.8 million of the total $29.2 million reported </w:t>
      </w:r>
      <w:r w:rsidR="00BF36DD" w:rsidRPr="00AC5D15">
        <w:rPr>
          <w:sz w:val="26"/>
          <w:szCs w:val="26"/>
        </w:rPr>
        <w:t>under collection</w:t>
      </w:r>
      <w:r w:rsidRPr="00AC5D15">
        <w:rPr>
          <w:sz w:val="26"/>
          <w:szCs w:val="26"/>
        </w:rPr>
        <w:t xml:space="preserve"> is the result of the Company</w:t>
      </w:r>
      <w:r w:rsidR="00D64DAA" w:rsidRPr="00AC5D15">
        <w:rPr>
          <w:sz w:val="26"/>
          <w:szCs w:val="26"/>
        </w:rPr>
        <w:t>’</w:t>
      </w:r>
      <w:r w:rsidRPr="00AC5D15">
        <w:rPr>
          <w:sz w:val="26"/>
          <w:szCs w:val="26"/>
        </w:rPr>
        <w:t>s accounting method.  That means that</w:t>
      </w:r>
      <w:r w:rsidR="00C603CA" w:rsidRPr="00AC5D15">
        <w:rPr>
          <w:sz w:val="26"/>
          <w:szCs w:val="26"/>
        </w:rPr>
        <w:t xml:space="preserve"> remaining $14.4 million of the total </w:t>
      </w:r>
      <w:r w:rsidR="00BF36DD" w:rsidRPr="00AC5D15">
        <w:rPr>
          <w:sz w:val="26"/>
          <w:szCs w:val="26"/>
        </w:rPr>
        <w:t>under collection</w:t>
      </w:r>
      <w:r w:rsidR="00C603CA" w:rsidRPr="00AC5D15">
        <w:rPr>
          <w:sz w:val="26"/>
          <w:szCs w:val="26"/>
        </w:rPr>
        <w:t xml:space="preserve"> resulted from causes other than the accounting method.</w:t>
      </w:r>
    </w:p>
    <w:p w:rsidR="006D4A27" w:rsidRPr="00AC5D15" w:rsidRDefault="006D4A27" w:rsidP="00B05E0D">
      <w:pPr>
        <w:spacing w:line="240" w:lineRule="auto"/>
        <w:ind w:left="1440" w:right="1440"/>
        <w:contextualSpacing/>
        <w:jc w:val="left"/>
        <w:rPr>
          <w:sz w:val="26"/>
          <w:szCs w:val="26"/>
        </w:rPr>
      </w:pPr>
    </w:p>
    <w:p w:rsidR="00C603CA" w:rsidRPr="00AC5D15" w:rsidRDefault="00C603CA" w:rsidP="00B05E0D">
      <w:pPr>
        <w:spacing w:line="240" w:lineRule="auto"/>
        <w:contextualSpacing/>
        <w:jc w:val="left"/>
        <w:rPr>
          <w:sz w:val="26"/>
          <w:szCs w:val="26"/>
        </w:rPr>
      </w:pPr>
      <w:r w:rsidRPr="00AC5D15">
        <w:rPr>
          <w:sz w:val="26"/>
          <w:szCs w:val="26"/>
        </w:rPr>
        <w:t>OSBA M</w:t>
      </w:r>
      <w:r w:rsidR="0091749B" w:rsidRPr="00AC5D15">
        <w:rPr>
          <w:sz w:val="26"/>
          <w:szCs w:val="26"/>
        </w:rPr>
        <w:t>.</w:t>
      </w:r>
      <w:r w:rsidRPr="00AC5D15">
        <w:rPr>
          <w:sz w:val="26"/>
          <w:szCs w:val="26"/>
        </w:rPr>
        <w:t>B</w:t>
      </w:r>
      <w:r w:rsidR="0091749B" w:rsidRPr="00AC5D15">
        <w:rPr>
          <w:sz w:val="26"/>
          <w:szCs w:val="26"/>
        </w:rPr>
        <w:t>.</w:t>
      </w:r>
      <w:r w:rsidRPr="00AC5D15">
        <w:rPr>
          <w:sz w:val="26"/>
          <w:szCs w:val="26"/>
        </w:rPr>
        <w:t xml:space="preserve"> at 25.</w:t>
      </w:r>
    </w:p>
    <w:p w:rsidR="00C603CA" w:rsidRPr="00AC5D15" w:rsidRDefault="00C603CA" w:rsidP="00B05E0D">
      <w:pPr>
        <w:contextualSpacing/>
        <w:jc w:val="left"/>
        <w:rPr>
          <w:sz w:val="26"/>
        </w:rPr>
      </w:pPr>
    </w:p>
    <w:p w:rsidR="00C603CA" w:rsidRPr="00AC5D15" w:rsidRDefault="00C603CA" w:rsidP="00B05E0D">
      <w:pPr>
        <w:contextualSpacing/>
        <w:jc w:val="left"/>
        <w:rPr>
          <w:sz w:val="26"/>
          <w:szCs w:val="26"/>
        </w:rPr>
      </w:pPr>
      <w:r w:rsidRPr="00AC5D15">
        <w:rPr>
          <w:sz w:val="26"/>
        </w:rPr>
        <w:tab/>
      </w:r>
      <w:r w:rsidRPr="00AC5D15">
        <w:rPr>
          <w:sz w:val="26"/>
        </w:rPr>
        <w:tab/>
      </w:r>
      <w:r w:rsidR="0007590A" w:rsidRPr="00AC5D15">
        <w:rPr>
          <w:sz w:val="26"/>
          <w:szCs w:val="26"/>
        </w:rPr>
        <w:t>The OSBA claimed</w:t>
      </w:r>
      <w:r w:rsidRPr="00AC5D15">
        <w:rPr>
          <w:sz w:val="26"/>
          <w:szCs w:val="26"/>
        </w:rPr>
        <w:t xml:space="preserve"> that a substantial portion of that </w:t>
      </w:r>
      <w:r w:rsidR="00BF36DD" w:rsidRPr="00AC5D15">
        <w:rPr>
          <w:sz w:val="26"/>
          <w:szCs w:val="26"/>
        </w:rPr>
        <w:t>under collection</w:t>
      </w:r>
      <w:r w:rsidR="0007590A" w:rsidRPr="00AC5D15">
        <w:rPr>
          <w:sz w:val="26"/>
          <w:szCs w:val="26"/>
        </w:rPr>
        <w:t xml:space="preserve"> wa</w:t>
      </w:r>
      <w:r w:rsidRPr="00AC5D15">
        <w:rPr>
          <w:sz w:val="26"/>
          <w:szCs w:val="26"/>
        </w:rPr>
        <w:t xml:space="preserve">s due to an under-reporting </w:t>
      </w:r>
      <w:r w:rsidR="0007590A" w:rsidRPr="00AC5D15">
        <w:rPr>
          <w:sz w:val="26"/>
          <w:szCs w:val="26"/>
        </w:rPr>
        <w:t>of revenues, and that an audit wa</w:t>
      </w:r>
      <w:r w:rsidRPr="00AC5D15">
        <w:rPr>
          <w:sz w:val="26"/>
          <w:szCs w:val="26"/>
        </w:rPr>
        <w:t>s necess</w:t>
      </w:r>
      <w:r w:rsidR="0007590A" w:rsidRPr="00AC5D15">
        <w:rPr>
          <w:sz w:val="26"/>
          <w:szCs w:val="26"/>
        </w:rPr>
        <w:t>ary to determine whether there wa</w:t>
      </w:r>
      <w:r w:rsidRPr="00AC5D15">
        <w:rPr>
          <w:sz w:val="26"/>
          <w:szCs w:val="26"/>
        </w:rPr>
        <w:t xml:space="preserve">s underreporting.  </w:t>
      </w:r>
      <w:r w:rsidR="0007590A" w:rsidRPr="00AC5D15">
        <w:rPr>
          <w:sz w:val="26"/>
          <w:szCs w:val="26"/>
        </w:rPr>
        <w:t>The OSBA requested</w:t>
      </w:r>
      <w:r w:rsidRPr="00AC5D15">
        <w:rPr>
          <w:sz w:val="26"/>
          <w:szCs w:val="26"/>
        </w:rPr>
        <w:t xml:space="preserve"> that the Commission direct its Bureau of Audits to conduct a detailed audit of </w:t>
      </w:r>
      <w:r w:rsidR="00D64DAA" w:rsidRPr="00AC5D15">
        <w:rPr>
          <w:sz w:val="26"/>
          <w:szCs w:val="26"/>
        </w:rPr>
        <w:t>PPL’</w:t>
      </w:r>
      <w:r w:rsidRPr="00AC5D15">
        <w:rPr>
          <w:sz w:val="26"/>
          <w:szCs w:val="26"/>
        </w:rPr>
        <w:t xml:space="preserve">s default service revenue and cost records for 2010 to evaluate the inconsistencies and anomalies in </w:t>
      </w:r>
      <w:r w:rsidR="00D64DAA" w:rsidRPr="00AC5D15">
        <w:rPr>
          <w:sz w:val="26"/>
          <w:szCs w:val="26"/>
        </w:rPr>
        <w:t>PPL’</w:t>
      </w:r>
      <w:r w:rsidRPr="00AC5D15">
        <w:rPr>
          <w:sz w:val="26"/>
          <w:szCs w:val="26"/>
        </w:rPr>
        <w:t xml:space="preserve">s records identified by OSBA witness Knecht in his testimony.  </w:t>
      </w:r>
      <w:r w:rsidR="00D97542" w:rsidRPr="00AC5D15">
        <w:rPr>
          <w:sz w:val="26"/>
          <w:szCs w:val="26"/>
        </w:rPr>
        <w:t>According to the OSBA, if</w:t>
      </w:r>
      <w:r w:rsidRPr="00AC5D15">
        <w:rPr>
          <w:sz w:val="26"/>
          <w:szCs w:val="26"/>
        </w:rPr>
        <w:t xml:space="preserve"> under-reporting </w:t>
      </w:r>
      <w:r w:rsidRPr="00AC5D15">
        <w:rPr>
          <w:sz w:val="26"/>
          <w:szCs w:val="26"/>
        </w:rPr>
        <w:lastRenderedPageBreak/>
        <w:t>an</w:t>
      </w:r>
      <w:r w:rsidR="0007590A" w:rsidRPr="00AC5D15">
        <w:rPr>
          <w:sz w:val="26"/>
          <w:szCs w:val="26"/>
        </w:rPr>
        <w:t xml:space="preserve">d an </w:t>
      </w:r>
      <w:r w:rsidR="00BF36DD" w:rsidRPr="00AC5D15">
        <w:rPr>
          <w:sz w:val="26"/>
          <w:szCs w:val="26"/>
        </w:rPr>
        <w:t>over collection</w:t>
      </w:r>
      <w:r w:rsidR="0007590A" w:rsidRPr="00AC5D15">
        <w:rPr>
          <w:sz w:val="26"/>
          <w:szCs w:val="26"/>
        </w:rPr>
        <w:t xml:space="preserve"> </w:t>
      </w:r>
      <w:r w:rsidR="00D97542" w:rsidRPr="00AC5D15">
        <w:rPr>
          <w:sz w:val="26"/>
          <w:szCs w:val="26"/>
        </w:rPr>
        <w:t xml:space="preserve">are </w:t>
      </w:r>
      <w:r w:rsidR="0007590A" w:rsidRPr="00AC5D15">
        <w:rPr>
          <w:sz w:val="26"/>
          <w:szCs w:val="26"/>
        </w:rPr>
        <w:t xml:space="preserve">shown, a </w:t>
      </w:r>
      <w:r w:rsidRPr="00AC5D15">
        <w:rPr>
          <w:sz w:val="26"/>
          <w:szCs w:val="26"/>
        </w:rPr>
        <w:t xml:space="preserve">refund </w:t>
      </w:r>
      <w:r w:rsidR="0007590A" w:rsidRPr="00AC5D15">
        <w:rPr>
          <w:sz w:val="26"/>
          <w:szCs w:val="26"/>
        </w:rPr>
        <w:t xml:space="preserve">should </w:t>
      </w:r>
      <w:r w:rsidRPr="00AC5D15">
        <w:rPr>
          <w:sz w:val="26"/>
          <w:szCs w:val="26"/>
        </w:rPr>
        <w:t>be directed for default service customers.  OSBA M</w:t>
      </w:r>
      <w:r w:rsidR="0091749B" w:rsidRPr="00AC5D15">
        <w:rPr>
          <w:sz w:val="26"/>
          <w:szCs w:val="26"/>
        </w:rPr>
        <w:t>.</w:t>
      </w:r>
      <w:r w:rsidRPr="00AC5D15">
        <w:rPr>
          <w:sz w:val="26"/>
          <w:szCs w:val="26"/>
        </w:rPr>
        <w:t>B</w:t>
      </w:r>
      <w:r w:rsidR="0091749B" w:rsidRPr="00AC5D15">
        <w:rPr>
          <w:sz w:val="26"/>
          <w:szCs w:val="26"/>
        </w:rPr>
        <w:t>.</w:t>
      </w:r>
      <w:r w:rsidRPr="00AC5D15">
        <w:rPr>
          <w:sz w:val="26"/>
          <w:szCs w:val="26"/>
        </w:rPr>
        <w:t xml:space="preserve"> at 28.</w:t>
      </w:r>
    </w:p>
    <w:p w:rsidR="00237E5F" w:rsidRPr="00AC5D15" w:rsidRDefault="00237E5F" w:rsidP="00B05E0D">
      <w:pPr>
        <w:contextualSpacing/>
        <w:jc w:val="left"/>
        <w:rPr>
          <w:sz w:val="26"/>
        </w:rPr>
      </w:pPr>
    </w:p>
    <w:p w:rsidR="002C6FB8" w:rsidRPr="00AC5D15" w:rsidRDefault="00C603CA" w:rsidP="00B05E0D">
      <w:pPr>
        <w:contextualSpacing/>
        <w:jc w:val="left"/>
        <w:rPr>
          <w:sz w:val="26"/>
          <w:szCs w:val="26"/>
        </w:rPr>
      </w:pPr>
      <w:r w:rsidRPr="00AC5D15">
        <w:rPr>
          <w:sz w:val="26"/>
        </w:rPr>
        <w:tab/>
      </w:r>
      <w:r w:rsidRPr="00AC5D15">
        <w:rPr>
          <w:sz w:val="26"/>
        </w:rPr>
        <w:tab/>
      </w:r>
      <w:r w:rsidR="0007590A" w:rsidRPr="00AC5D15">
        <w:rPr>
          <w:sz w:val="26"/>
          <w:szCs w:val="26"/>
        </w:rPr>
        <w:t>PPL responded that the Commission</w:t>
      </w:r>
      <w:r w:rsidR="00D64DAA" w:rsidRPr="00AC5D15">
        <w:rPr>
          <w:sz w:val="26"/>
          <w:szCs w:val="26"/>
        </w:rPr>
        <w:t>’</w:t>
      </w:r>
      <w:r w:rsidR="007B2A31" w:rsidRPr="00AC5D15">
        <w:rPr>
          <w:sz w:val="26"/>
          <w:szCs w:val="26"/>
        </w:rPr>
        <w:t>s Bureau of Audits already had begun an</w:t>
      </w:r>
      <w:r w:rsidR="0007590A" w:rsidRPr="00AC5D15">
        <w:rPr>
          <w:sz w:val="26"/>
          <w:szCs w:val="26"/>
        </w:rPr>
        <w:t xml:space="preserve"> audit of </w:t>
      </w:r>
      <w:r w:rsidR="007B2A31" w:rsidRPr="00AC5D15">
        <w:rPr>
          <w:sz w:val="26"/>
          <w:szCs w:val="26"/>
        </w:rPr>
        <w:t>PPL</w:t>
      </w:r>
      <w:r w:rsidR="00D64DAA" w:rsidRPr="00AC5D15">
        <w:rPr>
          <w:sz w:val="26"/>
          <w:szCs w:val="26"/>
        </w:rPr>
        <w:t>’</w:t>
      </w:r>
      <w:r w:rsidR="007B2A31" w:rsidRPr="00AC5D15">
        <w:rPr>
          <w:sz w:val="26"/>
          <w:szCs w:val="26"/>
        </w:rPr>
        <w:t>s 2010 GSC and 2011 GSC-1.  PPL stated that</w:t>
      </w:r>
      <w:r w:rsidR="00D97542" w:rsidRPr="00AC5D15">
        <w:rPr>
          <w:sz w:val="26"/>
          <w:szCs w:val="26"/>
        </w:rPr>
        <w:t>,</w:t>
      </w:r>
      <w:r w:rsidR="007B2A31" w:rsidRPr="00AC5D15">
        <w:rPr>
          <w:sz w:val="26"/>
          <w:szCs w:val="26"/>
        </w:rPr>
        <w:t xml:space="preserve"> if </w:t>
      </w:r>
      <w:r w:rsidR="00D97542" w:rsidRPr="00AC5D15">
        <w:rPr>
          <w:sz w:val="26"/>
          <w:szCs w:val="26"/>
        </w:rPr>
        <w:t>the a</w:t>
      </w:r>
      <w:r w:rsidR="007B2A31" w:rsidRPr="00AC5D15">
        <w:rPr>
          <w:sz w:val="26"/>
          <w:szCs w:val="26"/>
        </w:rPr>
        <w:t xml:space="preserve">udit identifies any issues with the GSC and GSC-1, it will work with </w:t>
      </w:r>
      <w:r w:rsidR="00D97542" w:rsidRPr="00AC5D15">
        <w:rPr>
          <w:sz w:val="26"/>
          <w:szCs w:val="26"/>
        </w:rPr>
        <w:t>the Commission S</w:t>
      </w:r>
      <w:r w:rsidR="007B2A31" w:rsidRPr="00AC5D15">
        <w:rPr>
          <w:sz w:val="26"/>
          <w:szCs w:val="26"/>
        </w:rPr>
        <w:t xml:space="preserve">taff to address such issues.  According to PPL, the OSBA recommendation </w:t>
      </w:r>
      <w:r w:rsidR="00D97542" w:rsidRPr="00AC5D15">
        <w:rPr>
          <w:sz w:val="26"/>
          <w:szCs w:val="26"/>
        </w:rPr>
        <w:t xml:space="preserve">therefore </w:t>
      </w:r>
      <w:r w:rsidR="007B2A31" w:rsidRPr="00AC5D15">
        <w:rPr>
          <w:sz w:val="26"/>
          <w:szCs w:val="26"/>
        </w:rPr>
        <w:t>is unnecessary.  PPL M</w:t>
      </w:r>
      <w:r w:rsidR="0007590A" w:rsidRPr="00AC5D15">
        <w:rPr>
          <w:sz w:val="26"/>
          <w:szCs w:val="26"/>
        </w:rPr>
        <w:t>.</w:t>
      </w:r>
      <w:r w:rsidR="007B2A31" w:rsidRPr="00AC5D15">
        <w:rPr>
          <w:sz w:val="26"/>
          <w:szCs w:val="26"/>
        </w:rPr>
        <w:t>B. at 31</w:t>
      </w:r>
      <w:r w:rsidR="00D97542" w:rsidRPr="00AC5D15">
        <w:rPr>
          <w:sz w:val="26"/>
          <w:szCs w:val="26"/>
        </w:rPr>
        <w:t>.</w:t>
      </w:r>
      <w:r w:rsidR="007B2A31" w:rsidRPr="00AC5D15">
        <w:rPr>
          <w:sz w:val="26"/>
          <w:szCs w:val="26"/>
        </w:rPr>
        <w:t xml:space="preserve">  Additionally, PPL avers </w:t>
      </w:r>
      <w:r w:rsidR="00D97542" w:rsidRPr="00AC5D15">
        <w:rPr>
          <w:sz w:val="26"/>
          <w:szCs w:val="26"/>
        </w:rPr>
        <w:t xml:space="preserve">that </w:t>
      </w:r>
      <w:r w:rsidR="007B2A31" w:rsidRPr="00AC5D15">
        <w:rPr>
          <w:sz w:val="26"/>
          <w:szCs w:val="26"/>
        </w:rPr>
        <w:t>it included all actual billed default service revenues and incurred costs in its GSC and GSC-1 charges and all revenues and costs a</w:t>
      </w:r>
      <w:r w:rsidR="00D97542" w:rsidRPr="00AC5D15">
        <w:rPr>
          <w:sz w:val="26"/>
          <w:szCs w:val="26"/>
        </w:rPr>
        <w:t>re being audited by Commission S</w:t>
      </w:r>
      <w:r w:rsidR="007B2A31" w:rsidRPr="00AC5D15">
        <w:rPr>
          <w:sz w:val="26"/>
          <w:szCs w:val="26"/>
        </w:rPr>
        <w:t>taff.  According to PPL, if it under-reported revenues, which it</w:t>
      </w:r>
      <w:r w:rsidR="00D97542" w:rsidRPr="00AC5D15">
        <w:rPr>
          <w:sz w:val="26"/>
          <w:szCs w:val="26"/>
        </w:rPr>
        <w:t xml:space="preserve"> claims it did not, Commission Staff will identify this</w:t>
      </w:r>
      <w:r w:rsidR="007B2A31" w:rsidRPr="00AC5D15">
        <w:rPr>
          <w:sz w:val="26"/>
          <w:szCs w:val="26"/>
        </w:rPr>
        <w:t xml:space="preserve"> in its </w:t>
      </w:r>
      <w:r w:rsidR="00F36257" w:rsidRPr="00AC5D15">
        <w:rPr>
          <w:sz w:val="26"/>
          <w:szCs w:val="26"/>
        </w:rPr>
        <w:t xml:space="preserve">audit and PPL </w:t>
      </w:r>
      <w:r w:rsidR="007B2A31" w:rsidRPr="00AC5D15">
        <w:rPr>
          <w:sz w:val="26"/>
          <w:szCs w:val="26"/>
        </w:rPr>
        <w:t>will correct it.  PPL M. B. at 32.</w:t>
      </w:r>
      <w:r w:rsidR="002C6FB8" w:rsidRPr="00AC5D15">
        <w:rPr>
          <w:sz w:val="26"/>
          <w:szCs w:val="26"/>
        </w:rPr>
        <w:t xml:space="preserve"> </w:t>
      </w:r>
    </w:p>
    <w:p w:rsidR="0007590A" w:rsidRPr="00AC5D15" w:rsidRDefault="0007590A" w:rsidP="00B05E0D">
      <w:pPr>
        <w:contextualSpacing/>
        <w:jc w:val="left"/>
        <w:rPr>
          <w:sz w:val="26"/>
          <w:szCs w:val="26"/>
        </w:rPr>
      </w:pPr>
    </w:p>
    <w:p w:rsidR="0007590A" w:rsidRPr="00AC5D15" w:rsidRDefault="0007590A" w:rsidP="00886144">
      <w:pPr>
        <w:keepNext/>
        <w:contextualSpacing/>
        <w:jc w:val="left"/>
        <w:rPr>
          <w:b/>
          <w:sz w:val="26"/>
          <w:szCs w:val="26"/>
        </w:rPr>
      </w:pPr>
      <w:r w:rsidRPr="00AC5D15">
        <w:rPr>
          <w:sz w:val="26"/>
          <w:szCs w:val="26"/>
        </w:rPr>
        <w:tab/>
      </w:r>
      <w:r w:rsidRPr="00AC5D15">
        <w:rPr>
          <w:b/>
          <w:sz w:val="26"/>
          <w:szCs w:val="26"/>
        </w:rPr>
        <w:t>2.</w:t>
      </w:r>
      <w:r w:rsidRPr="00AC5D15">
        <w:rPr>
          <w:b/>
          <w:sz w:val="26"/>
          <w:szCs w:val="26"/>
        </w:rPr>
        <w:tab/>
        <w:t>ALJ</w:t>
      </w:r>
      <w:r w:rsidR="00D64DAA" w:rsidRPr="00AC5D15">
        <w:rPr>
          <w:b/>
          <w:sz w:val="26"/>
          <w:szCs w:val="26"/>
        </w:rPr>
        <w:t>’</w:t>
      </w:r>
      <w:r w:rsidRPr="00AC5D15">
        <w:rPr>
          <w:b/>
          <w:sz w:val="26"/>
          <w:szCs w:val="26"/>
        </w:rPr>
        <w:t>s Recommendation</w:t>
      </w:r>
    </w:p>
    <w:p w:rsidR="00FC786C" w:rsidRPr="00AC5D15" w:rsidRDefault="00FC786C" w:rsidP="00886144">
      <w:pPr>
        <w:keepNext/>
        <w:contextualSpacing/>
        <w:jc w:val="left"/>
        <w:rPr>
          <w:sz w:val="26"/>
        </w:rPr>
      </w:pPr>
    </w:p>
    <w:p w:rsidR="002C6FB8" w:rsidRPr="00AC5D15" w:rsidRDefault="002C6FB8" w:rsidP="00B05E0D">
      <w:pPr>
        <w:contextualSpacing/>
        <w:jc w:val="left"/>
        <w:rPr>
          <w:sz w:val="26"/>
          <w:szCs w:val="26"/>
        </w:rPr>
      </w:pPr>
      <w:r w:rsidRPr="00AC5D15">
        <w:rPr>
          <w:sz w:val="26"/>
        </w:rPr>
        <w:tab/>
      </w:r>
      <w:r w:rsidRPr="00AC5D15">
        <w:rPr>
          <w:sz w:val="26"/>
        </w:rPr>
        <w:tab/>
      </w:r>
      <w:r w:rsidR="0007590A" w:rsidRPr="00AC5D15">
        <w:rPr>
          <w:sz w:val="26"/>
          <w:szCs w:val="26"/>
        </w:rPr>
        <w:t xml:space="preserve">The ALJ </w:t>
      </w:r>
      <w:r w:rsidR="005D75D7" w:rsidRPr="00AC5D15">
        <w:rPr>
          <w:sz w:val="26"/>
          <w:szCs w:val="26"/>
        </w:rPr>
        <w:t>recommend</w:t>
      </w:r>
      <w:r w:rsidR="0007590A" w:rsidRPr="00AC5D15">
        <w:rPr>
          <w:sz w:val="26"/>
          <w:szCs w:val="26"/>
        </w:rPr>
        <w:t xml:space="preserve">ed </w:t>
      </w:r>
      <w:r w:rsidR="005D75D7" w:rsidRPr="00AC5D15">
        <w:rPr>
          <w:sz w:val="26"/>
          <w:szCs w:val="26"/>
        </w:rPr>
        <w:t xml:space="preserve">that </w:t>
      </w:r>
      <w:r w:rsidR="00FF2372" w:rsidRPr="00AC5D15">
        <w:rPr>
          <w:sz w:val="26"/>
          <w:szCs w:val="26"/>
        </w:rPr>
        <w:t>this matter be the subject of a full and thorough Commission audit.  According to the ALJ, w</w:t>
      </w:r>
      <w:r w:rsidRPr="00AC5D15">
        <w:rPr>
          <w:sz w:val="26"/>
          <w:szCs w:val="26"/>
        </w:rPr>
        <w:t xml:space="preserve">hile </w:t>
      </w:r>
      <w:r w:rsidR="00D64DAA" w:rsidRPr="00AC5D15">
        <w:rPr>
          <w:sz w:val="26"/>
          <w:szCs w:val="26"/>
        </w:rPr>
        <w:t>PPL</w:t>
      </w:r>
      <w:r w:rsidRPr="00AC5D15">
        <w:rPr>
          <w:sz w:val="26"/>
          <w:szCs w:val="26"/>
        </w:rPr>
        <w:t xml:space="preserve"> stated that </w:t>
      </w:r>
      <w:r w:rsidR="00E462B6" w:rsidRPr="00AC5D15">
        <w:rPr>
          <w:sz w:val="26"/>
          <w:szCs w:val="26"/>
        </w:rPr>
        <w:t>an audit is</w:t>
      </w:r>
      <w:r w:rsidRPr="00AC5D15">
        <w:rPr>
          <w:sz w:val="26"/>
          <w:szCs w:val="26"/>
        </w:rPr>
        <w:t xml:space="preserve"> underway, the full subject matter of the audit was not made clear in this proceeding</w:t>
      </w:r>
      <w:r w:rsidR="00ED1D6E" w:rsidRPr="00AC5D15">
        <w:rPr>
          <w:sz w:val="26"/>
          <w:szCs w:val="26"/>
        </w:rPr>
        <w:t>, and the audit had not been made public at the time of the issuance of this Recommended Decision</w:t>
      </w:r>
      <w:r w:rsidR="00FF2372" w:rsidRPr="00AC5D15">
        <w:rPr>
          <w:sz w:val="26"/>
          <w:szCs w:val="26"/>
        </w:rPr>
        <w:t>.  R.D. at 32.</w:t>
      </w:r>
    </w:p>
    <w:p w:rsidR="002C6FB8" w:rsidRPr="00AC5D15" w:rsidRDefault="002C6FB8" w:rsidP="00B05E0D">
      <w:pPr>
        <w:contextualSpacing/>
        <w:jc w:val="left"/>
        <w:rPr>
          <w:sz w:val="26"/>
        </w:rPr>
      </w:pPr>
    </w:p>
    <w:p w:rsidR="002C6FB8" w:rsidRPr="00AC5D15" w:rsidRDefault="00BD140A" w:rsidP="00B05E0D">
      <w:pPr>
        <w:contextualSpacing/>
        <w:jc w:val="left"/>
        <w:rPr>
          <w:sz w:val="26"/>
          <w:szCs w:val="26"/>
        </w:rPr>
      </w:pPr>
      <w:r w:rsidRPr="00AC5D15">
        <w:rPr>
          <w:sz w:val="26"/>
        </w:rPr>
        <w:tab/>
      </w:r>
      <w:r w:rsidRPr="00AC5D15">
        <w:rPr>
          <w:sz w:val="26"/>
        </w:rPr>
        <w:tab/>
      </w:r>
      <w:r w:rsidR="008F6646" w:rsidRPr="00AC5D15">
        <w:rPr>
          <w:sz w:val="26"/>
          <w:szCs w:val="26"/>
        </w:rPr>
        <w:t>With regard to the OSBA request for refunds, the ALJ concluded that i</w:t>
      </w:r>
      <w:r w:rsidRPr="00AC5D15">
        <w:rPr>
          <w:sz w:val="26"/>
          <w:szCs w:val="26"/>
        </w:rPr>
        <w:t xml:space="preserve">t </w:t>
      </w:r>
      <w:r w:rsidR="008F6646" w:rsidRPr="00AC5D15">
        <w:rPr>
          <w:sz w:val="26"/>
          <w:szCs w:val="26"/>
        </w:rPr>
        <w:t>wa</w:t>
      </w:r>
      <w:r w:rsidRPr="00AC5D15">
        <w:rPr>
          <w:sz w:val="26"/>
          <w:szCs w:val="26"/>
        </w:rPr>
        <w:t xml:space="preserve">s premature to address this issue, and </w:t>
      </w:r>
      <w:r w:rsidR="008F6646" w:rsidRPr="00AC5D15">
        <w:rPr>
          <w:sz w:val="26"/>
          <w:szCs w:val="26"/>
        </w:rPr>
        <w:t xml:space="preserve">recommended that the issue of refunds </w:t>
      </w:r>
      <w:r w:rsidRPr="00AC5D15">
        <w:rPr>
          <w:sz w:val="26"/>
          <w:szCs w:val="26"/>
        </w:rPr>
        <w:t xml:space="preserve">be </w:t>
      </w:r>
      <w:r w:rsidR="004822A6" w:rsidRPr="00AC5D15">
        <w:rPr>
          <w:sz w:val="26"/>
          <w:szCs w:val="26"/>
        </w:rPr>
        <w:t>addressed</w:t>
      </w:r>
      <w:r w:rsidRPr="00AC5D15">
        <w:rPr>
          <w:sz w:val="26"/>
          <w:szCs w:val="26"/>
        </w:rPr>
        <w:t xml:space="preserve"> by the Commission following the receipt of the audit.</w:t>
      </w:r>
      <w:r w:rsidR="008F6646" w:rsidRPr="00AC5D15">
        <w:rPr>
          <w:sz w:val="26"/>
          <w:szCs w:val="26"/>
        </w:rPr>
        <w:t xml:space="preserve">  R.D. at 33.</w:t>
      </w:r>
    </w:p>
    <w:p w:rsidR="00BD140A" w:rsidRPr="00AC5D15" w:rsidRDefault="00BD140A" w:rsidP="00B05E0D">
      <w:pPr>
        <w:contextualSpacing/>
        <w:jc w:val="left"/>
        <w:rPr>
          <w:sz w:val="26"/>
        </w:rPr>
      </w:pPr>
    </w:p>
    <w:p w:rsidR="00FD20C2" w:rsidRPr="00AC5D15" w:rsidRDefault="00BD140A" w:rsidP="00B05E0D">
      <w:pPr>
        <w:contextualSpacing/>
        <w:jc w:val="left"/>
        <w:rPr>
          <w:sz w:val="26"/>
          <w:szCs w:val="26"/>
        </w:rPr>
      </w:pPr>
      <w:r w:rsidRPr="00AC5D15">
        <w:rPr>
          <w:sz w:val="26"/>
        </w:rPr>
        <w:tab/>
      </w:r>
      <w:r w:rsidRPr="00AC5D15">
        <w:rPr>
          <w:sz w:val="26"/>
        </w:rPr>
        <w:tab/>
      </w:r>
      <w:r w:rsidR="008F6646" w:rsidRPr="00AC5D15">
        <w:rPr>
          <w:sz w:val="26"/>
          <w:szCs w:val="26"/>
        </w:rPr>
        <w:t>Furthermore, the ALJ stated t</w:t>
      </w:r>
      <w:r w:rsidR="00FD20C2" w:rsidRPr="00AC5D15">
        <w:rPr>
          <w:sz w:val="26"/>
          <w:szCs w:val="26"/>
        </w:rPr>
        <w:t xml:space="preserve">hat </w:t>
      </w:r>
      <w:r w:rsidR="00D64DAA" w:rsidRPr="00AC5D15">
        <w:rPr>
          <w:sz w:val="26"/>
          <w:szCs w:val="26"/>
        </w:rPr>
        <w:t>PPL’</w:t>
      </w:r>
      <w:r w:rsidR="00FD20C2" w:rsidRPr="00AC5D15">
        <w:rPr>
          <w:sz w:val="26"/>
          <w:szCs w:val="26"/>
        </w:rPr>
        <w:t xml:space="preserve">s actions throughout the implementation of the default service plan have been consistent with the Commission-approved plan.  </w:t>
      </w:r>
      <w:r w:rsidR="008F6646" w:rsidRPr="00AC5D15">
        <w:rPr>
          <w:sz w:val="26"/>
          <w:szCs w:val="26"/>
        </w:rPr>
        <w:t xml:space="preserve">The ALJ found </w:t>
      </w:r>
      <w:r w:rsidR="00FD20C2" w:rsidRPr="00AC5D15">
        <w:rPr>
          <w:sz w:val="26"/>
          <w:szCs w:val="26"/>
        </w:rPr>
        <w:t xml:space="preserve">no evidence to support a finding of wrong-doing, either intentional or negligent.  </w:t>
      </w:r>
      <w:r w:rsidR="004822A6" w:rsidRPr="00AC5D15">
        <w:rPr>
          <w:sz w:val="26"/>
          <w:szCs w:val="26"/>
        </w:rPr>
        <w:t xml:space="preserve">According to the ALJ, only </w:t>
      </w:r>
      <w:r w:rsidR="00FD20C2" w:rsidRPr="00AC5D15">
        <w:rPr>
          <w:sz w:val="26"/>
          <w:szCs w:val="26"/>
        </w:rPr>
        <w:t xml:space="preserve">20-20 hindsight shows that the </w:t>
      </w:r>
      <w:r w:rsidR="00D64DAA" w:rsidRPr="00AC5D15">
        <w:rPr>
          <w:sz w:val="26"/>
          <w:szCs w:val="26"/>
        </w:rPr>
        <w:lastRenderedPageBreak/>
        <w:t>“</w:t>
      </w:r>
      <w:r w:rsidR="00FD20C2" w:rsidRPr="00AC5D15">
        <w:rPr>
          <w:sz w:val="26"/>
          <w:szCs w:val="26"/>
        </w:rPr>
        <w:t>business as usual</w:t>
      </w:r>
      <w:r w:rsidR="00D64DAA" w:rsidRPr="00AC5D15">
        <w:rPr>
          <w:sz w:val="26"/>
          <w:szCs w:val="26"/>
        </w:rPr>
        <w:t>”</w:t>
      </w:r>
      <w:r w:rsidR="00FD20C2" w:rsidRPr="00AC5D15">
        <w:rPr>
          <w:sz w:val="26"/>
          <w:szCs w:val="26"/>
        </w:rPr>
        <w:t xml:space="preserve"> approach which served </w:t>
      </w:r>
      <w:r w:rsidR="00D64DAA" w:rsidRPr="00AC5D15">
        <w:rPr>
          <w:sz w:val="26"/>
          <w:szCs w:val="26"/>
        </w:rPr>
        <w:t>PPL</w:t>
      </w:r>
      <w:r w:rsidR="00FD20C2" w:rsidRPr="00AC5D15">
        <w:rPr>
          <w:sz w:val="26"/>
          <w:szCs w:val="26"/>
        </w:rPr>
        <w:t xml:space="preserve"> and its ratepayers so well during the time of integrated electric companies has proven to be less effective during the switch to distribution-only utilities, default service, and  electric competition.  Accordingly, </w:t>
      </w:r>
      <w:r w:rsidR="008F6646" w:rsidRPr="00AC5D15">
        <w:rPr>
          <w:sz w:val="26"/>
          <w:szCs w:val="26"/>
        </w:rPr>
        <w:t>the ALJ found that a</w:t>
      </w:r>
      <w:r w:rsidR="00FD20C2" w:rsidRPr="00AC5D15">
        <w:rPr>
          <w:sz w:val="26"/>
          <w:szCs w:val="26"/>
        </w:rPr>
        <w:t xml:space="preserve"> penalty </w:t>
      </w:r>
      <w:r w:rsidR="008F6646" w:rsidRPr="00AC5D15">
        <w:rPr>
          <w:sz w:val="26"/>
          <w:szCs w:val="26"/>
        </w:rPr>
        <w:t xml:space="preserve">is not </w:t>
      </w:r>
      <w:r w:rsidR="00FD20C2" w:rsidRPr="00AC5D15">
        <w:rPr>
          <w:sz w:val="26"/>
          <w:szCs w:val="26"/>
        </w:rPr>
        <w:t xml:space="preserve">recommended.  </w:t>
      </w:r>
      <w:r w:rsidR="008F6646" w:rsidRPr="00AC5D15">
        <w:rPr>
          <w:sz w:val="26"/>
          <w:szCs w:val="26"/>
        </w:rPr>
        <w:t>R.D. at 33.</w:t>
      </w:r>
    </w:p>
    <w:p w:rsidR="008F6646" w:rsidRPr="00AC5D15" w:rsidRDefault="008F6646" w:rsidP="00B05E0D">
      <w:pPr>
        <w:contextualSpacing/>
        <w:jc w:val="left"/>
        <w:rPr>
          <w:sz w:val="26"/>
          <w:szCs w:val="26"/>
        </w:rPr>
      </w:pPr>
    </w:p>
    <w:p w:rsidR="008F6646" w:rsidRPr="00AC5D15" w:rsidRDefault="008F6646" w:rsidP="00B05E0D">
      <w:pPr>
        <w:keepNext/>
        <w:contextualSpacing/>
        <w:jc w:val="left"/>
        <w:rPr>
          <w:b/>
          <w:sz w:val="26"/>
          <w:szCs w:val="26"/>
        </w:rPr>
      </w:pPr>
      <w:r w:rsidRPr="00AC5D15">
        <w:rPr>
          <w:sz w:val="26"/>
          <w:szCs w:val="26"/>
        </w:rPr>
        <w:tab/>
      </w:r>
      <w:r w:rsidRPr="00AC5D15">
        <w:rPr>
          <w:b/>
          <w:sz w:val="26"/>
          <w:szCs w:val="26"/>
        </w:rPr>
        <w:t>3.</w:t>
      </w:r>
      <w:r w:rsidRPr="00AC5D15">
        <w:rPr>
          <w:b/>
          <w:sz w:val="26"/>
          <w:szCs w:val="26"/>
        </w:rPr>
        <w:tab/>
        <w:t>Exceptions and Replies</w:t>
      </w:r>
    </w:p>
    <w:p w:rsidR="008F6646" w:rsidRPr="00AC5D15" w:rsidRDefault="008F6646" w:rsidP="00B05E0D">
      <w:pPr>
        <w:keepNext/>
        <w:contextualSpacing/>
        <w:jc w:val="left"/>
        <w:rPr>
          <w:b/>
          <w:sz w:val="26"/>
          <w:szCs w:val="26"/>
        </w:rPr>
      </w:pPr>
    </w:p>
    <w:p w:rsidR="00B418AB" w:rsidRPr="00AC5D15" w:rsidRDefault="00C8047D" w:rsidP="00B05E0D">
      <w:pPr>
        <w:pStyle w:val="BodyText2"/>
        <w:spacing w:line="360" w:lineRule="auto"/>
        <w:jc w:val="left"/>
        <w:rPr>
          <w:sz w:val="26"/>
          <w:szCs w:val="26"/>
        </w:rPr>
      </w:pPr>
      <w:r w:rsidRPr="00AC5D15">
        <w:rPr>
          <w:b/>
          <w:sz w:val="26"/>
          <w:szCs w:val="26"/>
        </w:rPr>
        <w:tab/>
      </w:r>
      <w:r w:rsidRPr="00AC5D15">
        <w:rPr>
          <w:b/>
          <w:sz w:val="26"/>
          <w:szCs w:val="26"/>
        </w:rPr>
        <w:tab/>
      </w:r>
      <w:r w:rsidR="00C53C6D" w:rsidRPr="00AC5D15">
        <w:rPr>
          <w:sz w:val="26"/>
          <w:szCs w:val="26"/>
        </w:rPr>
        <w:t xml:space="preserve">In </w:t>
      </w:r>
      <w:r w:rsidR="00EE0FCA" w:rsidRPr="00AC5D15">
        <w:rPr>
          <w:sz w:val="26"/>
          <w:szCs w:val="26"/>
        </w:rPr>
        <w:t>its</w:t>
      </w:r>
      <w:r w:rsidR="00C53C6D" w:rsidRPr="00AC5D15">
        <w:rPr>
          <w:sz w:val="26"/>
          <w:szCs w:val="26"/>
        </w:rPr>
        <w:t xml:space="preserve"> Exceptions, PPL states that the ALJ</w:t>
      </w:r>
      <w:r w:rsidR="00D64DAA" w:rsidRPr="00AC5D15">
        <w:rPr>
          <w:sz w:val="26"/>
          <w:szCs w:val="26"/>
        </w:rPr>
        <w:t>’</w:t>
      </w:r>
      <w:r w:rsidR="00C53C6D" w:rsidRPr="00AC5D15">
        <w:rPr>
          <w:sz w:val="26"/>
          <w:szCs w:val="26"/>
        </w:rPr>
        <w:t>s recommend</w:t>
      </w:r>
      <w:r w:rsidR="00792E3F">
        <w:rPr>
          <w:sz w:val="26"/>
          <w:szCs w:val="26"/>
        </w:rPr>
        <w:t>at</w:t>
      </w:r>
      <w:r w:rsidR="004822A6" w:rsidRPr="00AC5D15">
        <w:rPr>
          <w:sz w:val="26"/>
          <w:szCs w:val="26"/>
        </w:rPr>
        <w:t>ion</w:t>
      </w:r>
      <w:r w:rsidR="00C53C6D" w:rsidRPr="00AC5D15">
        <w:rPr>
          <w:sz w:val="26"/>
          <w:szCs w:val="26"/>
        </w:rPr>
        <w:t>, that the Commi</w:t>
      </w:r>
      <w:r w:rsidR="004822A6" w:rsidRPr="00AC5D15">
        <w:rPr>
          <w:sz w:val="26"/>
          <w:szCs w:val="26"/>
        </w:rPr>
        <w:t>ssion order an additional audit</w:t>
      </w:r>
      <w:r w:rsidR="00C53C6D" w:rsidRPr="00AC5D15">
        <w:rPr>
          <w:sz w:val="26"/>
          <w:szCs w:val="26"/>
        </w:rPr>
        <w:t xml:space="preserve"> should not be accepted for several reasons.</w:t>
      </w:r>
      <w:r w:rsidR="00792E3F">
        <w:rPr>
          <w:sz w:val="26"/>
          <w:szCs w:val="26"/>
        </w:rPr>
        <w:t xml:space="preserve">  </w:t>
      </w:r>
      <w:r w:rsidR="00C53C6D" w:rsidRPr="00AC5D15">
        <w:rPr>
          <w:sz w:val="26"/>
          <w:szCs w:val="26"/>
        </w:rPr>
        <w:t>First, PPL offers that the OSBA failed to meet its heavy burden to establish that PPL</w:t>
      </w:r>
      <w:r w:rsidR="00D64DAA" w:rsidRPr="00AC5D15">
        <w:rPr>
          <w:sz w:val="26"/>
          <w:szCs w:val="26"/>
        </w:rPr>
        <w:t>’</w:t>
      </w:r>
      <w:r w:rsidR="00C53C6D" w:rsidRPr="00AC5D15">
        <w:rPr>
          <w:sz w:val="26"/>
          <w:szCs w:val="26"/>
        </w:rPr>
        <w:t>s reconciliation methodology is unreasonable.  According to PPL, the record clearly demonstrates that PPL</w:t>
      </w:r>
      <w:r w:rsidR="00D64DAA" w:rsidRPr="00AC5D15">
        <w:rPr>
          <w:sz w:val="26"/>
          <w:szCs w:val="26"/>
        </w:rPr>
        <w:t>’</w:t>
      </w:r>
      <w:r w:rsidR="00C53C6D" w:rsidRPr="00AC5D15">
        <w:rPr>
          <w:sz w:val="26"/>
          <w:szCs w:val="26"/>
        </w:rPr>
        <w:t>s reconciliation methodology is consistent with the plain language of Section 1307(e), the Commission</w:t>
      </w:r>
      <w:r w:rsidR="00D64DAA" w:rsidRPr="00AC5D15">
        <w:rPr>
          <w:sz w:val="26"/>
          <w:szCs w:val="26"/>
        </w:rPr>
        <w:t>’</w:t>
      </w:r>
      <w:r w:rsidR="00C53C6D" w:rsidRPr="00AC5D15">
        <w:rPr>
          <w:sz w:val="26"/>
          <w:szCs w:val="26"/>
        </w:rPr>
        <w:t xml:space="preserve">s definition of the term </w:t>
      </w:r>
      <w:r w:rsidR="00D64DAA" w:rsidRPr="00AC5D15">
        <w:rPr>
          <w:sz w:val="26"/>
          <w:szCs w:val="26"/>
        </w:rPr>
        <w:t>“</w:t>
      </w:r>
      <w:r w:rsidR="00C53C6D" w:rsidRPr="00AC5D15">
        <w:rPr>
          <w:sz w:val="26"/>
          <w:szCs w:val="26"/>
        </w:rPr>
        <w:t>revenues received,</w:t>
      </w:r>
      <w:r w:rsidR="00D64DAA" w:rsidRPr="00AC5D15">
        <w:rPr>
          <w:sz w:val="26"/>
          <w:szCs w:val="26"/>
        </w:rPr>
        <w:t>”</w:t>
      </w:r>
      <w:r w:rsidR="00C53C6D" w:rsidRPr="00AC5D15">
        <w:rPr>
          <w:sz w:val="26"/>
          <w:szCs w:val="26"/>
        </w:rPr>
        <w:t xml:space="preserve"> the rate cap provisions of the Competition Act, the cost recovery provisi</w:t>
      </w:r>
      <w:r w:rsidR="009C69A8" w:rsidRPr="00AC5D15">
        <w:rPr>
          <w:sz w:val="26"/>
          <w:szCs w:val="26"/>
        </w:rPr>
        <w:t>ons of Act 129, and over th</w:t>
      </w:r>
      <w:r w:rsidR="00C53C6D" w:rsidRPr="00AC5D15">
        <w:rPr>
          <w:sz w:val="26"/>
          <w:szCs w:val="26"/>
        </w:rPr>
        <w:t>irty years of Commission practice and policy.</w:t>
      </w:r>
      <w:r w:rsidR="00B418AB" w:rsidRPr="00AC5D15">
        <w:rPr>
          <w:sz w:val="26"/>
          <w:szCs w:val="26"/>
        </w:rPr>
        <w:t xml:space="preserve">  PPL Exc</w:t>
      </w:r>
      <w:r w:rsidR="00F36257" w:rsidRPr="00AC5D15">
        <w:rPr>
          <w:sz w:val="26"/>
          <w:szCs w:val="26"/>
        </w:rPr>
        <w:t>.</w:t>
      </w:r>
      <w:r w:rsidR="00B418AB" w:rsidRPr="00AC5D15">
        <w:rPr>
          <w:sz w:val="26"/>
          <w:szCs w:val="26"/>
        </w:rPr>
        <w:t xml:space="preserve"> at 23</w:t>
      </w:r>
      <w:r w:rsidR="00F36257" w:rsidRPr="00AC5D15">
        <w:rPr>
          <w:sz w:val="26"/>
          <w:szCs w:val="26"/>
        </w:rPr>
        <w:t>.</w:t>
      </w:r>
      <w:r w:rsidR="00C53C6D" w:rsidRPr="00AC5D15">
        <w:rPr>
          <w:sz w:val="26"/>
          <w:szCs w:val="26"/>
        </w:rPr>
        <w:t xml:space="preserve">  </w:t>
      </w:r>
    </w:p>
    <w:p w:rsidR="00B418AB" w:rsidRPr="00AC5D15" w:rsidRDefault="00B418AB" w:rsidP="00B05E0D">
      <w:pPr>
        <w:pStyle w:val="BodyText2"/>
        <w:spacing w:line="360" w:lineRule="auto"/>
        <w:ind w:firstLine="0"/>
        <w:jc w:val="left"/>
        <w:rPr>
          <w:sz w:val="26"/>
          <w:szCs w:val="26"/>
        </w:rPr>
      </w:pPr>
    </w:p>
    <w:p w:rsidR="00C53C6D" w:rsidRPr="00AC5D15" w:rsidRDefault="00C53C6D" w:rsidP="00B05E0D">
      <w:pPr>
        <w:pStyle w:val="BodyText2"/>
        <w:spacing w:line="360" w:lineRule="auto"/>
        <w:ind w:firstLine="1440"/>
        <w:jc w:val="left"/>
        <w:rPr>
          <w:sz w:val="26"/>
          <w:szCs w:val="26"/>
        </w:rPr>
      </w:pPr>
      <w:r w:rsidRPr="00AC5D15">
        <w:rPr>
          <w:sz w:val="26"/>
          <w:szCs w:val="26"/>
        </w:rPr>
        <w:t>Further, PPL maintains that the cause of the sig</w:t>
      </w:r>
      <w:r w:rsidR="004822A6" w:rsidRPr="00AC5D15">
        <w:rPr>
          <w:sz w:val="26"/>
          <w:szCs w:val="26"/>
        </w:rPr>
        <w:t>nificant rate increase for the S</w:t>
      </w:r>
      <w:r w:rsidRPr="00AC5D15">
        <w:rPr>
          <w:sz w:val="26"/>
          <w:szCs w:val="26"/>
        </w:rPr>
        <w:t>mall C&amp;I customers was not PPL</w:t>
      </w:r>
      <w:r w:rsidR="00D64DAA" w:rsidRPr="00AC5D15">
        <w:rPr>
          <w:sz w:val="26"/>
          <w:szCs w:val="26"/>
        </w:rPr>
        <w:t>’</w:t>
      </w:r>
      <w:r w:rsidRPr="00AC5D15">
        <w:rPr>
          <w:sz w:val="26"/>
          <w:szCs w:val="26"/>
        </w:rPr>
        <w:t>s reconciliation methodology, b</w:t>
      </w:r>
      <w:r w:rsidR="004822A6" w:rsidRPr="00AC5D15">
        <w:rPr>
          <w:sz w:val="26"/>
          <w:szCs w:val="26"/>
        </w:rPr>
        <w:t xml:space="preserve">ut, rather, </w:t>
      </w:r>
      <w:r w:rsidRPr="00AC5D15">
        <w:rPr>
          <w:sz w:val="26"/>
          <w:szCs w:val="26"/>
        </w:rPr>
        <w:t xml:space="preserve">the fact that PPL was required to reconcile the GSC and GSC-1 over and under collections on a quarterly basis as opposed to annually.  In addition, </w:t>
      </w:r>
      <w:r w:rsidR="00B418AB" w:rsidRPr="00AC5D15">
        <w:rPr>
          <w:sz w:val="26"/>
          <w:szCs w:val="26"/>
        </w:rPr>
        <w:t>PPL states that t</w:t>
      </w:r>
      <w:r w:rsidRPr="00AC5D15">
        <w:rPr>
          <w:sz w:val="26"/>
          <w:szCs w:val="26"/>
        </w:rPr>
        <w:t>he overall amou</w:t>
      </w:r>
      <w:r w:rsidR="00F36257" w:rsidRPr="00AC5D15">
        <w:rPr>
          <w:sz w:val="26"/>
          <w:szCs w:val="26"/>
        </w:rPr>
        <w:t>nt of the under collection for s</w:t>
      </w:r>
      <w:r w:rsidRPr="00AC5D15">
        <w:rPr>
          <w:sz w:val="26"/>
          <w:szCs w:val="26"/>
        </w:rPr>
        <w:t>mall C&amp;I customers has been significantly reduced and there is no need to make significant and unprecedented changes to PPL</w:t>
      </w:r>
      <w:r w:rsidR="00D64DAA" w:rsidRPr="00AC5D15">
        <w:rPr>
          <w:sz w:val="26"/>
          <w:szCs w:val="26"/>
        </w:rPr>
        <w:t>’</w:t>
      </w:r>
      <w:r w:rsidRPr="00AC5D15">
        <w:rPr>
          <w:sz w:val="26"/>
          <w:szCs w:val="26"/>
        </w:rPr>
        <w:t xml:space="preserve">s reconciliation method. </w:t>
      </w:r>
      <w:r w:rsidR="00B418AB" w:rsidRPr="00AC5D15">
        <w:rPr>
          <w:sz w:val="26"/>
          <w:szCs w:val="26"/>
        </w:rPr>
        <w:t xml:space="preserve"> PPL Exc. at 23.</w:t>
      </w:r>
    </w:p>
    <w:p w:rsidR="00B418AB" w:rsidRPr="00AC5D15" w:rsidRDefault="00B418AB" w:rsidP="00B05E0D">
      <w:pPr>
        <w:pStyle w:val="BodyText2"/>
        <w:spacing w:line="360" w:lineRule="auto"/>
        <w:ind w:firstLine="0"/>
        <w:jc w:val="left"/>
        <w:rPr>
          <w:sz w:val="26"/>
          <w:szCs w:val="26"/>
        </w:rPr>
      </w:pPr>
    </w:p>
    <w:p w:rsidR="00C53C6D" w:rsidRPr="00AC5D15" w:rsidRDefault="00B418AB" w:rsidP="00B05E0D">
      <w:pPr>
        <w:pStyle w:val="BodyText2"/>
        <w:spacing w:line="360" w:lineRule="auto"/>
        <w:ind w:firstLine="1440"/>
        <w:jc w:val="left"/>
        <w:rPr>
          <w:sz w:val="26"/>
          <w:szCs w:val="26"/>
        </w:rPr>
      </w:pPr>
      <w:r w:rsidRPr="00AC5D15">
        <w:rPr>
          <w:sz w:val="26"/>
          <w:szCs w:val="26"/>
        </w:rPr>
        <w:t>Additionally</w:t>
      </w:r>
      <w:r w:rsidR="00C53C6D" w:rsidRPr="00AC5D15">
        <w:rPr>
          <w:sz w:val="26"/>
          <w:szCs w:val="26"/>
        </w:rPr>
        <w:t xml:space="preserve">, </w:t>
      </w:r>
      <w:r w:rsidRPr="00AC5D15">
        <w:rPr>
          <w:sz w:val="26"/>
          <w:szCs w:val="26"/>
        </w:rPr>
        <w:t xml:space="preserve">PPL avers </w:t>
      </w:r>
      <w:r w:rsidR="004822A6" w:rsidRPr="00AC5D15">
        <w:rPr>
          <w:sz w:val="26"/>
          <w:szCs w:val="26"/>
        </w:rPr>
        <w:t xml:space="preserve">that </w:t>
      </w:r>
      <w:r w:rsidR="00C53C6D" w:rsidRPr="00AC5D15">
        <w:rPr>
          <w:sz w:val="26"/>
          <w:szCs w:val="26"/>
        </w:rPr>
        <w:t>the Bureau of Audits already has co</w:t>
      </w:r>
      <w:r w:rsidRPr="00AC5D15">
        <w:rPr>
          <w:sz w:val="26"/>
          <w:szCs w:val="26"/>
        </w:rPr>
        <w:t>mpleted an audit of PPL</w:t>
      </w:r>
      <w:r w:rsidR="00D64DAA" w:rsidRPr="00AC5D15">
        <w:rPr>
          <w:sz w:val="26"/>
          <w:szCs w:val="26"/>
        </w:rPr>
        <w:t>’</w:t>
      </w:r>
      <w:r w:rsidR="00C53C6D" w:rsidRPr="00AC5D15">
        <w:rPr>
          <w:sz w:val="26"/>
          <w:szCs w:val="26"/>
        </w:rPr>
        <w:t xml:space="preserve">s 2010 GSC and 2011 GSC-1, which includes default service costs and revenues for 2010.  </w:t>
      </w:r>
      <w:r w:rsidRPr="00AC5D15">
        <w:rPr>
          <w:sz w:val="26"/>
          <w:szCs w:val="26"/>
        </w:rPr>
        <w:t xml:space="preserve">According to </w:t>
      </w:r>
      <w:r w:rsidR="00D64DAA" w:rsidRPr="00AC5D15">
        <w:rPr>
          <w:sz w:val="26"/>
          <w:szCs w:val="26"/>
        </w:rPr>
        <w:t>PPL</w:t>
      </w:r>
      <w:r w:rsidRPr="00AC5D15">
        <w:rPr>
          <w:sz w:val="26"/>
          <w:szCs w:val="26"/>
        </w:rPr>
        <w:t>, i</w:t>
      </w:r>
      <w:r w:rsidR="00C53C6D" w:rsidRPr="00AC5D15">
        <w:rPr>
          <w:sz w:val="26"/>
          <w:szCs w:val="26"/>
        </w:rPr>
        <w:t>f the Commission</w:t>
      </w:r>
      <w:r w:rsidR="00D64DAA" w:rsidRPr="00AC5D15">
        <w:rPr>
          <w:sz w:val="26"/>
          <w:szCs w:val="26"/>
        </w:rPr>
        <w:t>’</w:t>
      </w:r>
      <w:r w:rsidR="00C53C6D" w:rsidRPr="00AC5D15">
        <w:rPr>
          <w:sz w:val="26"/>
          <w:szCs w:val="26"/>
        </w:rPr>
        <w:t>s Bureau of Audits identifies any issues with</w:t>
      </w:r>
      <w:r w:rsidR="004822A6" w:rsidRPr="00AC5D15">
        <w:rPr>
          <w:sz w:val="26"/>
          <w:szCs w:val="26"/>
        </w:rPr>
        <w:t xml:space="preserve"> the GSC and GSC-1, PPL</w:t>
      </w:r>
      <w:r w:rsidR="00C53C6D" w:rsidRPr="00AC5D15">
        <w:rPr>
          <w:sz w:val="26"/>
          <w:szCs w:val="26"/>
        </w:rPr>
        <w:t xml:space="preserve"> will work with audit staff to address such </w:t>
      </w:r>
      <w:r w:rsidR="00C53C6D" w:rsidRPr="00AC5D15">
        <w:rPr>
          <w:sz w:val="26"/>
          <w:szCs w:val="26"/>
        </w:rPr>
        <w:lastRenderedPageBreak/>
        <w:t xml:space="preserve">issues.  Therefore, </w:t>
      </w:r>
      <w:r w:rsidRPr="00AC5D15">
        <w:rPr>
          <w:sz w:val="26"/>
          <w:szCs w:val="26"/>
        </w:rPr>
        <w:t xml:space="preserve">PPL maintains </w:t>
      </w:r>
      <w:r w:rsidR="004822A6" w:rsidRPr="00AC5D15">
        <w:rPr>
          <w:sz w:val="26"/>
          <w:szCs w:val="26"/>
        </w:rPr>
        <w:t xml:space="preserve">that </w:t>
      </w:r>
      <w:r w:rsidR="00C53C6D" w:rsidRPr="00AC5D15">
        <w:rPr>
          <w:sz w:val="26"/>
          <w:szCs w:val="26"/>
        </w:rPr>
        <w:t>th</w:t>
      </w:r>
      <w:r w:rsidRPr="00AC5D15">
        <w:rPr>
          <w:sz w:val="26"/>
          <w:szCs w:val="26"/>
        </w:rPr>
        <w:t>e remedy recommended by the ALJ</w:t>
      </w:r>
      <w:r w:rsidR="00C53C6D" w:rsidRPr="00AC5D15">
        <w:rPr>
          <w:sz w:val="26"/>
          <w:szCs w:val="26"/>
        </w:rPr>
        <w:t xml:space="preserve"> is unnecessary.</w:t>
      </w:r>
      <w:r w:rsidRPr="00AC5D15">
        <w:rPr>
          <w:sz w:val="26"/>
          <w:szCs w:val="26"/>
        </w:rPr>
        <w:t xml:space="preserve">  PPL Exc. at 23.</w:t>
      </w:r>
    </w:p>
    <w:p w:rsidR="003735D1" w:rsidRPr="00AC5D15" w:rsidRDefault="003735D1" w:rsidP="00B05E0D">
      <w:pPr>
        <w:pStyle w:val="BodyText2"/>
        <w:spacing w:line="360" w:lineRule="auto"/>
        <w:ind w:firstLine="1440"/>
        <w:jc w:val="left"/>
        <w:rPr>
          <w:sz w:val="26"/>
          <w:szCs w:val="26"/>
        </w:rPr>
      </w:pPr>
    </w:p>
    <w:p w:rsidR="003735D1" w:rsidRPr="00AC5D15" w:rsidRDefault="003735D1" w:rsidP="00B05E0D">
      <w:pPr>
        <w:pStyle w:val="BodyText2"/>
        <w:spacing w:line="360" w:lineRule="auto"/>
        <w:ind w:firstLine="1440"/>
        <w:jc w:val="left"/>
        <w:rPr>
          <w:sz w:val="26"/>
          <w:szCs w:val="26"/>
        </w:rPr>
      </w:pPr>
      <w:r w:rsidRPr="00AC5D15">
        <w:rPr>
          <w:sz w:val="26"/>
          <w:szCs w:val="26"/>
        </w:rPr>
        <w:t>In reply, the OSBA maintains that an audit is required to determine whether PPL provided erroneous reve</w:t>
      </w:r>
      <w:r w:rsidR="004822A6" w:rsidRPr="00AC5D15">
        <w:rPr>
          <w:sz w:val="26"/>
          <w:szCs w:val="26"/>
        </w:rPr>
        <w:t>nue and billed kWh data to the P</w:t>
      </w:r>
      <w:r w:rsidRPr="00AC5D15">
        <w:rPr>
          <w:sz w:val="26"/>
          <w:szCs w:val="26"/>
        </w:rPr>
        <w:t xml:space="preserve">arties in this proceeding, and whether PPL correctly calculated revenues for reconciliation purposes in 2010.  According to the OSBA, </w:t>
      </w:r>
      <w:r w:rsidR="00792E3F">
        <w:rPr>
          <w:sz w:val="26"/>
          <w:szCs w:val="26"/>
        </w:rPr>
        <w:t xml:space="preserve">the audit that has been completed is </w:t>
      </w:r>
      <w:r w:rsidR="00D91D3E">
        <w:rPr>
          <w:sz w:val="26"/>
          <w:szCs w:val="26"/>
        </w:rPr>
        <w:t xml:space="preserve">not </w:t>
      </w:r>
      <w:r w:rsidR="00792E3F">
        <w:rPr>
          <w:sz w:val="26"/>
          <w:szCs w:val="26"/>
        </w:rPr>
        <w:t xml:space="preserve">adequate because </w:t>
      </w:r>
      <w:r w:rsidRPr="00AC5D15">
        <w:rPr>
          <w:sz w:val="26"/>
          <w:szCs w:val="26"/>
        </w:rPr>
        <w:t xml:space="preserve">it is </w:t>
      </w:r>
      <w:r w:rsidR="00D91D3E">
        <w:rPr>
          <w:sz w:val="26"/>
          <w:szCs w:val="26"/>
        </w:rPr>
        <w:t>not c</w:t>
      </w:r>
      <w:r w:rsidRPr="00AC5D15">
        <w:rPr>
          <w:sz w:val="26"/>
          <w:szCs w:val="26"/>
        </w:rPr>
        <w:t xml:space="preserve">lear whether </w:t>
      </w:r>
      <w:r w:rsidR="00D91D3E">
        <w:rPr>
          <w:sz w:val="26"/>
          <w:szCs w:val="26"/>
        </w:rPr>
        <w:t xml:space="preserve">that </w:t>
      </w:r>
      <w:r w:rsidRPr="00AC5D15">
        <w:rPr>
          <w:sz w:val="26"/>
          <w:szCs w:val="26"/>
        </w:rPr>
        <w:t xml:space="preserve">audit addressed the specific issues and inconsistencies </w:t>
      </w:r>
      <w:r w:rsidR="00D91D3E">
        <w:rPr>
          <w:sz w:val="26"/>
          <w:szCs w:val="26"/>
        </w:rPr>
        <w:t xml:space="preserve">that it </w:t>
      </w:r>
      <w:r w:rsidRPr="00AC5D15">
        <w:rPr>
          <w:sz w:val="26"/>
          <w:szCs w:val="26"/>
        </w:rPr>
        <w:t>raised in this proceeding</w:t>
      </w:r>
      <w:r w:rsidR="00D91D3E">
        <w:rPr>
          <w:sz w:val="26"/>
          <w:szCs w:val="26"/>
        </w:rPr>
        <w:t xml:space="preserve">. </w:t>
      </w:r>
      <w:r w:rsidRPr="00AC5D15">
        <w:rPr>
          <w:sz w:val="26"/>
          <w:szCs w:val="26"/>
        </w:rPr>
        <w:t xml:space="preserve"> OSBA R. Exc. at 15.</w:t>
      </w:r>
    </w:p>
    <w:p w:rsidR="00C8047D" w:rsidRPr="00AC5D15" w:rsidRDefault="00C8047D" w:rsidP="00B05E0D">
      <w:pPr>
        <w:contextualSpacing/>
        <w:jc w:val="left"/>
        <w:rPr>
          <w:b/>
          <w:sz w:val="26"/>
          <w:szCs w:val="26"/>
        </w:rPr>
      </w:pPr>
    </w:p>
    <w:p w:rsidR="008F6646" w:rsidRPr="00AC5D15" w:rsidRDefault="008F6646" w:rsidP="00B05E0D">
      <w:pPr>
        <w:keepNext/>
        <w:contextualSpacing/>
        <w:jc w:val="left"/>
        <w:rPr>
          <w:b/>
          <w:sz w:val="26"/>
          <w:szCs w:val="26"/>
        </w:rPr>
      </w:pPr>
      <w:r w:rsidRPr="00AC5D15">
        <w:rPr>
          <w:b/>
          <w:sz w:val="26"/>
          <w:szCs w:val="26"/>
        </w:rPr>
        <w:tab/>
        <w:t>4.</w:t>
      </w:r>
      <w:r w:rsidRPr="00AC5D15">
        <w:rPr>
          <w:b/>
          <w:sz w:val="26"/>
          <w:szCs w:val="26"/>
        </w:rPr>
        <w:tab/>
        <w:t>Disposition</w:t>
      </w:r>
    </w:p>
    <w:p w:rsidR="00D254E1" w:rsidRPr="00AC5D15" w:rsidRDefault="00D254E1" w:rsidP="00B05E0D">
      <w:pPr>
        <w:keepNext/>
        <w:contextualSpacing/>
        <w:jc w:val="left"/>
        <w:rPr>
          <w:b/>
          <w:sz w:val="26"/>
          <w:szCs w:val="26"/>
        </w:rPr>
      </w:pPr>
    </w:p>
    <w:p w:rsidR="00D254E1" w:rsidRPr="00AC5D15" w:rsidRDefault="00D254E1" w:rsidP="00B05E0D">
      <w:pPr>
        <w:contextualSpacing/>
        <w:jc w:val="left"/>
        <w:rPr>
          <w:sz w:val="26"/>
          <w:szCs w:val="26"/>
        </w:rPr>
      </w:pPr>
      <w:r w:rsidRPr="00AC5D15">
        <w:rPr>
          <w:b/>
          <w:sz w:val="26"/>
          <w:szCs w:val="26"/>
        </w:rPr>
        <w:tab/>
      </w:r>
      <w:r w:rsidRPr="00AC5D15">
        <w:rPr>
          <w:b/>
          <w:sz w:val="26"/>
          <w:szCs w:val="26"/>
        </w:rPr>
        <w:tab/>
      </w:r>
      <w:r w:rsidRPr="00AC5D15">
        <w:rPr>
          <w:sz w:val="26"/>
          <w:szCs w:val="26"/>
        </w:rPr>
        <w:t>We are persuaded by</w:t>
      </w:r>
      <w:r w:rsidR="00D91D3E">
        <w:rPr>
          <w:sz w:val="26"/>
          <w:szCs w:val="26"/>
        </w:rPr>
        <w:t xml:space="preserve"> PPL’s argument on this issue.  In our opinion, </w:t>
      </w:r>
      <w:r w:rsidR="00D64DAA" w:rsidRPr="00AC5D15">
        <w:rPr>
          <w:sz w:val="26"/>
          <w:szCs w:val="26"/>
        </w:rPr>
        <w:t>PPL</w:t>
      </w:r>
      <w:r w:rsidR="004822A6" w:rsidRPr="00AC5D15">
        <w:rPr>
          <w:sz w:val="26"/>
          <w:szCs w:val="26"/>
        </w:rPr>
        <w:t xml:space="preserve"> </w:t>
      </w:r>
      <w:r w:rsidRPr="00AC5D15">
        <w:rPr>
          <w:sz w:val="26"/>
          <w:szCs w:val="26"/>
        </w:rPr>
        <w:t>is correct that the Co</w:t>
      </w:r>
      <w:r w:rsidR="004822A6" w:rsidRPr="00AC5D15">
        <w:rPr>
          <w:sz w:val="26"/>
          <w:szCs w:val="26"/>
        </w:rPr>
        <w:t>mmission</w:t>
      </w:r>
      <w:r w:rsidR="00D64DAA" w:rsidRPr="00AC5D15">
        <w:rPr>
          <w:sz w:val="26"/>
          <w:szCs w:val="26"/>
        </w:rPr>
        <w:t>’</w:t>
      </w:r>
      <w:r w:rsidR="004822A6" w:rsidRPr="00AC5D15">
        <w:rPr>
          <w:sz w:val="26"/>
          <w:szCs w:val="26"/>
        </w:rPr>
        <w:t xml:space="preserve">s Bureau of Audits </w:t>
      </w:r>
      <w:r w:rsidRPr="00AC5D15">
        <w:rPr>
          <w:sz w:val="26"/>
          <w:szCs w:val="26"/>
        </w:rPr>
        <w:t xml:space="preserve">already </w:t>
      </w:r>
      <w:r w:rsidR="004822A6" w:rsidRPr="00AC5D15">
        <w:rPr>
          <w:sz w:val="26"/>
          <w:szCs w:val="26"/>
        </w:rPr>
        <w:t xml:space="preserve">has </w:t>
      </w:r>
      <w:r w:rsidRPr="00AC5D15">
        <w:rPr>
          <w:sz w:val="26"/>
          <w:szCs w:val="26"/>
        </w:rPr>
        <w:t xml:space="preserve">performed the audit requested by the OSBA.  Directing </w:t>
      </w:r>
      <w:r w:rsidR="004822A6" w:rsidRPr="00AC5D15">
        <w:rPr>
          <w:sz w:val="26"/>
          <w:szCs w:val="26"/>
        </w:rPr>
        <w:t xml:space="preserve">the Bureau of </w:t>
      </w:r>
      <w:r w:rsidRPr="00AC5D15">
        <w:rPr>
          <w:sz w:val="26"/>
          <w:szCs w:val="26"/>
        </w:rPr>
        <w:t xml:space="preserve">Audits </w:t>
      </w:r>
      <w:r w:rsidR="00D91D3E">
        <w:rPr>
          <w:sz w:val="26"/>
          <w:szCs w:val="26"/>
        </w:rPr>
        <w:t xml:space="preserve">to </w:t>
      </w:r>
      <w:r w:rsidRPr="00AC5D15">
        <w:rPr>
          <w:sz w:val="26"/>
          <w:szCs w:val="26"/>
        </w:rPr>
        <w:t xml:space="preserve">perform </w:t>
      </w:r>
      <w:r w:rsidR="00D91D3E">
        <w:rPr>
          <w:sz w:val="26"/>
          <w:szCs w:val="26"/>
        </w:rPr>
        <w:t xml:space="preserve">an audit such as that requested by </w:t>
      </w:r>
      <w:r w:rsidRPr="00AC5D15">
        <w:rPr>
          <w:sz w:val="26"/>
          <w:szCs w:val="26"/>
        </w:rPr>
        <w:t xml:space="preserve">the OSBA would be a duplicative effort and result in a waste of </w:t>
      </w:r>
      <w:r w:rsidR="00251356" w:rsidRPr="00AC5D15">
        <w:rPr>
          <w:sz w:val="26"/>
          <w:szCs w:val="26"/>
        </w:rPr>
        <w:t xml:space="preserve">valuable </w:t>
      </w:r>
      <w:r w:rsidRPr="00AC5D15">
        <w:rPr>
          <w:sz w:val="26"/>
          <w:szCs w:val="26"/>
        </w:rPr>
        <w:t>Commission resources</w:t>
      </w:r>
      <w:r w:rsidR="004822A6" w:rsidRPr="00AC5D15">
        <w:rPr>
          <w:sz w:val="26"/>
          <w:szCs w:val="26"/>
        </w:rPr>
        <w:t>.  The</w:t>
      </w:r>
      <w:r w:rsidR="00251356" w:rsidRPr="00AC5D15">
        <w:rPr>
          <w:sz w:val="26"/>
          <w:szCs w:val="26"/>
        </w:rPr>
        <w:t xml:space="preserve"> audit</w:t>
      </w:r>
      <w:r w:rsidR="00FC6B28" w:rsidRPr="00AC5D15">
        <w:rPr>
          <w:sz w:val="26"/>
          <w:szCs w:val="26"/>
        </w:rPr>
        <w:t xml:space="preserve">, </w:t>
      </w:r>
      <w:r w:rsidR="004822A6" w:rsidRPr="00AC5D15">
        <w:rPr>
          <w:sz w:val="26"/>
          <w:szCs w:val="26"/>
        </w:rPr>
        <w:t xml:space="preserve">at </w:t>
      </w:r>
      <w:r w:rsidR="00FC6B28" w:rsidRPr="00AC5D15">
        <w:rPr>
          <w:sz w:val="26"/>
          <w:szCs w:val="26"/>
        </w:rPr>
        <w:t>Docket No. D-2011-2238985, ha</w:t>
      </w:r>
      <w:r w:rsidR="00251356" w:rsidRPr="00AC5D15">
        <w:rPr>
          <w:sz w:val="26"/>
          <w:szCs w:val="26"/>
        </w:rPr>
        <w:t xml:space="preserve">s </w:t>
      </w:r>
      <w:r w:rsidR="00FC6B28" w:rsidRPr="00AC5D15">
        <w:rPr>
          <w:sz w:val="26"/>
          <w:szCs w:val="26"/>
        </w:rPr>
        <w:t xml:space="preserve">been </w:t>
      </w:r>
      <w:r w:rsidR="00251356" w:rsidRPr="00AC5D15">
        <w:rPr>
          <w:sz w:val="26"/>
          <w:szCs w:val="26"/>
        </w:rPr>
        <w:t>complete</w:t>
      </w:r>
      <w:r w:rsidR="00FC6B28" w:rsidRPr="00AC5D15">
        <w:rPr>
          <w:sz w:val="26"/>
          <w:szCs w:val="26"/>
        </w:rPr>
        <w:t>d by audit staff</w:t>
      </w:r>
      <w:r w:rsidR="00251356" w:rsidRPr="00AC5D15">
        <w:rPr>
          <w:sz w:val="26"/>
          <w:szCs w:val="26"/>
        </w:rPr>
        <w:t xml:space="preserve"> and </w:t>
      </w:r>
      <w:r w:rsidR="00FC6B28" w:rsidRPr="00AC5D15">
        <w:rPr>
          <w:sz w:val="26"/>
          <w:szCs w:val="26"/>
        </w:rPr>
        <w:t xml:space="preserve">is presently </w:t>
      </w:r>
      <w:r w:rsidR="00251356" w:rsidRPr="00AC5D15">
        <w:rPr>
          <w:sz w:val="26"/>
          <w:szCs w:val="26"/>
        </w:rPr>
        <w:t xml:space="preserve">awaiting final Commission approval.  Any findings and conclusions </w:t>
      </w:r>
      <w:r w:rsidR="00FC6B28" w:rsidRPr="00AC5D15">
        <w:rPr>
          <w:sz w:val="26"/>
          <w:szCs w:val="26"/>
        </w:rPr>
        <w:t xml:space="preserve">within the audit </w:t>
      </w:r>
      <w:r w:rsidR="00251356" w:rsidRPr="00AC5D15">
        <w:rPr>
          <w:sz w:val="26"/>
          <w:szCs w:val="26"/>
        </w:rPr>
        <w:t>will be released to PPL and</w:t>
      </w:r>
      <w:r w:rsidR="00FC6B28" w:rsidRPr="00AC5D15">
        <w:rPr>
          <w:sz w:val="26"/>
          <w:szCs w:val="26"/>
        </w:rPr>
        <w:t xml:space="preserve"> other</w:t>
      </w:r>
      <w:r w:rsidR="00251356" w:rsidRPr="00AC5D15">
        <w:rPr>
          <w:sz w:val="26"/>
          <w:szCs w:val="26"/>
        </w:rPr>
        <w:t xml:space="preserve"> interested Parties at the appropriate time.  Therefore, we adopt the Exceptions of PPL on this issue and reject the recommendation of the ALJ.</w:t>
      </w:r>
    </w:p>
    <w:p w:rsidR="008F6646" w:rsidRPr="00AC5D15" w:rsidRDefault="008F6646" w:rsidP="00B05E0D">
      <w:pPr>
        <w:contextualSpacing/>
        <w:jc w:val="left"/>
        <w:rPr>
          <w:b/>
          <w:sz w:val="26"/>
          <w:szCs w:val="26"/>
        </w:rPr>
      </w:pPr>
    </w:p>
    <w:p w:rsidR="008F6646" w:rsidRPr="00AC5D15" w:rsidRDefault="008F6646" w:rsidP="00886144">
      <w:pPr>
        <w:keepNext/>
        <w:contextualSpacing/>
        <w:rPr>
          <w:b/>
          <w:sz w:val="26"/>
          <w:szCs w:val="26"/>
        </w:rPr>
      </w:pPr>
      <w:r w:rsidRPr="00AC5D15">
        <w:rPr>
          <w:b/>
          <w:sz w:val="26"/>
          <w:szCs w:val="26"/>
        </w:rPr>
        <w:t>III.</w:t>
      </w:r>
      <w:r w:rsidRPr="00AC5D15">
        <w:rPr>
          <w:b/>
          <w:sz w:val="26"/>
          <w:szCs w:val="26"/>
        </w:rPr>
        <w:tab/>
        <w:t>Conclusion</w:t>
      </w:r>
    </w:p>
    <w:p w:rsidR="008F6646" w:rsidRPr="00AC5D15" w:rsidRDefault="008F6646" w:rsidP="00886144">
      <w:pPr>
        <w:keepNext/>
        <w:contextualSpacing/>
        <w:rPr>
          <w:b/>
          <w:sz w:val="26"/>
          <w:szCs w:val="26"/>
        </w:rPr>
      </w:pPr>
    </w:p>
    <w:p w:rsidR="00060BAD" w:rsidRPr="00AC5D15" w:rsidRDefault="008F6646" w:rsidP="00B05E0D">
      <w:pPr>
        <w:contextualSpacing/>
        <w:jc w:val="left"/>
        <w:rPr>
          <w:b/>
          <w:sz w:val="26"/>
          <w:szCs w:val="26"/>
        </w:rPr>
      </w:pPr>
      <w:r w:rsidRPr="00AC5D15">
        <w:rPr>
          <w:sz w:val="26"/>
          <w:szCs w:val="26"/>
        </w:rPr>
        <w:tab/>
      </w:r>
      <w:r w:rsidRPr="00AC5D15">
        <w:rPr>
          <w:sz w:val="26"/>
          <w:szCs w:val="26"/>
        </w:rPr>
        <w:tab/>
        <w:t>Based on our review, evaluation and analysis of the record evidence, we shall</w:t>
      </w:r>
      <w:r w:rsidR="00FC6B28" w:rsidRPr="00AC5D15">
        <w:rPr>
          <w:sz w:val="26"/>
          <w:szCs w:val="26"/>
        </w:rPr>
        <w:t xml:space="preserve"> grant the Exceptions of PPL, in part, and deny the</w:t>
      </w:r>
      <w:r w:rsidR="008249E2">
        <w:rPr>
          <w:sz w:val="26"/>
          <w:szCs w:val="26"/>
        </w:rPr>
        <w:t>m</w:t>
      </w:r>
      <w:r w:rsidR="00FC6B28" w:rsidRPr="00AC5D15">
        <w:rPr>
          <w:sz w:val="26"/>
          <w:szCs w:val="26"/>
        </w:rPr>
        <w:t xml:space="preserve">, in part.  We </w:t>
      </w:r>
      <w:r w:rsidR="008249E2">
        <w:rPr>
          <w:sz w:val="26"/>
          <w:szCs w:val="26"/>
        </w:rPr>
        <w:t xml:space="preserve">shall </w:t>
      </w:r>
      <w:r w:rsidR="00FC6B28" w:rsidRPr="00AC5D15">
        <w:rPr>
          <w:sz w:val="26"/>
          <w:szCs w:val="26"/>
        </w:rPr>
        <w:t>also reject the recommendations of the ALJ</w:t>
      </w:r>
      <w:r w:rsidR="00C53487" w:rsidRPr="00AC5D15">
        <w:rPr>
          <w:sz w:val="26"/>
          <w:szCs w:val="26"/>
        </w:rPr>
        <w:t xml:space="preserve"> and </w:t>
      </w:r>
      <w:r w:rsidR="004822A6" w:rsidRPr="00AC5D15">
        <w:rPr>
          <w:sz w:val="26"/>
          <w:szCs w:val="26"/>
        </w:rPr>
        <w:t>modify her Recommended Decision</w:t>
      </w:r>
      <w:r w:rsidR="00C53487" w:rsidRPr="00AC5D15">
        <w:rPr>
          <w:sz w:val="26"/>
          <w:szCs w:val="26"/>
        </w:rPr>
        <w:t xml:space="preserve"> consistent with this Opinion and Order; </w:t>
      </w:r>
      <w:r w:rsidRPr="00AC5D15">
        <w:rPr>
          <w:b/>
          <w:sz w:val="26"/>
          <w:szCs w:val="26"/>
        </w:rPr>
        <w:t>THEREFORE,</w:t>
      </w:r>
    </w:p>
    <w:p w:rsidR="008F6646" w:rsidRPr="00AC5D15" w:rsidRDefault="008F6646" w:rsidP="00886144">
      <w:pPr>
        <w:keepNext/>
        <w:contextualSpacing/>
        <w:jc w:val="left"/>
        <w:rPr>
          <w:b/>
          <w:sz w:val="26"/>
          <w:szCs w:val="26"/>
        </w:rPr>
      </w:pPr>
      <w:r w:rsidRPr="00AC5D15">
        <w:rPr>
          <w:b/>
          <w:sz w:val="26"/>
          <w:szCs w:val="26"/>
        </w:rPr>
        <w:lastRenderedPageBreak/>
        <w:tab/>
      </w:r>
      <w:r w:rsidRPr="00AC5D15">
        <w:rPr>
          <w:b/>
          <w:sz w:val="26"/>
          <w:szCs w:val="26"/>
        </w:rPr>
        <w:tab/>
        <w:t>IT IS ORDERED:</w:t>
      </w:r>
    </w:p>
    <w:p w:rsidR="003B2E6C" w:rsidRPr="00AC5D15" w:rsidRDefault="003B2E6C" w:rsidP="00886144">
      <w:pPr>
        <w:pStyle w:val="ListNumber"/>
        <w:keepNext/>
        <w:numPr>
          <w:ilvl w:val="0"/>
          <w:numId w:val="0"/>
        </w:numPr>
        <w:spacing w:line="360" w:lineRule="auto"/>
        <w:contextualSpacing/>
        <w:rPr>
          <w:sz w:val="26"/>
          <w:szCs w:val="26"/>
        </w:rPr>
      </w:pPr>
    </w:p>
    <w:p w:rsidR="00246529" w:rsidRDefault="00246529" w:rsidP="00B05E0D">
      <w:pPr>
        <w:pStyle w:val="ListNumber"/>
        <w:numPr>
          <w:ilvl w:val="0"/>
          <w:numId w:val="0"/>
        </w:numPr>
        <w:spacing w:line="360" w:lineRule="auto"/>
        <w:contextualSpacing/>
        <w:rPr>
          <w:sz w:val="26"/>
          <w:szCs w:val="26"/>
        </w:rPr>
      </w:pPr>
      <w:r w:rsidRPr="00AC5D15">
        <w:rPr>
          <w:sz w:val="26"/>
          <w:szCs w:val="26"/>
        </w:rPr>
        <w:tab/>
      </w:r>
      <w:r w:rsidRPr="00AC5D15">
        <w:rPr>
          <w:sz w:val="26"/>
          <w:szCs w:val="26"/>
        </w:rPr>
        <w:tab/>
        <w:t>1.</w:t>
      </w:r>
      <w:r w:rsidRPr="00AC5D15">
        <w:rPr>
          <w:sz w:val="26"/>
          <w:szCs w:val="26"/>
        </w:rPr>
        <w:tab/>
        <w:t xml:space="preserve">That the Exceptions filed by PPL Electric Utilities Corporation on April 24, 2012, to the Recommended Decision of Administrative Law Judge Susan D. Colwell are granted, in part, and denied, in part, consistent with this Opinion and Order. </w:t>
      </w:r>
    </w:p>
    <w:p w:rsidR="007F51D1" w:rsidRPr="00AC5D15" w:rsidRDefault="007F51D1" w:rsidP="00B05E0D">
      <w:pPr>
        <w:pStyle w:val="ListNumber"/>
        <w:numPr>
          <w:ilvl w:val="0"/>
          <w:numId w:val="0"/>
        </w:numPr>
        <w:spacing w:line="360" w:lineRule="auto"/>
        <w:contextualSpacing/>
        <w:rPr>
          <w:sz w:val="26"/>
          <w:szCs w:val="26"/>
        </w:rPr>
      </w:pPr>
    </w:p>
    <w:p w:rsidR="00C57E8D" w:rsidRPr="00AC5D15" w:rsidRDefault="00246529" w:rsidP="00B05E0D">
      <w:pPr>
        <w:pStyle w:val="ListNumber"/>
        <w:numPr>
          <w:ilvl w:val="0"/>
          <w:numId w:val="0"/>
        </w:numPr>
        <w:spacing w:line="360" w:lineRule="auto"/>
        <w:ind w:firstLine="1440"/>
        <w:contextualSpacing/>
        <w:rPr>
          <w:sz w:val="26"/>
          <w:szCs w:val="26"/>
        </w:rPr>
      </w:pPr>
      <w:r w:rsidRPr="00AC5D15">
        <w:rPr>
          <w:sz w:val="26"/>
          <w:szCs w:val="26"/>
        </w:rPr>
        <w:t>2</w:t>
      </w:r>
      <w:r w:rsidR="003D51A4" w:rsidRPr="00AC5D15">
        <w:rPr>
          <w:sz w:val="26"/>
          <w:szCs w:val="26"/>
        </w:rPr>
        <w:t>.</w:t>
      </w:r>
      <w:r w:rsidR="003D51A4" w:rsidRPr="00AC5D15">
        <w:rPr>
          <w:sz w:val="26"/>
          <w:szCs w:val="26"/>
        </w:rPr>
        <w:tab/>
        <w:t xml:space="preserve">That the </w:t>
      </w:r>
      <w:r w:rsidRPr="00AC5D15">
        <w:rPr>
          <w:sz w:val="26"/>
          <w:szCs w:val="26"/>
        </w:rPr>
        <w:t xml:space="preserve">Formal </w:t>
      </w:r>
      <w:r w:rsidR="003D51A4" w:rsidRPr="00AC5D15">
        <w:rPr>
          <w:sz w:val="26"/>
          <w:szCs w:val="26"/>
        </w:rPr>
        <w:t xml:space="preserve">Complaint </w:t>
      </w:r>
      <w:r w:rsidRPr="00AC5D15">
        <w:rPr>
          <w:sz w:val="26"/>
          <w:szCs w:val="26"/>
        </w:rPr>
        <w:t>filed</w:t>
      </w:r>
      <w:r w:rsidR="008249E2">
        <w:rPr>
          <w:sz w:val="26"/>
          <w:szCs w:val="26"/>
        </w:rPr>
        <w:t xml:space="preserve"> by </w:t>
      </w:r>
      <w:r w:rsidR="008249E2" w:rsidRPr="00AC5D15">
        <w:rPr>
          <w:sz w:val="26"/>
          <w:szCs w:val="26"/>
        </w:rPr>
        <w:t>the Office of Small Business Advocate</w:t>
      </w:r>
      <w:r w:rsidRPr="00AC5D15">
        <w:rPr>
          <w:sz w:val="26"/>
          <w:szCs w:val="26"/>
        </w:rPr>
        <w:t xml:space="preserve"> at Docket No. C-2011-2245906</w:t>
      </w:r>
      <w:r w:rsidR="005418A6" w:rsidRPr="00AC5D15">
        <w:rPr>
          <w:sz w:val="26"/>
          <w:szCs w:val="26"/>
        </w:rPr>
        <w:t xml:space="preserve"> </w:t>
      </w:r>
      <w:r w:rsidRPr="00AC5D15">
        <w:rPr>
          <w:sz w:val="26"/>
          <w:szCs w:val="26"/>
        </w:rPr>
        <w:t xml:space="preserve">is </w:t>
      </w:r>
      <w:r w:rsidR="005418A6" w:rsidRPr="00AC5D15">
        <w:rPr>
          <w:sz w:val="26"/>
          <w:szCs w:val="26"/>
        </w:rPr>
        <w:t>dismissed</w:t>
      </w:r>
      <w:r w:rsidRPr="00AC5D15">
        <w:rPr>
          <w:sz w:val="26"/>
          <w:szCs w:val="26"/>
        </w:rPr>
        <w:t>.</w:t>
      </w:r>
      <w:r w:rsidR="003D51A4" w:rsidRPr="00AC5D15">
        <w:rPr>
          <w:sz w:val="26"/>
          <w:szCs w:val="26"/>
        </w:rPr>
        <w:t xml:space="preserve"> </w:t>
      </w:r>
    </w:p>
    <w:p w:rsidR="003D51A4" w:rsidRPr="00AC5D15" w:rsidRDefault="003D51A4" w:rsidP="00B05E0D">
      <w:pPr>
        <w:pStyle w:val="ListNumber"/>
        <w:numPr>
          <w:ilvl w:val="0"/>
          <w:numId w:val="0"/>
        </w:numPr>
        <w:spacing w:line="360" w:lineRule="auto"/>
        <w:contextualSpacing/>
        <w:rPr>
          <w:sz w:val="26"/>
          <w:szCs w:val="26"/>
        </w:rPr>
      </w:pPr>
    </w:p>
    <w:p w:rsidR="0090571E" w:rsidRPr="00AC5D15" w:rsidRDefault="00246529" w:rsidP="00B05E0D">
      <w:pPr>
        <w:pStyle w:val="BodyText2"/>
        <w:spacing w:line="360" w:lineRule="auto"/>
        <w:rPr>
          <w:sz w:val="26"/>
          <w:szCs w:val="26"/>
        </w:rPr>
      </w:pPr>
      <w:r w:rsidRPr="00AC5D15">
        <w:rPr>
          <w:sz w:val="26"/>
          <w:szCs w:val="26"/>
        </w:rPr>
        <w:tab/>
        <w:t>3.</w:t>
      </w:r>
      <w:r w:rsidRPr="00AC5D15">
        <w:rPr>
          <w:sz w:val="26"/>
          <w:szCs w:val="26"/>
        </w:rPr>
        <w:tab/>
        <w:t>That the Recommended Decision of Administrative Law Judge Susan D. Colwell, issued on April 4, 2012, is modified consistent with this Opinion and Order.</w:t>
      </w:r>
    </w:p>
    <w:p w:rsidR="00886144" w:rsidRDefault="00886144">
      <w:pPr>
        <w:rPr>
          <w:rFonts w:eastAsia="Times New Roman"/>
          <w:sz w:val="26"/>
          <w:szCs w:val="26"/>
        </w:rPr>
      </w:pPr>
      <w:r>
        <w:rPr>
          <w:sz w:val="26"/>
          <w:szCs w:val="26"/>
        </w:rPr>
        <w:br w:type="page"/>
      </w:r>
    </w:p>
    <w:p w:rsidR="005418A6" w:rsidRPr="00AC5D15" w:rsidRDefault="005418A6" w:rsidP="00B05E0D">
      <w:pPr>
        <w:pStyle w:val="BodyText2"/>
        <w:spacing w:line="360" w:lineRule="auto"/>
        <w:rPr>
          <w:sz w:val="26"/>
          <w:szCs w:val="26"/>
        </w:rPr>
      </w:pPr>
    </w:p>
    <w:p w:rsidR="005418A6" w:rsidRPr="00AC5D15" w:rsidRDefault="005418A6" w:rsidP="00886144">
      <w:pPr>
        <w:pStyle w:val="BodyText2"/>
        <w:spacing w:line="360" w:lineRule="auto"/>
        <w:ind w:firstLine="1440"/>
        <w:jc w:val="left"/>
        <w:rPr>
          <w:sz w:val="26"/>
          <w:szCs w:val="26"/>
        </w:rPr>
      </w:pPr>
      <w:r w:rsidRPr="00AC5D15">
        <w:rPr>
          <w:sz w:val="26"/>
          <w:szCs w:val="26"/>
        </w:rPr>
        <w:t>4.</w:t>
      </w:r>
      <w:r w:rsidRPr="00AC5D15">
        <w:rPr>
          <w:sz w:val="26"/>
          <w:szCs w:val="26"/>
        </w:rPr>
        <w:tab/>
        <w:t xml:space="preserve">That the record at Docket Nos. </w:t>
      </w:r>
      <w:r w:rsidR="008249E2" w:rsidRPr="00AC5D15">
        <w:rPr>
          <w:sz w:val="26"/>
          <w:szCs w:val="26"/>
        </w:rPr>
        <w:t>M-2011-2243137</w:t>
      </w:r>
      <w:r w:rsidR="008249E2">
        <w:rPr>
          <w:sz w:val="26"/>
          <w:szCs w:val="26"/>
        </w:rPr>
        <w:t xml:space="preserve"> and </w:t>
      </w:r>
      <w:r w:rsidRPr="00AC5D15">
        <w:rPr>
          <w:sz w:val="26"/>
          <w:szCs w:val="26"/>
        </w:rPr>
        <w:t>C</w:t>
      </w:r>
      <w:r w:rsidR="00886144">
        <w:rPr>
          <w:sz w:val="26"/>
          <w:szCs w:val="26"/>
        </w:rPr>
        <w:noBreakHyphen/>
      </w:r>
      <w:r w:rsidRPr="00AC5D15">
        <w:rPr>
          <w:sz w:val="26"/>
          <w:szCs w:val="26"/>
        </w:rPr>
        <w:t>2011</w:t>
      </w:r>
      <w:r w:rsidR="00886144">
        <w:rPr>
          <w:sz w:val="26"/>
          <w:szCs w:val="26"/>
        </w:rPr>
        <w:noBreakHyphen/>
      </w:r>
      <w:r w:rsidRPr="00AC5D15">
        <w:rPr>
          <w:sz w:val="26"/>
          <w:szCs w:val="26"/>
        </w:rPr>
        <w:t>2245906 be marked closed.</w:t>
      </w:r>
    </w:p>
    <w:p w:rsidR="005418A6" w:rsidRDefault="005418A6" w:rsidP="00B05E0D">
      <w:pPr>
        <w:pStyle w:val="BodyText2"/>
        <w:spacing w:line="360" w:lineRule="auto"/>
        <w:rPr>
          <w:sz w:val="26"/>
          <w:szCs w:val="26"/>
        </w:rPr>
      </w:pPr>
    </w:p>
    <w:p w:rsidR="008249E2" w:rsidRPr="00AC5D15" w:rsidRDefault="008249E2" w:rsidP="00B05E0D">
      <w:pPr>
        <w:pStyle w:val="BodyText2"/>
        <w:spacing w:line="360" w:lineRule="auto"/>
        <w:rPr>
          <w:sz w:val="26"/>
          <w:szCs w:val="26"/>
        </w:rPr>
      </w:pPr>
    </w:p>
    <w:p w:rsidR="00C57E8D" w:rsidRPr="00AC5D15" w:rsidRDefault="006F22C6" w:rsidP="00B05E0D">
      <w:pPr>
        <w:pStyle w:val="BodyText2"/>
        <w:spacing w:line="360" w:lineRule="auto"/>
        <w:ind w:firstLine="0"/>
        <w:rPr>
          <w:b/>
          <w:sz w:val="26"/>
          <w:szCs w:val="26"/>
        </w:rPr>
      </w:pPr>
      <w:bookmarkStart w:id="0" w:name="_GoBack"/>
      <w:r w:rsidRPr="00A14635">
        <w:rPr>
          <w:noProof/>
        </w:rPr>
        <w:drawing>
          <wp:anchor distT="0" distB="0" distL="114300" distR="114300" simplePos="0" relativeHeight="251659264" behindDoc="1" locked="0" layoutInCell="1" allowOverlap="1" wp14:anchorId="31DC1F6E" wp14:editId="64AE9773">
            <wp:simplePos x="0" y="0"/>
            <wp:positionH relativeFrom="column">
              <wp:posOffset>3524250</wp:posOffset>
            </wp:positionH>
            <wp:positionV relativeFrom="paragraph">
              <wp:posOffset>46990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57E8D" w:rsidRPr="00AC5D15">
        <w:rPr>
          <w:sz w:val="26"/>
          <w:szCs w:val="26"/>
        </w:rPr>
        <w:tab/>
      </w:r>
      <w:r w:rsidR="00881D7E" w:rsidRPr="00AC5D15">
        <w:rPr>
          <w:sz w:val="26"/>
          <w:szCs w:val="26"/>
        </w:rPr>
        <w:tab/>
      </w:r>
      <w:r w:rsidR="0090571E" w:rsidRPr="00AC5D15">
        <w:rPr>
          <w:sz w:val="26"/>
          <w:szCs w:val="26"/>
        </w:rPr>
        <w:tab/>
      </w:r>
      <w:r w:rsidR="005418A6" w:rsidRPr="00AC5D15">
        <w:rPr>
          <w:sz w:val="26"/>
          <w:szCs w:val="26"/>
        </w:rPr>
        <w:tab/>
      </w:r>
      <w:r w:rsidR="005418A6" w:rsidRPr="00AC5D15">
        <w:rPr>
          <w:sz w:val="26"/>
          <w:szCs w:val="26"/>
        </w:rPr>
        <w:tab/>
      </w:r>
      <w:r w:rsidR="005418A6" w:rsidRPr="00AC5D15">
        <w:rPr>
          <w:sz w:val="26"/>
          <w:szCs w:val="26"/>
        </w:rPr>
        <w:tab/>
      </w:r>
      <w:r w:rsidR="005418A6" w:rsidRPr="00AC5D15">
        <w:rPr>
          <w:sz w:val="26"/>
          <w:szCs w:val="26"/>
        </w:rPr>
        <w:tab/>
      </w:r>
      <w:r w:rsidR="005418A6" w:rsidRPr="00AC5D15">
        <w:rPr>
          <w:sz w:val="26"/>
          <w:szCs w:val="26"/>
        </w:rPr>
        <w:tab/>
      </w:r>
      <w:r w:rsidR="0090571E" w:rsidRPr="00AC5D15">
        <w:rPr>
          <w:b/>
          <w:sz w:val="26"/>
          <w:szCs w:val="26"/>
        </w:rPr>
        <w:t>BY THE COMMISSION</w:t>
      </w:r>
      <w:r w:rsidR="00886144">
        <w:rPr>
          <w:b/>
          <w:sz w:val="26"/>
          <w:szCs w:val="26"/>
        </w:rPr>
        <w:t>,</w:t>
      </w:r>
    </w:p>
    <w:p w:rsidR="0090571E" w:rsidRPr="00AC5D15" w:rsidRDefault="0090571E" w:rsidP="00B05E0D">
      <w:pPr>
        <w:pStyle w:val="BodyText2"/>
        <w:spacing w:line="360" w:lineRule="auto"/>
        <w:rPr>
          <w:b/>
          <w:sz w:val="26"/>
          <w:szCs w:val="26"/>
        </w:rPr>
      </w:pPr>
    </w:p>
    <w:p w:rsidR="0090571E" w:rsidRPr="00AC5D15" w:rsidRDefault="0090571E" w:rsidP="00B05E0D">
      <w:pPr>
        <w:pStyle w:val="BodyText2"/>
        <w:spacing w:line="360" w:lineRule="auto"/>
        <w:rPr>
          <w:b/>
          <w:sz w:val="26"/>
          <w:szCs w:val="26"/>
        </w:rPr>
      </w:pPr>
    </w:p>
    <w:p w:rsidR="00C57E8D" w:rsidRPr="00AC5D15" w:rsidRDefault="00C57E8D" w:rsidP="00B05E0D">
      <w:pPr>
        <w:pStyle w:val="BodyText2"/>
        <w:spacing w:line="240" w:lineRule="auto"/>
        <w:ind w:hanging="86"/>
        <w:rPr>
          <w:sz w:val="26"/>
          <w:szCs w:val="26"/>
        </w:rPr>
      </w:pP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0090571E" w:rsidRPr="00AC5D15">
        <w:rPr>
          <w:sz w:val="26"/>
          <w:szCs w:val="26"/>
        </w:rPr>
        <w:t>Rosemary Chiavetta</w:t>
      </w:r>
    </w:p>
    <w:p w:rsidR="00C57E8D" w:rsidRPr="00AC5D15" w:rsidRDefault="00C57E8D" w:rsidP="00B05E0D">
      <w:pPr>
        <w:pStyle w:val="BodyText2"/>
        <w:spacing w:line="240" w:lineRule="auto"/>
        <w:ind w:hanging="86"/>
        <w:rPr>
          <w:sz w:val="26"/>
          <w:szCs w:val="26"/>
        </w:rPr>
      </w:pP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Pr="00AC5D15">
        <w:rPr>
          <w:sz w:val="26"/>
          <w:szCs w:val="26"/>
        </w:rPr>
        <w:tab/>
      </w:r>
      <w:r w:rsidR="0090571E" w:rsidRPr="00AC5D15">
        <w:rPr>
          <w:sz w:val="26"/>
          <w:szCs w:val="26"/>
        </w:rPr>
        <w:t>Secretary</w:t>
      </w:r>
    </w:p>
    <w:p w:rsidR="0090571E" w:rsidRPr="00AC5D15" w:rsidRDefault="0090571E" w:rsidP="00B05E0D">
      <w:pPr>
        <w:pStyle w:val="BodyText2"/>
        <w:spacing w:line="240" w:lineRule="auto"/>
        <w:ind w:hanging="86"/>
        <w:rPr>
          <w:sz w:val="26"/>
          <w:szCs w:val="26"/>
        </w:rPr>
      </w:pPr>
    </w:p>
    <w:p w:rsidR="0090571E" w:rsidRPr="00AC5D15" w:rsidRDefault="0090571E" w:rsidP="00B05E0D">
      <w:pPr>
        <w:pStyle w:val="BodyText2"/>
        <w:spacing w:line="240" w:lineRule="auto"/>
        <w:ind w:hanging="86"/>
        <w:rPr>
          <w:sz w:val="26"/>
          <w:szCs w:val="26"/>
        </w:rPr>
      </w:pPr>
    </w:p>
    <w:p w:rsidR="0090571E" w:rsidRPr="00AC5D15" w:rsidRDefault="0090571E" w:rsidP="00B05E0D">
      <w:pPr>
        <w:pStyle w:val="BodyText2"/>
        <w:spacing w:line="240" w:lineRule="auto"/>
        <w:ind w:hanging="86"/>
        <w:rPr>
          <w:sz w:val="26"/>
          <w:szCs w:val="26"/>
        </w:rPr>
      </w:pPr>
      <w:r w:rsidRPr="00AC5D15">
        <w:rPr>
          <w:sz w:val="26"/>
          <w:szCs w:val="26"/>
        </w:rPr>
        <w:t>(SEAL)</w:t>
      </w:r>
    </w:p>
    <w:p w:rsidR="0090571E" w:rsidRPr="00AC5D15" w:rsidRDefault="0090571E" w:rsidP="00B05E0D">
      <w:pPr>
        <w:pStyle w:val="BodyText2"/>
        <w:spacing w:line="240" w:lineRule="auto"/>
        <w:ind w:hanging="86"/>
        <w:rPr>
          <w:sz w:val="26"/>
          <w:szCs w:val="26"/>
        </w:rPr>
      </w:pPr>
    </w:p>
    <w:p w:rsidR="0090571E" w:rsidRPr="00AC5D15" w:rsidRDefault="0090571E" w:rsidP="00B05E0D">
      <w:pPr>
        <w:pStyle w:val="BodyText2"/>
        <w:spacing w:line="240" w:lineRule="auto"/>
        <w:ind w:hanging="86"/>
        <w:rPr>
          <w:sz w:val="26"/>
          <w:szCs w:val="26"/>
        </w:rPr>
      </w:pPr>
    </w:p>
    <w:p w:rsidR="0090571E" w:rsidRPr="00AC5D15" w:rsidRDefault="0090571E" w:rsidP="00B05E0D">
      <w:pPr>
        <w:pStyle w:val="BodyText2"/>
        <w:spacing w:line="240" w:lineRule="auto"/>
        <w:ind w:hanging="86"/>
        <w:rPr>
          <w:sz w:val="26"/>
          <w:szCs w:val="26"/>
        </w:rPr>
      </w:pPr>
    </w:p>
    <w:p w:rsidR="0090571E" w:rsidRPr="00AC5D15" w:rsidRDefault="0091749B" w:rsidP="00B05E0D">
      <w:pPr>
        <w:pStyle w:val="BodyText2"/>
        <w:spacing w:line="240" w:lineRule="auto"/>
        <w:ind w:hanging="86"/>
        <w:rPr>
          <w:sz w:val="26"/>
          <w:szCs w:val="26"/>
        </w:rPr>
      </w:pPr>
      <w:r w:rsidRPr="00AC5D15">
        <w:rPr>
          <w:sz w:val="26"/>
          <w:szCs w:val="26"/>
        </w:rPr>
        <w:t>ORDER ADOPTED:  July</w:t>
      </w:r>
      <w:r w:rsidR="0090571E" w:rsidRPr="00AC5D15">
        <w:rPr>
          <w:sz w:val="26"/>
          <w:szCs w:val="26"/>
        </w:rPr>
        <w:t xml:space="preserve"> </w:t>
      </w:r>
      <w:r w:rsidRPr="00AC5D15">
        <w:rPr>
          <w:sz w:val="26"/>
          <w:szCs w:val="26"/>
        </w:rPr>
        <w:t>19</w:t>
      </w:r>
      <w:r w:rsidR="0090571E" w:rsidRPr="00AC5D15">
        <w:rPr>
          <w:sz w:val="26"/>
          <w:szCs w:val="26"/>
        </w:rPr>
        <w:t>, 2012</w:t>
      </w:r>
    </w:p>
    <w:p w:rsidR="0090571E" w:rsidRPr="00AC5D15" w:rsidRDefault="0090571E" w:rsidP="00B05E0D">
      <w:pPr>
        <w:pStyle w:val="BodyText2"/>
        <w:spacing w:line="240" w:lineRule="auto"/>
        <w:ind w:hanging="86"/>
        <w:rPr>
          <w:sz w:val="26"/>
          <w:szCs w:val="26"/>
        </w:rPr>
      </w:pPr>
    </w:p>
    <w:p w:rsidR="0090571E" w:rsidRPr="00AC5D15" w:rsidRDefault="0090571E" w:rsidP="00B05E0D">
      <w:pPr>
        <w:pStyle w:val="BodyText2"/>
        <w:spacing w:line="240" w:lineRule="auto"/>
        <w:ind w:hanging="86"/>
        <w:rPr>
          <w:sz w:val="26"/>
          <w:szCs w:val="26"/>
        </w:rPr>
      </w:pPr>
      <w:r w:rsidRPr="00AC5D15">
        <w:rPr>
          <w:sz w:val="26"/>
          <w:szCs w:val="26"/>
        </w:rPr>
        <w:t>ORDER ENTERED:</w:t>
      </w:r>
      <w:r w:rsidR="006F22C6">
        <w:rPr>
          <w:sz w:val="26"/>
          <w:szCs w:val="26"/>
        </w:rPr>
        <w:t xml:space="preserve">  July 19, 2012</w:t>
      </w:r>
    </w:p>
    <w:sectPr w:rsidR="0090571E" w:rsidRPr="00AC5D15" w:rsidSect="0016755F">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C82" w:rsidRDefault="00CE4C82" w:rsidP="00BA3F25">
      <w:pPr>
        <w:spacing w:line="240" w:lineRule="auto"/>
      </w:pPr>
      <w:r>
        <w:separator/>
      </w:r>
    </w:p>
  </w:endnote>
  <w:endnote w:type="continuationSeparator" w:id="0">
    <w:p w:rsidR="00CE4C82" w:rsidRDefault="00CE4C82" w:rsidP="00BA3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327900271"/>
      <w:docPartObj>
        <w:docPartGallery w:val="Page Numbers (Bottom of Page)"/>
        <w:docPartUnique/>
      </w:docPartObj>
    </w:sdtPr>
    <w:sdtEndPr>
      <w:rPr>
        <w:noProof/>
      </w:rPr>
    </w:sdtEndPr>
    <w:sdtContent>
      <w:p w:rsidR="00337E72" w:rsidRPr="007F51D1" w:rsidRDefault="00337E72" w:rsidP="00542F8B">
        <w:pPr>
          <w:pStyle w:val="Footer"/>
          <w:rPr>
            <w:sz w:val="26"/>
            <w:szCs w:val="26"/>
          </w:rPr>
        </w:pPr>
        <w:r w:rsidRPr="007F51D1">
          <w:rPr>
            <w:sz w:val="26"/>
            <w:szCs w:val="26"/>
          </w:rPr>
          <w:fldChar w:fldCharType="begin"/>
        </w:r>
        <w:r w:rsidRPr="007F51D1">
          <w:rPr>
            <w:sz w:val="26"/>
            <w:szCs w:val="26"/>
          </w:rPr>
          <w:instrText xml:space="preserve"> PAGE   \* MERGEFORMAT </w:instrText>
        </w:r>
        <w:r w:rsidRPr="007F51D1">
          <w:rPr>
            <w:sz w:val="26"/>
            <w:szCs w:val="26"/>
          </w:rPr>
          <w:fldChar w:fldCharType="separate"/>
        </w:r>
        <w:r w:rsidR="006F22C6">
          <w:rPr>
            <w:noProof/>
            <w:sz w:val="26"/>
            <w:szCs w:val="26"/>
          </w:rPr>
          <w:t>32</w:t>
        </w:r>
        <w:r w:rsidRPr="007F51D1">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C82" w:rsidRDefault="00CE4C82" w:rsidP="004D12C2">
      <w:pPr>
        <w:spacing w:line="240" w:lineRule="auto"/>
        <w:jc w:val="both"/>
      </w:pPr>
      <w:r>
        <w:separator/>
      </w:r>
    </w:p>
  </w:footnote>
  <w:footnote w:type="continuationSeparator" w:id="0">
    <w:p w:rsidR="00CE4C82" w:rsidRDefault="00CE4C82" w:rsidP="00BA3F25">
      <w:pPr>
        <w:spacing w:line="240" w:lineRule="auto"/>
      </w:pPr>
      <w:r>
        <w:continuationSeparator/>
      </w:r>
    </w:p>
  </w:footnote>
  <w:footnote w:id="1">
    <w:p w:rsidR="00337E72" w:rsidRDefault="00337E72" w:rsidP="00FA3752">
      <w:pPr>
        <w:pStyle w:val="FootnoteText"/>
        <w:ind w:firstLine="720"/>
        <w:jc w:val="left"/>
      </w:pPr>
      <w:r w:rsidRPr="002B067C">
        <w:rPr>
          <w:rStyle w:val="FootnoteReference"/>
          <w:sz w:val="26"/>
          <w:szCs w:val="26"/>
        </w:rPr>
        <w:footnoteRef/>
      </w:r>
      <w:r w:rsidRPr="002B067C">
        <w:rPr>
          <w:sz w:val="26"/>
          <w:szCs w:val="26"/>
        </w:rPr>
        <w:t xml:space="preserve"> </w:t>
      </w:r>
      <w:r>
        <w:tab/>
      </w:r>
      <w:r>
        <w:rPr>
          <w:sz w:val="26"/>
          <w:szCs w:val="26"/>
        </w:rPr>
        <w:t xml:space="preserve">The Office of Trial Staff was </w:t>
      </w:r>
      <w:r w:rsidRPr="00132153">
        <w:rPr>
          <w:sz w:val="26"/>
          <w:szCs w:val="26"/>
        </w:rPr>
        <w:t xml:space="preserve">renamed pursuant to an internal reorganization and is </w:t>
      </w:r>
      <w:r>
        <w:rPr>
          <w:sz w:val="26"/>
          <w:szCs w:val="26"/>
        </w:rPr>
        <w:t xml:space="preserve">now </w:t>
      </w:r>
      <w:r w:rsidRPr="00132153">
        <w:rPr>
          <w:sz w:val="26"/>
          <w:szCs w:val="26"/>
        </w:rPr>
        <w:t>known as the Bureau of I</w:t>
      </w:r>
      <w:r>
        <w:rPr>
          <w:sz w:val="26"/>
          <w:szCs w:val="26"/>
        </w:rPr>
        <w:t>nvestigation &amp; Enforcement</w:t>
      </w:r>
      <w:r w:rsidRPr="00132153">
        <w:rPr>
          <w:sz w:val="26"/>
          <w:szCs w:val="26"/>
        </w:rPr>
        <w:t xml:space="preserve">.  </w:t>
      </w:r>
      <w:r w:rsidRPr="00132153">
        <w:rPr>
          <w:i/>
          <w:sz w:val="26"/>
          <w:szCs w:val="26"/>
        </w:rPr>
        <w:t xml:space="preserve">Implementation of Act 129 of 2008 Organization of Bureaus and Offices, </w:t>
      </w:r>
      <w:r w:rsidRPr="00132153">
        <w:rPr>
          <w:sz w:val="26"/>
          <w:szCs w:val="26"/>
        </w:rPr>
        <w:t>Docket No. M</w:t>
      </w:r>
      <w:r w:rsidRPr="00132153">
        <w:rPr>
          <w:sz w:val="26"/>
          <w:szCs w:val="26"/>
        </w:rPr>
        <w:noBreakHyphen/>
        <w:t>2008</w:t>
      </w:r>
      <w:r w:rsidRPr="00132153">
        <w:rPr>
          <w:sz w:val="26"/>
          <w:szCs w:val="26"/>
        </w:rPr>
        <w:noBreakHyphen/>
        <w:t>2071852 (Order entered August 11, 2011).</w:t>
      </w:r>
    </w:p>
  </w:footnote>
  <w:footnote w:id="2">
    <w:p w:rsidR="00337E72" w:rsidRPr="00AE0CFB" w:rsidRDefault="00337E72" w:rsidP="00AE0CFB">
      <w:pPr>
        <w:pStyle w:val="FootnoteText"/>
        <w:ind w:firstLine="720"/>
        <w:jc w:val="left"/>
        <w:rPr>
          <w:sz w:val="26"/>
          <w:szCs w:val="26"/>
        </w:rPr>
      </w:pPr>
      <w:r w:rsidRPr="00AE0CFB">
        <w:rPr>
          <w:rStyle w:val="FootnoteReference"/>
          <w:sz w:val="26"/>
          <w:szCs w:val="26"/>
        </w:rPr>
        <w:footnoteRef/>
      </w:r>
      <w:r w:rsidRPr="00AE0CFB">
        <w:rPr>
          <w:sz w:val="26"/>
          <w:szCs w:val="26"/>
        </w:rPr>
        <w:tab/>
        <w:t>See, 66 Pa.</w:t>
      </w:r>
      <w:r>
        <w:rPr>
          <w:sz w:val="26"/>
          <w:szCs w:val="26"/>
        </w:rPr>
        <w:t xml:space="preserve"> C.S.</w:t>
      </w:r>
      <w:r w:rsidRPr="00AE0CFB">
        <w:rPr>
          <w:sz w:val="26"/>
          <w:szCs w:val="26"/>
        </w:rPr>
        <w:t xml:space="preserve"> §§ 332(a), 315.</w:t>
      </w:r>
    </w:p>
  </w:footnote>
  <w:footnote w:id="3">
    <w:p w:rsidR="00337E72" w:rsidRPr="009E19D3" w:rsidRDefault="00D213EA" w:rsidP="00004844">
      <w:pPr>
        <w:pStyle w:val="FootnoteText"/>
        <w:jc w:val="left"/>
        <w:rPr>
          <w:sz w:val="26"/>
          <w:szCs w:val="26"/>
        </w:rPr>
      </w:pPr>
      <w:r>
        <w:rPr>
          <w:sz w:val="26"/>
          <w:szCs w:val="26"/>
        </w:rPr>
        <w:tab/>
      </w:r>
      <w:r w:rsidR="00337E72" w:rsidRPr="009E19D3">
        <w:rPr>
          <w:rStyle w:val="FootnoteReference"/>
          <w:sz w:val="26"/>
          <w:szCs w:val="26"/>
        </w:rPr>
        <w:footnoteRef/>
      </w:r>
      <w:r w:rsidR="00337E72" w:rsidRPr="009E19D3">
        <w:rPr>
          <w:sz w:val="26"/>
          <w:szCs w:val="26"/>
        </w:rPr>
        <w:tab/>
      </w:r>
      <w:r w:rsidR="00337E72">
        <w:rPr>
          <w:sz w:val="26"/>
          <w:szCs w:val="26"/>
        </w:rPr>
        <w:t>The ALJ noted</w:t>
      </w:r>
      <w:r w:rsidR="00337E72" w:rsidRPr="009E19D3">
        <w:rPr>
          <w:sz w:val="26"/>
          <w:szCs w:val="26"/>
        </w:rPr>
        <w:t xml:space="preserve"> that it is premature to address the refund issue, and that it will be handled directly by the Commission after an audit.  R.D. at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F04FD8A"/>
    <w:lvl w:ilvl="0">
      <w:start w:val="1"/>
      <w:numFmt w:val="decimal"/>
      <w:pStyle w:val="ListNumber"/>
      <w:lvlText w:val="%1."/>
      <w:lvlJc w:val="left"/>
      <w:pPr>
        <w:tabs>
          <w:tab w:val="num" w:pos="720"/>
        </w:tabs>
        <w:ind w:left="0" w:firstLine="720"/>
      </w:pPr>
    </w:lvl>
  </w:abstractNum>
  <w:abstractNum w:abstractNumId="1">
    <w:nsid w:val="07EB0399"/>
    <w:multiLevelType w:val="hybridMultilevel"/>
    <w:tmpl w:val="27AC7BF8"/>
    <w:lvl w:ilvl="0" w:tplc="01FEAFA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85E7A84"/>
    <w:multiLevelType w:val="hybridMultilevel"/>
    <w:tmpl w:val="16B4355A"/>
    <w:lvl w:ilvl="0" w:tplc="EC8A32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14397E"/>
    <w:multiLevelType w:val="multilevel"/>
    <w:tmpl w:val="D578FAFC"/>
    <w:name w:val="PS Standard"/>
    <w:lvl w:ilvl="0">
      <w:start w:val="1"/>
      <w:numFmt w:val="upperRoman"/>
      <w:pStyle w:val="Heading1"/>
      <w:lvlText w:val="%1."/>
      <w:lvlJc w:val="left"/>
      <w:pPr>
        <w:tabs>
          <w:tab w:val="num" w:pos="720"/>
        </w:tabs>
        <w:ind w:left="720" w:hanging="720"/>
      </w:pPr>
      <w:rPr>
        <w:caps w:val="0"/>
        <w:strike w:val="0"/>
        <w:dstrike w:val="0"/>
        <w:color w:val="010000"/>
        <w:u w:val="none"/>
        <w:effect w:val="none"/>
      </w:rPr>
    </w:lvl>
    <w:lvl w:ilvl="1">
      <w:start w:val="1"/>
      <w:numFmt w:val="upperLetter"/>
      <w:pStyle w:val="Heading2"/>
      <w:lvlText w:val="%2."/>
      <w:lvlJc w:val="left"/>
      <w:pPr>
        <w:tabs>
          <w:tab w:val="num" w:pos="1440"/>
        </w:tabs>
        <w:ind w:left="1440" w:hanging="720"/>
      </w:pPr>
      <w:rPr>
        <w:caps w:val="0"/>
        <w:strike w:val="0"/>
        <w:dstrike w:val="0"/>
        <w:color w:val="010000"/>
        <w:u w:val="none"/>
        <w:effect w:val="none"/>
      </w:rPr>
    </w:lvl>
    <w:lvl w:ilvl="2">
      <w:start w:val="1"/>
      <w:numFmt w:val="decimal"/>
      <w:pStyle w:val="Heading3"/>
      <w:lvlText w:val="%3."/>
      <w:lvlJc w:val="left"/>
      <w:pPr>
        <w:tabs>
          <w:tab w:val="num" w:pos="2160"/>
        </w:tabs>
        <w:ind w:left="2160" w:hanging="720"/>
      </w:pPr>
      <w:rPr>
        <w:caps w:val="0"/>
        <w:strike w:val="0"/>
        <w:dstrike w:val="0"/>
        <w:color w:val="010000"/>
        <w:u w:val="none"/>
        <w:effect w:val="none"/>
      </w:rPr>
    </w:lvl>
    <w:lvl w:ilvl="3">
      <w:start w:val="1"/>
      <w:numFmt w:val="lowerLetter"/>
      <w:pStyle w:val="Heading4"/>
      <w:lvlText w:val="%4."/>
      <w:lvlJc w:val="left"/>
      <w:pPr>
        <w:tabs>
          <w:tab w:val="num" w:pos="2880"/>
        </w:tabs>
        <w:ind w:left="2880" w:hanging="720"/>
      </w:pPr>
      <w:rPr>
        <w:caps w:val="0"/>
        <w:strike w:val="0"/>
        <w:dstrike w:val="0"/>
        <w:color w:val="010000"/>
        <w:u w:val="none"/>
        <w:effect w:val="none"/>
      </w:rPr>
    </w:lvl>
    <w:lvl w:ilvl="4">
      <w:start w:val="1"/>
      <w:numFmt w:val="lowerRoman"/>
      <w:pStyle w:val="Heading5"/>
      <w:lvlText w:val="%5."/>
      <w:lvlJc w:val="left"/>
      <w:pPr>
        <w:tabs>
          <w:tab w:val="num" w:pos="3600"/>
        </w:tabs>
        <w:ind w:left="3600" w:hanging="720"/>
      </w:pPr>
      <w:rPr>
        <w:caps w:val="0"/>
        <w:strike w:val="0"/>
        <w:dstrike w:val="0"/>
        <w:color w:val="010000"/>
        <w:u w:val="none"/>
        <w:effect w:val="none"/>
      </w:rPr>
    </w:lvl>
    <w:lvl w:ilvl="5">
      <w:start w:val="1"/>
      <w:numFmt w:val="upperLetter"/>
      <w:pStyle w:val="Heading6"/>
      <w:lvlText w:val="(%6)"/>
      <w:lvlJc w:val="left"/>
      <w:pPr>
        <w:tabs>
          <w:tab w:val="num" w:pos="4320"/>
        </w:tabs>
        <w:ind w:left="4320" w:hanging="720"/>
      </w:pPr>
      <w:rPr>
        <w:caps w:val="0"/>
        <w:strike w:val="0"/>
        <w:dstrike w:val="0"/>
        <w:color w:val="010000"/>
        <w:u w:val="none"/>
        <w:effect w:val="none"/>
      </w:rPr>
    </w:lvl>
    <w:lvl w:ilvl="6">
      <w:start w:val="1"/>
      <w:numFmt w:val="decimal"/>
      <w:pStyle w:val="Heading7"/>
      <w:lvlText w:val="(%7)"/>
      <w:lvlJc w:val="left"/>
      <w:pPr>
        <w:tabs>
          <w:tab w:val="num" w:pos="5040"/>
        </w:tabs>
        <w:ind w:left="5040" w:hanging="720"/>
      </w:pPr>
      <w:rPr>
        <w:caps w:val="0"/>
        <w:strike w:val="0"/>
        <w:dstrike w:val="0"/>
        <w:color w:val="010000"/>
        <w:u w:val="none"/>
        <w:effect w:val="none"/>
      </w:rPr>
    </w:lvl>
    <w:lvl w:ilvl="7">
      <w:start w:val="1"/>
      <w:numFmt w:val="lowerLetter"/>
      <w:pStyle w:val="Heading8"/>
      <w:lvlText w:val="(%8)"/>
      <w:lvlJc w:val="left"/>
      <w:pPr>
        <w:tabs>
          <w:tab w:val="num" w:pos="5760"/>
        </w:tabs>
        <w:ind w:left="5760" w:hanging="720"/>
      </w:pPr>
      <w:rPr>
        <w:caps w:val="0"/>
        <w:strike w:val="0"/>
        <w:dstrike w:val="0"/>
        <w:color w:val="010000"/>
        <w:u w:val="none"/>
        <w:effect w:val="none"/>
      </w:rPr>
    </w:lvl>
    <w:lvl w:ilvl="8">
      <w:start w:val="1"/>
      <w:numFmt w:val="lowerRoman"/>
      <w:pStyle w:val="Heading9"/>
      <w:lvlText w:val="(%9)"/>
      <w:lvlJc w:val="left"/>
      <w:pPr>
        <w:tabs>
          <w:tab w:val="num" w:pos="6480"/>
        </w:tabs>
        <w:ind w:left="6480" w:hanging="720"/>
      </w:pPr>
      <w:rPr>
        <w:caps w:val="0"/>
        <w:strike w:val="0"/>
        <w:dstrike w:val="0"/>
        <w:color w:val="010000"/>
        <w:u w:val="none"/>
        <w:effect w:val="none"/>
      </w:rPr>
    </w:lvl>
  </w:abstractNum>
  <w:abstractNum w:abstractNumId="4">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4B1822FE"/>
    <w:multiLevelType w:val="singleLevel"/>
    <w:tmpl w:val="12B89988"/>
    <w:name w:val=" Numbered List"/>
    <w:lvl w:ilvl="0">
      <w:start w:val="1"/>
      <w:numFmt w:val="decimal"/>
      <w:lvlText w:val="%1."/>
      <w:lvlJc w:val="left"/>
      <w:pPr>
        <w:tabs>
          <w:tab w:val="num" w:pos="1440"/>
        </w:tabs>
        <w:ind w:left="0" w:firstLine="720"/>
      </w:pPr>
    </w:lvl>
  </w:abstractNum>
  <w:abstractNum w:abstractNumId="6">
    <w:nsid w:val="53135349"/>
    <w:multiLevelType w:val="hybridMultilevel"/>
    <w:tmpl w:val="F1305D6C"/>
    <w:lvl w:ilvl="0" w:tplc="F3A6EA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21596D"/>
    <w:multiLevelType w:val="hybridMultilevel"/>
    <w:tmpl w:val="C8FC1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0"/>
    <w:lvlOverride w:ilvl="0">
      <w:startOverride w:val="1"/>
    </w:lvlOverride>
  </w:num>
  <w:num w:numId="4">
    <w:abstractNumId w:val="5"/>
    <w:lvlOverride w:ilvl="0">
      <w:startOverride w:val="1"/>
    </w:lvlOverride>
  </w:num>
  <w:num w:numId="5">
    <w:abstractNumId w:val="4"/>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FE"/>
    <w:rsid w:val="00001E3A"/>
    <w:rsid w:val="00001EF6"/>
    <w:rsid w:val="000028EA"/>
    <w:rsid w:val="00003D11"/>
    <w:rsid w:val="00004844"/>
    <w:rsid w:val="00004AA3"/>
    <w:rsid w:val="00005558"/>
    <w:rsid w:val="000079FE"/>
    <w:rsid w:val="00012104"/>
    <w:rsid w:val="00012655"/>
    <w:rsid w:val="0001305A"/>
    <w:rsid w:val="00016E55"/>
    <w:rsid w:val="00017C21"/>
    <w:rsid w:val="0002023D"/>
    <w:rsid w:val="00020760"/>
    <w:rsid w:val="0002105C"/>
    <w:rsid w:val="0002110E"/>
    <w:rsid w:val="0002204A"/>
    <w:rsid w:val="00022B3F"/>
    <w:rsid w:val="00025D7A"/>
    <w:rsid w:val="000270C8"/>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0475"/>
    <w:rsid w:val="000509ED"/>
    <w:rsid w:val="000541C0"/>
    <w:rsid w:val="0005423F"/>
    <w:rsid w:val="00055078"/>
    <w:rsid w:val="00055CC5"/>
    <w:rsid w:val="00056741"/>
    <w:rsid w:val="000574B9"/>
    <w:rsid w:val="000576ED"/>
    <w:rsid w:val="000605B6"/>
    <w:rsid w:val="00060BAD"/>
    <w:rsid w:val="00060C8A"/>
    <w:rsid w:val="00061278"/>
    <w:rsid w:val="000634EB"/>
    <w:rsid w:val="00063801"/>
    <w:rsid w:val="0006752D"/>
    <w:rsid w:val="000676B2"/>
    <w:rsid w:val="00067CBC"/>
    <w:rsid w:val="00070AA1"/>
    <w:rsid w:val="00071A36"/>
    <w:rsid w:val="00072595"/>
    <w:rsid w:val="00072D46"/>
    <w:rsid w:val="00073BE1"/>
    <w:rsid w:val="00074065"/>
    <w:rsid w:val="0007590A"/>
    <w:rsid w:val="00076092"/>
    <w:rsid w:val="000779CB"/>
    <w:rsid w:val="00082363"/>
    <w:rsid w:val="000852E5"/>
    <w:rsid w:val="00085A52"/>
    <w:rsid w:val="00086449"/>
    <w:rsid w:val="000877B2"/>
    <w:rsid w:val="000902E3"/>
    <w:rsid w:val="0009043B"/>
    <w:rsid w:val="00090690"/>
    <w:rsid w:val="00091F08"/>
    <w:rsid w:val="0009220F"/>
    <w:rsid w:val="00092B4E"/>
    <w:rsid w:val="00092E44"/>
    <w:rsid w:val="0009318F"/>
    <w:rsid w:val="000931F7"/>
    <w:rsid w:val="00093562"/>
    <w:rsid w:val="00093E43"/>
    <w:rsid w:val="00094E20"/>
    <w:rsid w:val="000966B9"/>
    <w:rsid w:val="00096B3F"/>
    <w:rsid w:val="00097D77"/>
    <w:rsid w:val="000A2192"/>
    <w:rsid w:val="000A4551"/>
    <w:rsid w:val="000A4E7A"/>
    <w:rsid w:val="000A5DEA"/>
    <w:rsid w:val="000A652E"/>
    <w:rsid w:val="000A770B"/>
    <w:rsid w:val="000B1BFC"/>
    <w:rsid w:val="000B2D0C"/>
    <w:rsid w:val="000B2DBA"/>
    <w:rsid w:val="000B339A"/>
    <w:rsid w:val="000B7111"/>
    <w:rsid w:val="000C0311"/>
    <w:rsid w:val="000C2696"/>
    <w:rsid w:val="000C2A2B"/>
    <w:rsid w:val="000C34F3"/>
    <w:rsid w:val="000C4163"/>
    <w:rsid w:val="000C5976"/>
    <w:rsid w:val="000C650C"/>
    <w:rsid w:val="000C6B6E"/>
    <w:rsid w:val="000C6EF0"/>
    <w:rsid w:val="000C7A4F"/>
    <w:rsid w:val="000C7FDF"/>
    <w:rsid w:val="000D29BA"/>
    <w:rsid w:val="000D3E49"/>
    <w:rsid w:val="000D5721"/>
    <w:rsid w:val="000D5763"/>
    <w:rsid w:val="000E11A4"/>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106"/>
    <w:rsid w:val="0010420D"/>
    <w:rsid w:val="00104518"/>
    <w:rsid w:val="00104D48"/>
    <w:rsid w:val="00106EE8"/>
    <w:rsid w:val="00106F4F"/>
    <w:rsid w:val="001077F1"/>
    <w:rsid w:val="00107C6E"/>
    <w:rsid w:val="00113B1B"/>
    <w:rsid w:val="001155EF"/>
    <w:rsid w:val="00115BB6"/>
    <w:rsid w:val="00116578"/>
    <w:rsid w:val="001170B8"/>
    <w:rsid w:val="0012035F"/>
    <w:rsid w:val="00120D02"/>
    <w:rsid w:val="00120DE8"/>
    <w:rsid w:val="00121291"/>
    <w:rsid w:val="001219A5"/>
    <w:rsid w:val="0012343C"/>
    <w:rsid w:val="0012347A"/>
    <w:rsid w:val="00124101"/>
    <w:rsid w:val="001242C7"/>
    <w:rsid w:val="00124D49"/>
    <w:rsid w:val="00126739"/>
    <w:rsid w:val="0012770C"/>
    <w:rsid w:val="00127FAB"/>
    <w:rsid w:val="0013068D"/>
    <w:rsid w:val="00130A2C"/>
    <w:rsid w:val="00132153"/>
    <w:rsid w:val="00132809"/>
    <w:rsid w:val="0013495C"/>
    <w:rsid w:val="00135526"/>
    <w:rsid w:val="00136B84"/>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0C"/>
    <w:rsid w:val="00162D2F"/>
    <w:rsid w:val="0016332A"/>
    <w:rsid w:val="0016435F"/>
    <w:rsid w:val="0016521D"/>
    <w:rsid w:val="001658B2"/>
    <w:rsid w:val="0016755F"/>
    <w:rsid w:val="00170FE6"/>
    <w:rsid w:val="00171416"/>
    <w:rsid w:val="00172857"/>
    <w:rsid w:val="00172B0B"/>
    <w:rsid w:val="00172E8C"/>
    <w:rsid w:val="00173570"/>
    <w:rsid w:val="00173C70"/>
    <w:rsid w:val="00174F7E"/>
    <w:rsid w:val="0017580D"/>
    <w:rsid w:val="00175F76"/>
    <w:rsid w:val="00176C44"/>
    <w:rsid w:val="00177B56"/>
    <w:rsid w:val="00181AB1"/>
    <w:rsid w:val="001857EA"/>
    <w:rsid w:val="00186328"/>
    <w:rsid w:val="001868F5"/>
    <w:rsid w:val="00187588"/>
    <w:rsid w:val="00190B2C"/>
    <w:rsid w:val="00191522"/>
    <w:rsid w:val="001929BE"/>
    <w:rsid w:val="00192EB5"/>
    <w:rsid w:val="00193DF8"/>
    <w:rsid w:val="00194401"/>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2D2"/>
    <w:rsid w:val="001B3572"/>
    <w:rsid w:val="001B3D6F"/>
    <w:rsid w:val="001B477B"/>
    <w:rsid w:val="001B4B2B"/>
    <w:rsid w:val="001B4EC8"/>
    <w:rsid w:val="001B6470"/>
    <w:rsid w:val="001B760E"/>
    <w:rsid w:val="001C0410"/>
    <w:rsid w:val="001C054D"/>
    <w:rsid w:val="001C2234"/>
    <w:rsid w:val="001C4E03"/>
    <w:rsid w:val="001C537D"/>
    <w:rsid w:val="001C64B4"/>
    <w:rsid w:val="001C65CD"/>
    <w:rsid w:val="001D05DB"/>
    <w:rsid w:val="001D0876"/>
    <w:rsid w:val="001D0F91"/>
    <w:rsid w:val="001D1F1B"/>
    <w:rsid w:val="001D4223"/>
    <w:rsid w:val="001D556B"/>
    <w:rsid w:val="001D76FB"/>
    <w:rsid w:val="001E2642"/>
    <w:rsid w:val="001E3538"/>
    <w:rsid w:val="001E3C9A"/>
    <w:rsid w:val="001E5447"/>
    <w:rsid w:val="001E5DF5"/>
    <w:rsid w:val="001E604F"/>
    <w:rsid w:val="001E76FD"/>
    <w:rsid w:val="001E79A7"/>
    <w:rsid w:val="001F0835"/>
    <w:rsid w:val="001F09A7"/>
    <w:rsid w:val="001F0D24"/>
    <w:rsid w:val="001F1049"/>
    <w:rsid w:val="001F1139"/>
    <w:rsid w:val="001F224A"/>
    <w:rsid w:val="001F33A3"/>
    <w:rsid w:val="001F4882"/>
    <w:rsid w:val="001F49C0"/>
    <w:rsid w:val="001F4DA0"/>
    <w:rsid w:val="001F6E43"/>
    <w:rsid w:val="001F6F77"/>
    <w:rsid w:val="001F74FC"/>
    <w:rsid w:val="001F77B2"/>
    <w:rsid w:val="002004A8"/>
    <w:rsid w:val="002019B1"/>
    <w:rsid w:val="00201B14"/>
    <w:rsid w:val="00201E65"/>
    <w:rsid w:val="00205C33"/>
    <w:rsid w:val="0021162B"/>
    <w:rsid w:val="002125E4"/>
    <w:rsid w:val="0021272F"/>
    <w:rsid w:val="002131B7"/>
    <w:rsid w:val="0021357B"/>
    <w:rsid w:val="00214E49"/>
    <w:rsid w:val="00215381"/>
    <w:rsid w:val="002155E1"/>
    <w:rsid w:val="00215BA6"/>
    <w:rsid w:val="002163B7"/>
    <w:rsid w:val="00216C32"/>
    <w:rsid w:val="00216F76"/>
    <w:rsid w:val="0021750E"/>
    <w:rsid w:val="002178EA"/>
    <w:rsid w:val="0022017F"/>
    <w:rsid w:val="002205EC"/>
    <w:rsid w:val="00220D97"/>
    <w:rsid w:val="00221A88"/>
    <w:rsid w:val="00222D05"/>
    <w:rsid w:val="00222E53"/>
    <w:rsid w:val="00223CD0"/>
    <w:rsid w:val="002241D0"/>
    <w:rsid w:val="00224756"/>
    <w:rsid w:val="0022478F"/>
    <w:rsid w:val="00225224"/>
    <w:rsid w:val="00227A4A"/>
    <w:rsid w:val="00230CC6"/>
    <w:rsid w:val="002337D7"/>
    <w:rsid w:val="00234DA8"/>
    <w:rsid w:val="00234DEB"/>
    <w:rsid w:val="0023584A"/>
    <w:rsid w:val="00236C44"/>
    <w:rsid w:val="00237E5F"/>
    <w:rsid w:val="00240343"/>
    <w:rsid w:val="002403E6"/>
    <w:rsid w:val="002422D0"/>
    <w:rsid w:val="00245181"/>
    <w:rsid w:val="002451F7"/>
    <w:rsid w:val="002455CC"/>
    <w:rsid w:val="00246523"/>
    <w:rsid w:val="00246529"/>
    <w:rsid w:val="0024777B"/>
    <w:rsid w:val="00247CE0"/>
    <w:rsid w:val="002502F2"/>
    <w:rsid w:val="00250571"/>
    <w:rsid w:val="00251356"/>
    <w:rsid w:val="00251E5A"/>
    <w:rsid w:val="00252DB6"/>
    <w:rsid w:val="00252F2A"/>
    <w:rsid w:val="0025351B"/>
    <w:rsid w:val="002537DF"/>
    <w:rsid w:val="002546D8"/>
    <w:rsid w:val="002557C7"/>
    <w:rsid w:val="002558A3"/>
    <w:rsid w:val="00255930"/>
    <w:rsid w:val="00255ABE"/>
    <w:rsid w:val="00256505"/>
    <w:rsid w:val="00260459"/>
    <w:rsid w:val="00260814"/>
    <w:rsid w:val="00262743"/>
    <w:rsid w:val="00262A17"/>
    <w:rsid w:val="00262AF8"/>
    <w:rsid w:val="00263AD5"/>
    <w:rsid w:val="0026705F"/>
    <w:rsid w:val="002704DD"/>
    <w:rsid w:val="00270AF3"/>
    <w:rsid w:val="0027207B"/>
    <w:rsid w:val="0027210A"/>
    <w:rsid w:val="002748C2"/>
    <w:rsid w:val="002752C3"/>
    <w:rsid w:val="00275659"/>
    <w:rsid w:val="002761E2"/>
    <w:rsid w:val="00276E10"/>
    <w:rsid w:val="00277591"/>
    <w:rsid w:val="00277C8F"/>
    <w:rsid w:val="00283282"/>
    <w:rsid w:val="00284760"/>
    <w:rsid w:val="00286A34"/>
    <w:rsid w:val="002871C2"/>
    <w:rsid w:val="00287CB1"/>
    <w:rsid w:val="00287F92"/>
    <w:rsid w:val="00287FB5"/>
    <w:rsid w:val="0029096F"/>
    <w:rsid w:val="00290AD2"/>
    <w:rsid w:val="0029353E"/>
    <w:rsid w:val="00293F4E"/>
    <w:rsid w:val="00294D2B"/>
    <w:rsid w:val="00295BB1"/>
    <w:rsid w:val="00296B74"/>
    <w:rsid w:val="00297286"/>
    <w:rsid w:val="002A05C6"/>
    <w:rsid w:val="002A1522"/>
    <w:rsid w:val="002A17F4"/>
    <w:rsid w:val="002A4E7E"/>
    <w:rsid w:val="002A5F4D"/>
    <w:rsid w:val="002A70E9"/>
    <w:rsid w:val="002A7A0A"/>
    <w:rsid w:val="002B067C"/>
    <w:rsid w:val="002B0D61"/>
    <w:rsid w:val="002B2AF4"/>
    <w:rsid w:val="002B3E20"/>
    <w:rsid w:val="002B541A"/>
    <w:rsid w:val="002B5710"/>
    <w:rsid w:val="002B63C1"/>
    <w:rsid w:val="002B754D"/>
    <w:rsid w:val="002C04BB"/>
    <w:rsid w:val="002C0694"/>
    <w:rsid w:val="002C1023"/>
    <w:rsid w:val="002C3441"/>
    <w:rsid w:val="002C4F02"/>
    <w:rsid w:val="002C69AD"/>
    <w:rsid w:val="002C6FB8"/>
    <w:rsid w:val="002D0E4D"/>
    <w:rsid w:val="002D11F2"/>
    <w:rsid w:val="002D1E71"/>
    <w:rsid w:val="002D29B0"/>
    <w:rsid w:val="002D6B36"/>
    <w:rsid w:val="002D7136"/>
    <w:rsid w:val="002D7978"/>
    <w:rsid w:val="002E11C1"/>
    <w:rsid w:val="002E2283"/>
    <w:rsid w:val="002E2CAD"/>
    <w:rsid w:val="002E32C2"/>
    <w:rsid w:val="002E5790"/>
    <w:rsid w:val="002E6CB4"/>
    <w:rsid w:val="002E7DDB"/>
    <w:rsid w:val="002F12EA"/>
    <w:rsid w:val="002F21B6"/>
    <w:rsid w:val="002F222D"/>
    <w:rsid w:val="002F23BD"/>
    <w:rsid w:val="002F2A4A"/>
    <w:rsid w:val="002F2D5A"/>
    <w:rsid w:val="002F3CF3"/>
    <w:rsid w:val="002F42FC"/>
    <w:rsid w:val="002F5C03"/>
    <w:rsid w:val="002F60BB"/>
    <w:rsid w:val="002F6F4F"/>
    <w:rsid w:val="002F7001"/>
    <w:rsid w:val="002F75DA"/>
    <w:rsid w:val="00303526"/>
    <w:rsid w:val="00303761"/>
    <w:rsid w:val="003048AB"/>
    <w:rsid w:val="00304AA1"/>
    <w:rsid w:val="0030682B"/>
    <w:rsid w:val="00306C33"/>
    <w:rsid w:val="00307087"/>
    <w:rsid w:val="00307B2C"/>
    <w:rsid w:val="003104B7"/>
    <w:rsid w:val="00310D51"/>
    <w:rsid w:val="00311531"/>
    <w:rsid w:val="003115D2"/>
    <w:rsid w:val="0031214B"/>
    <w:rsid w:val="00312F06"/>
    <w:rsid w:val="00313595"/>
    <w:rsid w:val="0031362F"/>
    <w:rsid w:val="0031425A"/>
    <w:rsid w:val="00314713"/>
    <w:rsid w:val="003149F5"/>
    <w:rsid w:val="003151E4"/>
    <w:rsid w:val="003156D7"/>
    <w:rsid w:val="003160A7"/>
    <w:rsid w:val="00317170"/>
    <w:rsid w:val="00317261"/>
    <w:rsid w:val="0032130D"/>
    <w:rsid w:val="00321DB1"/>
    <w:rsid w:val="00326EEE"/>
    <w:rsid w:val="00326F3E"/>
    <w:rsid w:val="00330A67"/>
    <w:rsid w:val="00331E51"/>
    <w:rsid w:val="00332A51"/>
    <w:rsid w:val="00333ADD"/>
    <w:rsid w:val="00334291"/>
    <w:rsid w:val="00334F62"/>
    <w:rsid w:val="00336496"/>
    <w:rsid w:val="003364EB"/>
    <w:rsid w:val="00336CE8"/>
    <w:rsid w:val="00336EA9"/>
    <w:rsid w:val="00337E72"/>
    <w:rsid w:val="0034224A"/>
    <w:rsid w:val="003425CF"/>
    <w:rsid w:val="0034272B"/>
    <w:rsid w:val="00342AEB"/>
    <w:rsid w:val="00342BFE"/>
    <w:rsid w:val="00344C34"/>
    <w:rsid w:val="00345C65"/>
    <w:rsid w:val="00346679"/>
    <w:rsid w:val="003470E8"/>
    <w:rsid w:val="00347C2B"/>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1866"/>
    <w:rsid w:val="00372497"/>
    <w:rsid w:val="003735D1"/>
    <w:rsid w:val="00373D3C"/>
    <w:rsid w:val="00375889"/>
    <w:rsid w:val="003760EB"/>
    <w:rsid w:val="0037624D"/>
    <w:rsid w:val="00376570"/>
    <w:rsid w:val="00376695"/>
    <w:rsid w:val="003772B4"/>
    <w:rsid w:val="00380892"/>
    <w:rsid w:val="00381B05"/>
    <w:rsid w:val="00381B27"/>
    <w:rsid w:val="00382CB5"/>
    <w:rsid w:val="00383321"/>
    <w:rsid w:val="0038475C"/>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266D"/>
    <w:rsid w:val="003A320F"/>
    <w:rsid w:val="003A5E83"/>
    <w:rsid w:val="003A608F"/>
    <w:rsid w:val="003A645E"/>
    <w:rsid w:val="003A6A5F"/>
    <w:rsid w:val="003A7581"/>
    <w:rsid w:val="003B2E6C"/>
    <w:rsid w:val="003B2E77"/>
    <w:rsid w:val="003B3FDD"/>
    <w:rsid w:val="003B4D40"/>
    <w:rsid w:val="003B5D19"/>
    <w:rsid w:val="003B610B"/>
    <w:rsid w:val="003B7824"/>
    <w:rsid w:val="003C34F1"/>
    <w:rsid w:val="003C47E8"/>
    <w:rsid w:val="003C5102"/>
    <w:rsid w:val="003C5586"/>
    <w:rsid w:val="003C610C"/>
    <w:rsid w:val="003C6962"/>
    <w:rsid w:val="003C6F65"/>
    <w:rsid w:val="003D14AE"/>
    <w:rsid w:val="003D1F46"/>
    <w:rsid w:val="003D381B"/>
    <w:rsid w:val="003D41CF"/>
    <w:rsid w:val="003D5045"/>
    <w:rsid w:val="003D51A4"/>
    <w:rsid w:val="003E1442"/>
    <w:rsid w:val="003E2B14"/>
    <w:rsid w:val="003E2FDE"/>
    <w:rsid w:val="003E447A"/>
    <w:rsid w:val="003E50F3"/>
    <w:rsid w:val="003E5240"/>
    <w:rsid w:val="003E5CC9"/>
    <w:rsid w:val="003E7E85"/>
    <w:rsid w:val="003F01A7"/>
    <w:rsid w:val="003F2E62"/>
    <w:rsid w:val="003F3898"/>
    <w:rsid w:val="003F3925"/>
    <w:rsid w:val="003F4195"/>
    <w:rsid w:val="003F425B"/>
    <w:rsid w:val="003F4C6F"/>
    <w:rsid w:val="003F6CE8"/>
    <w:rsid w:val="00401135"/>
    <w:rsid w:val="00401386"/>
    <w:rsid w:val="004017C5"/>
    <w:rsid w:val="004031AD"/>
    <w:rsid w:val="004031ED"/>
    <w:rsid w:val="004047B1"/>
    <w:rsid w:val="00404E55"/>
    <w:rsid w:val="0040584C"/>
    <w:rsid w:val="00406807"/>
    <w:rsid w:val="004078EF"/>
    <w:rsid w:val="00407C2F"/>
    <w:rsid w:val="0041082C"/>
    <w:rsid w:val="00410C88"/>
    <w:rsid w:val="00411425"/>
    <w:rsid w:val="00413B28"/>
    <w:rsid w:val="00413BA5"/>
    <w:rsid w:val="00413DAC"/>
    <w:rsid w:val="0041623E"/>
    <w:rsid w:val="00416A3B"/>
    <w:rsid w:val="00416AB2"/>
    <w:rsid w:val="004210D4"/>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57D99"/>
    <w:rsid w:val="00460024"/>
    <w:rsid w:val="00460031"/>
    <w:rsid w:val="00460140"/>
    <w:rsid w:val="0046238B"/>
    <w:rsid w:val="004625E8"/>
    <w:rsid w:val="00464B18"/>
    <w:rsid w:val="00465D71"/>
    <w:rsid w:val="00466D15"/>
    <w:rsid w:val="0047070D"/>
    <w:rsid w:val="00476BAE"/>
    <w:rsid w:val="00477A71"/>
    <w:rsid w:val="00481269"/>
    <w:rsid w:val="004822A6"/>
    <w:rsid w:val="004839FC"/>
    <w:rsid w:val="00483C70"/>
    <w:rsid w:val="00484589"/>
    <w:rsid w:val="00484BCE"/>
    <w:rsid w:val="00486F4F"/>
    <w:rsid w:val="00487E8F"/>
    <w:rsid w:val="00490566"/>
    <w:rsid w:val="00491F39"/>
    <w:rsid w:val="004938B5"/>
    <w:rsid w:val="00493AC3"/>
    <w:rsid w:val="0049422F"/>
    <w:rsid w:val="0049475D"/>
    <w:rsid w:val="00495362"/>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2CF8"/>
    <w:rsid w:val="004B570B"/>
    <w:rsid w:val="004B652A"/>
    <w:rsid w:val="004B7DB2"/>
    <w:rsid w:val="004C015B"/>
    <w:rsid w:val="004C125D"/>
    <w:rsid w:val="004C1ABF"/>
    <w:rsid w:val="004C30D2"/>
    <w:rsid w:val="004C3AE2"/>
    <w:rsid w:val="004C42EF"/>
    <w:rsid w:val="004C4C1E"/>
    <w:rsid w:val="004C5CCF"/>
    <w:rsid w:val="004C657C"/>
    <w:rsid w:val="004D0BE0"/>
    <w:rsid w:val="004D12C2"/>
    <w:rsid w:val="004D14F0"/>
    <w:rsid w:val="004D1505"/>
    <w:rsid w:val="004D166F"/>
    <w:rsid w:val="004D17DF"/>
    <w:rsid w:val="004D3435"/>
    <w:rsid w:val="004D38F8"/>
    <w:rsid w:val="004D4A68"/>
    <w:rsid w:val="004D5646"/>
    <w:rsid w:val="004D6D13"/>
    <w:rsid w:val="004D6DCE"/>
    <w:rsid w:val="004E1950"/>
    <w:rsid w:val="004E1B61"/>
    <w:rsid w:val="004E1FD5"/>
    <w:rsid w:val="004E23ED"/>
    <w:rsid w:val="004E2B20"/>
    <w:rsid w:val="004E429F"/>
    <w:rsid w:val="004E60E4"/>
    <w:rsid w:val="004E72AA"/>
    <w:rsid w:val="004F0ED7"/>
    <w:rsid w:val="004F160A"/>
    <w:rsid w:val="004F289D"/>
    <w:rsid w:val="004F2F62"/>
    <w:rsid w:val="004F339F"/>
    <w:rsid w:val="004F37CB"/>
    <w:rsid w:val="004F3849"/>
    <w:rsid w:val="004F45CA"/>
    <w:rsid w:val="004F5216"/>
    <w:rsid w:val="004F616B"/>
    <w:rsid w:val="004F64E4"/>
    <w:rsid w:val="004F693E"/>
    <w:rsid w:val="004F7062"/>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DDD"/>
    <w:rsid w:val="005349E1"/>
    <w:rsid w:val="00535220"/>
    <w:rsid w:val="00536ABE"/>
    <w:rsid w:val="00540B74"/>
    <w:rsid w:val="00540B8B"/>
    <w:rsid w:val="00540ED6"/>
    <w:rsid w:val="005418A6"/>
    <w:rsid w:val="00541C1D"/>
    <w:rsid w:val="00542F8B"/>
    <w:rsid w:val="005449AC"/>
    <w:rsid w:val="00544A16"/>
    <w:rsid w:val="00545C16"/>
    <w:rsid w:val="005472EC"/>
    <w:rsid w:val="00547C82"/>
    <w:rsid w:val="0055122B"/>
    <w:rsid w:val="005513FE"/>
    <w:rsid w:val="00552915"/>
    <w:rsid w:val="00552A52"/>
    <w:rsid w:val="005534BD"/>
    <w:rsid w:val="00556CDD"/>
    <w:rsid w:val="00556E26"/>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2FE"/>
    <w:rsid w:val="00575D4F"/>
    <w:rsid w:val="00575F27"/>
    <w:rsid w:val="0058036C"/>
    <w:rsid w:val="0058073B"/>
    <w:rsid w:val="00580815"/>
    <w:rsid w:val="00582289"/>
    <w:rsid w:val="0058238A"/>
    <w:rsid w:val="005827F8"/>
    <w:rsid w:val="0058363F"/>
    <w:rsid w:val="00583CFA"/>
    <w:rsid w:val="00584CB9"/>
    <w:rsid w:val="00585BD9"/>
    <w:rsid w:val="00587B74"/>
    <w:rsid w:val="00587F4C"/>
    <w:rsid w:val="00591696"/>
    <w:rsid w:val="00593FF1"/>
    <w:rsid w:val="00594648"/>
    <w:rsid w:val="00594E77"/>
    <w:rsid w:val="0059623B"/>
    <w:rsid w:val="00596D1D"/>
    <w:rsid w:val="005A1839"/>
    <w:rsid w:val="005A2923"/>
    <w:rsid w:val="005A3759"/>
    <w:rsid w:val="005A44D9"/>
    <w:rsid w:val="005A5826"/>
    <w:rsid w:val="005A6ADE"/>
    <w:rsid w:val="005B39C8"/>
    <w:rsid w:val="005B3D45"/>
    <w:rsid w:val="005B78C4"/>
    <w:rsid w:val="005C0742"/>
    <w:rsid w:val="005C13D2"/>
    <w:rsid w:val="005C373B"/>
    <w:rsid w:val="005C3DD2"/>
    <w:rsid w:val="005C439F"/>
    <w:rsid w:val="005C4AAA"/>
    <w:rsid w:val="005C5A7D"/>
    <w:rsid w:val="005C5B86"/>
    <w:rsid w:val="005C610A"/>
    <w:rsid w:val="005D1442"/>
    <w:rsid w:val="005D1922"/>
    <w:rsid w:val="005D2788"/>
    <w:rsid w:val="005D4281"/>
    <w:rsid w:val="005D56AB"/>
    <w:rsid w:val="005D6E32"/>
    <w:rsid w:val="005D75D7"/>
    <w:rsid w:val="005E06D4"/>
    <w:rsid w:val="005E0FBE"/>
    <w:rsid w:val="005E12F4"/>
    <w:rsid w:val="005E1521"/>
    <w:rsid w:val="005E3768"/>
    <w:rsid w:val="005E448D"/>
    <w:rsid w:val="005E470C"/>
    <w:rsid w:val="005E6B5D"/>
    <w:rsid w:val="005E7393"/>
    <w:rsid w:val="005F064D"/>
    <w:rsid w:val="005F1B11"/>
    <w:rsid w:val="005F512E"/>
    <w:rsid w:val="005F5A21"/>
    <w:rsid w:val="005F6A04"/>
    <w:rsid w:val="00600458"/>
    <w:rsid w:val="00600F84"/>
    <w:rsid w:val="0060118D"/>
    <w:rsid w:val="0060369E"/>
    <w:rsid w:val="00603824"/>
    <w:rsid w:val="0060530E"/>
    <w:rsid w:val="00605D75"/>
    <w:rsid w:val="006073B5"/>
    <w:rsid w:val="00610CE1"/>
    <w:rsid w:val="006111CD"/>
    <w:rsid w:val="006113D8"/>
    <w:rsid w:val="00612C6B"/>
    <w:rsid w:val="006151E3"/>
    <w:rsid w:val="00616232"/>
    <w:rsid w:val="00620850"/>
    <w:rsid w:val="00620DB5"/>
    <w:rsid w:val="00621A59"/>
    <w:rsid w:val="0062201A"/>
    <w:rsid w:val="006225AC"/>
    <w:rsid w:val="006230A9"/>
    <w:rsid w:val="00623799"/>
    <w:rsid w:val="006249F5"/>
    <w:rsid w:val="00624D32"/>
    <w:rsid w:val="006273ED"/>
    <w:rsid w:val="00630C84"/>
    <w:rsid w:val="0063256A"/>
    <w:rsid w:val="006326D0"/>
    <w:rsid w:val="00634EB5"/>
    <w:rsid w:val="0063516D"/>
    <w:rsid w:val="00635AE1"/>
    <w:rsid w:val="00635DA6"/>
    <w:rsid w:val="00636BCA"/>
    <w:rsid w:val="00637E01"/>
    <w:rsid w:val="006416B8"/>
    <w:rsid w:val="0064247F"/>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B46"/>
    <w:rsid w:val="006621E9"/>
    <w:rsid w:val="00662904"/>
    <w:rsid w:val="00664A57"/>
    <w:rsid w:val="00664C73"/>
    <w:rsid w:val="00667A9E"/>
    <w:rsid w:val="00671999"/>
    <w:rsid w:val="00673AEB"/>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51E"/>
    <w:rsid w:val="00697364"/>
    <w:rsid w:val="006A15C5"/>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6F7F"/>
    <w:rsid w:val="006C213C"/>
    <w:rsid w:val="006C23C4"/>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1D8"/>
    <w:rsid w:val="006D4A27"/>
    <w:rsid w:val="006D4C15"/>
    <w:rsid w:val="006D7692"/>
    <w:rsid w:val="006E1753"/>
    <w:rsid w:val="006E3BF0"/>
    <w:rsid w:val="006E4E29"/>
    <w:rsid w:val="006E5B3E"/>
    <w:rsid w:val="006E5D2E"/>
    <w:rsid w:val="006E670A"/>
    <w:rsid w:val="006E7C63"/>
    <w:rsid w:val="006F15E9"/>
    <w:rsid w:val="006F22C6"/>
    <w:rsid w:val="006F252A"/>
    <w:rsid w:val="006F27FC"/>
    <w:rsid w:val="006F3153"/>
    <w:rsid w:val="006F3FAB"/>
    <w:rsid w:val="006F4B6F"/>
    <w:rsid w:val="006F4F6D"/>
    <w:rsid w:val="006F6668"/>
    <w:rsid w:val="006F7320"/>
    <w:rsid w:val="0070008A"/>
    <w:rsid w:val="00701E15"/>
    <w:rsid w:val="007021FA"/>
    <w:rsid w:val="0070357F"/>
    <w:rsid w:val="00703DA7"/>
    <w:rsid w:val="00703E05"/>
    <w:rsid w:val="00704A16"/>
    <w:rsid w:val="00705262"/>
    <w:rsid w:val="00705CA5"/>
    <w:rsid w:val="0070653C"/>
    <w:rsid w:val="00706ED7"/>
    <w:rsid w:val="00710289"/>
    <w:rsid w:val="00713444"/>
    <w:rsid w:val="0071374E"/>
    <w:rsid w:val="00714B6A"/>
    <w:rsid w:val="00714F23"/>
    <w:rsid w:val="00716D0A"/>
    <w:rsid w:val="00717AF6"/>
    <w:rsid w:val="00720157"/>
    <w:rsid w:val="00720579"/>
    <w:rsid w:val="00721ECF"/>
    <w:rsid w:val="00722D13"/>
    <w:rsid w:val="007230FE"/>
    <w:rsid w:val="007257D8"/>
    <w:rsid w:val="00725BEA"/>
    <w:rsid w:val="00726409"/>
    <w:rsid w:val="0072707E"/>
    <w:rsid w:val="007306D1"/>
    <w:rsid w:val="00730BE2"/>
    <w:rsid w:val="00732046"/>
    <w:rsid w:val="007335EB"/>
    <w:rsid w:val="007337E0"/>
    <w:rsid w:val="007344C3"/>
    <w:rsid w:val="00736C31"/>
    <w:rsid w:val="00736E1D"/>
    <w:rsid w:val="0074239D"/>
    <w:rsid w:val="00742CE1"/>
    <w:rsid w:val="0074372C"/>
    <w:rsid w:val="00744C7C"/>
    <w:rsid w:val="00745862"/>
    <w:rsid w:val="00746657"/>
    <w:rsid w:val="0074687F"/>
    <w:rsid w:val="00746973"/>
    <w:rsid w:val="00747C4D"/>
    <w:rsid w:val="0075014A"/>
    <w:rsid w:val="00751055"/>
    <w:rsid w:val="007517A4"/>
    <w:rsid w:val="007528E4"/>
    <w:rsid w:val="00753BE6"/>
    <w:rsid w:val="0075585E"/>
    <w:rsid w:val="00755A77"/>
    <w:rsid w:val="007631D1"/>
    <w:rsid w:val="007635AC"/>
    <w:rsid w:val="00764863"/>
    <w:rsid w:val="00772458"/>
    <w:rsid w:val="00775812"/>
    <w:rsid w:val="00776A23"/>
    <w:rsid w:val="007805F1"/>
    <w:rsid w:val="00781907"/>
    <w:rsid w:val="00781AFB"/>
    <w:rsid w:val="00782461"/>
    <w:rsid w:val="0078261F"/>
    <w:rsid w:val="007833DA"/>
    <w:rsid w:val="00783492"/>
    <w:rsid w:val="0078417B"/>
    <w:rsid w:val="00784522"/>
    <w:rsid w:val="0078470A"/>
    <w:rsid w:val="00784C15"/>
    <w:rsid w:val="0078583D"/>
    <w:rsid w:val="00785939"/>
    <w:rsid w:val="00785D73"/>
    <w:rsid w:val="00786FA8"/>
    <w:rsid w:val="00787AF1"/>
    <w:rsid w:val="0079132B"/>
    <w:rsid w:val="00792E3F"/>
    <w:rsid w:val="0079360E"/>
    <w:rsid w:val="00795245"/>
    <w:rsid w:val="007969E6"/>
    <w:rsid w:val="00796DA1"/>
    <w:rsid w:val="007A2C57"/>
    <w:rsid w:val="007A3440"/>
    <w:rsid w:val="007A34B3"/>
    <w:rsid w:val="007A367A"/>
    <w:rsid w:val="007A6A04"/>
    <w:rsid w:val="007A6CEF"/>
    <w:rsid w:val="007B1039"/>
    <w:rsid w:val="007B1644"/>
    <w:rsid w:val="007B2A31"/>
    <w:rsid w:val="007B33F8"/>
    <w:rsid w:val="007B3B6F"/>
    <w:rsid w:val="007B3F3D"/>
    <w:rsid w:val="007B413B"/>
    <w:rsid w:val="007B4FD7"/>
    <w:rsid w:val="007B5461"/>
    <w:rsid w:val="007B6474"/>
    <w:rsid w:val="007B7F0F"/>
    <w:rsid w:val="007C1847"/>
    <w:rsid w:val="007C19EC"/>
    <w:rsid w:val="007C342D"/>
    <w:rsid w:val="007C3C7F"/>
    <w:rsid w:val="007C51EB"/>
    <w:rsid w:val="007C60E2"/>
    <w:rsid w:val="007C6B5E"/>
    <w:rsid w:val="007C7435"/>
    <w:rsid w:val="007D158A"/>
    <w:rsid w:val="007D5B1C"/>
    <w:rsid w:val="007D6D87"/>
    <w:rsid w:val="007D6FD6"/>
    <w:rsid w:val="007D7ABF"/>
    <w:rsid w:val="007E0ADA"/>
    <w:rsid w:val="007E15CF"/>
    <w:rsid w:val="007E1D16"/>
    <w:rsid w:val="007E1DB4"/>
    <w:rsid w:val="007E5866"/>
    <w:rsid w:val="007F07AF"/>
    <w:rsid w:val="007F275A"/>
    <w:rsid w:val="007F2A44"/>
    <w:rsid w:val="007F51D1"/>
    <w:rsid w:val="007F6E2B"/>
    <w:rsid w:val="007F7699"/>
    <w:rsid w:val="007F773D"/>
    <w:rsid w:val="008003C8"/>
    <w:rsid w:val="0080045C"/>
    <w:rsid w:val="00801D43"/>
    <w:rsid w:val="00802118"/>
    <w:rsid w:val="00804065"/>
    <w:rsid w:val="008047DD"/>
    <w:rsid w:val="0080611B"/>
    <w:rsid w:val="00806213"/>
    <w:rsid w:val="00811DA4"/>
    <w:rsid w:val="008121D7"/>
    <w:rsid w:val="00812B80"/>
    <w:rsid w:val="008168A2"/>
    <w:rsid w:val="00820421"/>
    <w:rsid w:val="008213E7"/>
    <w:rsid w:val="00821687"/>
    <w:rsid w:val="0082217D"/>
    <w:rsid w:val="00822A40"/>
    <w:rsid w:val="008236C7"/>
    <w:rsid w:val="00823E67"/>
    <w:rsid w:val="008249E2"/>
    <w:rsid w:val="00826045"/>
    <w:rsid w:val="008260ED"/>
    <w:rsid w:val="008307DB"/>
    <w:rsid w:val="00830A48"/>
    <w:rsid w:val="00833331"/>
    <w:rsid w:val="00833C36"/>
    <w:rsid w:val="00834B96"/>
    <w:rsid w:val="0083585B"/>
    <w:rsid w:val="008362DE"/>
    <w:rsid w:val="00836409"/>
    <w:rsid w:val="00836415"/>
    <w:rsid w:val="00836B47"/>
    <w:rsid w:val="00840A53"/>
    <w:rsid w:val="008427B3"/>
    <w:rsid w:val="008428A1"/>
    <w:rsid w:val="00846233"/>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6819"/>
    <w:rsid w:val="0086717D"/>
    <w:rsid w:val="0087121E"/>
    <w:rsid w:val="00876B32"/>
    <w:rsid w:val="00880EA3"/>
    <w:rsid w:val="00881D7E"/>
    <w:rsid w:val="00882CB8"/>
    <w:rsid w:val="00884366"/>
    <w:rsid w:val="00884650"/>
    <w:rsid w:val="00884651"/>
    <w:rsid w:val="008851B9"/>
    <w:rsid w:val="00885F50"/>
    <w:rsid w:val="00886144"/>
    <w:rsid w:val="00887314"/>
    <w:rsid w:val="00890EB4"/>
    <w:rsid w:val="00891D35"/>
    <w:rsid w:val="00892CAB"/>
    <w:rsid w:val="00893901"/>
    <w:rsid w:val="0089667B"/>
    <w:rsid w:val="0089728F"/>
    <w:rsid w:val="008A07B5"/>
    <w:rsid w:val="008A0874"/>
    <w:rsid w:val="008A0FF6"/>
    <w:rsid w:val="008A28F5"/>
    <w:rsid w:val="008A51AD"/>
    <w:rsid w:val="008B2982"/>
    <w:rsid w:val="008B2F05"/>
    <w:rsid w:val="008B319E"/>
    <w:rsid w:val="008B456E"/>
    <w:rsid w:val="008B51B9"/>
    <w:rsid w:val="008B5BC6"/>
    <w:rsid w:val="008B6119"/>
    <w:rsid w:val="008B62FA"/>
    <w:rsid w:val="008B7153"/>
    <w:rsid w:val="008C03AD"/>
    <w:rsid w:val="008C11EE"/>
    <w:rsid w:val="008C1485"/>
    <w:rsid w:val="008C175C"/>
    <w:rsid w:val="008C267B"/>
    <w:rsid w:val="008C2DAF"/>
    <w:rsid w:val="008C3720"/>
    <w:rsid w:val="008C668F"/>
    <w:rsid w:val="008D210D"/>
    <w:rsid w:val="008D2DBA"/>
    <w:rsid w:val="008D3E20"/>
    <w:rsid w:val="008D4DC8"/>
    <w:rsid w:val="008D530C"/>
    <w:rsid w:val="008D56D1"/>
    <w:rsid w:val="008D5955"/>
    <w:rsid w:val="008D638B"/>
    <w:rsid w:val="008D7ECE"/>
    <w:rsid w:val="008E01A0"/>
    <w:rsid w:val="008E1BF6"/>
    <w:rsid w:val="008E3BC8"/>
    <w:rsid w:val="008E44FF"/>
    <w:rsid w:val="008E5A58"/>
    <w:rsid w:val="008E5F96"/>
    <w:rsid w:val="008E6FB7"/>
    <w:rsid w:val="008E7557"/>
    <w:rsid w:val="008E7FE5"/>
    <w:rsid w:val="008F0BC6"/>
    <w:rsid w:val="008F1874"/>
    <w:rsid w:val="008F25DF"/>
    <w:rsid w:val="008F29E0"/>
    <w:rsid w:val="008F2D7C"/>
    <w:rsid w:val="008F4528"/>
    <w:rsid w:val="008F4FCE"/>
    <w:rsid w:val="008F5131"/>
    <w:rsid w:val="008F63E4"/>
    <w:rsid w:val="008F6646"/>
    <w:rsid w:val="008F7E50"/>
    <w:rsid w:val="00900008"/>
    <w:rsid w:val="00900E6A"/>
    <w:rsid w:val="00902EB1"/>
    <w:rsid w:val="009037B7"/>
    <w:rsid w:val="00904C01"/>
    <w:rsid w:val="009050BB"/>
    <w:rsid w:val="00905195"/>
    <w:rsid w:val="00905609"/>
    <w:rsid w:val="0090571E"/>
    <w:rsid w:val="00905F7A"/>
    <w:rsid w:val="00906A31"/>
    <w:rsid w:val="00906B1B"/>
    <w:rsid w:val="00910398"/>
    <w:rsid w:val="0091039C"/>
    <w:rsid w:val="00911640"/>
    <w:rsid w:val="0091213F"/>
    <w:rsid w:val="00912783"/>
    <w:rsid w:val="00913D36"/>
    <w:rsid w:val="0091451C"/>
    <w:rsid w:val="00915C3E"/>
    <w:rsid w:val="00915D45"/>
    <w:rsid w:val="00916C5E"/>
    <w:rsid w:val="0091749B"/>
    <w:rsid w:val="00920088"/>
    <w:rsid w:val="00920840"/>
    <w:rsid w:val="00922DF5"/>
    <w:rsid w:val="00923349"/>
    <w:rsid w:val="00923CE8"/>
    <w:rsid w:val="00924442"/>
    <w:rsid w:val="009252D3"/>
    <w:rsid w:val="00926002"/>
    <w:rsid w:val="00927F13"/>
    <w:rsid w:val="00930061"/>
    <w:rsid w:val="00930EBA"/>
    <w:rsid w:val="0093151F"/>
    <w:rsid w:val="0093268C"/>
    <w:rsid w:val="00934728"/>
    <w:rsid w:val="009347A5"/>
    <w:rsid w:val="00935580"/>
    <w:rsid w:val="009366E0"/>
    <w:rsid w:val="00936EB3"/>
    <w:rsid w:val="00940622"/>
    <w:rsid w:val="009412D9"/>
    <w:rsid w:val="0094351D"/>
    <w:rsid w:val="009436E6"/>
    <w:rsid w:val="00944730"/>
    <w:rsid w:val="00944858"/>
    <w:rsid w:val="009471B5"/>
    <w:rsid w:val="009502D3"/>
    <w:rsid w:val="00951A6C"/>
    <w:rsid w:val="00952229"/>
    <w:rsid w:val="00952928"/>
    <w:rsid w:val="009531DA"/>
    <w:rsid w:val="00953CFD"/>
    <w:rsid w:val="009540FD"/>
    <w:rsid w:val="0095579C"/>
    <w:rsid w:val="009559B3"/>
    <w:rsid w:val="00956E7E"/>
    <w:rsid w:val="0096259A"/>
    <w:rsid w:val="00963D2A"/>
    <w:rsid w:val="0096539B"/>
    <w:rsid w:val="00966487"/>
    <w:rsid w:val="009669E3"/>
    <w:rsid w:val="009671DB"/>
    <w:rsid w:val="0096755D"/>
    <w:rsid w:val="009705D1"/>
    <w:rsid w:val="00972738"/>
    <w:rsid w:val="009727FE"/>
    <w:rsid w:val="00974C35"/>
    <w:rsid w:val="00976E81"/>
    <w:rsid w:val="009808B0"/>
    <w:rsid w:val="00980958"/>
    <w:rsid w:val="00983488"/>
    <w:rsid w:val="00983EDB"/>
    <w:rsid w:val="009849EF"/>
    <w:rsid w:val="00984E36"/>
    <w:rsid w:val="0098553B"/>
    <w:rsid w:val="00987014"/>
    <w:rsid w:val="009871AC"/>
    <w:rsid w:val="009873F2"/>
    <w:rsid w:val="0099078D"/>
    <w:rsid w:val="00990892"/>
    <w:rsid w:val="00997443"/>
    <w:rsid w:val="009A0F13"/>
    <w:rsid w:val="009A1BA1"/>
    <w:rsid w:val="009A2A81"/>
    <w:rsid w:val="009A2AFB"/>
    <w:rsid w:val="009A2DE2"/>
    <w:rsid w:val="009A3B62"/>
    <w:rsid w:val="009A3ED4"/>
    <w:rsid w:val="009A44BD"/>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2F74"/>
    <w:rsid w:val="009C638A"/>
    <w:rsid w:val="009C69A8"/>
    <w:rsid w:val="009D1E12"/>
    <w:rsid w:val="009D3AAC"/>
    <w:rsid w:val="009D5B63"/>
    <w:rsid w:val="009D6C48"/>
    <w:rsid w:val="009E1679"/>
    <w:rsid w:val="009E19D3"/>
    <w:rsid w:val="009E1BE9"/>
    <w:rsid w:val="009E2348"/>
    <w:rsid w:val="009E239E"/>
    <w:rsid w:val="009E271D"/>
    <w:rsid w:val="009E362F"/>
    <w:rsid w:val="009E40DF"/>
    <w:rsid w:val="009E59CA"/>
    <w:rsid w:val="009E69B9"/>
    <w:rsid w:val="009F1AEE"/>
    <w:rsid w:val="009F1DB1"/>
    <w:rsid w:val="009F1EA5"/>
    <w:rsid w:val="009F2DF6"/>
    <w:rsid w:val="009F5E68"/>
    <w:rsid w:val="009F69E5"/>
    <w:rsid w:val="009F7476"/>
    <w:rsid w:val="009F768D"/>
    <w:rsid w:val="00A00584"/>
    <w:rsid w:val="00A00F26"/>
    <w:rsid w:val="00A018F7"/>
    <w:rsid w:val="00A02ABC"/>
    <w:rsid w:val="00A039B4"/>
    <w:rsid w:val="00A03EC2"/>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359A"/>
    <w:rsid w:val="00A34AEC"/>
    <w:rsid w:val="00A35AFD"/>
    <w:rsid w:val="00A3659B"/>
    <w:rsid w:val="00A3776D"/>
    <w:rsid w:val="00A40295"/>
    <w:rsid w:val="00A40731"/>
    <w:rsid w:val="00A40A39"/>
    <w:rsid w:val="00A42055"/>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0836"/>
    <w:rsid w:val="00A635D9"/>
    <w:rsid w:val="00A64C8D"/>
    <w:rsid w:val="00A6721B"/>
    <w:rsid w:val="00A70355"/>
    <w:rsid w:val="00A7046F"/>
    <w:rsid w:val="00A71E4D"/>
    <w:rsid w:val="00A73547"/>
    <w:rsid w:val="00A73D17"/>
    <w:rsid w:val="00A73D4F"/>
    <w:rsid w:val="00A74128"/>
    <w:rsid w:val="00A75170"/>
    <w:rsid w:val="00A7538D"/>
    <w:rsid w:val="00A75DD6"/>
    <w:rsid w:val="00A7618B"/>
    <w:rsid w:val="00A7629F"/>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2C96"/>
    <w:rsid w:val="00A93509"/>
    <w:rsid w:val="00A935BC"/>
    <w:rsid w:val="00A940DD"/>
    <w:rsid w:val="00A9585F"/>
    <w:rsid w:val="00AA013D"/>
    <w:rsid w:val="00AA0422"/>
    <w:rsid w:val="00AA0EB2"/>
    <w:rsid w:val="00AA1496"/>
    <w:rsid w:val="00AA155D"/>
    <w:rsid w:val="00AA18BE"/>
    <w:rsid w:val="00AA3354"/>
    <w:rsid w:val="00AA3D06"/>
    <w:rsid w:val="00AA4899"/>
    <w:rsid w:val="00AA4D37"/>
    <w:rsid w:val="00AA59F2"/>
    <w:rsid w:val="00AA639F"/>
    <w:rsid w:val="00AA6461"/>
    <w:rsid w:val="00AA673E"/>
    <w:rsid w:val="00AA6C01"/>
    <w:rsid w:val="00AA753E"/>
    <w:rsid w:val="00AB0FF2"/>
    <w:rsid w:val="00AB16AD"/>
    <w:rsid w:val="00AB24CE"/>
    <w:rsid w:val="00AB3CE6"/>
    <w:rsid w:val="00AB3E2B"/>
    <w:rsid w:val="00AB65C7"/>
    <w:rsid w:val="00AB671D"/>
    <w:rsid w:val="00AB6BFE"/>
    <w:rsid w:val="00AB7130"/>
    <w:rsid w:val="00AB7171"/>
    <w:rsid w:val="00AB7311"/>
    <w:rsid w:val="00AC0D42"/>
    <w:rsid w:val="00AC2C30"/>
    <w:rsid w:val="00AC350C"/>
    <w:rsid w:val="00AC3558"/>
    <w:rsid w:val="00AC3A1B"/>
    <w:rsid w:val="00AC46EE"/>
    <w:rsid w:val="00AC5254"/>
    <w:rsid w:val="00AC5D15"/>
    <w:rsid w:val="00AC701A"/>
    <w:rsid w:val="00AC74A3"/>
    <w:rsid w:val="00AC7DAD"/>
    <w:rsid w:val="00AD02BB"/>
    <w:rsid w:val="00AD0393"/>
    <w:rsid w:val="00AD11DB"/>
    <w:rsid w:val="00AD1829"/>
    <w:rsid w:val="00AD344D"/>
    <w:rsid w:val="00AD3F55"/>
    <w:rsid w:val="00AD49BE"/>
    <w:rsid w:val="00AD4CFD"/>
    <w:rsid w:val="00AD53F5"/>
    <w:rsid w:val="00AD5E7B"/>
    <w:rsid w:val="00AD7989"/>
    <w:rsid w:val="00AE0BFC"/>
    <w:rsid w:val="00AE0CFB"/>
    <w:rsid w:val="00AE1A08"/>
    <w:rsid w:val="00AE1BBA"/>
    <w:rsid w:val="00AE4BA3"/>
    <w:rsid w:val="00AE6C64"/>
    <w:rsid w:val="00AE7E8A"/>
    <w:rsid w:val="00AF0276"/>
    <w:rsid w:val="00AF32D8"/>
    <w:rsid w:val="00AF3F64"/>
    <w:rsid w:val="00AF40CA"/>
    <w:rsid w:val="00AF4C64"/>
    <w:rsid w:val="00AF70FF"/>
    <w:rsid w:val="00B01024"/>
    <w:rsid w:val="00B01BE5"/>
    <w:rsid w:val="00B02385"/>
    <w:rsid w:val="00B0262A"/>
    <w:rsid w:val="00B03878"/>
    <w:rsid w:val="00B05E0D"/>
    <w:rsid w:val="00B06DDF"/>
    <w:rsid w:val="00B07809"/>
    <w:rsid w:val="00B0793D"/>
    <w:rsid w:val="00B079A5"/>
    <w:rsid w:val="00B11C89"/>
    <w:rsid w:val="00B134C7"/>
    <w:rsid w:val="00B136CC"/>
    <w:rsid w:val="00B143BA"/>
    <w:rsid w:val="00B17521"/>
    <w:rsid w:val="00B17683"/>
    <w:rsid w:val="00B20FAA"/>
    <w:rsid w:val="00B21806"/>
    <w:rsid w:val="00B21CD8"/>
    <w:rsid w:val="00B21FBA"/>
    <w:rsid w:val="00B23036"/>
    <w:rsid w:val="00B23264"/>
    <w:rsid w:val="00B24E9B"/>
    <w:rsid w:val="00B2793E"/>
    <w:rsid w:val="00B3022C"/>
    <w:rsid w:val="00B32ABD"/>
    <w:rsid w:val="00B32E35"/>
    <w:rsid w:val="00B3324A"/>
    <w:rsid w:val="00B33B37"/>
    <w:rsid w:val="00B34F39"/>
    <w:rsid w:val="00B35017"/>
    <w:rsid w:val="00B35FC9"/>
    <w:rsid w:val="00B374E5"/>
    <w:rsid w:val="00B3764A"/>
    <w:rsid w:val="00B37AA5"/>
    <w:rsid w:val="00B418AB"/>
    <w:rsid w:val="00B41FA0"/>
    <w:rsid w:val="00B42826"/>
    <w:rsid w:val="00B430FA"/>
    <w:rsid w:val="00B43982"/>
    <w:rsid w:val="00B459AF"/>
    <w:rsid w:val="00B462BD"/>
    <w:rsid w:val="00B463F5"/>
    <w:rsid w:val="00B475B6"/>
    <w:rsid w:val="00B55869"/>
    <w:rsid w:val="00B567F1"/>
    <w:rsid w:val="00B569FA"/>
    <w:rsid w:val="00B571D3"/>
    <w:rsid w:val="00B60E2D"/>
    <w:rsid w:val="00B635A5"/>
    <w:rsid w:val="00B63BE5"/>
    <w:rsid w:val="00B64CAA"/>
    <w:rsid w:val="00B6670D"/>
    <w:rsid w:val="00B66D36"/>
    <w:rsid w:val="00B71FBB"/>
    <w:rsid w:val="00B7272B"/>
    <w:rsid w:val="00B732FB"/>
    <w:rsid w:val="00B7342D"/>
    <w:rsid w:val="00B73BCE"/>
    <w:rsid w:val="00B7490A"/>
    <w:rsid w:val="00B759EC"/>
    <w:rsid w:val="00B75F96"/>
    <w:rsid w:val="00B773AD"/>
    <w:rsid w:val="00B774F6"/>
    <w:rsid w:val="00B778CB"/>
    <w:rsid w:val="00B809D9"/>
    <w:rsid w:val="00B8168B"/>
    <w:rsid w:val="00B817E4"/>
    <w:rsid w:val="00B824F8"/>
    <w:rsid w:val="00B8362D"/>
    <w:rsid w:val="00B8368B"/>
    <w:rsid w:val="00B83A9E"/>
    <w:rsid w:val="00B85F49"/>
    <w:rsid w:val="00B86F52"/>
    <w:rsid w:val="00B878F5"/>
    <w:rsid w:val="00B903B9"/>
    <w:rsid w:val="00B91893"/>
    <w:rsid w:val="00B926BD"/>
    <w:rsid w:val="00B92DE8"/>
    <w:rsid w:val="00B936B9"/>
    <w:rsid w:val="00B93D8F"/>
    <w:rsid w:val="00B96A32"/>
    <w:rsid w:val="00B9799D"/>
    <w:rsid w:val="00BA118A"/>
    <w:rsid w:val="00BA1322"/>
    <w:rsid w:val="00BA25FD"/>
    <w:rsid w:val="00BA2D85"/>
    <w:rsid w:val="00BA3AA7"/>
    <w:rsid w:val="00BA3C3F"/>
    <w:rsid w:val="00BA3F25"/>
    <w:rsid w:val="00BA5CEA"/>
    <w:rsid w:val="00BA690D"/>
    <w:rsid w:val="00BA7612"/>
    <w:rsid w:val="00BB1D36"/>
    <w:rsid w:val="00BB3631"/>
    <w:rsid w:val="00BB3FF6"/>
    <w:rsid w:val="00BB5630"/>
    <w:rsid w:val="00BB6BE1"/>
    <w:rsid w:val="00BC392E"/>
    <w:rsid w:val="00BC60A6"/>
    <w:rsid w:val="00BC62E0"/>
    <w:rsid w:val="00BC6FBF"/>
    <w:rsid w:val="00BD00D9"/>
    <w:rsid w:val="00BD140A"/>
    <w:rsid w:val="00BD1886"/>
    <w:rsid w:val="00BD23E3"/>
    <w:rsid w:val="00BD40BC"/>
    <w:rsid w:val="00BD6234"/>
    <w:rsid w:val="00BE014F"/>
    <w:rsid w:val="00BE0437"/>
    <w:rsid w:val="00BE04F6"/>
    <w:rsid w:val="00BE107D"/>
    <w:rsid w:val="00BE2D6C"/>
    <w:rsid w:val="00BE3051"/>
    <w:rsid w:val="00BE4C2B"/>
    <w:rsid w:val="00BE52CA"/>
    <w:rsid w:val="00BE5A0E"/>
    <w:rsid w:val="00BE5D1C"/>
    <w:rsid w:val="00BE63CE"/>
    <w:rsid w:val="00BE701E"/>
    <w:rsid w:val="00BE7640"/>
    <w:rsid w:val="00BF0242"/>
    <w:rsid w:val="00BF0AE5"/>
    <w:rsid w:val="00BF144D"/>
    <w:rsid w:val="00BF214A"/>
    <w:rsid w:val="00BF36DD"/>
    <w:rsid w:val="00BF377B"/>
    <w:rsid w:val="00BF3E1B"/>
    <w:rsid w:val="00BF635B"/>
    <w:rsid w:val="00BF7D51"/>
    <w:rsid w:val="00C00699"/>
    <w:rsid w:val="00C01975"/>
    <w:rsid w:val="00C02723"/>
    <w:rsid w:val="00C02A91"/>
    <w:rsid w:val="00C04960"/>
    <w:rsid w:val="00C05ABD"/>
    <w:rsid w:val="00C06163"/>
    <w:rsid w:val="00C10713"/>
    <w:rsid w:val="00C10B0B"/>
    <w:rsid w:val="00C1120E"/>
    <w:rsid w:val="00C11391"/>
    <w:rsid w:val="00C114A8"/>
    <w:rsid w:val="00C12EC0"/>
    <w:rsid w:val="00C1324E"/>
    <w:rsid w:val="00C138A5"/>
    <w:rsid w:val="00C14B96"/>
    <w:rsid w:val="00C158D4"/>
    <w:rsid w:val="00C16DD4"/>
    <w:rsid w:val="00C171AB"/>
    <w:rsid w:val="00C211F9"/>
    <w:rsid w:val="00C22F92"/>
    <w:rsid w:val="00C238EE"/>
    <w:rsid w:val="00C25927"/>
    <w:rsid w:val="00C27126"/>
    <w:rsid w:val="00C273D7"/>
    <w:rsid w:val="00C2755A"/>
    <w:rsid w:val="00C3028D"/>
    <w:rsid w:val="00C310B8"/>
    <w:rsid w:val="00C31DBD"/>
    <w:rsid w:val="00C32633"/>
    <w:rsid w:val="00C328E2"/>
    <w:rsid w:val="00C3305D"/>
    <w:rsid w:val="00C3343C"/>
    <w:rsid w:val="00C3343E"/>
    <w:rsid w:val="00C35DFA"/>
    <w:rsid w:val="00C3643C"/>
    <w:rsid w:val="00C36C29"/>
    <w:rsid w:val="00C411A4"/>
    <w:rsid w:val="00C41646"/>
    <w:rsid w:val="00C4383B"/>
    <w:rsid w:val="00C4601A"/>
    <w:rsid w:val="00C46720"/>
    <w:rsid w:val="00C478FE"/>
    <w:rsid w:val="00C502DD"/>
    <w:rsid w:val="00C53487"/>
    <w:rsid w:val="00C53C6D"/>
    <w:rsid w:val="00C57E8D"/>
    <w:rsid w:val="00C603CA"/>
    <w:rsid w:val="00C613E2"/>
    <w:rsid w:val="00C61419"/>
    <w:rsid w:val="00C621E3"/>
    <w:rsid w:val="00C633D2"/>
    <w:rsid w:val="00C6430C"/>
    <w:rsid w:val="00C64E24"/>
    <w:rsid w:val="00C65047"/>
    <w:rsid w:val="00C653CC"/>
    <w:rsid w:val="00C665D4"/>
    <w:rsid w:val="00C674DC"/>
    <w:rsid w:val="00C67E56"/>
    <w:rsid w:val="00C715A5"/>
    <w:rsid w:val="00C7381E"/>
    <w:rsid w:val="00C73CE1"/>
    <w:rsid w:val="00C74775"/>
    <w:rsid w:val="00C76F3D"/>
    <w:rsid w:val="00C76F9B"/>
    <w:rsid w:val="00C77064"/>
    <w:rsid w:val="00C8047D"/>
    <w:rsid w:val="00C80AB6"/>
    <w:rsid w:val="00C824FE"/>
    <w:rsid w:val="00C833D6"/>
    <w:rsid w:val="00C84CDE"/>
    <w:rsid w:val="00C863FB"/>
    <w:rsid w:val="00C86EB1"/>
    <w:rsid w:val="00C8762A"/>
    <w:rsid w:val="00C87C14"/>
    <w:rsid w:val="00C9050E"/>
    <w:rsid w:val="00C9216F"/>
    <w:rsid w:val="00C9306D"/>
    <w:rsid w:val="00C9314C"/>
    <w:rsid w:val="00C93320"/>
    <w:rsid w:val="00C94687"/>
    <w:rsid w:val="00C95318"/>
    <w:rsid w:val="00C95A99"/>
    <w:rsid w:val="00C96B98"/>
    <w:rsid w:val="00C96F6B"/>
    <w:rsid w:val="00C97A4E"/>
    <w:rsid w:val="00C97ED3"/>
    <w:rsid w:val="00CA043D"/>
    <w:rsid w:val="00CA069B"/>
    <w:rsid w:val="00CA09C4"/>
    <w:rsid w:val="00CA27F9"/>
    <w:rsid w:val="00CA28AD"/>
    <w:rsid w:val="00CA4F28"/>
    <w:rsid w:val="00CA7388"/>
    <w:rsid w:val="00CA78AC"/>
    <w:rsid w:val="00CB00C0"/>
    <w:rsid w:val="00CB067C"/>
    <w:rsid w:val="00CB15CA"/>
    <w:rsid w:val="00CB26B3"/>
    <w:rsid w:val="00CB26E8"/>
    <w:rsid w:val="00CB2C11"/>
    <w:rsid w:val="00CB3B7D"/>
    <w:rsid w:val="00CB4DC8"/>
    <w:rsid w:val="00CB51F5"/>
    <w:rsid w:val="00CB5252"/>
    <w:rsid w:val="00CB687E"/>
    <w:rsid w:val="00CC0250"/>
    <w:rsid w:val="00CC074E"/>
    <w:rsid w:val="00CC1659"/>
    <w:rsid w:val="00CC250D"/>
    <w:rsid w:val="00CC3092"/>
    <w:rsid w:val="00CC30C3"/>
    <w:rsid w:val="00CC363A"/>
    <w:rsid w:val="00CC3D4E"/>
    <w:rsid w:val="00CC4003"/>
    <w:rsid w:val="00CC74BD"/>
    <w:rsid w:val="00CD0768"/>
    <w:rsid w:val="00CD3CC4"/>
    <w:rsid w:val="00CD788F"/>
    <w:rsid w:val="00CE047D"/>
    <w:rsid w:val="00CE1017"/>
    <w:rsid w:val="00CE1A6E"/>
    <w:rsid w:val="00CE23CA"/>
    <w:rsid w:val="00CE3381"/>
    <w:rsid w:val="00CE358A"/>
    <w:rsid w:val="00CE373E"/>
    <w:rsid w:val="00CE43AF"/>
    <w:rsid w:val="00CE4C82"/>
    <w:rsid w:val="00CE577D"/>
    <w:rsid w:val="00CE665D"/>
    <w:rsid w:val="00CE6758"/>
    <w:rsid w:val="00CE7731"/>
    <w:rsid w:val="00CF096F"/>
    <w:rsid w:val="00CF1226"/>
    <w:rsid w:val="00CF329F"/>
    <w:rsid w:val="00CF6106"/>
    <w:rsid w:val="00CF6A79"/>
    <w:rsid w:val="00CF73D7"/>
    <w:rsid w:val="00D00AAE"/>
    <w:rsid w:val="00D01367"/>
    <w:rsid w:val="00D01A51"/>
    <w:rsid w:val="00D02D5A"/>
    <w:rsid w:val="00D03B9D"/>
    <w:rsid w:val="00D0498A"/>
    <w:rsid w:val="00D065E6"/>
    <w:rsid w:val="00D06F2D"/>
    <w:rsid w:val="00D10843"/>
    <w:rsid w:val="00D11B6A"/>
    <w:rsid w:val="00D13B2D"/>
    <w:rsid w:val="00D154A5"/>
    <w:rsid w:val="00D15660"/>
    <w:rsid w:val="00D16AEB"/>
    <w:rsid w:val="00D16E7D"/>
    <w:rsid w:val="00D17731"/>
    <w:rsid w:val="00D20E86"/>
    <w:rsid w:val="00D20FB3"/>
    <w:rsid w:val="00D213EA"/>
    <w:rsid w:val="00D21DFB"/>
    <w:rsid w:val="00D227C4"/>
    <w:rsid w:val="00D23048"/>
    <w:rsid w:val="00D2352A"/>
    <w:rsid w:val="00D23DD0"/>
    <w:rsid w:val="00D251C3"/>
    <w:rsid w:val="00D254E1"/>
    <w:rsid w:val="00D26CB5"/>
    <w:rsid w:val="00D27EA0"/>
    <w:rsid w:val="00D31593"/>
    <w:rsid w:val="00D33231"/>
    <w:rsid w:val="00D3488E"/>
    <w:rsid w:val="00D34C89"/>
    <w:rsid w:val="00D36240"/>
    <w:rsid w:val="00D36D0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1CF6"/>
    <w:rsid w:val="00D52FE3"/>
    <w:rsid w:val="00D54C37"/>
    <w:rsid w:val="00D56779"/>
    <w:rsid w:val="00D5779A"/>
    <w:rsid w:val="00D62214"/>
    <w:rsid w:val="00D62ADB"/>
    <w:rsid w:val="00D632D1"/>
    <w:rsid w:val="00D64B7A"/>
    <w:rsid w:val="00D64DAA"/>
    <w:rsid w:val="00D65560"/>
    <w:rsid w:val="00D65AB8"/>
    <w:rsid w:val="00D65E10"/>
    <w:rsid w:val="00D67ADC"/>
    <w:rsid w:val="00D706BA"/>
    <w:rsid w:val="00D709A0"/>
    <w:rsid w:val="00D70A78"/>
    <w:rsid w:val="00D71394"/>
    <w:rsid w:val="00D7252A"/>
    <w:rsid w:val="00D72974"/>
    <w:rsid w:val="00D73BC0"/>
    <w:rsid w:val="00D74C79"/>
    <w:rsid w:val="00D76C93"/>
    <w:rsid w:val="00D80799"/>
    <w:rsid w:val="00D81512"/>
    <w:rsid w:val="00D81D08"/>
    <w:rsid w:val="00D828B3"/>
    <w:rsid w:val="00D84547"/>
    <w:rsid w:val="00D84747"/>
    <w:rsid w:val="00D84BD3"/>
    <w:rsid w:val="00D85346"/>
    <w:rsid w:val="00D90E7B"/>
    <w:rsid w:val="00D91D3E"/>
    <w:rsid w:val="00D91EDC"/>
    <w:rsid w:val="00D92169"/>
    <w:rsid w:val="00D92D94"/>
    <w:rsid w:val="00D95999"/>
    <w:rsid w:val="00D961DB"/>
    <w:rsid w:val="00D97542"/>
    <w:rsid w:val="00DA0625"/>
    <w:rsid w:val="00DA3748"/>
    <w:rsid w:val="00DA4C82"/>
    <w:rsid w:val="00DA671A"/>
    <w:rsid w:val="00DA756A"/>
    <w:rsid w:val="00DA7819"/>
    <w:rsid w:val="00DA78D9"/>
    <w:rsid w:val="00DA7E64"/>
    <w:rsid w:val="00DA7E6E"/>
    <w:rsid w:val="00DB07B8"/>
    <w:rsid w:val="00DB25C6"/>
    <w:rsid w:val="00DB2D76"/>
    <w:rsid w:val="00DB345B"/>
    <w:rsid w:val="00DB3871"/>
    <w:rsid w:val="00DB38BB"/>
    <w:rsid w:val="00DB45E2"/>
    <w:rsid w:val="00DB4F49"/>
    <w:rsid w:val="00DB5A1B"/>
    <w:rsid w:val="00DB6D5A"/>
    <w:rsid w:val="00DC1ACA"/>
    <w:rsid w:val="00DC4772"/>
    <w:rsid w:val="00DC48CF"/>
    <w:rsid w:val="00DC4E8D"/>
    <w:rsid w:val="00DC5BB0"/>
    <w:rsid w:val="00DC6711"/>
    <w:rsid w:val="00DC6826"/>
    <w:rsid w:val="00DC70C4"/>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3935"/>
    <w:rsid w:val="00E04587"/>
    <w:rsid w:val="00E04EFF"/>
    <w:rsid w:val="00E05212"/>
    <w:rsid w:val="00E05D02"/>
    <w:rsid w:val="00E0690D"/>
    <w:rsid w:val="00E101A9"/>
    <w:rsid w:val="00E12954"/>
    <w:rsid w:val="00E12A2F"/>
    <w:rsid w:val="00E12A5F"/>
    <w:rsid w:val="00E12D9F"/>
    <w:rsid w:val="00E12FAE"/>
    <w:rsid w:val="00E13468"/>
    <w:rsid w:val="00E1638A"/>
    <w:rsid w:val="00E21931"/>
    <w:rsid w:val="00E24543"/>
    <w:rsid w:val="00E2457B"/>
    <w:rsid w:val="00E247DE"/>
    <w:rsid w:val="00E24883"/>
    <w:rsid w:val="00E257AB"/>
    <w:rsid w:val="00E26EC6"/>
    <w:rsid w:val="00E3212A"/>
    <w:rsid w:val="00E32221"/>
    <w:rsid w:val="00E32512"/>
    <w:rsid w:val="00E333C7"/>
    <w:rsid w:val="00E3374E"/>
    <w:rsid w:val="00E33A7F"/>
    <w:rsid w:val="00E34A79"/>
    <w:rsid w:val="00E351C8"/>
    <w:rsid w:val="00E3750B"/>
    <w:rsid w:val="00E376F7"/>
    <w:rsid w:val="00E40C20"/>
    <w:rsid w:val="00E4104D"/>
    <w:rsid w:val="00E41293"/>
    <w:rsid w:val="00E41758"/>
    <w:rsid w:val="00E41C3F"/>
    <w:rsid w:val="00E41CE3"/>
    <w:rsid w:val="00E423F9"/>
    <w:rsid w:val="00E44479"/>
    <w:rsid w:val="00E45108"/>
    <w:rsid w:val="00E4622A"/>
    <w:rsid w:val="00E462B6"/>
    <w:rsid w:val="00E475F0"/>
    <w:rsid w:val="00E503E1"/>
    <w:rsid w:val="00E5099A"/>
    <w:rsid w:val="00E50CA8"/>
    <w:rsid w:val="00E519D9"/>
    <w:rsid w:val="00E536DE"/>
    <w:rsid w:val="00E538E6"/>
    <w:rsid w:val="00E53BDA"/>
    <w:rsid w:val="00E5535A"/>
    <w:rsid w:val="00E553E9"/>
    <w:rsid w:val="00E563DF"/>
    <w:rsid w:val="00E569B2"/>
    <w:rsid w:val="00E5752C"/>
    <w:rsid w:val="00E577FD"/>
    <w:rsid w:val="00E609FA"/>
    <w:rsid w:val="00E61098"/>
    <w:rsid w:val="00E619A4"/>
    <w:rsid w:val="00E62177"/>
    <w:rsid w:val="00E622AF"/>
    <w:rsid w:val="00E62A45"/>
    <w:rsid w:val="00E638EF"/>
    <w:rsid w:val="00E645FC"/>
    <w:rsid w:val="00E6494D"/>
    <w:rsid w:val="00E6634F"/>
    <w:rsid w:val="00E6716A"/>
    <w:rsid w:val="00E67F40"/>
    <w:rsid w:val="00E70167"/>
    <w:rsid w:val="00E703C3"/>
    <w:rsid w:val="00E73697"/>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02DB"/>
    <w:rsid w:val="00EA379C"/>
    <w:rsid w:val="00EA4CB5"/>
    <w:rsid w:val="00EA5FBF"/>
    <w:rsid w:val="00EA67B2"/>
    <w:rsid w:val="00EB0757"/>
    <w:rsid w:val="00EB3C74"/>
    <w:rsid w:val="00EB4F78"/>
    <w:rsid w:val="00EB5495"/>
    <w:rsid w:val="00EB5926"/>
    <w:rsid w:val="00EB5D98"/>
    <w:rsid w:val="00EB7A35"/>
    <w:rsid w:val="00EC027A"/>
    <w:rsid w:val="00EC05B4"/>
    <w:rsid w:val="00EC074E"/>
    <w:rsid w:val="00EC0B10"/>
    <w:rsid w:val="00EC2215"/>
    <w:rsid w:val="00EC33EA"/>
    <w:rsid w:val="00EC41C2"/>
    <w:rsid w:val="00EC4E71"/>
    <w:rsid w:val="00EC5867"/>
    <w:rsid w:val="00EC62F1"/>
    <w:rsid w:val="00EC6D41"/>
    <w:rsid w:val="00EC79CA"/>
    <w:rsid w:val="00ED03A3"/>
    <w:rsid w:val="00ED0AA7"/>
    <w:rsid w:val="00ED1D6E"/>
    <w:rsid w:val="00ED2F8A"/>
    <w:rsid w:val="00ED58AF"/>
    <w:rsid w:val="00ED6308"/>
    <w:rsid w:val="00ED7658"/>
    <w:rsid w:val="00EE0FCA"/>
    <w:rsid w:val="00EE13F4"/>
    <w:rsid w:val="00EE171F"/>
    <w:rsid w:val="00EE1EE5"/>
    <w:rsid w:val="00EE2928"/>
    <w:rsid w:val="00EE2E23"/>
    <w:rsid w:val="00EE359A"/>
    <w:rsid w:val="00EE4BD0"/>
    <w:rsid w:val="00EE5BA1"/>
    <w:rsid w:val="00EE6D4E"/>
    <w:rsid w:val="00EF022D"/>
    <w:rsid w:val="00EF2966"/>
    <w:rsid w:val="00EF4A5E"/>
    <w:rsid w:val="00EF4C39"/>
    <w:rsid w:val="00EF5346"/>
    <w:rsid w:val="00EF7204"/>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575F"/>
    <w:rsid w:val="00F2587D"/>
    <w:rsid w:val="00F26ED7"/>
    <w:rsid w:val="00F31625"/>
    <w:rsid w:val="00F31919"/>
    <w:rsid w:val="00F31BDC"/>
    <w:rsid w:val="00F32232"/>
    <w:rsid w:val="00F32242"/>
    <w:rsid w:val="00F361A3"/>
    <w:rsid w:val="00F36257"/>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397"/>
    <w:rsid w:val="00F52C25"/>
    <w:rsid w:val="00F5374F"/>
    <w:rsid w:val="00F545DD"/>
    <w:rsid w:val="00F54C94"/>
    <w:rsid w:val="00F55CC0"/>
    <w:rsid w:val="00F55E69"/>
    <w:rsid w:val="00F579BE"/>
    <w:rsid w:val="00F606F4"/>
    <w:rsid w:val="00F60DF6"/>
    <w:rsid w:val="00F61E12"/>
    <w:rsid w:val="00F626E7"/>
    <w:rsid w:val="00F62D04"/>
    <w:rsid w:val="00F6434A"/>
    <w:rsid w:val="00F703D7"/>
    <w:rsid w:val="00F70887"/>
    <w:rsid w:val="00F70A7D"/>
    <w:rsid w:val="00F712A0"/>
    <w:rsid w:val="00F748DD"/>
    <w:rsid w:val="00F75A87"/>
    <w:rsid w:val="00F75F12"/>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3BF4"/>
    <w:rsid w:val="00F94769"/>
    <w:rsid w:val="00F95CF5"/>
    <w:rsid w:val="00F97EE2"/>
    <w:rsid w:val="00FA0810"/>
    <w:rsid w:val="00FA14B5"/>
    <w:rsid w:val="00FA16BB"/>
    <w:rsid w:val="00FA2895"/>
    <w:rsid w:val="00FA29A4"/>
    <w:rsid w:val="00FA3752"/>
    <w:rsid w:val="00FA3DD7"/>
    <w:rsid w:val="00FA4D12"/>
    <w:rsid w:val="00FA5031"/>
    <w:rsid w:val="00FA56FF"/>
    <w:rsid w:val="00FB106B"/>
    <w:rsid w:val="00FB3E31"/>
    <w:rsid w:val="00FB4326"/>
    <w:rsid w:val="00FB4C6F"/>
    <w:rsid w:val="00FB64A1"/>
    <w:rsid w:val="00FB6732"/>
    <w:rsid w:val="00FB7D16"/>
    <w:rsid w:val="00FC0858"/>
    <w:rsid w:val="00FC110D"/>
    <w:rsid w:val="00FC236E"/>
    <w:rsid w:val="00FC3800"/>
    <w:rsid w:val="00FC4527"/>
    <w:rsid w:val="00FC65BE"/>
    <w:rsid w:val="00FC6B28"/>
    <w:rsid w:val="00FC70C0"/>
    <w:rsid w:val="00FC71F1"/>
    <w:rsid w:val="00FC7307"/>
    <w:rsid w:val="00FC786C"/>
    <w:rsid w:val="00FD1EEA"/>
    <w:rsid w:val="00FD20C2"/>
    <w:rsid w:val="00FD30C0"/>
    <w:rsid w:val="00FD331C"/>
    <w:rsid w:val="00FD33CF"/>
    <w:rsid w:val="00FD36CA"/>
    <w:rsid w:val="00FD3B41"/>
    <w:rsid w:val="00FD43F0"/>
    <w:rsid w:val="00FD4E22"/>
    <w:rsid w:val="00FD6C73"/>
    <w:rsid w:val="00FE0FBD"/>
    <w:rsid w:val="00FE263F"/>
    <w:rsid w:val="00FE2847"/>
    <w:rsid w:val="00FE486C"/>
    <w:rsid w:val="00FE4BFD"/>
    <w:rsid w:val="00FE578A"/>
    <w:rsid w:val="00FE7C48"/>
    <w:rsid w:val="00FF0BE2"/>
    <w:rsid w:val="00FF14A5"/>
    <w:rsid w:val="00FF2372"/>
    <w:rsid w:val="00FF621F"/>
    <w:rsid w:val="00FF67DA"/>
    <w:rsid w:val="00FF6F61"/>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1">
    <w:name w:val="heading 1"/>
    <w:basedOn w:val="Normal"/>
    <w:next w:val="BodyText2"/>
    <w:link w:val="Heading1Char"/>
    <w:qFormat/>
    <w:rsid w:val="00BA3F25"/>
    <w:pPr>
      <w:keepLines/>
      <w:numPr>
        <w:numId w:val="1"/>
      </w:numPr>
      <w:spacing w:after="240" w:line="240" w:lineRule="auto"/>
      <w:jc w:val="both"/>
      <w:outlineLvl w:val="0"/>
    </w:pPr>
    <w:rPr>
      <w:rFonts w:eastAsia="Times New Roman"/>
      <w:b/>
      <w:bCs/>
      <w:caps/>
      <w:szCs w:val="32"/>
      <w:u w:val="single"/>
    </w:rPr>
  </w:style>
  <w:style w:type="paragraph" w:styleId="Heading2">
    <w:name w:val="heading 2"/>
    <w:basedOn w:val="Normal"/>
    <w:next w:val="BodyText2"/>
    <w:link w:val="Heading2Char"/>
    <w:semiHidden/>
    <w:unhideWhenUsed/>
    <w:qFormat/>
    <w:rsid w:val="00BA3F25"/>
    <w:pPr>
      <w:keepLines/>
      <w:numPr>
        <w:ilvl w:val="1"/>
        <w:numId w:val="1"/>
      </w:numPr>
      <w:spacing w:after="240" w:line="240" w:lineRule="auto"/>
      <w:jc w:val="both"/>
      <w:outlineLvl w:val="1"/>
    </w:pPr>
    <w:rPr>
      <w:rFonts w:eastAsia="Times New Roman"/>
      <w:b/>
      <w:bCs/>
      <w:iCs/>
      <w:caps/>
      <w:szCs w:val="28"/>
    </w:rPr>
  </w:style>
  <w:style w:type="paragraph" w:styleId="Heading3">
    <w:name w:val="heading 3"/>
    <w:basedOn w:val="Normal"/>
    <w:next w:val="BodyText2"/>
    <w:link w:val="Heading3Char"/>
    <w:semiHidden/>
    <w:unhideWhenUsed/>
    <w:qFormat/>
    <w:rsid w:val="00BA3F25"/>
    <w:pPr>
      <w:numPr>
        <w:ilvl w:val="2"/>
        <w:numId w:val="1"/>
      </w:numPr>
      <w:spacing w:after="240" w:line="240" w:lineRule="auto"/>
      <w:jc w:val="both"/>
      <w:outlineLvl w:val="2"/>
    </w:pPr>
    <w:rPr>
      <w:rFonts w:eastAsia="Times New Roman"/>
      <w:b/>
      <w:bCs/>
      <w:szCs w:val="26"/>
    </w:rPr>
  </w:style>
  <w:style w:type="paragraph" w:styleId="Heading4">
    <w:name w:val="heading 4"/>
    <w:basedOn w:val="Normal"/>
    <w:next w:val="BodyText2"/>
    <w:link w:val="Heading4Char"/>
    <w:unhideWhenUsed/>
    <w:qFormat/>
    <w:rsid w:val="00BA3F25"/>
    <w:pPr>
      <w:numPr>
        <w:ilvl w:val="3"/>
        <w:numId w:val="1"/>
      </w:numPr>
      <w:spacing w:after="240" w:line="240" w:lineRule="auto"/>
      <w:jc w:val="both"/>
      <w:outlineLvl w:val="3"/>
    </w:pPr>
    <w:rPr>
      <w:rFonts w:eastAsia="Times New Roman"/>
      <w:b/>
      <w:bCs/>
      <w:szCs w:val="28"/>
    </w:rPr>
  </w:style>
  <w:style w:type="paragraph" w:styleId="Heading5">
    <w:name w:val="heading 5"/>
    <w:basedOn w:val="Normal"/>
    <w:next w:val="BodyText2"/>
    <w:link w:val="Heading5Char"/>
    <w:semiHidden/>
    <w:unhideWhenUsed/>
    <w:qFormat/>
    <w:rsid w:val="00BA3F25"/>
    <w:pPr>
      <w:numPr>
        <w:ilvl w:val="4"/>
        <w:numId w:val="1"/>
      </w:numPr>
      <w:spacing w:after="240" w:line="240" w:lineRule="auto"/>
      <w:jc w:val="both"/>
      <w:outlineLvl w:val="4"/>
    </w:pPr>
    <w:rPr>
      <w:rFonts w:eastAsia="Times New Roman"/>
      <w:b/>
      <w:bCs/>
      <w:iCs/>
      <w:szCs w:val="26"/>
    </w:rPr>
  </w:style>
  <w:style w:type="paragraph" w:styleId="Heading6">
    <w:name w:val="heading 6"/>
    <w:basedOn w:val="Normal"/>
    <w:next w:val="BodyText2"/>
    <w:link w:val="Heading6Char"/>
    <w:semiHidden/>
    <w:unhideWhenUsed/>
    <w:qFormat/>
    <w:rsid w:val="00BA3F25"/>
    <w:pPr>
      <w:numPr>
        <w:ilvl w:val="5"/>
        <w:numId w:val="1"/>
      </w:numPr>
      <w:spacing w:after="240" w:line="240" w:lineRule="auto"/>
      <w:jc w:val="left"/>
      <w:outlineLvl w:val="5"/>
    </w:pPr>
    <w:rPr>
      <w:rFonts w:eastAsia="Times New Roman"/>
      <w:b/>
      <w:bCs/>
      <w:szCs w:val="22"/>
    </w:rPr>
  </w:style>
  <w:style w:type="paragraph" w:styleId="Heading7">
    <w:name w:val="heading 7"/>
    <w:basedOn w:val="Normal"/>
    <w:next w:val="BodyText2"/>
    <w:link w:val="Heading7Char"/>
    <w:semiHidden/>
    <w:unhideWhenUsed/>
    <w:qFormat/>
    <w:rsid w:val="00BA3F25"/>
    <w:pPr>
      <w:numPr>
        <w:ilvl w:val="6"/>
        <w:numId w:val="1"/>
      </w:numPr>
      <w:spacing w:after="240" w:line="240" w:lineRule="auto"/>
      <w:jc w:val="left"/>
      <w:outlineLvl w:val="6"/>
    </w:pPr>
    <w:rPr>
      <w:rFonts w:eastAsia="Times New Roman"/>
      <w:b/>
    </w:rPr>
  </w:style>
  <w:style w:type="paragraph" w:styleId="Heading8">
    <w:name w:val="heading 8"/>
    <w:basedOn w:val="Normal"/>
    <w:next w:val="BodyText2"/>
    <w:link w:val="Heading8Char"/>
    <w:semiHidden/>
    <w:unhideWhenUsed/>
    <w:qFormat/>
    <w:rsid w:val="00BA3F25"/>
    <w:pPr>
      <w:numPr>
        <w:ilvl w:val="7"/>
        <w:numId w:val="1"/>
      </w:numPr>
      <w:spacing w:after="240" w:line="240" w:lineRule="auto"/>
      <w:jc w:val="both"/>
      <w:outlineLvl w:val="7"/>
    </w:pPr>
    <w:rPr>
      <w:rFonts w:eastAsia="Times New Roman"/>
      <w:b/>
      <w:iCs/>
    </w:rPr>
  </w:style>
  <w:style w:type="paragraph" w:styleId="Heading9">
    <w:name w:val="heading 9"/>
    <w:basedOn w:val="Normal"/>
    <w:next w:val="BodyText2"/>
    <w:link w:val="Heading9Char"/>
    <w:semiHidden/>
    <w:unhideWhenUsed/>
    <w:qFormat/>
    <w:rsid w:val="00BA3F25"/>
    <w:pPr>
      <w:numPr>
        <w:ilvl w:val="8"/>
        <w:numId w:val="1"/>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F25"/>
    <w:pPr>
      <w:tabs>
        <w:tab w:val="center" w:pos="4680"/>
        <w:tab w:val="right" w:pos="9360"/>
      </w:tabs>
      <w:spacing w:line="240" w:lineRule="auto"/>
    </w:pPr>
  </w:style>
  <w:style w:type="character" w:customStyle="1" w:styleId="HeaderChar">
    <w:name w:val="Header Char"/>
    <w:basedOn w:val="DefaultParagraphFont"/>
    <w:link w:val="Header"/>
    <w:uiPriority w:val="99"/>
    <w:rsid w:val="00BA3F25"/>
  </w:style>
  <w:style w:type="paragraph" w:styleId="Footer">
    <w:name w:val="footer"/>
    <w:basedOn w:val="Normal"/>
    <w:link w:val="FooterChar"/>
    <w:uiPriority w:val="99"/>
    <w:unhideWhenUsed/>
    <w:rsid w:val="00BA3F25"/>
    <w:pPr>
      <w:tabs>
        <w:tab w:val="center" w:pos="4680"/>
        <w:tab w:val="right" w:pos="9360"/>
      </w:tabs>
      <w:spacing w:line="240" w:lineRule="auto"/>
    </w:pPr>
  </w:style>
  <w:style w:type="character" w:customStyle="1" w:styleId="FooterChar">
    <w:name w:val="Footer Char"/>
    <w:basedOn w:val="DefaultParagraphFont"/>
    <w:link w:val="Footer"/>
    <w:uiPriority w:val="99"/>
    <w:rsid w:val="00BA3F25"/>
  </w:style>
  <w:style w:type="character" w:customStyle="1" w:styleId="Heading1Char">
    <w:name w:val="Heading 1 Char"/>
    <w:basedOn w:val="DefaultParagraphFont"/>
    <w:link w:val="Heading1"/>
    <w:rsid w:val="00BA3F25"/>
    <w:rPr>
      <w:rFonts w:eastAsia="Times New Roman"/>
      <w:b/>
      <w:bCs/>
      <w:caps/>
      <w:szCs w:val="32"/>
      <w:u w:val="single"/>
    </w:rPr>
  </w:style>
  <w:style w:type="character" w:customStyle="1" w:styleId="Heading2Char">
    <w:name w:val="Heading 2 Char"/>
    <w:basedOn w:val="DefaultParagraphFont"/>
    <w:link w:val="Heading2"/>
    <w:semiHidden/>
    <w:rsid w:val="00BA3F25"/>
    <w:rPr>
      <w:rFonts w:eastAsia="Times New Roman"/>
      <w:b/>
      <w:bCs/>
      <w:iCs/>
      <w:caps/>
      <w:szCs w:val="28"/>
    </w:rPr>
  </w:style>
  <w:style w:type="character" w:customStyle="1" w:styleId="Heading3Char">
    <w:name w:val="Heading 3 Char"/>
    <w:basedOn w:val="DefaultParagraphFont"/>
    <w:link w:val="Heading3"/>
    <w:semiHidden/>
    <w:rsid w:val="00BA3F25"/>
    <w:rPr>
      <w:rFonts w:eastAsia="Times New Roman"/>
      <w:b/>
      <w:bCs/>
      <w:szCs w:val="26"/>
    </w:rPr>
  </w:style>
  <w:style w:type="character" w:customStyle="1" w:styleId="Heading4Char">
    <w:name w:val="Heading 4 Char"/>
    <w:basedOn w:val="DefaultParagraphFont"/>
    <w:link w:val="Heading4"/>
    <w:rsid w:val="00BA3F25"/>
    <w:rPr>
      <w:rFonts w:eastAsia="Times New Roman"/>
      <w:b/>
      <w:bCs/>
      <w:szCs w:val="28"/>
    </w:rPr>
  </w:style>
  <w:style w:type="character" w:customStyle="1" w:styleId="Heading5Char">
    <w:name w:val="Heading 5 Char"/>
    <w:basedOn w:val="DefaultParagraphFont"/>
    <w:link w:val="Heading5"/>
    <w:semiHidden/>
    <w:rsid w:val="00BA3F25"/>
    <w:rPr>
      <w:rFonts w:eastAsia="Times New Roman"/>
      <w:b/>
      <w:bCs/>
      <w:iCs/>
      <w:szCs w:val="26"/>
    </w:rPr>
  </w:style>
  <w:style w:type="character" w:customStyle="1" w:styleId="Heading6Char">
    <w:name w:val="Heading 6 Char"/>
    <w:basedOn w:val="DefaultParagraphFont"/>
    <w:link w:val="Heading6"/>
    <w:semiHidden/>
    <w:rsid w:val="00BA3F25"/>
    <w:rPr>
      <w:rFonts w:eastAsia="Times New Roman"/>
      <w:b/>
      <w:bCs/>
      <w:szCs w:val="22"/>
    </w:rPr>
  </w:style>
  <w:style w:type="character" w:customStyle="1" w:styleId="Heading7Char">
    <w:name w:val="Heading 7 Char"/>
    <w:basedOn w:val="DefaultParagraphFont"/>
    <w:link w:val="Heading7"/>
    <w:semiHidden/>
    <w:rsid w:val="00BA3F25"/>
    <w:rPr>
      <w:rFonts w:eastAsia="Times New Roman"/>
      <w:b/>
    </w:rPr>
  </w:style>
  <w:style w:type="character" w:customStyle="1" w:styleId="Heading8Char">
    <w:name w:val="Heading 8 Char"/>
    <w:basedOn w:val="DefaultParagraphFont"/>
    <w:link w:val="Heading8"/>
    <w:semiHidden/>
    <w:rsid w:val="00BA3F25"/>
    <w:rPr>
      <w:rFonts w:eastAsia="Times New Roman"/>
      <w:b/>
      <w:iCs/>
    </w:rPr>
  </w:style>
  <w:style w:type="character" w:customStyle="1" w:styleId="Heading9Char">
    <w:name w:val="Heading 9 Char"/>
    <w:basedOn w:val="DefaultParagraphFont"/>
    <w:link w:val="Heading9"/>
    <w:semiHidden/>
    <w:rsid w:val="00BA3F25"/>
    <w:rPr>
      <w:rFonts w:eastAsia="Times New Roman"/>
      <w:b/>
      <w:szCs w:val="22"/>
    </w:rPr>
  </w:style>
  <w:style w:type="paragraph" w:styleId="BodyText2">
    <w:name w:val="Body Text 2"/>
    <w:basedOn w:val="Normal"/>
    <w:link w:val="BodyText2Char"/>
    <w:unhideWhenUsed/>
    <w:rsid w:val="00BA3F25"/>
    <w:pPr>
      <w:spacing w:line="480" w:lineRule="auto"/>
      <w:ind w:firstLine="720"/>
      <w:jc w:val="both"/>
    </w:pPr>
    <w:rPr>
      <w:rFonts w:eastAsia="Times New Roman"/>
    </w:rPr>
  </w:style>
  <w:style w:type="character" w:customStyle="1" w:styleId="BodyText2Char">
    <w:name w:val="Body Text 2 Char"/>
    <w:basedOn w:val="DefaultParagraphFont"/>
    <w:link w:val="BodyText2"/>
    <w:rsid w:val="00BA3F25"/>
    <w:rPr>
      <w:rFonts w:eastAsia="Times New Roman"/>
    </w:rPr>
  </w:style>
  <w:style w:type="paragraph" w:styleId="ListNumber">
    <w:name w:val="List Number"/>
    <w:basedOn w:val="Normal"/>
    <w:unhideWhenUsed/>
    <w:rsid w:val="00BA3F25"/>
    <w:pPr>
      <w:numPr>
        <w:numId w:val="3"/>
      </w:numPr>
      <w:tabs>
        <w:tab w:val="clear" w:pos="720"/>
        <w:tab w:val="num" w:pos="1440"/>
      </w:tabs>
      <w:spacing w:line="480" w:lineRule="auto"/>
      <w:jc w:val="left"/>
    </w:pPr>
    <w:rPr>
      <w:rFonts w:eastAsia="Times New Roman"/>
    </w:rPr>
  </w:style>
  <w:style w:type="paragraph" w:customStyle="1" w:styleId="Pleading2L1">
    <w:name w:val="Pleading2_L1"/>
    <w:basedOn w:val="Normal"/>
    <w:next w:val="BodyText"/>
    <w:rsid w:val="004B2CF8"/>
    <w:pPr>
      <w:numPr>
        <w:numId w:val="5"/>
      </w:numPr>
      <w:spacing w:after="240" w:line="240" w:lineRule="auto"/>
      <w:outlineLvl w:val="0"/>
    </w:pPr>
    <w:rPr>
      <w:rFonts w:eastAsia="Times New Roman"/>
      <w:b/>
      <w:caps/>
      <w:szCs w:val="20"/>
      <w:u w:val="single"/>
    </w:rPr>
  </w:style>
  <w:style w:type="paragraph" w:customStyle="1" w:styleId="Pleading2L2">
    <w:name w:val="Pleading2_L2"/>
    <w:basedOn w:val="Pleading2L1"/>
    <w:rsid w:val="004B2CF8"/>
    <w:pPr>
      <w:numPr>
        <w:ilvl w:val="1"/>
      </w:numPr>
      <w:spacing w:after="0" w:line="480" w:lineRule="auto"/>
      <w:jc w:val="left"/>
      <w:outlineLvl w:val="1"/>
    </w:pPr>
    <w:rPr>
      <w:b w:val="0"/>
      <w:caps w:val="0"/>
      <w:u w:val="none"/>
    </w:rPr>
  </w:style>
  <w:style w:type="paragraph" w:customStyle="1" w:styleId="Pleading2L3">
    <w:name w:val="Pleading2_L3"/>
    <w:basedOn w:val="Pleading2L2"/>
    <w:rsid w:val="004B2CF8"/>
    <w:pPr>
      <w:numPr>
        <w:ilvl w:val="2"/>
      </w:numPr>
      <w:outlineLvl w:val="2"/>
    </w:pPr>
  </w:style>
  <w:style w:type="paragraph" w:customStyle="1" w:styleId="Pleading2L4">
    <w:name w:val="Pleading2_L4"/>
    <w:basedOn w:val="Pleading2L3"/>
    <w:rsid w:val="004B2CF8"/>
    <w:pPr>
      <w:numPr>
        <w:ilvl w:val="3"/>
      </w:numPr>
      <w:outlineLvl w:val="3"/>
    </w:pPr>
  </w:style>
  <w:style w:type="paragraph" w:customStyle="1" w:styleId="Pleading2L5">
    <w:name w:val="Pleading2_L5"/>
    <w:basedOn w:val="Pleading2L4"/>
    <w:rsid w:val="004B2CF8"/>
    <w:pPr>
      <w:keepNext/>
      <w:keepLines/>
      <w:widowControl w:val="0"/>
      <w:numPr>
        <w:ilvl w:val="4"/>
      </w:numPr>
      <w:spacing w:after="240" w:line="240" w:lineRule="auto"/>
      <w:outlineLvl w:val="4"/>
    </w:pPr>
  </w:style>
  <w:style w:type="paragraph" w:customStyle="1" w:styleId="Pleading2L6">
    <w:name w:val="Pleading2_L6"/>
    <w:basedOn w:val="Pleading2L5"/>
    <w:rsid w:val="004B2CF8"/>
    <w:pPr>
      <w:numPr>
        <w:ilvl w:val="5"/>
      </w:numPr>
      <w:outlineLvl w:val="5"/>
    </w:pPr>
  </w:style>
  <w:style w:type="paragraph" w:customStyle="1" w:styleId="Pleading2L7">
    <w:name w:val="Pleading2_L7"/>
    <w:basedOn w:val="Pleading2L6"/>
    <w:rsid w:val="004B2CF8"/>
    <w:pPr>
      <w:numPr>
        <w:ilvl w:val="6"/>
      </w:numPr>
      <w:outlineLvl w:val="6"/>
    </w:pPr>
  </w:style>
  <w:style w:type="paragraph" w:customStyle="1" w:styleId="Pleading2L8">
    <w:name w:val="Pleading2_L8"/>
    <w:basedOn w:val="Pleading2L7"/>
    <w:rsid w:val="004B2CF8"/>
    <w:pPr>
      <w:numPr>
        <w:ilvl w:val="7"/>
      </w:numPr>
      <w:outlineLvl w:val="7"/>
    </w:pPr>
  </w:style>
  <w:style w:type="paragraph" w:customStyle="1" w:styleId="Pleading2L9">
    <w:name w:val="Pleading2_L9"/>
    <w:basedOn w:val="Pleading2L8"/>
    <w:rsid w:val="004B2CF8"/>
    <w:pPr>
      <w:numPr>
        <w:ilvl w:val="8"/>
      </w:numPr>
      <w:outlineLvl w:val="8"/>
    </w:pPr>
  </w:style>
  <w:style w:type="paragraph" w:styleId="BodyText">
    <w:name w:val="Body Text"/>
    <w:basedOn w:val="Normal"/>
    <w:link w:val="BodyTextChar"/>
    <w:uiPriority w:val="99"/>
    <w:semiHidden/>
    <w:unhideWhenUsed/>
    <w:rsid w:val="004B2CF8"/>
    <w:pPr>
      <w:spacing w:after="120"/>
    </w:pPr>
  </w:style>
  <w:style w:type="character" w:customStyle="1" w:styleId="BodyTextChar">
    <w:name w:val="Body Text Char"/>
    <w:basedOn w:val="DefaultParagraphFont"/>
    <w:link w:val="BodyText"/>
    <w:uiPriority w:val="99"/>
    <w:semiHidden/>
    <w:rsid w:val="004B2CF8"/>
  </w:style>
  <w:style w:type="paragraph" w:styleId="BlockText">
    <w:name w:val="Block Text"/>
    <w:basedOn w:val="Normal"/>
    <w:rsid w:val="00FC786C"/>
    <w:pPr>
      <w:spacing w:after="240" w:line="240" w:lineRule="auto"/>
      <w:ind w:left="1440" w:right="1440"/>
      <w:jc w:val="both"/>
    </w:pPr>
    <w:rPr>
      <w:rFonts w:eastAsia="Times New Roman"/>
    </w:rPr>
  </w:style>
  <w:style w:type="paragraph" w:styleId="BalloonText">
    <w:name w:val="Balloon Text"/>
    <w:basedOn w:val="Normal"/>
    <w:link w:val="BalloonTextChar"/>
    <w:uiPriority w:val="99"/>
    <w:semiHidden/>
    <w:unhideWhenUsed/>
    <w:rsid w:val="00E53B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DA"/>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AA673E"/>
    <w:pPr>
      <w:spacing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AA673E"/>
    <w:rPr>
      <w:sz w:val="20"/>
      <w:szCs w:val="20"/>
    </w:rPr>
  </w:style>
  <w:style w:type="character" w:styleId="FootnoteReference">
    <w:name w:val="footnote reference"/>
    <w:aliases w:val="o,fr"/>
    <w:basedOn w:val="DefaultParagraphFont"/>
    <w:unhideWhenUsed/>
    <w:rsid w:val="00AA673E"/>
    <w:rPr>
      <w:vertAlign w:val="superscript"/>
    </w:rPr>
  </w:style>
  <w:style w:type="paragraph" w:styleId="ListParagraph">
    <w:name w:val="List Paragraph"/>
    <w:basedOn w:val="Normal"/>
    <w:uiPriority w:val="34"/>
    <w:qFormat/>
    <w:rsid w:val="008F0BC6"/>
    <w:pPr>
      <w:ind w:left="720"/>
      <w:contextualSpacing/>
    </w:pPr>
  </w:style>
  <w:style w:type="paragraph" w:styleId="Subtitle">
    <w:name w:val="Subtitle"/>
    <w:basedOn w:val="Normal"/>
    <w:link w:val="SubtitleChar"/>
    <w:qFormat/>
    <w:rsid w:val="007A6CEF"/>
    <w:pPr>
      <w:spacing w:line="240" w:lineRule="auto"/>
    </w:pPr>
    <w:rPr>
      <w:rFonts w:ascii="CG Times" w:eastAsia="Times New Roman" w:hAnsi="CG Times"/>
      <w:b/>
      <w:szCs w:val="20"/>
    </w:rPr>
  </w:style>
  <w:style w:type="character" w:customStyle="1" w:styleId="SubtitleChar">
    <w:name w:val="Subtitle Char"/>
    <w:basedOn w:val="DefaultParagraphFont"/>
    <w:link w:val="Subtitle"/>
    <w:rsid w:val="007A6CEF"/>
    <w:rPr>
      <w:rFonts w:ascii="CG Times" w:eastAsia="Times New Roman" w:hAnsi="CG Times"/>
      <w:b/>
      <w:szCs w:val="20"/>
    </w:rPr>
  </w:style>
  <w:style w:type="character" w:styleId="Hyperlink">
    <w:name w:val="Hyperlink"/>
    <w:basedOn w:val="DefaultParagraphFont"/>
    <w:rsid w:val="00667A9E"/>
    <w:rPr>
      <w:color w:val="0000FF"/>
      <w:u w:val="single"/>
    </w:rPr>
  </w:style>
  <w:style w:type="character" w:styleId="Emphasis">
    <w:name w:val="Emphasis"/>
    <w:basedOn w:val="DefaultParagraphFont"/>
    <w:qFormat/>
    <w:rsid w:val="00667A9E"/>
    <w:rPr>
      <w:i/>
      <w:iCs/>
    </w:rPr>
  </w:style>
  <w:style w:type="paragraph" w:styleId="PlainText">
    <w:name w:val="Plain Text"/>
    <w:basedOn w:val="Normal"/>
    <w:link w:val="PlainTextChar"/>
    <w:uiPriority w:val="99"/>
    <w:unhideWhenUsed/>
    <w:rsid w:val="00EC5867"/>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C5867"/>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1">
    <w:name w:val="heading 1"/>
    <w:basedOn w:val="Normal"/>
    <w:next w:val="BodyText2"/>
    <w:link w:val="Heading1Char"/>
    <w:qFormat/>
    <w:rsid w:val="00BA3F25"/>
    <w:pPr>
      <w:keepLines/>
      <w:numPr>
        <w:numId w:val="1"/>
      </w:numPr>
      <w:spacing w:after="240" w:line="240" w:lineRule="auto"/>
      <w:jc w:val="both"/>
      <w:outlineLvl w:val="0"/>
    </w:pPr>
    <w:rPr>
      <w:rFonts w:eastAsia="Times New Roman"/>
      <w:b/>
      <w:bCs/>
      <w:caps/>
      <w:szCs w:val="32"/>
      <w:u w:val="single"/>
    </w:rPr>
  </w:style>
  <w:style w:type="paragraph" w:styleId="Heading2">
    <w:name w:val="heading 2"/>
    <w:basedOn w:val="Normal"/>
    <w:next w:val="BodyText2"/>
    <w:link w:val="Heading2Char"/>
    <w:semiHidden/>
    <w:unhideWhenUsed/>
    <w:qFormat/>
    <w:rsid w:val="00BA3F25"/>
    <w:pPr>
      <w:keepLines/>
      <w:numPr>
        <w:ilvl w:val="1"/>
        <w:numId w:val="1"/>
      </w:numPr>
      <w:spacing w:after="240" w:line="240" w:lineRule="auto"/>
      <w:jc w:val="both"/>
      <w:outlineLvl w:val="1"/>
    </w:pPr>
    <w:rPr>
      <w:rFonts w:eastAsia="Times New Roman"/>
      <w:b/>
      <w:bCs/>
      <w:iCs/>
      <w:caps/>
      <w:szCs w:val="28"/>
    </w:rPr>
  </w:style>
  <w:style w:type="paragraph" w:styleId="Heading3">
    <w:name w:val="heading 3"/>
    <w:basedOn w:val="Normal"/>
    <w:next w:val="BodyText2"/>
    <w:link w:val="Heading3Char"/>
    <w:semiHidden/>
    <w:unhideWhenUsed/>
    <w:qFormat/>
    <w:rsid w:val="00BA3F25"/>
    <w:pPr>
      <w:numPr>
        <w:ilvl w:val="2"/>
        <w:numId w:val="1"/>
      </w:numPr>
      <w:spacing w:after="240" w:line="240" w:lineRule="auto"/>
      <w:jc w:val="both"/>
      <w:outlineLvl w:val="2"/>
    </w:pPr>
    <w:rPr>
      <w:rFonts w:eastAsia="Times New Roman"/>
      <w:b/>
      <w:bCs/>
      <w:szCs w:val="26"/>
    </w:rPr>
  </w:style>
  <w:style w:type="paragraph" w:styleId="Heading4">
    <w:name w:val="heading 4"/>
    <w:basedOn w:val="Normal"/>
    <w:next w:val="BodyText2"/>
    <w:link w:val="Heading4Char"/>
    <w:unhideWhenUsed/>
    <w:qFormat/>
    <w:rsid w:val="00BA3F25"/>
    <w:pPr>
      <w:numPr>
        <w:ilvl w:val="3"/>
        <w:numId w:val="1"/>
      </w:numPr>
      <w:spacing w:after="240" w:line="240" w:lineRule="auto"/>
      <w:jc w:val="both"/>
      <w:outlineLvl w:val="3"/>
    </w:pPr>
    <w:rPr>
      <w:rFonts w:eastAsia="Times New Roman"/>
      <w:b/>
      <w:bCs/>
      <w:szCs w:val="28"/>
    </w:rPr>
  </w:style>
  <w:style w:type="paragraph" w:styleId="Heading5">
    <w:name w:val="heading 5"/>
    <w:basedOn w:val="Normal"/>
    <w:next w:val="BodyText2"/>
    <w:link w:val="Heading5Char"/>
    <w:semiHidden/>
    <w:unhideWhenUsed/>
    <w:qFormat/>
    <w:rsid w:val="00BA3F25"/>
    <w:pPr>
      <w:numPr>
        <w:ilvl w:val="4"/>
        <w:numId w:val="1"/>
      </w:numPr>
      <w:spacing w:after="240" w:line="240" w:lineRule="auto"/>
      <w:jc w:val="both"/>
      <w:outlineLvl w:val="4"/>
    </w:pPr>
    <w:rPr>
      <w:rFonts w:eastAsia="Times New Roman"/>
      <w:b/>
      <w:bCs/>
      <w:iCs/>
      <w:szCs w:val="26"/>
    </w:rPr>
  </w:style>
  <w:style w:type="paragraph" w:styleId="Heading6">
    <w:name w:val="heading 6"/>
    <w:basedOn w:val="Normal"/>
    <w:next w:val="BodyText2"/>
    <w:link w:val="Heading6Char"/>
    <w:semiHidden/>
    <w:unhideWhenUsed/>
    <w:qFormat/>
    <w:rsid w:val="00BA3F25"/>
    <w:pPr>
      <w:numPr>
        <w:ilvl w:val="5"/>
        <w:numId w:val="1"/>
      </w:numPr>
      <w:spacing w:after="240" w:line="240" w:lineRule="auto"/>
      <w:jc w:val="left"/>
      <w:outlineLvl w:val="5"/>
    </w:pPr>
    <w:rPr>
      <w:rFonts w:eastAsia="Times New Roman"/>
      <w:b/>
      <w:bCs/>
      <w:szCs w:val="22"/>
    </w:rPr>
  </w:style>
  <w:style w:type="paragraph" w:styleId="Heading7">
    <w:name w:val="heading 7"/>
    <w:basedOn w:val="Normal"/>
    <w:next w:val="BodyText2"/>
    <w:link w:val="Heading7Char"/>
    <w:semiHidden/>
    <w:unhideWhenUsed/>
    <w:qFormat/>
    <w:rsid w:val="00BA3F25"/>
    <w:pPr>
      <w:numPr>
        <w:ilvl w:val="6"/>
        <w:numId w:val="1"/>
      </w:numPr>
      <w:spacing w:after="240" w:line="240" w:lineRule="auto"/>
      <w:jc w:val="left"/>
      <w:outlineLvl w:val="6"/>
    </w:pPr>
    <w:rPr>
      <w:rFonts w:eastAsia="Times New Roman"/>
      <w:b/>
    </w:rPr>
  </w:style>
  <w:style w:type="paragraph" w:styleId="Heading8">
    <w:name w:val="heading 8"/>
    <w:basedOn w:val="Normal"/>
    <w:next w:val="BodyText2"/>
    <w:link w:val="Heading8Char"/>
    <w:semiHidden/>
    <w:unhideWhenUsed/>
    <w:qFormat/>
    <w:rsid w:val="00BA3F25"/>
    <w:pPr>
      <w:numPr>
        <w:ilvl w:val="7"/>
        <w:numId w:val="1"/>
      </w:numPr>
      <w:spacing w:after="240" w:line="240" w:lineRule="auto"/>
      <w:jc w:val="both"/>
      <w:outlineLvl w:val="7"/>
    </w:pPr>
    <w:rPr>
      <w:rFonts w:eastAsia="Times New Roman"/>
      <w:b/>
      <w:iCs/>
    </w:rPr>
  </w:style>
  <w:style w:type="paragraph" w:styleId="Heading9">
    <w:name w:val="heading 9"/>
    <w:basedOn w:val="Normal"/>
    <w:next w:val="BodyText2"/>
    <w:link w:val="Heading9Char"/>
    <w:semiHidden/>
    <w:unhideWhenUsed/>
    <w:qFormat/>
    <w:rsid w:val="00BA3F25"/>
    <w:pPr>
      <w:numPr>
        <w:ilvl w:val="8"/>
        <w:numId w:val="1"/>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F25"/>
    <w:pPr>
      <w:tabs>
        <w:tab w:val="center" w:pos="4680"/>
        <w:tab w:val="right" w:pos="9360"/>
      </w:tabs>
      <w:spacing w:line="240" w:lineRule="auto"/>
    </w:pPr>
  </w:style>
  <w:style w:type="character" w:customStyle="1" w:styleId="HeaderChar">
    <w:name w:val="Header Char"/>
    <w:basedOn w:val="DefaultParagraphFont"/>
    <w:link w:val="Header"/>
    <w:uiPriority w:val="99"/>
    <w:rsid w:val="00BA3F25"/>
  </w:style>
  <w:style w:type="paragraph" w:styleId="Footer">
    <w:name w:val="footer"/>
    <w:basedOn w:val="Normal"/>
    <w:link w:val="FooterChar"/>
    <w:uiPriority w:val="99"/>
    <w:unhideWhenUsed/>
    <w:rsid w:val="00BA3F25"/>
    <w:pPr>
      <w:tabs>
        <w:tab w:val="center" w:pos="4680"/>
        <w:tab w:val="right" w:pos="9360"/>
      </w:tabs>
      <w:spacing w:line="240" w:lineRule="auto"/>
    </w:pPr>
  </w:style>
  <w:style w:type="character" w:customStyle="1" w:styleId="FooterChar">
    <w:name w:val="Footer Char"/>
    <w:basedOn w:val="DefaultParagraphFont"/>
    <w:link w:val="Footer"/>
    <w:uiPriority w:val="99"/>
    <w:rsid w:val="00BA3F25"/>
  </w:style>
  <w:style w:type="character" w:customStyle="1" w:styleId="Heading1Char">
    <w:name w:val="Heading 1 Char"/>
    <w:basedOn w:val="DefaultParagraphFont"/>
    <w:link w:val="Heading1"/>
    <w:rsid w:val="00BA3F25"/>
    <w:rPr>
      <w:rFonts w:eastAsia="Times New Roman"/>
      <w:b/>
      <w:bCs/>
      <w:caps/>
      <w:szCs w:val="32"/>
      <w:u w:val="single"/>
    </w:rPr>
  </w:style>
  <w:style w:type="character" w:customStyle="1" w:styleId="Heading2Char">
    <w:name w:val="Heading 2 Char"/>
    <w:basedOn w:val="DefaultParagraphFont"/>
    <w:link w:val="Heading2"/>
    <w:semiHidden/>
    <w:rsid w:val="00BA3F25"/>
    <w:rPr>
      <w:rFonts w:eastAsia="Times New Roman"/>
      <w:b/>
      <w:bCs/>
      <w:iCs/>
      <w:caps/>
      <w:szCs w:val="28"/>
    </w:rPr>
  </w:style>
  <w:style w:type="character" w:customStyle="1" w:styleId="Heading3Char">
    <w:name w:val="Heading 3 Char"/>
    <w:basedOn w:val="DefaultParagraphFont"/>
    <w:link w:val="Heading3"/>
    <w:semiHidden/>
    <w:rsid w:val="00BA3F25"/>
    <w:rPr>
      <w:rFonts w:eastAsia="Times New Roman"/>
      <w:b/>
      <w:bCs/>
      <w:szCs w:val="26"/>
    </w:rPr>
  </w:style>
  <w:style w:type="character" w:customStyle="1" w:styleId="Heading4Char">
    <w:name w:val="Heading 4 Char"/>
    <w:basedOn w:val="DefaultParagraphFont"/>
    <w:link w:val="Heading4"/>
    <w:rsid w:val="00BA3F25"/>
    <w:rPr>
      <w:rFonts w:eastAsia="Times New Roman"/>
      <w:b/>
      <w:bCs/>
      <w:szCs w:val="28"/>
    </w:rPr>
  </w:style>
  <w:style w:type="character" w:customStyle="1" w:styleId="Heading5Char">
    <w:name w:val="Heading 5 Char"/>
    <w:basedOn w:val="DefaultParagraphFont"/>
    <w:link w:val="Heading5"/>
    <w:semiHidden/>
    <w:rsid w:val="00BA3F25"/>
    <w:rPr>
      <w:rFonts w:eastAsia="Times New Roman"/>
      <w:b/>
      <w:bCs/>
      <w:iCs/>
      <w:szCs w:val="26"/>
    </w:rPr>
  </w:style>
  <w:style w:type="character" w:customStyle="1" w:styleId="Heading6Char">
    <w:name w:val="Heading 6 Char"/>
    <w:basedOn w:val="DefaultParagraphFont"/>
    <w:link w:val="Heading6"/>
    <w:semiHidden/>
    <w:rsid w:val="00BA3F25"/>
    <w:rPr>
      <w:rFonts w:eastAsia="Times New Roman"/>
      <w:b/>
      <w:bCs/>
      <w:szCs w:val="22"/>
    </w:rPr>
  </w:style>
  <w:style w:type="character" w:customStyle="1" w:styleId="Heading7Char">
    <w:name w:val="Heading 7 Char"/>
    <w:basedOn w:val="DefaultParagraphFont"/>
    <w:link w:val="Heading7"/>
    <w:semiHidden/>
    <w:rsid w:val="00BA3F25"/>
    <w:rPr>
      <w:rFonts w:eastAsia="Times New Roman"/>
      <w:b/>
    </w:rPr>
  </w:style>
  <w:style w:type="character" w:customStyle="1" w:styleId="Heading8Char">
    <w:name w:val="Heading 8 Char"/>
    <w:basedOn w:val="DefaultParagraphFont"/>
    <w:link w:val="Heading8"/>
    <w:semiHidden/>
    <w:rsid w:val="00BA3F25"/>
    <w:rPr>
      <w:rFonts w:eastAsia="Times New Roman"/>
      <w:b/>
      <w:iCs/>
    </w:rPr>
  </w:style>
  <w:style w:type="character" w:customStyle="1" w:styleId="Heading9Char">
    <w:name w:val="Heading 9 Char"/>
    <w:basedOn w:val="DefaultParagraphFont"/>
    <w:link w:val="Heading9"/>
    <w:semiHidden/>
    <w:rsid w:val="00BA3F25"/>
    <w:rPr>
      <w:rFonts w:eastAsia="Times New Roman"/>
      <w:b/>
      <w:szCs w:val="22"/>
    </w:rPr>
  </w:style>
  <w:style w:type="paragraph" w:styleId="BodyText2">
    <w:name w:val="Body Text 2"/>
    <w:basedOn w:val="Normal"/>
    <w:link w:val="BodyText2Char"/>
    <w:unhideWhenUsed/>
    <w:rsid w:val="00BA3F25"/>
    <w:pPr>
      <w:spacing w:line="480" w:lineRule="auto"/>
      <w:ind w:firstLine="720"/>
      <w:jc w:val="both"/>
    </w:pPr>
    <w:rPr>
      <w:rFonts w:eastAsia="Times New Roman"/>
    </w:rPr>
  </w:style>
  <w:style w:type="character" w:customStyle="1" w:styleId="BodyText2Char">
    <w:name w:val="Body Text 2 Char"/>
    <w:basedOn w:val="DefaultParagraphFont"/>
    <w:link w:val="BodyText2"/>
    <w:rsid w:val="00BA3F25"/>
    <w:rPr>
      <w:rFonts w:eastAsia="Times New Roman"/>
    </w:rPr>
  </w:style>
  <w:style w:type="paragraph" w:styleId="ListNumber">
    <w:name w:val="List Number"/>
    <w:basedOn w:val="Normal"/>
    <w:unhideWhenUsed/>
    <w:rsid w:val="00BA3F25"/>
    <w:pPr>
      <w:numPr>
        <w:numId w:val="3"/>
      </w:numPr>
      <w:tabs>
        <w:tab w:val="clear" w:pos="720"/>
        <w:tab w:val="num" w:pos="1440"/>
      </w:tabs>
      <w:spacing w:line="480" w:lineRule="auto"/>
      <w:jc w:val="left"/>
    </w:pPr>
    <w:rPr>
      <w:rFonts w:eastAsia="Times New Roman"/>
    </w:rPr>
  </w:style>
  <w:style w:type="paragraph" w:customStyle="1" w:styleId="Pleading2L1">
    <w:name w:val="Pleading2_L1"/>
    <w:basedOn w:val="Normal"/>
    <w:next w:val="BodyText"/>
    <w:rsid w:val="004B2CF8"/>
    <w:pPr>
      <w:numPr>
        <w:numId w:val="5"/>
      </w:numPr>
      <w:spacing w:after="240" w:line="240" w:lineRule="auto"/>
      <w:outlineLvl w:val="0"/>
    </w:pPr>
    <w:rPr>
      <w:rFonts w:eastAsia="Times New Roman"/>
      <w:b/>
      <w:caps/>
      <w:szCs w:val="20"/>
      <w:u w:val="single"/>
    </w:rPr>
  </w:style>
  <w:style w:type="paragraph" w:customStyle="1" w:styleId="Pleading2L2">
    <w:name w:val="Pleading2_L2"/>
    <w:basedOn w:val="Pleading2L1"/>
    <w:rsid w:val="004B2CF8"/>
    <w:pPr>
      <w:numPr>
        <w:ilvl w:val="1"/>
      </w:numPr>
      <w:spacing w:after="0" w:line="480" w:lineRule="auto"/>
      <w:jc w:val="left"/>
      <w:outlineLvl w:val="1"/>
    </w:pPr>
    <w:rPr>
      <w:b w:val="0"/>
      <w:caps w:val="0"/>
      <w:u w:val="none"/>
    </w:rPr>
  </w:style>
  <w:style w:type="paragraph" w:customStyle="1" w:styleId="Pleading2L3">
    <w:name w:val="Pleading2_L3"/>
    <w:basedOn w:val="Pleading2L2"/>
    <w:rsid w:val="004B2CF8"/>
    <w:pPr>
      <w:numPr>
        <w:ilvl w:val="2"/>
      </w:numPr>
      <w:outlineLvl w:val="2"/>
    </w:pPr>
  </w:style>
  <w:style w:type="paragraph" w:customStyle="1" w:styleId="Pleading2L4">
    <w:name w:val="Pleading2_L4"/>
    <w:basedOn w:val="Pleading2L3"/>
    <w:rsid w:val="004B2CF8"/>
    <w:pPr>
      <w:numPr>
        <w:ilvl w:val="3"/>
      </w:numPr>
      <w:outlineLvl w:val="3"/>
    </w:pPr>
  </w:style>
  <w:style w:type="paragraph" w:customStyle="1" w:styleId="Pleading2L5">
    <w:name w:val="Pleading2_L5"/>
    <w:basedOn w:val="Pleading2L4"/>
    <w:rsid w:val="004B2CF8"/>
    <w:pPr>
      <w:keepNext/>
      <w:keepLines/>
      <w:widowControl w:val="0"/>
      <w:numPr>
        <w:ilvl w:val="4"/>
      </w:numPr>
      <w:spacing w:after="240" w:line="240" w:lineRule="auto"/>
      <w:outlineLvl w:val="4"/>
    </w:pPr>
  </w:style>
  <w:style w:type="paragraph" w:customStyle="1" w:styleId="Pleading2L6">
    <w:name w:val="Pleading2_L6"/>
    <w:basedOn w:val="Pleading2L5"/>
    <w:rsid w:val="004B2CF8"/>
    <w:pPr>
      <w:numPr>
        <w:ilvl w:val="5"/>
      </w:numPr>
      <w:outlineLvl w:val="5"/>
    </w:pPr>
  </w:style>
  <w:style w:type="paragraph" w:customStyle="1" w:styleId="Pleading2L7">
    <w:name w:val="Pleading2_L7"/>
    <w:basedOn w:val="Pleading2L6"/>
    <w:rsid w:val="004B2CF8"/>
    <w:pPr>
      <w:numPr>
        <w:ilvl w:val="6"/>
      </w:numPr>
      <w:outlineLvl w:val="6"/>
    </w:pPr>
  </w:style>
  <w:style w:type="paragraph" w:customStyle="1" w:styleId="Pleading2L8">
    <w:name w:val="Pleading2_L8"/>
    <w:basedOn w:val="Pleading2L7"/>
    <w:rsid w:val="004B2CF8"/>
    <w:pPr>
      <w:numPr>
        <w:ilvl w:val="7"/>
      </w:numPr>
      <w:outlineLvl w:val="7"/>
    </w:pPr>
  </w:style>
  <w:style w:type="paragraph" w:customStyle="1" w:styleId="Pleading2L9">
    <w:name w:val="Pleading2_L9"/>
    <w:basedOn w:val="Pleading2L8"/>
    <w:rsid w:val="004B2CF8"/>
    <w:pPr>
      <w:numPr>
        <w:ilvl w:val="8"/>
      </w:numPr>
      <w:outlineLvl w:val="8"/>
    </w:pPr>
  </w:style>
  <w:style w:type="paragraph" w:styleId="BodyText">
    <w:name w:val="Body Text"/>
    <w:basedOn w:val="Normal"/>
    <w:link w:val="BodyTextChar"/>
    <w:uiPriority w:val="99"/>
    <w:semiHidden/>
    <w:unhideWhenUsed/>
    <w:rsid w:val="004B2CF8"/>
    <w:pPr>
      <w:spacing w:after="120"/>
    </w:pPr>
  </w:style>
  <w:style w:type="character" w:customStyle="1" w:styleId="BodyTextChar">
    <w:name w:val="Body Text Char"/>
    <w:basedOn w:val="DefaultParagraphFont"/>
    <w:link w:val="BodyText"/>
    <w:uiPriority w:val="99"/>
    <w:semiHidden/>
    <w:rsid w:val="004B2CF8"/>
  </w:style>
  <w:style w:type="paragraph" w:styleId="BlockText">
    <w:name w:val="Block Text"/>
    <w:basedOn w:val="Normal"/>
    <w:rsid w:val="00FC786C"/>
    <w:pPr>
      <w:spacing w:after="240" w:line="240" w:lineRule="auto"/>
      <w:ind w:left="1440" w:right="1440"/>
      <w:jc w:val="both"/>
    </w:pPr>
    <w:rPr>
      <w:rFonts w:eastAsia="Times New Roman"/>
    </w:rPr>
  </w:style>
  <w:style w:type="paragraph" w:styleId="BalloonText">
    <w:name w:val="Balloon Text"/>
    <w:basedOn w:val="Normal"/>
    <w:link w:val="BalloonTextChar"/>
    <w:uiPriority w:val="99"/>
    <w:semiHidden/>
    <w:unhideWhenUsed/>
    <w:rsid w:val="00E53B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DA"/>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AA673E"/>
    <w:pPr>
      <w:spacing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AA673E"/>
    <w:rPr>
      <w:sz w:val="20"/>
      <w:szCs w:val="20"/>
    </w:rPr>
  </w:style>
  <w:style w:type="character" w:styleId="FootnoteReference">
    <w:name w:val="footnote reference"/>
    <w:aliases w:val="o,fr"/>
    <w:basedOn w:val="DefaultParagraphFont"/>
    <w:unhideWhenUsed/>
    <w:rsid w:val="00AA673E"/>
    <w:rPr>
      <w:vertAlign w:val="superscript"/>
    </w:rPr>
  </w:style>
  <w:style w:type="paragraph" w:styleId="ListParagraph">
    <w:name w:val="List Paragraph"/>
    <w:basedOn w:val="Normal"/>
    <w:uiPriority w:val="34"/>
    <w:qFormat/>
    <w:rsid w:val="008F0BC6"/>
    <w:pPr>
      <w:ind w:left="720"/>
      <w:contextualSpacing/>
    </w:pPr>
  </w:style>
  <w:style w:type="paragraph" w:styleId="Subtitle">
    <w:name w:val="Subtitle"/>
    <w:basedOn w:val="Normal"/>
    <w:link w:val="SubtitleChar"/>
    <w:qFormat/>
    <w:rsid w:val="007A6CEF"/>
    <w:pPr>
      <w:spacing w:line="240" w:lineRule="auto"/>
    </w:pPr>
    <w:rPr>
      <w:rFonts w:ascii="CG Times" w:eastAsia="Times New Roman" w:hAnsi="CG Times"/>
      <w:b/>
      <w:szCs w:val="20"/>
    </w:rPr>
  </w:style>
  <w:style w:type="character" w:customStyle="1" w:styleId="SubtitleChar">
    <w:name w:val="Subtitle Char"/>
    <w:basedOn w:val="DefaultParagraphFont"/>
    <w:link w:val="Subtitle"/>
    <w:rsid w:val="007A6CEF"/>
    <w:rPr>
      <w:rFonts w:ascii="CG Times" w:eastAsia="Times New Roman" w:hAnsi="CG Times"/>
      <w:b/>
      <w:szCs w:val="20"/>
    </w:rPr>
  </w:style>
  <w:style w:type="character" w:styleId="Hyperlink">
    <w:name w:val="Hyperlink"/>
    <w:basedOn w:val="DefaultParagraphFont"/>
    <w:rsid w:val="00667A9E"/>
    <w:rPr>
      <w:color w:val="0000FF"/>
      <w:u w:val="single"/>
    </w:rPr>
  </w:style>
  <w:style w:type="character" w:styleId="Emphasis">
    <w:name w:val="Emphasis"/>
    <w:basedOn w:val="DefaultParagraphFont"/>
    <w:qFormat/>
    <w:rsid w:val="00667A9E"/>
    <w:rPr>
      <w:i/>
      <w:iCs/>
    </w:rPr>
  </w:style>
  <w:style w:type="paragraph" w:styleId="PlainText">
    <w:name w:val="Plain Text"/>
    <w:basedOn w:val="Normal"/>
    <w:link w:val="PlainTextChar"/>
    <w:uiPriority w:val="99"/>
    <w:unhideWhenUsed/>
    <w:rsid w:val="00EC5867"/>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C5867"/>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4707">
      <w:bodyDiv w:val="1"/>
      <w:marLeft w:val="0"/>
      <w:marRight w:val="0"/>
      <w:marTop w:val="0"/>
      <w:marBottom w:val="0"/>
      <w:divBdr>
        <w:top w:val="none" w:sz="0" w:space="0" w:color="auto"/>
        <w:left w:val="none" w:sz="0" w:space="0" w:color="auto"/>
        <w:bottom w:val="none" w:sz="0" w:space="0" w:color="auto"/>
        <w:right w:val="none" w:sz="0" w:space="0" w:color="auto"/>
      </w:divBdr>
    </w:div>
    <w:div w:id="45255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BF59-676C-46AB-B7A8-4A659CF5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8620</Words>
  <Characters>49137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Farner, Joyce</cp:lastModifiedBy>
  <cp:revision>3</cp:revision>
  <cp:lastPrinted>2012-07-19T17:26:00Z</cp:lastPrinted>
  <dcterms:created xsi:type="dcterms:W3CDTF">2012-07-18T17:54:00Z</dcterms:created>
  <dcterms:modified xsi:type="dcterms:W3CDTF">2012-07-19T17:26:00Z</dcterms:modified>
</cp:coreProperties>
</file>