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AA476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 w:rsidSect="00240B7F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FC48D8" w:rsidRDefault="00C74A51" w:rsidP="007A2A79">
      <w:pPr>
        <w:ind w:right="-1440"/>
      </w:pPr>
      <w:r>
        <w:lastRenderedPageBreak/>
        <w:tab/>
      </w:r>
      <w:r w:rsidR="007A2A79">
        <w:tab/>
      </w:r>
      <w:r w:rsidR="007A2A79">
        <w:tab/>
      </w:r>
      <w:r w:rsidR="007A2A79">
        <w:tab/>
      </w:r>
      <w:r w:rsidR="007A2A79">
        <w:tab/>
      </w:r>
      <w:r w:rsidR="007A2A79">
        <w:tab/>
      </w:r>
      <w:r w:rsidR="003E60BC">
        <w:t>July 20, 2012</w:t>
      </w:r>
      <w:r w:rsidR="007A2A79">
        <w:tab/>
      </w:r>
      <w:r w:rsidR="007A2A79">
        <w:tab/>
      </w:r>
      <w:r w:rsidR="007A2A79">
        <w:tab/>
      </w:r>
      <w:r w:rsidR="007A2A79">
        <w:tab/>
      </w:r>
      <w:r w:rsidR="007A2A79">
        <w:tab/>
      </w:r>
      <w:r w:rsidR="007A2A79">
        <w:tab/>
      </w:r>
    </w:p>
    <w:p w:rsidR="00C74A51" w:rsidRDefault="007A2A79" w:rsidP="00FC48D8">
      <w:pPr>
        <w:ind w:left="7200" w:right="-1440" w:firstLine="720"/>
      </w:pPr>
      <w:r>
        <w:t xml:space="preserve"> </w:t>
      </w:r>
      <w:r w:rsidR="00235F13">
        <w:tab/>
      </w:r>
      <w:r>
        <w:t>A-2011-2275595</w:t>
      </w:r>
    </w:p>
    <w:p w:rsidR="00C74A51" w:rsidRPr="00D12C93" w:rsidRDefault="00C74A51" w:rsidP="00FA1C4F">
      <w:pPr>
        <w:jc w:val="center"/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8640ED" w:rsidRDefault="00E528E4" w:rsidP="008640ED">
      <w:pPr>
        <w:spacing w:after="58"/>
        <w:ind w:left="720" w:hanging="720"/>
        <w:rPr>
          <w:bCs/>
          <w:sz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5F0F12">
        <w:rPr>
          <w:b/>
          <w:sz w:val="26"/>
          <w:szCs w:val="26"/>
        </w:rPr>
        <w:t xml:space="preserve">Application of </w:t>
      </w:r>
      <w:proofErr w:type="spellStart"/>
      <w:r w:rsidR="005F0F12">
        <w:rPr>
          <w:b/>
          <w:sz w:val="26"/>
          <w:szCs w:val="26"/>
        </w:rPr>
        <w:t>Leatherstocking</w:t>
      </w:r>
      <w:proofErr w:type="spellEnd"/>
      <w:r w:rsidR="005F0F12">
        <w:rPr>
          <w:b/>
          <w:sz w:val="26"/>
          <w:szCs w:val="26"/>
        </w:rPr>
        <w:t xml:space="preserve"> Gas Company, LLC</w:t>
      </w:r>
    </w:p>
    <w:p w:rsidR="008640ED" w:rsidRPr="008640ED" w:rsidRDefault="005F0F12" w:rsidP="008640ED">
      <w:pPr>
        <w:spacing w:after="58"/>
        <w:ind w:left="720"/>
        <w:rPr>
          <w:bCs/>
          <w:sz w:val="26"/>
        </w:rPr>
      </w:pPr>
      <w:r>
        <w:rPr>
          <w:sz w:val="26"/>
          <w:szCs w:val="26"/>
        </w:rPr>
        <w:t>Docket No. A-2011-2275595</w:t>
      </w: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6B6701" w:rsidRDefault="006B6701" w:rsidP="006B6701">
      <w:pPr>
        <w:ind w:firstLine="1440"/>
        <w:rPr>
          <w:sz w:val="26"/>
          <w:szCs w:val="26"/>
        </w:rPr>
      </w:pPr>
    </w:p>
    <w:p w:rsidR="00C87E0D" w:rsidRDefault="00D17649" w:rsidP="006E07DB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E71A44">
        <w:rPr>
          <w:sz w:val="26"/>
          <w:szCs w:val="26"/>
        </w:rPr>
        <w:t xml:space="preserve">March 20, 2012, </w:t>
      </w:r>
      <w:r>
        <w:rPr>
          <w:sz w:val="26"/>
          <w:szCs w:val="26"/>
        </w:rPr>
        <w:t>the Commission served all Parties to this proceeding with the Initial Decision of Administrative Law Judge</w:t>
      </w:r>
      <w:r w:rsidR="00105E0E">
        <w:rPr>
          <w:sz w:val="26"/>
          <w:szCs w:val="26"/>
        </w:rPr>
        <w:t xml:space="preserve"> </w:t>
      </w:r>
      <w:r w:rsidR="00FC0D46">
        <w:rPr>
          <w:sz w:val="26"/>
          <w:szCs w:val="26"/>
        </w:rPr>
        <w:t xml:space="preserve">(ALJ) </w:t>
      </w:r>
      <w:r w:rsidR="00E71A44">
        <w:rPr>
          <w:sz w:val="26"/>
          <w:szCs w:val="26"/>
        </w:rPr>
        <w:t>David A. Salapa</w:t>
      </w:r>
      <w:r w:rsidR="00105E0E">
        <w:rPr>
          <w:sz w:val="26"/>
          <w:szCs w:val="26"/>
        </w:rPr>
        <w:t xml:space="preserve">.  </w:t>
      </w:r>
      <w:r w:rsidR="00683DB5">
        <w:rPr>
          <w:sz w:val="26"/>
          <w:szCs w:val="26"/>
        </w:rPr>
        <w:t xml:space="preserve">Following the issuance of the Initial Decision, </w:t>
      </w:r>
      <w:r w:rsidR="00792451">
        <w:rPr>
          <w:sz w:val="26"/>
          <w:szCs w:val="26"/>
        </w:rPr>
        <w:t xml:space="preserve">UGI Penn Natural Gas, Inc. </w:t>
      </w:r>
      <w:r w:rsidR="004343C6">
        <w:rPr>
          <w:sz w:val="26"/>
          <w:szCs w:val="26"/>
        </w:rPr>
        <w:t xml:space="preserve">(PNG) </w:t>
      </w:r>
      <w:r w:rsidR="00683DB5">
        <w:rPr>
          <w:sz w:val="26"/>
          <w:szCs w:val="26"/>
        </w:rPr>
        <w:t xml:space="preserve">and/or </w:t>
      </w:r>
      <w:proofErr w:type="spellStart"/>
      <w:r w:rsidR="00683DB5">
        <w:rPr>
          <w:sz w:val="26"/>
          <w:szCs w:val="26"/>
        </w:rPr>
        <w:t>Leatherstocking</w:t>
      </w:r>
      <w:proofErr w:type="spellEnd"/>
      <w:r w:rsidR="00683DB5">
        <w:rPr>
          <w:sz w:val="26"/>
          <w:szCs w:val="26"/>
        </w:rPr>
        <w:t xml:space="preserve"> Gas Company, LLC (</w:t>
      </w:r>
      <w:proofErr w:type="spellStart"/>
      <w:r w:rsidR="00683DB5">
        <w:rPr>
          <w:sz w:val="26"/>
          <w:szCs w:val="26"/>
        </w:rPr>
        <w:t>Leatherstocking</w:t>
      </w:r>
      <w:proofErr w:type="spellEnd"/>
      <w:r w:rsidR="00683DB5">
        <w:rPr>
          <w:sz w:val="26"/>
          <w:szCs w:val="26"/>
        </w:rPr>
        <w:t xml:space="preserve">) </w:t>
      </w:r>
      <w:r w:rsidR="00053EC6">
        <w:rPr>
          <w:sz w:val="26"/>
          <w:szCs w:val="26"/>
        </w:rPr>
        <w:t>requested, and received,</w:t>
      </w:r>
      <w:r w:rsidR="005308DA">
        <w:rPr>
          <w:sz w:val="26"/>
          <w:szCs w:val="26"/>
        </w:rPr>
        <w:t xml:space="preserve"> </w:t>
      </w:r>
      <w:r w:rsidR="00683DB5">
        <w:rPr>
          <w:sz w:val="26"/>
          <w:szCs w:val="26"/>
        </w:rPr>
        <w:t>four</w:t>
      </w:r>
      <w:r w:rsidR="00053EC6">
        <w:rPr>
          <w:sz w:val="26"/>
          <w:szCs w:val="26"/>
        </w:rPr>
        <w:t xml:space="preserve"> </w:t>
      </w:r>
      <w:r w:rsidR="00F32FC2">
        <w:rPr>
          <w:sz w:val="26"/>
          <w:szCs w:val="26"/>
        </w:rPr>
        <w:t>extension</w:t>
      </w:r>
      <w:r w:rsidR="00053EC6">
        <w:rPr>
          <w:sz w:val="26"/>
          <w:szCs w:val="26"/>
        </w:rPr>
        <w:t>s</w:t>
      </w:r>
      <w:r w:rsidR="00F32FC2">
        <w:rPr>
          <w:sz w:val="26"/>
          <w:szCs w:val="26"/>
        </w:rPr>
        <w:t xml:space="preserve"> of time to file </w:t>
      </w:r>
      <w:r w:rsidR="00CE6EEB">
        <w:rPr>
          <w:sz w:val="26"/>
          <w:szCs w:val="26"/>
        </w:rPr>
        <w:t xml:space="preserve">Exceptions </w:t>
      </w:r>
      <w:r w:rsidR="00792451">
        <w:rPr>
          <w:sz w:val="26"/>
          <w:szCs w:val="26"/>
        </w:rPr>
        <w:t xml:space="preserve">and </w:t>
      </w:r>
      <w:r w:rsidR="005308DA">
        <w:rPr>
          <w:sz w:val="26"/>
          <w:szCs w:val="26"/>
        </w:rPr>
        <w:t xml:space="preserve">Replies to </w:t>
      </w:r>
      <w:r w:rsidR="00F32FC2">
        <w:rPr>
          <w:sz w:val="26"/>
          <w:szCs w:val="26"/>
        </w:rPr>
        <w:t>Exceptions</w:t>
      </w:r>
      <w:r w:rsidR="00683DB5">
        <w:rPr>
          <w:sz w:val="26"/>
          <w:szCs w:val="26"/>
        </w:rPr>
        <w:t>.  Most recently, the Commission issued a Secretarial Letter on June 28, 2012,</w:t>
      </w:r>
      <w:r w:rsidR="00683DB5" w:rsidRPr="00683DB5">
        <w:rPr>
          <w:sz w:val="26"/>
          <w:szCs w:val="26"/>
        </w:rPr>
        <w:t xml:space="preserve"> </w:t>
      </w:r>
      <w:r w:rsidR="00683DB5">
        <w:rPr>
          <w:sz w:val="26"/>
          <w:szCs w:val="26"/>
        </w:rPr>
        <w:t xml:space="preserve">that stayed the period </w:t>
      </w:r>
      <w:r w:rsidR="006E07DB">
        <w:rPr>
          <w:sz w:val="26"/>
          <w:szCs w:val="26"/>
        </w:rPr>
        <w:t xml:space="preserve">for filing Exceptions </w:t>
      </w:r>
      <w:r w:rsidR="00683DB5">
        <w:rPr>
          <w:sz w:val="26"/>
          <w:szCs w:val="26"/>
        </w:rPr>
        <w:t>pending further notice from the Commission.</w:t>
      </w:r>
    </w:p>
    <w:p w:rsidR="00683DB5" w:rsidRDefault="00683DB5" w:rsidP="006B6701">
      <w:pPr>
        <w:ind w:firstLine="1440"/>
        <w:rPr>
          <w:sz w:val="26"/>
          <w:szCs w:val="26"/>
        </w:rPr>
      </w:pPr>
    </w:p>
    <w:p w:rsidR="00683DB5" w:rsidRDefault="00683DB5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After further review, the Commission has determined to lift the stay of the period for filing Exceptions and Replies to Exceptions.  </w:t>
      </w:r>
      <w:r w:rsidR="00FC0D46">
        <w:rPr>
          <w:sz w:val="26"/>
          <w:szCs w:val="26"/>
        </w:rPr>
        <w:t xml:space="preserve">Accordingly, </w:t>
      </w:r>
      <w:r>
        <w:rPr>
          <w:sz w:val="26"/>
          <w:szCs w:val="26"/>
        </w:rPr>
        <w:t xml:space="preserve">Exceptions </w:t>
      </w:r>
      <w:r w:rsidR="0012286A">
        <w:rPr>
          <w:sz w:val="26"/>
          <w:szCs w:val="26"/>
        </w:rPr>
        <w:t xml:space="preserve">to the ALJ’s Initial Decision </w:t>
      </w:r>
      <w:r w:rsidR="00ED260F">
        <w:rPr>
          <w:sz w:val="26"/>
          <w:szCs w:val="26"/>
        </w:rPr>
        <w:t>must be filed within ten (1</w:t>
      </w:r>
      <w:r>
        <w:rPr>
          <w:sz w:val="26"/>
          <w:szCs w:val="26"/>
        </w:rPr>
        <w:t>0) days of the issuance of this Secretaria</w:t>
      </w:r>
      <w:r w:rsidR="00FC0D46">
        <w:rPr>
          <w:sz w:val="26"/>
          <w:szCs w:val="26"/>
        </w:rPr>
        <w:t>l Letter.  Replies to E</w:t>
      </w:r>
      <w:r w:rsidR="00ED260F">
        <w:rPr>
          <w:sz w:val="26"/>
          <w:szCs w:val="26"/>
        </w:rPr>
        <w:t>xceptions must be filed within five (5</w:t>
      </w:r>
      <w:r>
        <w:rPr>
          <w:sz w:val="26"/>
          <w:szCs w:val="26"/>
        </w:rPr>
        <w:t>) days of the da</w:t>
      </w:r>
      <w:r w:rsidR="00FC0D46">
        <w:rPr>
          <w:sz w:val="26"/>
          <w:szCs w:val="26"/>
        </w:rPr>
        <w:t xml:space="preserve">te that Exceptions are due.  Please refer to the Secretarial Letter of March 20, 2012, that accompanied </w:t>
      </w:r>
      <w:r w:rsidR="006E07DB">
        <w:rPr>
          <w:sz w:val="26"/>
          <w:szCs w:val="26"/>
        </w:rPr>
        <w:t>the ALJ</w:t>
      </w:r>
      <w:r w:rsidR="00FC0D46">
        <w:rPr>
          <w:sz w:val="26"/>
          <w:szCs w:val="26"/>
        </w:rPr>
        <w:t xml:space="preserve">’s Initial Decision for complete instructions for the filing of Exceptions and Replies to Exceptions. </w:t>
      </w:r>
    </w:p>
    <w:p w:rsidR="00C87E0D" w:rsidRDefault="00C87E0D" w:rsidP="006B6701">
      <w:pPr>
        <w:ind w:firstLine="1440"/>
        <w:rPr>
          <w:sz w:val="26"/>
          <w:szCs w:val="26"/>
        </w:rPr>
      </w:pPr>
    </w:p>
    <w:p w:rsidR="00C87E0D" w:rsidRDefault="0012286A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Commission instructs the parties to confine their Exceptions and Replies to Exceptions to the issues raised by ALJ’s Initial Decision.  The Commission acknowledges the filing</w:t>
      </w:r>
      <w:r w:rsidR="006E07DB">
        <w:rPr>
          <w:sz w:val="26"/>
          <w:szCs w:val="26"/>
        </w:rPr>
        <w:t xml:space="preserve">, </w:t>
      </w:r>
      <w:r w:rsidR="006E07DB" w:rsidRPr="006E07DB">
        <w:rPr>
          <w:i/>
          <w:sz w:val="26"/>
          <w:szCs w:val="26"/>
        </w:rPr>
        <w:t>inter alia</w:t>
      </w:r>
      <w:r w:rsidR="006E07DB">
        <w:rPr>
          <w:sz w:val="26"/>
          <w:szCs w:val="26"/>
        </w:rPr>
        <w:t>,</w:t>
      </w:r>
      <w:r>
        <w:rPr>
          <w:sz w:val="26"/>
          <w:szCs w:val="26"/>
        </w:rPr>
        <w:t xml:space="preserve"> of a Joint Stipulation in Settlement on June 21, </w:t>
      </w:r>
      <w:r w:rsidR="006E07DB">
        <w:rPr>
          <w:sz w:val="26"/>
          <w:szCs w:val="26"/>
        </w:rPr>
        <w:t>2012</w:t>
      </w:r>
      <w:r>
        <w:rPr>
          <w:sz w:val="26"/>
          <w:szCs w:val="26"/>
        </w:rPr>
        <w:t xml:space="preserve">, and </w:t>
      </w:r>
      <w:r w:rsidR="006E07DB">
        <w:rPr>
          <w:sz w:val="26"/>
          <w:szCs w:val="26"/>
        </w:rPr>
        <w:t xml:space="preserve">a </w:t>
      </w:r>
      <w:r>
        <w:rPr>
          <w:sz w:val="26"/>
          <w:szCs w:val="26"/>
        </w:rPr>
        <w:t>Motion to Strike on Jun</w:t>
      </w:r>
      <w:r w:rsidR="006E07DB">
        <w:rPr>
          <w:sz w:val="26"/>
          <w:szCs w:val="26"/>
        </w:rPr>
        <w:t>e 27, 2012</w:t>
      </w:r>
      <w:r>
        <w:rPr>
          <w:sz w:val="26"/>
          <w:szCs w:val="26"/>
        </w:rPr>
        <w:t>.  The Commission plans to address these filings after the ALJ’s Initial Decision and any Exceptions thereto are resolved.</w:t>
      </w:r>
    </w:p>
    <w:p w:rsidR="004343C6" w:rsidRDefault="004343C6" w:rsidP="0012286A">
      <w:pPr>
        <w:rPr>
          <w:sz w:val="26"/>
          <w:szCs w:val="26"/>
        </w:rPr>
      </w:pPr>
    </w:p>
    <w:p w:rsidR="00BF7167" w:rsidRDefault="00817F43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</w:t>
      </w:r>
      <w:r w:rsidR="00BF7167">
        <w:rPr>
          <w:sz w:val="26"/>
          <w:szCs w:val="26"/>
        </w:rPr>
        <w:t xml:space="preserve">ny questions regarding this correspondence should be addressed to Jonathan Nase in the Office of Special Assistants, at (717) 787-3490 or </w:t>
      </w:r>
      <w:hyperlink r:id="rId10" w:history="1">
        <w:r w:rsidR="00BF7167" w:rsidRPr="00615001">
          <w:rPr>
            <w:rStyle w:val="Hyperlink"/>
            <w:sz w:val="26"/>
            <w:szCs w:val="26"/>
          </w:rPr>
          <w:t>jnase@pa.gov</w:t>
        </w:r>
      </w:hyperlink>
      <w:r w:rsidR="00BF7167">
        <w:rPr>
          <w:sz w:val="26"/>
          <w:szCs w:val="26"/>
        </w:rPr>
        <w:t>.</w:t>
      </w:r>
    </w:p>
    <w:p w:rsidR="006350D6" w:rsidRDefault="00DC3424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0F47" w:rsidRDefault="003E60BC" w:rsidP="006B6701">
      <w:pPr>
        <w:ind w:firstLine="1440"/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147BE66" wp14:editId="1860302A">
            <wp:simplePos x="0" y="0"/>
            <wp:positionH relativeFrom="column">
              <wp:posOffset>2442210</wp:posOffset>
            </wp:positionH>
            <wp:positionV relativeFrom="paragraph">
              <wp:posOffset>142875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3A072B" w:rsidRPr="00D12C93" w:rsidRDefault="003A072B" w:rsidP="00EB6F1D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3A072B" w:rsidRDefault="003A072B" w:rsidP="00E528E4">
      <w:pPr>
        <w:rPr>
          <w:sz w:val="26"/>
          <w:szCs w:val="26"/>
        </w:rPr>
      </w:pPr>
    </w:p>
    <w:p w:rsidR="00127E32" w:rsidRPr="00D12C93" w:rsidRDefault="00127E32" w:rsidP="00E528E4">
      <w:pPr>
        <w:rPr>
          <w:sz w:val="26"/>
          <w:szCs w:val="26"/>
        </w:rPr>
      </w:pPr>
    </w:p>
    <w:p w:rsidR="003A072B" w:rsidRPr="00D12C93" w:rsidRDefault="00EB6F1D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5B5AA7" w:rsidRPr="00D12C93" w:rsidRDefault="003A072B" w:rsidP="00E36BFE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C8" w:rsidRDefault="00091DC8">
      <w:r>
        <w:separator/>
      </w:r>
    </w:p>
  </w:endnote>
  <w:endnote w:type="continuationSeparator" w:id="0">
    <w:p w:rsidR="00091DC8" w:rsidRDefault="0009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6A" w:rsidRPr="00AA4767" w:rsidRDefault="0012286A">
    <w:pPr>
      <w:pStyle w:val="Footer"/>
      <w:jc w:val="center"/>
      <w:rPr>
        <w:sz w:val="26"/>
        <w:szCs w:val="26"/>
      </w:rPr>
    </w:pPr>
    <w:r w:rsidRPr="00AA4767">
      <w:rPr>
        <w:sz w:val="26"/>
        <w:szCs w:val="26"/>
      </w:rPr>
      <w:fldChar w:fldCharType="begin"/>
    </w:r>
    <w:r w:rsidRPr="00AA4767">
      <w:rPr>
        <w:sz w:val="26"/>
        <w:szCs w:val="26"/>
      </w:rPr>
      <w:instrText xml:space="preserve"> PAGE   \* MERGEFORMAT </w:instrText>
    </w:r>
    <w:r w:rsidRPr="00AA4767">
      <w:rPr>
        <w:sz w:val="26"/>
        <w:szCs w:val="26"/>
      </w:rPr>
      <w:fldChar w:fldCharType="separate"/>
    </w:r>
    <w:r w:rsidR="006E07DB">
      <w:rPr>
        <w:noProof/>
        <w:sz w:val="26"/>
        <w:szCs w:val="26"/>
      </w:rPr>
      <w:t>2</w:t>
    </w:r>
    <w:r w:rsidRPr="00AA4767">
      <w:rPr>
        <w:noProof/>
        <w:sz w:val="26"/>
        <w:szCs w:val="26"/>
      </w:rPr>
      <w:fldChar w:fldCharType="end"/>
    </w:r>
  </w:p>
  <w:p w:rsidR="0012286A" w:rsidRDefault="00122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C8" w:rsidRDefault="00091DC8">
      <w:r>
        <w:separator/>
      </w:r>
    </w:p>
  </w:footnote>
  <w:footnote w:type="continuationSeparator" w:id="0">
    <w:p w:rsidR="00091DC8" w:rsidRDefault="0009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4D77"/>
    <w:rsid w:val="00006048"/>
    <w:rsid w:val="00016793"/>
    <w:rsid w:val="00053EC6"/>
    <w:rsid w:val="00091DC8"/>
    <w:rsid w:val="000A5ADF"/>
    <w:rsid w:val="000A659E"/>
    <w:rsid w:val="000D020B"/>
    <w:rsid w:val="000D26F3"/>
    <w:rsid w:val="000D6753"/>
    <w:rsid w:val="000E32E1"/>
    <w:rsid w:val="000E3737"/>
    <w:rsid w:val="000F03BA"/>
    <w:rsid w:val="00105E0E"/>
    <w:rsid w:val="001209F1"/>
    <w:rsid w:val="0012286A"/>
    <w:rsid w:val="00127E32"/>
    <w:rsid w:val="001352D9"/>
    <w:rsid w:val="00136BAB"/>
    <w:rsid w:val="00145471"/>
    <w:rsid w:val="00157590"/>
    <w:rsid w:val="001737A8"/>
    <w:rsid w:val="0018285B"/>
    <w:rsid w:val="001B032D"/>
    <w:rsid w:val="001C1E78"/>
    <w:rsid w:val="001E3528"/>
    <w:rsid w:val="00201518"/>
    <w:rsid w:val="0021794B"/>
    <w:rsid w:val="002229C3"/>
    <w:rsid w:val="00235F13"/>
    <w:rsid w:val="00240B7F"/>
    <w:rsid w:val="002462B6"/>
    <w:rsid w:val="00261373"/>
    <w:rsid w:val="0026602D"/>
    <w:rsid w:val="00271249"/>
    <w:rsid w:val="00280CC0"/>
    <w:rsid w:val="00287550"/>
    <w:rsid w:val="0029471C"/>
    <w:rsid w:val="00295B24"/>
    <w:rsid w:val="002C0783"/>
    <w:rsid w:val="002D695B"/>
    <w:rsid w:val="002D7DF7"/>
    <w:rsid w:val="002E28AA"/>
    <w:rsid w:val="002F2376"/>
    <w:rsid w:val="003002FB"/>
    <w:rsid w:val="003267D4"/>
    <w:rsid w:val="0033738E"/>
    <w:rsid w:val="0034399B"/>
    <w:rsid w:val="00356F55"/>
    <w:rsid w:val="003677ED"/>
    <w:rsid w:val="00373C7C"/>
    <w:rsid w:val="00391858"/>
    <w:rsid w:val="003A072B"/>
    <w:rsid w:val="003A3D25"/>
    <w:rsid w:val="003A50C3"/>
    <w:rsid w:val="003D2057"/>
    <w:rsid w:val="003E3BF1"/>
    <w:rsid w:val="003E60BC"/>
    <w:rsid w:val="00430047"/>
    <w:rsid w:val="00430574"/>
    <w:rsid w:val="004343C6"/>
    <w:rsid w:val="004446DC"/>
    <w:rsid w:val="00466663"/>
    <w:rsid w:val="004A0C8E"/>
    <w:rsid w:val="004E7F64"/>
    <w:rsid w:val="00501CC5"/>
    <w:rsid w:val="005308DA"/>
    <w:rsid w:val="00540F47"/>
    <w:rsid w:val="00561262"/>
    <w:rsid w:val="005A37A2"/>
    <w:rsid w:val="005B5AA7"/>
    <w:rsid w:val="005D3990"/>
    <w:rsid w:val="005E25C5"/>
    <w:rsid w:val="005F0F12"/>
    <w:rsid w:val="0060010C"/>
    <w:rsid w:val="00601B8D"/>
    <w:rsid w:val="00612C2E"/>
    <w:rsid w:val="00616013"/>
    <w:rsid w:val="00633BFA"/>
    <w:rsid w:val="006350D6"/>
    <w:rsid w:val="00636D03"/>
    <w:rsid w:val="006430DB"/>
    <w:rsid w:val="00650268"/>
    <w:rsid w:val="006755C0"/>
    <w:rsid w:val="00683D7A"/>
    <w:rsid w:val="00683DB5"/>
    <w:rsid w:val="00692D4C"/>
    <w:rsid w:val="006A1B5E"/>
    <w:rsid w:val="006B0DE7"/>
    <w:rsid w:val="006B6701"/>
    <w:rsid w:val="006D0288"/>
    <w:rsid w:val="006D2C48"/>
    <w:rsid w:val="006D3665"/>
    <w:rsid w:val="006E07DB"/>
    <w:rsid w:val="00706FBE"/>
    <w:rsid w:val="00726821"/>
    <w:rsid w:val="00751A5B"/>
    <w:rsid w:val="00762E1D"/>
    <w:rsid w:val="00763F9E"/>
    <w:rsid w:val="007726C0"/>
    <w:rsid w:val="00792451"/>
    <w:rsid w:val="00795CC5"/>
    <w:rsid w:val="007A2A79"/>
    <w:rsid w:val="007D1483"/>
    <w:rsid w:val="007D663A"/>
    <w:rsid w:val="007E20BB"/>
    <w:rsid w:val="00807300"/>
    <w:rsid w:val="00817F43"/>
    <w:rsid w:val="00821BA0"/>
    <w:rsid w:val="008407BF"/>
    <w:rsid w:val="0084504E"/>
    <w:rsid w:val="008640ED"/>
    <w:rsid w:val="008733C0"/>
    <w:rsid w:val="00887C03"/>
    <w:rsid w:val="00887F72"/>
    <w:rsid w:val="00895AF3"/>
    <w:rsid w:val="008C645A"/>
    <w:rsid w:val="008D17D5"/>
    <w:rsid w:val="008E77DC"/>
    <w:rsid w:val="008F6FE6"/>
    <w:rsid w:val="008F7AD8"/>
    <w:rsid w:val="00914D71"/>
    <w:rsid w:val="00937C15"/>
    <w:rsid w:val="009520ED"/>
    <w:rsid w:val="00953258"/>
    <w:rsid w:val="00986A3C"/>
    <w:rsid w:val="009C7BE0"/>
    <w:rsid w:val="009F1EA8"/>
    <w:rsid w:val="009F5F66"/>
    <w:rsid w:val="009F723A"/>
    <w:rsid w:val="00A109A1"/>
    <w:rsid w:val="00A16BD8"/>
    <w:rsid w:val="00A37179"/>
    <w:rsid w:val="00A44293"/>
    <w:rsid w:val="00AA4767"/>
    <w:rsid w:val="00AA618A"/>
    <w:rsid w:val="00B27E82"/>
    <w:rsid w:val="00B3131B"/>
    <w:rsid w:val="00B54C9E"/>
    <w:rsid w:val="00B62A4C"/>
    <w:rsid w:val="00B90D4B"/>
    <w:rsid w:val="00BB76D2"/>
    <w:rsid w:val="00BC2FB9"/>
    <w:rsid w:val="00BC3334"/>
    <w:rsid w:val="00BD1065"/>
    <w:rsid w:val="00BE5119"/>
    <w:rsid w:val="00BF2F0E"/>
    <w:rsid w:val="00BF7167"/>
    <w:rsid w:val="00C013A1"/>
    <w:rsid w:val="00C402A0"/>
    <w:rsid w:val="00C74A51"/>
    <w:rsid w:val="00C87E0D"/>
    <w:rsid w:val="00CA50D1"/>
    <w:rsid w:val="00CA5B9C"/>
    <w:rsid w:val="00CB5738"/>
    <w:rsid w:val="00CB640F"/>
    <w:rsid w:val="00CD4B72"/>
    <w:rsid w:val="00CE6EEB"/>
    <w:rsid w:val="00CF6E4D"/>
    <w:rsid w:val="00CF73EC"/>
    <w:rsid w:val="00D12C93"/>
    <w:rsid w:val="00D17649"/>
    <w:rsid w:val="00D26C3C"/>
    <w:rsid w:val="00D50ACB"/>
    <w:rsid w:val="00D62DCF"/>
    <w:rsid w:val="00D75931"/>
    <w:rsid w:val="00DA22FD"/>
    <w:rsid w:val="00DB2119"/>
    <w:rsid w:val="00DB6D5A"/>
    <w:rsid w:val="00DC3424"/>
    <w:rsid w:val="00DE4157"/>
    <w:rsid w:val="00E06CDF"/>
    <w:rsid w:val="00E07371"/>
    <w:rsid w:val="00E229FE"/>
    <w:rsid w:val="00E23644"/>
    <w:rsid w:val="00E3637B"/>
    <w:rsid w:val="00E36BFE"/>
    <w:rsid w:val="00E4033D"/>
    <w:rsid w:val="00E528E4"/>
    <w:rsid w:val="00E530B5"/>
    <w:rsid w:val="00E57330"/>
    <w:rsid w:val="00E63F99"/>
    <w:rsid w:val="00E64C0F"/>
    <w:rsid w:val="00E70913"/>
    <w:rsid w:val="00E71A44"/>
    <w:rsid w:val="00E87F23"/>
    <w:rsid w:val="00E90495"/>
    <w:rsid w:val="00E90D5D"/>
    <w:rsid w:val="00E928F1"/>
    <w:rsid w:val="00EA04BA"/>
    <w:rsid w:val="00EB13E4"/>
    <w:rsid w:val="00EB4D52"/>
    <w:rsid w:val="00EB6F1D"/>
    <w:rsid w:val="00EC3D67"/>
    <w:rsid w:val="00EC7F84"/>
    <w:rsid w:val="00ED0D05"/>
    <w:rsid w:val="00ED260F"/>
    <w:rsid w:val="00EE7EB6"/>
    <w:rsid w:val="00EF3FBF"/>
    <w:rsid w:val="00EF7F10"/>
    <w:rsid w:val="00F04CF8"/>
    <w:rsid w:val="00F10506"/>
    <w:rsid w:val="00F32FC2"/>
    <w:rsid w:val="00F42C1D"/>
    <w:rsid w:val="00F4349A"/>
    <w:rsid w:val="00F50FDD"/>
    <w:rsid w:val="00F5661B"/>
    <w:rsid w:val="00F60268"/>
    <w:rsid w:val="00F649C8"/>
    <w:rsid w:val="00F65AE7"/>
    <w:rsid w:val="00F7094C"/>
    <w:rsid w:val="00F90E04"/>
    <w:rsid w:val="00F912E6"/>
    <w:rsid w:val="00F9452A"/>
    <w:rsid w:val="00F9546C"/>
    <w:rsid w:val="00FA1C4F"/>
    <w:rsid w:val="00FA2411"/>
    <w:rsid w:val="00FA7D17"/>
    <w:rsid w:val="00FC0D46"/>
    <w:rsid w:val="00FC48D8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F7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F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nase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2043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Farner, Joyce</cp:lastModifiedBy>
  <cp:revision>3</cp:revision>
  <cp:lastPrinted>2012-07-20T18:36:00Z</cp:lastPrinted>
  <dcterms:created xsi:type="dcterms:W3CDTF">2012-07-20T18:22:00Z</dcterms:created>
  <dcterms:modified xsi:type="dcterms:W3CDTF">2012-07-20T18:36:00Z</dcterms:modified>
</cp:coreProperties>
</file>