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D09" w:rsidRDefault="00E53D09">
      <w:pPr>
        <w:jc w:val="center"/>
        <w:rPr>
          <w:b/>
        </w:rPr>
      </w:pPr>
      <w:bookmarkStart w:id="0" w:name="_GoBack"/>
      <w:bookmarkEnd w:id="0"/>
      <w:r>
        <w:rPr>
          <w:b/>
        </w:rPr>
        <w:t>BEFORE THE</w:t>
      </w:r>
    </w:p>
    <w:p w:rsidR="00E53D09" w:rsidRDefault="00E53D09">
      <w:pPr>
        <w:jc w:val="center"/>
      </w:pPr>
      <w:r>
        <w:rPr>
          <w:b/>
        </w:rPr>
        <w:t>PENNSYLVANIA PUBLIC UTILITY COMMISSION</w:t>
      </w:r>
    </w:p>
    <w:p w:rsidR="00E53D09" w:rsidRDefault="00E53D09">
      <w:pPr>
        <w:jc w:val="center"/>
      </w:pPr>
    </w:p>
    <w:p w:rsidR="00E53D09" w:rsidRDefault="00E53D09">
      <w:pPr>
        <w:jc w:val="center"/>
      </w:pPr>
    </w:p>
    <w:tbl>
      <w:tblPr>
        <w:tblW w:w="9348" w:type="dxa"/>
        <w:tblLook w:val="01E0" w:firstRow="1" w:lastRow="1" w:firstColumn="1" w:lastColumn="1" w:noHBand="0" w:noVBand="0"/>
      </w:tblPr>
      <w:tblGrid>
        <w:gridCol w:w="5148"/>
        <w:gridCol w:w="360"/>
        <w:gridCol w:w="3840"/>
      </w:tblGrid>
      <w:tr w:rsidR="00E53D09">
        <w:tc>
          <w:tcPr>
            <w:tcW w:w="5148" w:type="dxa"/>
            <w:shd w:val="clear" w:color="auto" w:fill="auto"/>
          </w:tcPr>
          <w:p w:rsidR="00B91548" w:rsidRDefault="00B91548"/>
          <w:p w:rsidR="00E53D09" w:rsidRDefault="00E53D09">
            <w:r>
              <w:t>Pennsyl</w:t>
            </w:r>
            <w:r w:rsidR="00370E3D">
              <w:t>vania Public Utility Commission</w:t>
            </w:r>
          </w:p>
        </w:tc>
        <w:tc>
          <w:tcPr>
            <w:tcW w:w="360" w:type="dxa"/>
            <w:shd w:val="clear" w:color="auto" w:fill="auto"/>
          </w:tcPr>
          <w:p w:rsidR="00B91548" w:rsidRDefault="00B91548"/>
          <w:p w:rsidR="00E53D09" w:rsidRDefault="00E53D09">
            <w:r>
              <w:t>:</w:t>
            </w:r>
          </w:p>
        </w:tc>
        <w:tc>
          <w:tcPr>
            <w:tcW w:w="3840" w:type="dxa"/>
            <w:shd w:val="clear" w:color="auto" w:fill="auto"/>
          </w:tcPr>
          <w:p w:rsidR="00B91548" w:rsidRDefault="00B91548">
            <w:pPr>
              <w:jc w:val="right"/>
            </w:pPr>
          </w:p>
          <w:p w:rsidR="00E53D09" w:rsidRDefault="00E53D09">
            <w:pPr>
              <w:jc w:val="right"/>
              <w:rPr>
                <w:lang w:val="fr-FR"/>
              </w:rPr>
            </w:pPr>
            <w:r>
              <w:t>R-2012-2285985</w:t>
            </w:r>
          </w:p>
        </w:tc>
      </w:tr>
      <w:tr w:rsidR="00E53D09">
        <w:tc>
          <w:tcPr>
            <w:tcW w:w="5148" w:type="dxa"/>
            <w:shd w:val="clear" w:color="auto" w:fill="auto"/>
          </w:tcPr>
          <w:p w:rsidR="00E53D09" w:rsidRDefault="00E53D09">
            <w:r>
              <w:t>Of</w:t>
            </w:r>
            <w:r w:rsidR="00370E3D">
              <w:t>fice of Small Business Advocate</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C-2012-2295218</w:t>
            </w:r>
          </w:p>
        </w:tc>
      </w:tr>
      <w:tr w:rsidR="00E53D09">
        <w:tc>
          <w:tcPr>
            <w:tcW w:w="5148" w:type="dxa"/>
            <w:shd w:val="clear" w:color="auto" w:fill="auto"/>
          </w:tcPr>
          <w:p w:rsidR="00E53D09" w:rsidRDefault="00E53D09">
            <w:r>
              <w:t>Office of Consumer Advocate</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C-2012-2292047</w:t>
            </w:r>
          </w:p>
        </w:tc>
      </w:tr>
      <w:tr w:rsidR="00E53D09">
        <w:tc>
          <w:tcPr>
            <w:tcW w:w="5148" w:type="dxa"/>
            <w:shd w:val="clear" w:color="auto" w:fill="auto"/>
          </w:tcPr>
          <w:p w:rsidR="00E53D09" w:rsidRDefault="00370E3D">
            <w:r>
              <w:t>Pennsylvania State University</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C-2012-2298317</w:t>
            </w:r>
          </w:p>
        </w:tc>
      </w:tr>
      <w:tr w:rsidR="00E53D09">
        <w:tc>
          <w:tcPr>
            <w:tcW w:w="5148" w:type="dxa"/>
            <w:shd w:val="clear" w:color="auto" w:fill="auto"/>
          </w:tcPr>
          <w:p w:rsidR="00E53D09" w:rsidRDefault="00E53D09">
            <w:pPr>
              <w:ind w:right="492"/>
            </w:pPr>
            <w:r>
              <w:t>Snyder Brothers, Inc.</w:t>
            </w:r>
            <w:r w:rsidR="00A37543">
              <w:t>,</w:t>
            </w:r>
            <w:r>
              <w:t xml:space="preserve"> </w:t>
            </w:r>
            <w:r>
              <w:rPr>
                <w:i/>
              </w:rPr>
              <w:t>et al.</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C-2012-2302859</w:t>
            </w:r>
          </w:p>
        </w:tc>
      </w:tr>
      <w:tr w:rsidR="00E53D09">
        <w:tc>
          <w:tcPr>
            <w:tcW w:w="5148" w:type="dxa"/>
            <w:shd w:val="clear" w:color="auto" w:fill="auto"/>
          </w:tcPr>
          <w:p w:rsidR="00E53D09" w:rsidRDefault="00E53D09" w:rsidP="00610162">
            <w:r>
              <w:t>D</w:t>
            </w:r>
            <w:r w:rsidR="00610162">
              <w:t>aniel</w:t>
            </w:r>
            <w:r w:rsidR="00370E3D">
              <w:t xml:space="preserve"> Killmeyer</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C-2012-2295700</w:t>
            </w:r>
          </w:p>
        </w:tc>
      </w:tr>
      <w:tr w:rsidR="00E53D09">
        <w:tc>
          <w:tcPr>
            <w:tcW w:w="5148" w:type="dxa"/>
            <w:shd w:val="clear" w:color="auto" w:fill="auto"/>
          </w:tcPr>
          <w:p w:rsidR="00E53D09" w:rsidRDefault="00E53D09">
            <w:r>
              <w:t xml:space="preserve">Raymond </w:t>
            </w:r>
            <w:r w:rsidR="00610162">
              <w:t xml:space="preserve">E. </w:t>
            </w:r>
            <w:r w:rsidR="00370E3D">
              <w:t>Anderson</w:t>
            </w:r>
            <w:r>
              <w:t xml:space="preserve"> </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C-2012-2298575</w:t>
            </w:r>
          </w:p>
        </w:tc>
      </w:tr>
      <w:tr w:rsidR="00E53D09">
        <w:tc>
          <w:tcPr>
            <w:tcW w:w="5148" w:type="dxa"/>
            <w:shd w:val="clear" w:color="auto" w:fill="auto"/>
          </w:tcPr>
          <w:p w:rsidR="00E53D09" w:rsidRDefault="00370E3D">
            <w:r>
              <w:t>Steven J. Swencki</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C-2012-2299156</w:t>
            </w:r>
          </w:p>
        </w:tc>
      </w:tr>
      <w:tr w:rsidR="00E53D09">
        <w:tc>
          <w:tcPr>
            <w:tcW w:w="5148" w:type="dxa"/>
            <w:shd w:val="clear" w:color="auto" w:fill="auto"/>
          </w:tcPr>
          <w:p w:rsidR="00E53D09" w:rsidRDefault="00370E3D">
            <w:pPr>
              <w:ind w:right="492"/>
            </w:pPr>
            <w:r>
              <w:t>James Weber</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C-2012-2300419</w:t>
            </w:r>
          </w:p>
        </w:tc>
      </w:tr>
      <w:tr w:rsidR="00E53D09">
        <w:tc>
          <w:tcPr>
            <w:tcW w:w="5148" w:type="dxa"/>
            <w:shd w:val="clear" w:color="auto" w:fill="auto"/>
          </w:tcPr>
          <w:p w:rsidR="00E53D09" w:rsidRDefault="00370E3D">
            <w:r>
              <w:t>Severo Miglioretti</w:t>
            </w:r>
          </w:p>
        </w:tc>
        <w:tc>
          <w:tcPr>
            <w:tcW w:w="360" w:type="dxa"/>
            <w:shd w:val="clear" w:color="auto" w:fill="auto"/>
          </w:tcPr>
          <w:p w:rsidR="00E53D09" w:rsidRDefault="00E53D09">
            <w:r>
              <w:t>:</w:t>
            </w:r>
          </w:p>
        </w:tc>
        <w:tc>
          <w:tcPr>
            <w:tcW w:w="3840" w:type="dxa"/>
            <w:shd w:val="clear" w:color="auto" w:fill="auto"/>
          </w:tcPr>
          <w:p w:rsidR="00E53D09" w:rsidRDefault="00E53D09">
            <w:pPr>
              <w:jc w:val="right"/>
            </w:pPr>
            <w:r>
              <w:t>C-2012-2302827</w:t>
            </w:r>
          </w:p>
        </w:tc>
      </w:tr>
      <w:tr w:rsidR="00E53D09">
        <w:tc>
          <w:tcPr>
            <w:tcW w:w="5148" w:type="dxa"/>
            <w:shd w:val="clear" w:color="auto" w:fill="auto"/>
          </w:tcPr>
          <w:p w:rsidR="00E53D09" w:rsidRDefault="00E53D09">
            <w:pPr>
              <w:ind w:right="492"/>
              <w:jc w:val="right"/>
            </w:pPr>
          </w:p>
        </w:tc>
        <w:tc>
          <w:tcPr>
            <w:tcW w:w="360" w:type="dxa"/>
            <w:shd w:val="clear" w:color="auto" w:fill="auto"/>
          </w:tcPr>
          <w:p w:rsidR="00E53D09" w:rsidRDefault="00E53D09">
            <w:r>
              <w:t>:</w:t>
            </w:r>
          </w:p>
        </w:tc>
        <w:tc>
          <w:tcPr>
            <w:tcW w:w="3840" w:type="dxa"/>
            <w:shd w:val="clear" w:color="auto" w:fill="auto"/>
          </w:tcPr>
          <w:p w:rsidR="00E53D09" w:rsidRDefault="00E53D09">
            <w:pPr>
              <w:jc w:val="right"/>
            </w:pPr>
          </w:p>
        </w:tc>
      </w:tr>
      <w:tr w:rsidR="00E53D09">
        <w:tc>
          <w:tcPr>
            <w:tcW w:w="5148" w:type="dxa"/>
            <w:shd w:val="clear" w:color="auto" w:fill="auto"/>
          </w:tcPr>
          <w:p w:rsidR="00E53D09" w:rsidRDefault="00E53D09" w:rsidP="00B91548">
            <w:pPr>
              <w:ind w:right="3492"/>
              <w:jc w:val="center"/>
            </w:pPr>
            <w:r>
              <w:t xml:space="preserve">v. </w:t>
            </w: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E53D09">
            <w:pPr>
              <w:jc w:val="center"/>
            </w:pP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6034BA">
            <w:r>
              <w:t>Peoples Natural Gas Company LLC</w:t>
            </w:r>
          </w:p>
        </w:tc>
        <w:tc>
          <w:tcPr>
            <w:tcW w:w="360" w:type="dxa"/>
            <w:shd w:val="clear" w:color="auto" w:fill="auto"/>
          </w:tcPr>
          <w:p w:rsidR="00E53D09" w:rsidRDefault="00E53D09">
            <w:r>
              <w:t>:</w:t>
            </w:r>
          </w:p>
        </w:tc>
        <w:tc>
          <w:tcPr>
            <w:tcW w:w="3840" w:type="dxa"/>
            <w:shd w:val="clear" w:color="auto" w:fill="auto"/>
          </w:tcPr>
          <w:p w:rsidR="00E53D09" w:rsidRDefault="00E53D09"/>
        </w:tc>
      </w:tr>
    </w:tbl>
    <w:p w:rsidR="00E53D09" w:rsidRDefault="00E53D09" w:rsidP="006034BA">
      <w:pPr>
        <w:pStyle w:val="BodyText"/>
        <w:spacing w:after="0"/>
        <w:ind w:firstLine="0"/>
        <w:jc w:val="center"/>
        <w:rPr>
          <w:b/>
        </w:rPr>
      </w:pPr>
    </w:p>
    <w:p w:rsidR="0036157E" w:rsidRDefault="0036157E" w:rsidP="006034BA">
      <w:pPr>
        <w:pStyle w:val="BodyText"/>
        <w:spacing w:after="0"/>
        <w:ind w:firstLine="0"/>
        <w:jc w:val="center"/>
        <w:rPr>
          <w:b/>
        </w:rPr>
      </w:pPr>
    </w:p>
    <w:p w:rsidR="006034BA" w:rsidRDefault="006034BA" w:rsidP="006034BA">
      <w:pPr>
        <w:pStyle w:val="BodyText"/>
        <w:spacing w:after="0"/>
        <w:ind w:firstLine="0"/>
        <w:jc w:val="center"/>
        <w:rPr>
          <w:b/>
          <w:u w:val="single"/>
        </w:rPr>
      </w:pPr>
    </w:p>
    <w:p w:rsidR="00E53D09" w:rsidRDefault="00E53D09" w:rsidP="006034BA">
      <w:pPr>
        <w:pStyle w:val="BodyText"/>
        <w:spacing w:after="0"/>
        <w:ind w:firstLine="0"/>
        <w:jc w:val="center"/>
        <w:rPr>
          <w:b/>
          <w:u w:val="single"/>
        </w:rPr>
      </w:pPr>
      <w:r w:rsidRPr="0036157E">
        <w:rPr>
          <w:b/>
          <w:u w:val="single"/>
        </w:rPr>
        <w:t>PROTECTIVE ORDER</w:t>
      </w:r>
    </w:p>
    <w:p w:rsidR="006034BA" w:rsidRDefault="006034BA" w:rsidP="006034BA">
      <w:pPr>
        <w:pStyle w:val="BodyText"/>
        <w:spacing w:after="0"/>
        <w:ind w:firstLine="0"/>
        <w:jc w:val="center"/>
        <w:rPr>
          <w:b/>
          <w:u w:val="single"/>
        </w:rPr>
      </w:pPr>
    </w:p>
    <w:p w:rsidR="0036157E" w:rsidRPr="0036157E" w:rsidRDefault="0036157E" w:rsidP="0036157E">
      <w:pPr>
        <w:pStyle w:val="BodyText"/>
        <w:spacing w:after="0" w:line="360" w:lineRule="auto"/>
        <w:ind w:firstLine="0"/>
        <w:jc w:val="center"/>
        <w:rPr>
          <w:b/>
          <w:u w:val="single"/>
        </w:rPr>
      </w:pPr>
    </w:p>
    <w:p w:rsidR="00E53D09" w:rsidRDefault="00E53D09" w:rsidP="0036157E">
      <w:pPr>
        <w:pStyle w:val="BodyText2"/>
        <w:spacing w:line="360" w:lineRule="auto"/>
        <w:ind w:firstLine="1440"/>
        <w:jc w:val="left"/>
        <w:rPr>
          <w:color w:val="000000"/>
        </w:rPr>
      </w:pPr>
      <w:r>
        <w:rPr>
          <w:color w:val="000000"/>
        </w:rPr>
        <w:t>Upon consideration of the Motion for a Protective Order that was filed by Peoples Natural Gas Company LLC (“Peoples”) on July 25, 2012</w:t>
      </w:r>
      <w:r w:rsidR="002427A9">
        <w:rPr>
          <w:color w:val="000000"/>
        </w:rPr>
        <w:t>, to which no party has objected</w:t>
      </w:r>
      <w:r>
        <w:rPr>
          <w:color w:val="000000"/>
        </w:rPr>
        <w:t>;</w:t>
      </w:r>
    </w:p>
    <w:p w:rsidR="0036157E" w:rsidRDefault="0036157E" w:rsidP="0036157E">
      <w:pPr>
        <w:pStyle w:val="BodyText2"/>
        <w:spacing w:line="360" w:lineRule="auto"/>
        <w:ind w:firstLine="1440"/>
        <w:jc w:val="left"/>
        <w:rPr>
          <w:color w:val="000000"/>
        </w:rPr>
      </w:pPr>
    </w:p>
    <w:p w:rsidR="00E53D09" w:rsidRDefault="00E53D09" w:rsidP="0036157E">
      <w:pPr>
        <w:pStyle w:val="BodyText2"/>
        <w:spacing w:line="360" w:lineRule="auto"/>
        <w:ind w:firstLine="1440"/>
        <w:jc w:val="left"/>
        <w:rPr>
          <w:color w:val="000000"/>
        </w:rPr>
      </w:pPr>
      <w:r>
        <w:rPr>
          <w:color w:val="000000"/>
        </w:rPr>
        <w:t>IT IS ORDERED:</w:t>
      </w:r>
    </w:p>
    <w:p w:rsidR="0036157E" w:rsidRDefault="0036157E" w:rsidP="0036157E">
      <w:pPr>
        <w:pStyle w:val="BodyText2"/>
        <w:spacing w:line="360" w:lineRule="auto"/>
        <w:ind w:firstLine="1440"/>
        <w:jc w:val="left"/>
        <w:rPr>
          <w:color w:val="000000"/>
        </w:rPr>
      </w:pPr>
    </w:p>
    <w:p w:rsidR="00E53D09" w:rsidRDefault="00E53D09" w:rsidP="0036157E">
      <w:pPr>
        <w:pStyle w:val="ListNumber"/>
        <w:numPr>
          <w:ilvl w:val="0"/>
          <w:numId w:val="18"/>
        </w:numPr>
        <w:tabs>
          <w:tab w:val="num" w:pos="720"/>
        </w:tabs>
        <w:spacing w:line="360" w:lineRule="auto"/>
        <w:ind w:firstLine="1440"/>
      </w:pPr>
      <w:r>
        <w:t>Th</w:t>
      </w:r>
      <w:r w:rsidR="008E5C80">
        <w:t>at th</w:t>
      </w:r>
      <w:r>
        <w:t>e Motion is hereby granted with respect to all materials and information identified in Paragraphs 2 and 3 below, which have been or will be filed with the Commission, produced in discovery, or otherwise presented during the above-captioned proceeding and all consolidated proceedings.  All persons previously or hereafter granted access to the materials and information identified in Ordering Paragraphs 2 and 3 of this Protective Order shall use and disclose such information only in accordance with this Protective Order.</w:t>
      </w:r>
    </w:p>
    <w:p w:rsidR="0036157E" w:rsidRDefault="0036157E" w:rsidP="0036157E">
      <w:pPr>
        <w:pStyle w:val="ListNumber"/>
        <w:numPr>
          <w:ilvl w:val="0"/>
          <w:numId w:val="0"/>
        </w:numPr>
        <w:spacing w:line="360" w:lineRule="auto"/>
        <w:ind w:left="1440"/>
      </w:pPr>
    </w:p>
    <w:p w:rsidR="00E53D09" w:rsidRDefault="00E53D09" w:rsidP="0036157E">
      <w:pPr>
        <w:pStyle w:val="ListNumber"/>
        <w:numPr>
          <w:ilvl w:val="0"/>
          <w:numId w:val="11"/>
        </w:numPr>
        <w:tabs>
          <w:tab w:val="clear" w:pos="720"/>
        </w:tabs>
        <w:spacing w:line="360" w:lineRule="auto"/>
        <w:ind w:firstLine="1440"/>
      </w:pPr>
      <w:r>
        <w:t>Th</w:t>
      </w:r>
      <w:r w:rsidR="008E5C80">
        <w:t>at th</w:t>
      </w:r>
      <w:r>
        <w:t xml:space="preserve">e materials or information subject to this Protective Order is all correspondence, documents, data, information, studies, methodologies and other materials, </w:t>
      </w:r>
      <w:r>
        <w:lastRenderedPageBreak/>
        <w:t xml:space="preserve">furnished in this proceeding pursuant to Commission rules and regulations, discovery procedures, testimony or oral examination, or provided as a courtesy to a party to this proceeding, which are believed by the disclosing Party to be of a proprietary or confidential nature and which are so designated by being stamped “Proprietary Information” or “Confidential.”  Such materials will be referred to below as “Proprietary Information.”  </w:t>
      </w:r>
    </w:p>
    <w:p w:rsidR="0036157E" w:rsidRDefault="0036157E" w:rsidP="0036157E">
      <w:pPr>
        <w:pStyle w:val="ListNumber"/>
        <w:numPr>
          <w:ilvl w:val="0"/>
          <w:numId w:val="0"/>
        </w:numPr>
        <w:spacing w:line="360" w:lineRule="auto"/>
        <w:ind w:left="1440"/>
      </w:pPr>
    </w:p>
    <w:p w:rsidR="00E53D09" w:rsidRDefault="00E53D09" w:rsidP="0036157E">
      <w:pPr>
        <w:pStyle w:val="ListNumber"/>
        <w:numPr>
          <w:ilvl w:val="0"/>
          <w:numId w:val="11"/>
        </w:numPr>
        <w:tabs>
          <w:tab w:val="clear" w:pos="720"/>
        </w:tabs>
        <w:spacing w:line="360" w:lineRule="auto"/>
        <w:ind w:firstLine="1440"/>
      </w:pPr>
      <w:r>
        <w:t>That the Parties may designate as “Confidential” those materials which customarily are treated by that Party as sensitive or proprietary, which are not available to the public or which, if disclosed freely, would subject that Party or others to risk of competitive disadvantage or other business injury.</w:t>
      </w:r>
    </w:p>
    <w:p w:rsidR="0036157E" w:rsidRDefault="0036157E" w:rsidP="0036157E">
      <w:pPr>
        <w:pStyle w:val="ListParagraph"/>
      </w:pPr>
    </w:p>
    <w:p w:rsidR="00E53D09" w:rsidRDefault="00E53D09" w:rsidP="0036157E">
      <w:pPr>
        <w:pStyle w:val="ListNumber"/>
        <w:numPr>
          <w:ilvl w:val="0"/>
          <w:numId w:val="11"/>
        </w:numPr>
        <w:tabs>
          <w:tab w:val="clear" w:pos="720"/>
        </w:tabs>
        <w:spacing w:line="360" w:lineRule="auto"/>
        <w:ind w:firstLine="1440"/>
      </w:pPr>
      <w:r>
        <w:t>That the Parties may designate as “Highly Confidential” those materials that are commercially sensitive or of a private, personal nature.  Such Highly Confidential Information shall be only such Proprietary Information that constitutes or describes the producing party’s or, in the event that the information involves a specific customer of Peoples, such customer’s (i) names or customers’ prospects’ names, addresses, annual volumes of gas usage, or other customer-identifying information, (ii) marketing plans, (iii) competitive strategies or service alternatives, (iv) market share projections, (v) competitive prici</w:t>
      </w:r>
      <w:r w:rsidR="005D75B5">
        <w:t>ng or discounting information,</w:t>
      </w:r>
      <w:r>
        <w:t xml:space="preserve"> and (vi) marketing materials that have not yet been used.  </w:t>
      </w:r>
    </w:p>
    <w:p w:rsidR="0036157E" w:rsidRDefault="0036157E" w:rsidP="0036157E">
      <w:pPr>
        <w:pStyle w:val="ListNumber"/>
        <w:numPr>
          <w:ilvl w:val="0"/>
          <w:numId w:val="0"/>
        </w:numPr>
        <w:spacing w:line="360" w:lineRule="auto"/>
        <w:ind w:left="1440"/>
      </w:pPr>
    </w:p>
    <w:p w:rsidR="00E53D09" w:rsidRDefault="00E53D09" w:rsidP="0036157E">
      <w:pPr>
        <w:pStyle w:val="ListNumber"/>
        <w:numPr>
          <w:ilvl w:val="0"/>
          <w:numId w:val="11"/>
        </w:numPr>
        <w:tabs>
          <w:tab w:val="clear" w:pos="720"/>
        </w:tabs>
        <w:spacing w:line="360" w:lineRule="auto"/>
        <w:ind w:firstLine="1440"/>
      </w:pPr>
      <w:r>
        <w:t>That Proprietary Information shall be made available to counsel for the Party, subject to the terms of this Protective Order.  Such counsel shall use or disclose the Proprietary Information only for purposes of preparin</w:t>
      </w:r>
      <w:r w:rsidR="00035359">
        <w:t>g or presenting evidence, cross-</w:t>
      </w:r>
      <w:r>
        <w:t xml:space="preserve">examination or argument in this proceeding.  To the extent required for participation in this proceeding, counsel for a Party may afford access to Proprietary Information subject to the conditions set forth herein.  </w:t>
      </w:r>
    </w:p>
    <w:p w:rsidR="0036157E" w:rsidRDefault="0036157E" w:rsidP="0036157E">
      <w:pPr>
        <w:pStyle w:val="ListParagraph"/>
      </w:pPr>
    </w:p>
    <w:p w:rsidR="00E53D09" w:rsidRDefault="008E5C80" w:rsidP="0036157E">
      <w:pPr>
        <w:pStyle w:val="ListNumber"/>
        <w:numPr>
          <w:ilvl w:val="0"/>
          <w:numId w:val="11"/>
        </w:numPr>
        <w:tabs>
          <w:tab w:val="clear" w:pos="720"/>
        </w:tabs>
        <w:spacing w:line="360" w:lineRule="auto"/>
        <w:ind w:firstLine="1440"/>
      </w:pPr>
      <w:r>
        <w:t>That f</w:t>
      </w:r>
      <w:r w:rsidR="00E53D09">
        <w:t xml:space="preserve">or purposes of filing, to the extent that Proprietary Information is placed in the Commission’s report folders, such information shall be handled in accordance with routine Commission procedures inasmuch as the report folders are not subject to public disclosure.  To the extent that Proprietary Information or Highly Confidential Information is placed in the Commission’s testimony or documents folders, such information shall be separately </w:t>
      </w:r>
      <w:r w:rsidR="00E53D09">
        <w:lastRenderedPageBreak/>
        <w:t xml:space="preserve">bound, and conspicuously marked.  Public inspection of Proprietary Information and Highly Confidential Information shall be permitted only in accord with this Protective Order. </w:t>
      </w:r>
    </w:p>
    <w:p w:rsidR="0036157E" w:rsidRDefault="0036157E" w:rsidP="0036157E">
      <w:pPr>
        <w:pStyle w:val="ListNumber"/>
        <w:numPr>
          <w:ilvl w:val="0"/>
          <w:numId w:val="0"/>
        </w:numPr>
        <w:spacing w:line="360" w:lineRule="auto"/>
        <w:ind w:left="1440"/>
      </w:pPr>
    </w:p>
    <w:p w:rsidR="00E53D09" w:rsidRDefault="008E5C80" w:rsidP="0036157E">
      <w:pPr>
        <w:pStyle w:val="ListNumber"/>
        <w:numPr>
          <w:ilvl w:val="0"/>
          <w:numId w:val="11"/>
        </w:numPr>
        <w:tabs>
          <w:tab w:val="clear" w:pos="720"/>
        </w:tabs>
        <w:spacing w:line="360" w:lineRule="auto"/>
        <w:ind w:firstLine="1440"/>
      </w:pPr>
      <w:r>
        <w:t xml:space="preserve">That </w:t>
      </w:r>
      <w:r w:rsidR="00E53D09">
        <w:t xml:space="preserve">Proprietary Information and Highly Confidential Information shall be made available to counsel of record in this proceeding pursuant to the following procedures: </w:t>
      </w:r>
    </w:p>
    <w:p w:rsidR="0036157E" w:rsidRDefault="0036157E" w:rsidP="0036157E">
      <w:pPr>
        <w:pStyle w:val="ListParagraph"/>
      </w:pPr>
    </w:p>
    <w:p w:rsidR="00E53D09" w:rsidRDefault="00E53D09" w:rsidP="00072041">
      <w:pPr>
        <w:pStyle w:val="ListNumber"/>
        <w:numPr>
          <w:ilvl w:val="0"/>
          <w:numId w:val="27"/>
        </w:numPr>
        <w:spacing w:line="360" w:lineRule="auto"/>
        <w:ind w:left="1440" w:firstLine="720"/>
      </w:pPr>
      <w:r>
        <w:rPr>
          <w:u w:val="single"/>
        </w:rPr>
        <w:t>Proprietary Information</w:t>
      </w:r>
      <w:r>
        <w:t xml:space="preserve">. To the extent required for participation in this proceeding, a party’s counsel may afford access to Proprietary Information made available by another party to the party’s expert(s), subject to the following restrictions. </w:t>
      </w:r>
    </w:p>
    <w:p w:rsidR="0036157E" w:rsidRDefault="0036157E" w:rsidP="0036157E">
      <w:pPr>
        <w:pStyle w:val="ListNumber"/>
        <w:numPr>
          <w:ilvl w:val="0"/>
          <w:numId w:val="0"/>
        </w:numPr>
        <w:spacing w:line="360" w:lineRule="auto"/>
        <w:ind w:left="1785"/>
      </w:pPr>
    </w:p>
    <w:p w:rsidR="00E53D09" w:rsidRDefault="00E53D09" w:rsidP="00072041">
      <w:pPr>
        <w:pStyle w:val="ListNumber"/>
        <w:numPr>
          <w:ilvl w:val="0"/>
          <w:numId w:val="28"/>
        </w:numPr>
        <w:spacing w:line="360" w:lineRule="auto"/>
        <w:ind w:left="2160" w:firstLine="720"/>
      </w:pPr>
      <w:r>
        <w:t xml:space="preserve">Such experts may not hold any of the following positions with any competitor of the producing party: (a) an officer, board member, stockholder, partner, owner, or an employee, who is primarily involved in the pricing, development, and/or marketing of products or services that are offered in competition with those of the producing party; or (b) an officer, board member, stockholder, partner, owner of any affiliate of a competitor of the producing party; provided, however, that any expert shall not be disqualified on account of being a stockholder, partner, or owner unless his/her interest in the business constitutes a significant potential for violation of the limitations of permissible use of the Proprietary Information. </w:t>
      </w:r>
    </w:p>
    <w:p w:rsidR="0036157E" w:rsidRDefault="0036157E" w:rsidP="00072041">
      <w:pPr>
        <w:pStyle w:val="ListNumber"/>
        <w:numPr>
          <w:ilvl w:val="0"/>
          <w:numId w:val="0"/>
        </w:numPr>
        <w:spacing w:line="360" w:lineRule="auto"/>
        <w:ind w:left="2160" w:firstLine="720"/>
      </w:pPr>
    </w:p>
    <w:p w:rsidR="00E53D09" w:rsidRDefault="00E53D09" w:rsidP="00072041">
      <w:pPr>
        <w:pStyle w:val="ListNumber"/>
        <w:numPr>
          <w:ilvl w:val="0"/>
          <w:numId w:val="28"/>
        </w:numPr>
        <w:spacing w:line="360" w:lineRule="auto"/>
        <w:ind w:left="2070" w:firstLine="810"/>
      </w:pPr>
      <w:r>
        <w:t>If a party’s independent expert, another member of the independent expert’s firm or the independent expert’s firm generally also serves as an expert for, or as a consultant or advisor to a competitor or any affiliate of a competitor of the producing party, said independent expert must: (a) advise the producing party of the competitor’s or affiliate’s names(s)</w:t>
      </w:r>
      <w:r w:rsidR="005D75B5">
        <w:t>;</w:t>
      </w:r>
      <w:r>
        <w:t xml:space="preserve"> (b) make reasonable attempts to segregate those personnel assisting in the expert’s participation in this proceeding from those personnel working on behalf of a competitor or any affiliate of a competitor </w:t>
      </w:r>
      <w:r>
        <w:lastRenderedPageBreak/>
        <w:t xml:space="preserve">of the producing party; and (c) if segregation of such personnel is impractical, the independent expert shall give to the producing party written assurances that the lack of segregation will in no way jeopardize the interests of the producing party.  The producing party retains the right to challenge the adequacy of the written assurances that its interests will not be jeopardized. </w:t>
      </w:r>
    </w:p>
    <w:p w:rsidR="0036157E" w:rsidRDefault="0036157E" w:rsidP="00072041">
      <w:pPr>
        <w:pStyle w:val="ListParagraph"/>
        <w:ind w:left="2070" w:firstLine="810"/>
      </w:pPr>
    </w:p>
    <w:p w:rsidR="00E53D09" w:rsidRDefault="00E53D09" w:rsidP="00072041">
      <w:pPr>
        <w:pStyle w:val="ListNumber"/>
        <w:numPr>
          <w:ilvl w:val="0"/>
          <w:numId w:val="28"/>
        </w:numPr>
        <w:spacing w:line="360" w:lineRule="auto"/>
        <w:ind w:left="2070" w:firstLine="810"/>
      </w:pPr>
      <w:r>
        <w:t xml:space="preserve">Any information provided under this provision may be used only for and to the extent that it is necessary for participation in this proceeding; any person obtaining information through this provision may not use that information to gain any commercial advantage and any person obtaining information may not forward it to any person to gain commercial advantage. </w:t>
      </w:r>
    </w:p>
    <w:p w:rsidR="0036157E" w:rsidRDefault="0036157E" w:rsidP="0036157E">
      <w:pPr>
        <w:pStyle w:val="ListNumber"/>
        <w:numPr>
          <w:ilvl w:val="0"/>
          <w:numId w:val="0"/>
        </w:numPr>
        <w:spacing w:line="360" w:lineRule="auto"/>
        <w:ind w:left="3210"/>
      </w:pPr>
    </w:p>
    <w:p w:rsidR="00E53D09" w:rsidRDefault="00E53D09" w:rsidP="00765EE5">
      <w:pPr>
        <w:pStyle w:val="ListNumber"/>
        <w:numPr>
          <w:ilvl w:val="0"/>
          <w:numId w:val="27"/>
        </w:numPr>
        <w:spacing w:line="360" w:lineRule="auto"/>
        <w:ind w:left="1440" w:firstLine="720"/>
      </w:pPr>
      <w:r>
        <w:rPr>
          <w:u w:val="single"/>
        </w:rPr>
        <w:t>Highly Confidential Information</w:t>
      </w:r>
      <w:r>
        <w:t>.  Highly Confidential Information shall be produced for inspection by party’s counsel of record only.</w:t>
      </w:r>
      <w:r>
        <w:rPr>
          <w:rStyle w:val="FootnoteReference"/>
        </w:rPr>
        <w:footnoteReference w:id="1"/>
      </w:r>
      <w:r>
        <w:t xml:space="preserve"> </w:t>
      </w:r>
      <w:r w:rsidR="00BC703D">
        <w:t xml:space="preserve"> </w:t>
      </w:r>
      <w:r>
        <w:t xml:space="preserve">If the inspecting lawyer desires copies of such material, or desires to disclose its contents to persons other than counsel of record, she or he shall submit a written request to the producing party’s counsel.  If requesting and producing parties are unable to reach agreement with respect to such a request, they may submit the issue to the presiding Administrative Law Judge; provided, however, that, in the event that the information involves a specific customer of Peoples, then such customer’s information shall be provided only to </w:t>
      </w:r>
      <w:r w:rsidR="00E5327A">
        <w:t>c</w:t>
      </w:r>
      <w:r>
        <w:t xml:space="preserve">ounsel and their expert witnesses upon the execution by the expert witness of the Affidavit attached to this Protective Order.  </w:t>
      </w:r>
    </w:p>
    <w:p w:rsidR="0036157E" w:rsidRDefault="0036157E" w:rsidP="00765EE5">
      <w:pPr>
        <w:pStyle w:val="ListNumber"/>
        <w:numPr>
          <w:ilvl w:val="0"/>
          <w:numId w:val="0"/>
        </w:numPr>
        <w:spacing w:line="360" w:lineRule="auto"/>
        <w:ind w:left="1440" w:firstLine="720"/>
      </w:pPr>
    </w:p>
    <w:p w:rsidR="00E53D09" w:rsidRDefault="00E53D09" w:rsidP="00765EE5">
      <w:pPr>
        <w:pStyle w:val="ListNumber"/>
        <w:numPr>
          <w:ilvl w:val="0"/>
          <w:numId w:val="0"/>
        </w:numPr>
        <w:spacing w:line="360" w:lineRule="auto"/>
        <w:ind w:left="1440" w:firstLine="720"/>
      </w:pPr>
      <w:r>
        <w:lastRenderedPageBreak/>
        <w:t>(c)</w:t>
      </w:r>
      <w:r w:rsidR="00765EE5">
        <w:tab/>
      </w:r>
      <w:r>
        <w:t xml:space="preserve">No other persons may have access to the Proprietary or Highly Confidential Information except as authorized by order of the Commission or of the presiding Administrative Law Judge.  No person who may be entitled to receive, or who is afforded access to any Proprietary or Highly Confidential Information shall use or disclose such information for the purposes of business or competition, or any purpose other than the preparation for and conduct of this proceeding or any administrative or judicial review thereof. </w:t>
      </w:r>
    </w:p>
    <w:p w:rsidR="0036157E" w:rsidRDefault="0036157E" w:rsidP="0036157E">
      <w:pPr>
        <w:pStyle w:val="ListNumber"/>
        <w:numPr>
          <w:ilvl w:val="0"/>
          <w:numId w:val="0"/>
        </w:numPr>
        <w:spacing w:line="360" w:lineRule="auto"/>
      </w:pPr>
    </w:p>
    <w:p w:rsidR="00E53D09" w:rsidRDefault="008E5C80" w:rsidP="0036157E">
      <w:pPr>
        <w:pStyle w:val="ListNumber"/>
        <w:numPr>
          <w:ilvl w:val="0"/>
          <w:numId w:val="11"/>
        </w:numPr>
        <w:tabs>
          <w:tab w:val="clear" w:pos="720"/>
        </w:tabs>
        <w:spacing w:line="360" w:lineRule="auto"/>
        <w:ind w:firstLine="1440"/>
      </w:pPr>
      <w:r>
        <w:t>That pr</w:t>
      </w:r>
      <w:r w:rsidR="00E53D09">
        <w:t xml:space="preserve">ior to making Proprietary or Highly Confidential Information available to any person as provided in paragraph 6 of this Protective Order, counsel shall deliver a copy of this Protective Order to such person and shall receive a written acknowledgment from that person in the form attached to this Protective Order and designated as Appendix A.  Counsel shall promptly deliver to the producing party a copy of the executed acknowledgment form. </w:t>
      </w:r>
    </w:p>
    <w:p w:rsidR="0036157E" w:rsidRDefault="0036157E" w:rsidP="0036157E">
      <w:pPr>
        <w:pStyle w:val="ListNumber"/>
        <w:numPr>
          <w:ilvl w:val="0"/>
          <w:numId w:val="0"/>
        </w:numPr>
        <w:spacing w:line="360" w:lineRule="auto"/>
        <w:ind w:left="720" w:firstLine="1440"/>
      </w:pPr>
    </w:p>
    <w:p w:rsidR="00E53D09" w:rsidRDefault="00E53D09" w:rsidP="0036157E">
      <w:pPr>
        <w:pStyle w:val="ListNumber"/>
        <w:numPr>
          <w:ilvl w:val="0"/>
          <w:numId w:val="11"/>
        </w:numPr>
        <w:tabs>
          <w:tab w:val="clear" w:pos="720"/>
        </w:tabs>
        <w:spacing w:line="360" w:lineRule="auto"/>
        <w:ind w:firstLine="1440"/>
      </w:pPr>
      <w:r>
        <w:t xml:space="preserve">That the Parties shall designate data or documents as constituting or containing Proprietary Information by stamping the documents “Confidential” or “Highly Confidential.”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in an envelope separate from the nonproprietary materials, and the envelope shall be conspicuously marked “Confidential” or “Highly Confidential.”  </w:t>
      </w:r>
    </w:p>
    <w:p w:rsidR="0036157E" w:rsidRDefault="0036157E" w:rsidP="0036157E">
      <w:pPr>
        <w:pStyle w:val="ListNumber"/>
        <w:numPr>
          <w:ilvl w:val="0"/>
          <w:numId w:val="0"/>
        </w:numPr>
        <w:spacing w:line="360" w:lineRule="auto"/>
        <w:ind w:left="720" w:firstLine="1440"/>
      </w:pPr>
    </w:p>
    <w:p w:rsidR="0036157E" w:rsidRDefault="00E53D09" w:rsidP="0036157E">
      <w:pPr>
        <w:pStyle w:val="ListNumber"/>
        <w:numPr>
          <w:ilvl w:val="0"/>
          <w:numId w:val="11"/>
        </w:numPr>
        <w:tabs>
          <w:tab w:val="clear" w:pos="720"/>
        </w:tabs>
        <w:spacing w:line="360" w:lineRule="auto"/>
        <w:ind w:firstLine="1440"/>
      </w:pPr>
      <w:r>
        <w:t xml:space="preserve">That the Parties will consider and treat the Proprietary Information as within the definition of “confidential information” in Section 102 of the Pennsylvania Right-to-Know Law of 2008, 65 P.S. § 67.102 and subject to exemptions from disclosure as provided for in Section 708 of the Pennsylvania Right-to-Know Law of 2008, 65 P.S. § 67.708, until the information is found by a tribunal with jurisdiction to be not confidential or subject to one or more exemptions. </w:t>
      </w:r>
    </w:p>
    <w:p w:rsidR="00E53D09" w:rsidRDefault="00E53D09" w:rsidP="0036157E">
      <w:pPr>
        <w:pStyle w:val="ListNumber"/>
        <w:numPr>
          <w:ilvl w:val="0"/>
          <w:numId w:val="0"/>
        </w:numPr>
        <w:spacing w:line="360" w:lineRule="auto"/>
        <w:ind w:left="720" w:firstLine="1440"/>
      </w:pPr>
      <w:r>
        <w:t xml:space="preserve"> </w:t>
      </w:r>
    </w:p>
    <w:p w:rsidR="00E53D09" w:rsidRDefault="00E53D09" w:rsidP="0036157E">
      <w:pPr>
        <w:pStyle w:val="ListNumber"/>
        <w:numPr>
          <w:ilvl w:val="0"/>
          <w:numId w:val="11"/>
        </w:numPr>
        <w:tabs>
          <w:tab w:val="clear" w:pos="720"/>
        </w:tabs>
        <w:spacing w:line="360" w:lineRule="auto"/>
        <w:ind w:firstLine="1440"/>
      </w:pPr>
      <w:r>
        <w:lastRenderedPageBreak/>
        <w:t xml:space="preserve">That any public reference to Proprietary Information by a Party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36157E" w:rsidRDefault="0036157E" w:rsidP="0036157E">
      <w:pPr>
        <w:pStyle w:val="ListNumber"/>
        <w:numPr>
          <w:ilvl w:val="0"/>
          <w:numId w:val="0"/>
        </w:numPr>
        <w:spacing w:line="360" w:lineRule="auto"/>
        <w:ind w:left="720" w:firstLine="1440"/>
      </w:pPr>
    </w:p>
    <w:p w:rsidR="0036157E" w:rsidRDefault="00E53D09" w:rsidP="0036157E">
      <w:pPr>
        <w:pStyle w:val="ListNumber"/>
        <w:numPr>
          <w:ilvl w:val="0"/>
          <w:numId w:val="11"/>
        </w:numPr>
        <w:tabs>
          <w:tab w:val="clear" w:pos="720"/>
        </w:tabs>
        <w:spacing w:line="360" w:lineRule="auto"/>
        <w:ind w:firstLine="1440"/>
      </w:pPr>
      <w:r>
        <w:t>That any part of the record of this proceeding containing Proprietary Information, including but not limited to all exhibits, writings, testimony, cross</w:t>
      </w:r>
      <w:r w:rsidR="00035359">
        <w:t>-</w:t>
      </w:r>
      <w:r>
        <w:t>examination and argument, and including reference thereto as mentioned in paragraph 6 above, shall be sealed for all purposes, including administrative and judicial review, unless such Proprietary Information is released from the restrictions of this Protective Order, either through the agreement of the Parties to this Protective Order or pursuant to an order of the Administrative Law Judge, the Commission or appellate court.  Unresolved challenges arising under paragraph 11 shall be decided on motion or petition by the presiding officer or the Commission as provided by 52 Pa. Code § 5.423(a).  All such challenges will be resolved in conformity with existing rules, regulations, orders, statutes, precedent, etc., to the extent that such guidance is available.</w:t>
      </w:r>
    </w:p>
    <w:p w:rsidR="00E53D09" w:rsidRDefault="00E53D09" w:rsidP="0036157E">
      <w:pPr>
        <w:pStyle w:val="ListNumber"/>
        <w:numPr>
          <w:ilvl w:val="0"/>
          <w:numId w:val="0"/>
        </w:numPr>
        <w:spacing w:line="360" w:lineRule="auto"/>
        <w:ind w:left="720" w:firstLine="1440"/>
      </w:pPr>
      <w:r>
        <w:t xml:space="preserve">   </w:t>
      </w:r>
    </w:p>
    <w:p w:rsidR="00E53D09" w:rsidRDefault="00E53D09" w:rsidP="0036157E">
      <w:pPr>
        <w:pStyle w:val="ListNumber"/>
        <w:numPr>
          <w:ilvl w:val="0"/>
          <w:numId w:val="11"/>
        </w:numPr>
        <w:tabs>
          <w:tab w:val="clear" w:pos="720"/>
        </w:tabs>
        <w:spacing w:line="360" w:lineRule="auto"/>
        <w:ind w:firstLine="1440"/>
      </w:pPr>
      <w:r>
        <w:t>That the Parties shall retain the right to question or challenge the confidential or proprietary nature of Proprietary Information; to question or challenge the admissibility of Proprietary Information; to refuse or object to the production of Proprietary or Highly Confidential Information on any proper ground, including but not limited to irrelevance, immateriality or undue burden; to seek an order permitting disclosure of Proprietary or Highly Confidential Information beyond that allowed in this Protective Order; and to seek additional measures of protection of Proprietary or Highly Confidential Information beyond those provided in this Order.  If a Party challenges the designation of a document or information as proprietary, the Party providing the information retains the burden of demonstrating that the designation is necessary and appropriate.</w:t>
      </w:r>
    </w:p>
    <w:p w:rsidR="0036157E" w:rsidRDefault="0036157E" w:rsidP="0036157E">
      <w:pPr>
        <w:pStyle w:val="ListNumber"/>
        <w:numPr>
          <w:ilvl w:val="0"/>
          <w:numId w:val="0"/>
        </w:numPr>
        <w:spacing w:line="360" w:lineRule="auto"/>
        <w:ind w:left="720" w:firstLine="1440"/>
      </w:pPr>
    </w:p>
    <w:p w:rsidR="00E53D09" w:rsidRDefault="00E53D09" w:rsidP="0036157E">
      <w:pPr>
        <w:pStyle w:val="ListNumber"/>
        <w:spacing w:line="360" w:lineRule="auto"/>
        <w:ind w:firstLine="1440"/>
      </w:pPr>
      <w:r>
        <w:t xml:space="preserve">That within 30 days after a Commission final order is entered in the above-captioned proceeding, or in the event of appeals, within thirty days after appeals are finally decided, the Party, upon request, shall either destroy or return to the Parties all copies of </w:t>
      </w:r>
      <w:r>
        <w:lastRenderedPageBreak/>
        <w:t>all documents and other materials not entered into the record, including notes, which contain any Proprietary Information; provided however that the Party shall not be required to destroy or alter back-up or archive tapes from its computer system that may have been generated during the time that the Party possessed the Proprietary Information but the Party shall take reasonable steps to ensure that unauthorized persons (other than information technology personnel or consultants) do not have access to such back-up or archive tapes until such time that the Proprietary Information is removed from the back-up or archive tapes.  In the event that the Party elects to destroy all copies of documents and other materials containing Proprietary Information, as limited above, instead of returning the copies of documents and other materials containing Proprietary Information to the Parties, the Party shall certify in writing to the other Party that the Proprietary Information has been destroyed.</w:t>
      </w:r>
      <w:bookmarkStart w:id="1" w:name="_DV_M23"/>
      <w:bookmarkStart w:id="2" w:name="_DV_M26"/>
      <w:bookmarkStart w:id="3" w:name="_DV_M30"/>
      <w:bookmarkStart w:id="4" w:name="_DV_M32"/>
      <w:bookmarkStart w:id="5" w:name="_DV_M37"/>
      <w:bookmarkStart w:id="6" w:name="_DV_M39"/>
      <w:bookmarkEnd w:id="1"/>
      <w:bookmarkEnd w:id="2"/>
      <w:bookmarkEnd w:id="3"/>
      <w:bookmarkEnd w:id="4"/>
      <w:bookmarkEnd w:id="5"/>
      <w:bookmarkEnd w:id="6"/>
    </w:p>
    <w:p w:rsidR="0036157E" w:rsidRDefault="0036157E" w:rsidP="0036157E">
      <w:pPr>
        <w:tabs>
          <w:tab w:val="left" w:pos="0"/>
        </w:tabs>
        <w:ind w:firstLine="1440"/>
        <w:jc w:val="both"/>
      </w:pPr>
    </w:p>
    <w:p w:rsidR="0036157E" w:rsidRDefault="0036157E" w:rsidP="0036157E">
      <w:pPr>
        <w:tabs>
          <w:tab w:val="left" w:pos="0"/>
        </w:tabs>
        <w:jc w:val="both"/>
      </w:pPr>
    </w:p>
    <w:p w:rsidR="0036157E" w:rsidRDefault="0036157E" w:rsidP="0036157E">
      <w:pPr>
        <w:tabs>
          <w:tab w:val="left" w:pos="0"/>
        </w:tabs>
        <w:jc w:val="both"/>
      </w:pPr>
      <w:r>
        <w:t xml:space="preserve">Date:  </w:t>
      </w:r>
      <w:r>
        <w:rPr>
          <w:u w:val="single"/>
        </w:rPr>
        <w:t>July 25, 2012</w:t>
      </w:r>
      <w:r>
        <w:tab/>
      </w:r>
      <w:r>
        <w:tab/>
      </w:r>
      <w:r>
        <w:tab/>
      </w:r>
      <w:r>
        <w:tab/>
      </w:r>
      <w:r>
        <w:tab/>
        <w:t>_______________________________</w:t>
      </w:r>
    </w:p>
    <w:p w:rsidR="0036157E" w:rsidRDefault="0036157E" w:rsidP="0036157E">
      <w:pPr>
        <w:tabs>
          <w:tab w:val="left" w:pos="0"/>
        </w:tabs>
        <w:jc w:val="both"/>
      </w:pPr>
      <w:r>
        <w:tab/>
      </w:r>
      <w:r>
        <w:tab/>
      </w:r>
      <w:r>
        <w:tab/>
      </w:r>
      <w:r>
        <w:tab/>
      </w:r>
      <w:r>
        <w:tab/>
      </w:r>
      <w:r>
        <w:tab/>
      </w:r>
      <w:r>
        <w:tab/>
        <w:t>Mary D. Long</w:t>
      </w:r>
    </w:p>
    <w:p w:rsidR="0036157E" w:rsidRDefault="0036157E" w:rsidP="0036157E">
      <w:pPr>
        <w:tabs>
          <w:tab w:val="left" w:pos="0"/>
        </w:tabs>
        <w:jc w:val="both"/>
      </w:pPr>
      <w:r>
        <w:tab/>
      </w:r>
      <w:r>
        <w:tab/>
      </w:r>
      <w:r>
        <w:tab/>
      </w:r>
      <w:r>
        <w:tab/>
      </w:r>
      <w:r>
        <w:tab/>
      </w:r>
      <w:r>
        <w:tab/>
      </w:r>
      <w:r>
        <w:tab/>
        <w:t>Administrative Law Judge</w:t>
      </w:r>
    </w:p>
    <w:p w:rsidR="0036157E" w:rsidRDefault="0036157E" w:rsidP="0036157E">
      <w:pPr>
        <w:sectPr w:rsidR="0036157E" w:rsidSect="00B91548">
          <w:footerReference w:type="default" r:id="rId9"/>
          <w:pgSz w:w="12240" w:h="15840"/>
          <w:pgMar w:top="1440" w:right="1440" w:bottom="1440" w:left="1440" w:header="1440" w:footer="720" w:gutter="0"/>
          <w:pgNumType w:start="1"/>
          <w:cols w:space="720"/>
          <w:titlePg/>
          <w:docGrid w:linePitch="326"/>
        </w:sectPr>
      </w:pPr>
    </w:p>
    <w:p w:rsidR="00E53D09" w:rsidRDefault="00E53D09">
      <w:pPr>
        <w:jc w:val="center"/>
        <w:rPr>
          <w:b/>
        </w:rPr>
      </w:pPr>
      <w:r>
        <w:rPr>
          <w:b/>
        </w:rPr>
        <w:lastRenderedPageBreak/>
        <w:t>APPENDIX A</w:t>
      </w:r>
    </w:p>
    <w:p w:rsidR="0036157E" w:rsidRDefault="0036157E">
      <w:pPr>
        <w:jc w:val="center"/>
        <w:rPr>
          <w:b/>
        </w:rPr>
      </w:pPr>
    </w:p>
    <w:p w:rsidR="00E53D09" w:rsidRDefault="00E53D09">
      <w:pPr>
        <w:jc w:val="center"/>
        <w:rPr>
          <w:b/>
        </w:rPr>
      </w:pPr>
      <w:r>
        <w:rPr>
          <w:b/>
        </w:rPr>
        <w:t>BEFORE THE</w:t>
      </w:r>
    </w:p>
    <w:p w:rsidR="00E53D09" w:rsidRDefault="00E53D09">
      <w:pPr>
        <w:jc w:val="center"/>
        <w:rPr>
          <w:b/>
        </w:rPr>
      </w:pPr>
      <w:r>
        <w:rPr>
          <w:b/>
        </w:rPr>
        <w:t>PENNSYLVANIA PUBLIC UTILITY COMMISSION</w:t>
      </w:r>
    </w:p>
    <w:p w:rsidR="0036157E" w:rsidRDefault="0036157E">
      <w:pPr>
        <w:jc w:val="center"/>
      </w:pPr>
    </w:p>
    <w:p w:rsidR="00E53D09" w:rsidRDefault="00E53D09">
      <w:pPr>
        <w:jc w:val="center"/>
      </w:pPr>
    </w:p>
    <w:tbl>
      <w:tblPr>
        <w:tblW w:w="9348" w:type="dxa"/>
        <w:tblLook w:val="01E0" w:firstRow="1" w:lastRow="1" w:firstColumn="1" w:lastColumn="1" w:noHBand="0" w:noVBand="0"/>
      </w:tblPr>
      <w:tblGrid>
        <w:gridCol w:w="5148"/>
        <w:gridCol w:w="360"/>
        <w:gridCol w:w="3840"/>
      </w:tblGrid>
      <w:tr w:rsidR="00E53D09">
        <w:tc>
          <w:tcPr>
            <w:tcW w:w="5148" w:type="dxa"/>
            <w:shd w:val="clear" w:color="auto" w:fill="auto"/>
          </w:tcPr>
          <w:p w:rsidR="000B43C8" w:rsidRDefault="000B43C8"/>
          <w:p w:rsidR="00E53D09" w:rsidRDefault="00E53D09">
            <w:r>
              <w:t>Pennsyl</w:t>
            </w:r>
            <w:r w:rsidR="004D2B37">
              <w:t>vania Public Utility Commission</w:t>
            </w:r>
            <w:r w:rsidR="005D75B5">
              <w:t xml:space="preserve">, </w:t>
            </w:r>
            <w:r w:rsidR="005D75B5" w:rsidRPr="005D75B5">
              <w:rPr>
                <w:i/>
              </w:rPr>
              <w:t>et al.</w:t>
            </w:r>
          </w:p>
        </w:tc>
        <w:tc>
          <w:tcPr>
            <w:tcW w:w="360" w:type="dxa"/>
            <w:shd w:val="clear" w:color="auto" w:fill="auto"/>
          </w:tcPr>
          <w:p w:rsidR="000B43C8" w:rsidRDefault="000B43C8"/>
          <w:p w:rsidR="00E53D09" w:rsidRDefault="00E53D09">
            <w:r>
              <w:t>:</w:t>
            </w:r>
          </w:p>
        </w:tc>
        <w:tc>
          <w:tcPr>
            <w:tcW w:w="3840" w:type="dxa"/>
            <w:shd w:val="clear" w:color="auto" w:fill="auto"/>
          </w:tcPr>
          <w:p w:rsidR="000B43C8" w:rsidRDefault="000B43C8">
            <w:pPr>
              <w:jc w:val="right"/>
            </w:pPr>
          </w:p>
          <w:p w:rsidR="00E53D09" w:rsidRDefault="00E53D09" w:rsidP="005D75B5">
            <w:pPr>
              <w:ind w:right="492"/>
              <w:jc w:val="right"/>
              <w:rPr>
                <w:lang w:val="fr-FR"/>
              </w:rPr>
            </w:pPr>
            <w:r>
              <w:t>R-2012-2285985</w:t>
            </w:r>
            <w:r w:rsidR="005D75B5">
              <w:t xml:space="preserve">, </w:t>
            </w:r>
            <w:r w:rsidR="005D75B5" w:rsidRPr="005D75B5">
              <w:rPr>
                <w:i/>
              </w:rPr>
              <w:t>et al.</w:t>
            </w:r>
          </w:p>
        </w:tc>
      </w:tr>
      <w:tr w:rsidR="00E53D09" w:rsidTr="00263B97">
        <w:trPr>
          <w:trHeight w:val="225"/>
        </w:trPr>
        <w:tc>
          <w:tcPr>
            <w:tcW w:w="5148" w:type="dxa"/>
            <w:shd w:val="clear" w:color="auto" w:fill="auto"/>
          </w:tcPr>
          <w:p w:rsidR="00E53D09" w:rsidRDefault="00E53D09">
            <w:pPr>
              <w:ind w:right="492"/>
            </w:pPr>
          </w:p>
        </w:tc>
        <w:tc>
          <w:tcPr>
            <w:tcW w:w="360" w:type="dxa"/>
            <w:shd w:val="clear" w:color="auto" w:fill="auto"/>
          </w:tcPr>
          <w:p w:rsidR="00E53D09" w:rsidRDefault="0036157E">
            <w:r>
              <w:t>:</w:t>
            </w:r>
          </w:p>
        </w:tc>
        <w:tc>
          <w:tcPr>
            <w:tcW w:w="3840" w:type="dxa"/>
            <w:shd w:val="clear" w:color="auto" w:fill="auto"/>
          </w:tcPr>
          <w:p w:rsidR="00E53D09" w:rsidRDefault="00E53D09">
            <w:pPr>
              <w:jc w:val="right"/>
            </w:pPr>
          </w:p>
        </w:tc>
      </w:tr>
      <w:tr w:rsidR="00E53D09">
        <w:tc>
          <w:tcPr>
            <w:tcW w:w="5148" w:type="dxa"/>
            <w:shd w:val="clear" w:color="auto" w:fill="auto"/>
          </w:tcPr>
          <w:p w:rsidR="00E53D09" w:rsidRDefault="00E53D09" w:rsidP="004D2B37">
            <w:pPr>
              <w:ind w:right="3492"/>
              <w:jc w:val="center"/>
            </w:pPr>
            <w:r>
              <w:t xml:space="preserve">v. </w:t>
            </w: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E53D09">
            <w:pPr>
              <w:jc w:val="center"/>
            </w:pP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4D2B37">
            <w:r>
              <w:t>Peoples Natural Gas Company LLC</w:t>
            </w:r>
          </w:p>
        </w:tc>
        <w:tc>
          <w:tcPr>
            <w:tcW w:w="360" w:type="dxa"/>
            <w:shd w:val="clear" w:color="auto" w:fill="auto"/>
          </w:tcPr>
          <w:p w:rsidR="00E53D09" w:rsidRDefault="00E53D09">
            <w:r>
              <w:t>:</w:t>
            </w:r>
          </w:p>
        </w:tc>
        <w:tc>
          <w:tcPr>
            <w:tcW w:w="3840" w:type="dxa"/>
            <w:shd w:val="clear" w:color="auto" w:fill="auto"/>
          </w:tcPr>
          <w:p w:rsidR="00E53D09" w:rsidRDefault="00E53D09"/>
        </w:tc>
      </w:tr>
      <w:tr w:rsidR="00E53D09">
        <w:tc>
          <w:tcPr>
            <w:tcW w:w="5148" w:type="dxa"/>
            <w:shd w:val="clear" w:color="auto" w:fill="auto"/>
          </w:tcPr>
          <w:p w:rsidR="00E53D09" w:rsidRDefault="00E53D09" w:rsidP="000B43C8"/>
        </w:tc>
        <w:tc>
          <w:tcPr>
            <w:tcW w:w="360" w:type="dxa"/>
            <w:shd w:val="clear" w:color="auto" w:fill="auto"/>
          </w:tcPr>
          <w:p w:rsidR="00E53D09" w:rsidRDefault="00E53D09" w:rsidP="000B43C8"/>
        </w:tc>
        <w:tc>
          <w:tcPr>
            <w:tcW w:w="3840" w:type="dxa"/>
            <w:shd w:val="clear" w:color="auto" w:fill="auto"/>
          </w:tcPr>
          <w:p w:rsidR="00E53D09" w:rsidRDefault="00E53D09" w:rsidP="000B43C8"/>
        </w:tc>
      </w:tr>
    </w:tbl>
    <w:p w:rsidR="0036157E" w:rsidRDefault="0036157E" w:rsidP="000B43C8">
      <w:pPr>
        <w:rPr>
          <w:sz w:val="22"/>
          <w:szCs w:val="22"/>
        </w:rPr>
      </w:pPr>
    </w:p>
    <w:p w:rsidR="000B43C8" w:rsidRDefault="000B43C8" w:rsidP="000B43C8">
      <w:pPr>
        <w:rPr>
          <w:sz w:val="22"/>
          <w:szCs w:val="22"/>
        </w:rPr>
      </w:pPr>
    </w:p>
    <w:p w:rsidR="00E53D09" w:rsidRDefault="00E53D09" w:rsidP="000B43C8">
      <w:pPr>
        <w:rPr>
          <w:sz w:val="22"/>
          <w:szCs w:val="22"/>
        </w:rPr>
      </w:pPr>
      <w:r>
        <w:rPr>
          <w:sz w:val="22"/>
          <w:szCs w:val="22"/>
        </w:rPr>
        <w:t>TO WHOM IT MAY CONCERN:</w:t>
      </w:r>
    </w:p>
    <w:p w:rsidR="000B43C8" w:rsidRDefault="000B43C8" w:rsidP="000B43C8">
      <w:pPr>
        <w:rPr>
          <w:sz w:val="22"/>
          <w:szCs w:val="22"/>
        </w:rPr>
      </w:pPr>
    </w:p>
    <w:p w:rsidR="0025606C" w:rsidRDefault="0025606C" w:rsidP="004D2B37">
      <w:pPr>
        <w:ind w:firstLine="1440"/>
        <w:rPr>
          <w:sz w:val="22"/>
          <w:szCs w:val="22"/>
        </w:rPr>
      </w:pPr>
    </w:p>
    <w:p w:rsidR="00E53D09" w:rsidRDefault="00E53D09" w:rsidP="0025606C">
      <w:pPr>
        <w:ind w:firstLine="1440"/>
        <w:rPr>
          <w:sz w:val="22"/>
          <w:szCs w:val="22"/>
        </w:rPr>
      </w:pPr>
      <w:r>
        <w:rPr>
          <w:sz w:val="22"/>
          <w:szCs w:val="22"/>
        </w:rPr>
        <w:t>The undersigned is the Reviewing Representative of ___________________________ (the retaining party), a party to this proceeding, and is not, or has no knowledge or basis for believing that he or she is: (1) an officer, board member, stockholder, partner or owner of any competitor of Peoples Natural Gas Company (the “Producing Party”)</w:t>
      </w:r>
      <w:r w:rsidR="0068355C">
        <w:rPr>
          <w:sz w:val="22"/>
          <w:szCs w:val="22"/>
        </w:rPr>
        <w:t>;</w:t>
      </w:r>
      <w:r>
        <w:rPr>
          <w:sz w:val="22"/>
          <w:szCs w:val="22"/>
        </w:rPr>
        <w:t xml:space="preserve"> or</w:t>
      </w:r>
      <w:r w:rsidR="005D75B5">
        <w:rPr>
          <w:sz w:val="22"/>
          <w:szCs w:val="22"/>
        </w:rPr>
        <w:t xml:space="preserve"> (2) a specific customer</w:t>
      </w:r>
      <w:r>
        <w:rPr>
          <w:sz w:val="22"/>
          <w:szCs w:val="22"/>
        </w:rPr>
        <w:t xml:space="preserve">, in the event that the information involves </w:t>
      </w:r>
      <w:r w:rsidR="005D75B5">
        <w:rPr>
          <w:sz w:val="22"/>
          <w:szCs w:val="22"/>
        </w:rPr>
        <w:t>th</w:t>
      </w:r>
      <w:r>
        <w:rPr>
          <w:sz w:val="22"/>
          <w:szCs w:val="22"/>
        </w:rPr>
        <w:t>a</w:t>
      </w:r>
      <w:r w:rsidR="005D75B5">
        <w:rPr>
          <w:sz w:val="22"/>
          <w:szCs w:val="22"/>
        </w:rPr>
        <w:t>t</w:t>
      </w:r>
      <w:r>
        <w:rPr>
          <w:sz w:val="22"/>
          <w:szCs w:val="22"/>
        </w:rPr>
        <w:t xml:space="preserve"> specific customer of </w:t>
      </w:r>
      <w:r w:rsidR="005D75B5">
        <w:rPr>
          <w:sz w:val="22"/>
          <w:szCs w:val="22"/>
        </w:rPr>
        <w:t>Peoples Natural Gas Company LLC</w:t>
      </w:r>
      <w:r>
        <w:rPr>
          <w:sz w:val="22"/>
          <w:szCs w:val="22"/>
        </w:rPr>
        <w:t xml:space="preserve">; or </w:t>
      </w:r>
      <w:r w:rsidR="005D75B5">
        <w:rPr>
          <w:sz w:val="22"/>
          <w:szCs w:val="22"/>
        </w:rPr>
        <w:t xml:space="preserve">(3) </w:t>
      </w:r>
      <w:r>
        <w:rPr>
          <w:sz w:val="22"/>
          <w:szCs w:val="22"/>
        </w:rPr>
        <w:t>an employee of any competitor of the Producing Party or such customer who is primarily involved in the pricing, development, and/or marketing of products or services that are offered in competition with those of the Producing Party or such customer; or (</w:t>
      </w:r>
      <w:r w:rsidR="005D75B5">
        <w:rPr>
          <w:sz w:val="22"/>
          <w:szCs w:val="22"/>
        </w:rPr>
        <w:t>4</w:t>
      </w:r>
      <w:r>
        <w:rPr>
          <w:sz w:val="22"/>
          <w:szCs w:val="22"/>
        </w:rPr>
        <w:t>) an officer, board member, stockholder, partner, or owner of any affiliate of a Competitor of the Producing Party or such customer.</w:t>
      </w:r>
    </w:p>
    <w:p w:rsidR="0036157E" w:rsidRDefault="0036157E" w:rsidP="004D2B37">
      <w:pPr>
        <w:ind w:firstLine="1440"/>
        <w:rPr>
          <w:sz w:val="22"/>
          <w:szCs w:val="22"/>
        </w:rPr>
      </w:pPr>
    </w:p>
    <w:p w:rsidR="00E53D09" w:rsidRDefault="00E53D09" w:rsidP="004D2B37">
      <w:pPr>
        <w:pStyle w:val="BodyText2"/>
        <w:spacing w:line="240" w:lineRule="auto"/>
        <w:ind w:firstLine="1440"/>
        <w:jc w:val="left"/>
        <w:rPr>
          <w:sz w:val="22"/>
          <w:szCs w:val="22"/>
        </w:rPr>
      </w:pPr>
      <w:r>
        <w:rPr>
          <w:sz w:val="22"/>
          <w:szCs w:val="22"/>
        </w:rPr>
        <w:t>The undersigned agrees that any Confidential or Highly Confidential Information shall be used or disclosed only for purposes of preparatio</w:t>
      </w:r>
      <w:r w:rsidR="00035359">
        <w:rPr>
          <w:sz w:val="22"/>
          <w:szCs w:val="22"/>
        </w:rPr>
        <w:t>n for, and conduct of the above-</w:t>
      </w:r>
      <w:r>
        <w:rPr>
          <w:sz w:val="22"/>
          <w:szCs w:val="22"/>
        </w:rPr>
        <w:t>captioned proceedings, and any administrative or judicial review thereof, and shall not be disclosed or used for any other purposes whatsoever.  In the case of an independent expert, the undersigned represents that he/she has complied with the provisions of paragraph 5 of the Order prior to submitting this Affidavit.</w:t>
      </w:r>
    </w:p>
    <w:p w:rsidR="00E53D09" w:rsidRDefault="00E53D09">
      <w:pPr>
        <w:pStyle w:val="BodyText2"/>
        <w:spacing w:line="240" w:lineRule="auto"/>
        <w:rPr>
          <w:sz w:val="22"/>
          <w:szCs w:val="22"/>
        </w:rPr>
      </w:pPr>
    </w:p>
    <w:p w:rsidR="00E53D09" w:rsidRDefault="00E53D09">
      <w:pPr>
        <w:pStyle w:val="BodyText2"/>
        <w:spacing w:line="240" w:lineRule="auto"/>
        <w:rPr>
          <w:sz w:val="22"/>
          <w:szCs w:val="22"/>
        </w:rPr>
      </w:pPr>
    </w:p>
    <w:p w:rsidR="00E53D09" w:rsidRDefault="00E53D0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w:t>
      </w: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w:t>
      </w:r>
    </w:p>
    <w:p w:rsidR="00E53D09" w:rsidRDefault="00E53D09" w:rsidP="0036157E">
      <w:pPr>
        <w:rPr>
          <w:sz w:val="22"/>
          <w:szCs w:val="22"/>
        </w:rPr>
      </w:pP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w:t>
      </w: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 NAME</w:t>
      </w:r>
    </w:p>
    <w:p w:rsidR="00E53D09" w:rsidRDefault="00E53D09" w:rsidP="0036157E">
      <w:pPr>
        <w:rPr>
          <w:sz w:val="22"/>
          <w:szCs w:val="22"/>
        </w:rPr>
      </w:pP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w:t>
      </w: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ADDRESS</w:t>
      </w:r>
    </w:p>
    <w:p w:rsidR="00E53D09" w:rsidRDefault="00E53D09" w:rsidP="0036157E">
      <w:pPr>
        <w:rPr>
          <w:sz w:val="22"/>
          <w:szCs w:val="22"/>
        </w:rPr>
      </w:pP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w:t>
      </w:r>
    </w:p>
    <w:p w:rsidR="00E53D09"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EMPLOYER</w:t>
      </w:r>
    </w:p>
    <w:p w:rsidR="00E53D09" w:rsidRDefault="00E53D09" w:rsidP="0036157E">
      <w:pPr>
        <w:rPr>
          <w:sz w:val="22"/>
          <w:szCs w:val="22"/>
        </w:rPr>
      </w:pPr>
    </w:p>
    <w:p w:rsidR="002075D3" w:rsidRDefault="00E53D09" w:rsidP="0036157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DATE:  ____________________</w:t>
      </w:r>
    </w:p>
    <w:sectPr w:rsidR="002075D3">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1152"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560" w:rsidRDefault="00DA7560">
      <w:r>
        <w:separator/>
      </w:r>
    </w:p>
  </w:endnote>
  <w:endnote w:type="continuationSeparator" w:id="0">
    <w:p w:rsidR="00DA7560" w:rsidRDefault="00DA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548" w:rsidRPr="000B43C8" w:rsidRDefault="00B91548">
    <w:pPr>
      <w:pStyle w:val="Footer"/>
      <w:jc w:val="center"/>
      <w:rPr>
        <w:sz w:val="22"/>
        <w:szCs w:val="22"/>
      </w:rPr>
    </w:pPr>
    <w:r w:rsidRPr="000B43C8">
      <w:rPr>
        <w:sz w:val="22"/>
        <w:szCs w:val="22"/>
      </w:rPr>
      <w:fldChar w:fldCharType="begin"/>
    </w:r>
    <w:r w:rsidRPr="000B43C8">
      <w:rPr>
        <w:sz w:val="22"/>
        <w:szCs w:val="22"/>
      </w:rPr>
      <w:instrText xml:space="preserve"> PAGE   \* MERGEFORMAT </w:instrText>
    </w:r>
    <w:r w:rsidRPr="000B43C8">
      <w:rPr>
        <w:sz w:val="22"/>
        <w:szCs w:val="22"/>
      </w:rPr>
      <w:fldChar w:fldCharType="separate"/>
    </w:r>
    <w:r w:rsidR="00CF4F06">
      <w:rPr>
        <w:noProof/>
        <w:sz w:val="22"/>
        <w:szCs w:val="22"/>
      </w:rPr>
      <w:t>7</w:t>
    </w:r>
    <w:r w:rsidRPr="000B43C8">
      <w:rPr>
        <w:noProof/>
        <w:sz w:val="22"/>
        <w:szCs w:val="22"/>
      </w:rPr>
      <w:fldChar w:fldCharType="end"/>
    </w:r>
  </w:p>
  <w:p w:rsidR="00B91548" w:rsidRDefault="00B915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09" w:rsidRDefault="00E53D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09" w:rsidRDefault="00E53D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09" w:rsidRDefault="00E53D09">
    <w:pPr>
      <w:pStyle w:val="Footer"/>
    </w:pPr>
    <w:r>
      <w:rPr>
        <w:rStyle w:val="DocID"/>
      </w:rPr>
      <w:t>9804518v2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560" w:rsidRDefault="00DA7560">
      <w:r>
        <w:separator/>
      </w:r>
    </w:p>
  </w:footnote>
  <w:footnote w:type="continuationSeparator" w:id="0">
    <w:p w:rsidR="00DA7560" w:rsidRDefault="00DA7560">
      <w:r>
        <w:continuationSeparator/>
      </w:r>
    </w:p>
  </w:footnote>
  <w:footnote w:id="1">
    <w:p w:rsidR="00E53D09" w:rsidRDefault="00E53D09" w:rsidP="0036157E">
      <w:pPr>
        <w:pStyle w:val="FootnoteText"/>
        <w:jc w:val="both"/>
      </w:pPr>
      <w:r>
        <w:rPr>
          <w:rStyle w:val="FootnoteReference"/>
          <w:sz w:val="20"/>
        </w:rPr>
        <w:footnoteRef/>
      </w:r>
      <w:r>
        <w:t xml:space="preserve"> </w:t>
      </w:r>
      <w:r w:rsidR="0036157E">
        <w:tab/>
      </w:r>
      <w:r>
        <w:rPr>
          <w:sz w:val="20"/>
        </w:rPr>
        <w:t xml:space="preserve">Highly Confidential Information shall be produced to the </w:t>
      </w:r>
      <w:r w:rsidR="00E5327A">
        <w:rPr>
          <w:sz w:val="20"/>
        </w:rPr>
        <w:t>c</w:t>
      </w:r>
      <w:r>
        <w:rPr>
          <w:sz w:val="20"/>
        </w:rPr>
        <w:t xml:space="preserve">ounsel of record for the Bureau of Investigation and Enforcement, Office of Small Business Advocate and the Office of Consumer Advocate.  Counsel for these parties may make such information available to paralegals, or other associated </w:t>
      </w:r>
      <w:r w:rsidR="008A1A2D">
        <w:rPr>
          <w:sz w:val="20"/>
        </w:rPr>
        <w:t>employees and</w:t>
      </w:r>
      <w:r>
        <w:rPr>
          <w:sz w:val="20"/>
        </w:rPr>
        <w:t xml:space="preserve"> to their expert witnesses or an employee of an expert witness upon execution of the Affidavit attached to this Protective Order.  The provisions of Paragraph 7(b) shall be otherwise inapplicable to </w:t>
      </w:r>
      <w:r w:rsidR="00E5327A">
        <w:rPr>
          <w:sz w:val="20"/>
        </w:rPr>
        <w:t>c</w:t>
      </w:r>
      <w:r>
        <w:rPr>
          <w:sz w:val="20"/>
        </w:rPr>
        <w:t>ounsel for these parties and their expert witnesses.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09" w:rsidRDefault="00E53D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09" w:rsidRDefault="00E53D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D09" w:rsidRDefault="00E53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CC2701E"/>
    <w:lvl w:ilvl="0">
      <w:start w:val="1"/>
      <w:numFmt w:val="bullet"/>
      <w:pStyle w:val="ListBullet5"/>
      <w:lvlText w:val=""/>
      <w:lvlJc w:val="left"/>
      <w:pPr>
        <w:tabs>
          <w:tab w:val="num" w:pos="1800"/>
        </w:tabs>
        <w:ind w:left="1800" w:hanging="360"/>
      </w:pPr>
      <w:rPr>
        <w:rFonts w:ascii="Symbol" w:hAnsi="Symbol" w:hint="default"/>
        <w:sz w:val="20"/>
      </w:rPr>
    </w:lvl>
  </w:abstractNum>
  <w:abstractNum w:abstractNumId="1">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2">
    <w:nsid w:val="FFFFFF82"/>
    <w:multiLevelType w:val="singleLevel"/>
    <w:tmpl w:val="683AD90E"/>
    <w:lvl w:ilvl="0">
      <w:start w:val="1"/>
      <w:numFmt w:val="bullet"/>
      <w:pStyle w:val="ListBullet3"/>
      <w:lvlText w:val=""/>
      <w:lvlJc w:val="left"/>
      <w:pPr>
        <w:tabs>
          <w:tab w:val="num" w:pos="1080"/>
        </w:tabs>
        <w:ind w:left="1080" w:hanging="360"/>
      </w:pPr>
      <w:rPr>
        <w:rFonts w:ascii="Symbol" w:hAnsi="Symbol" w:hint="default"/>
        <w:sz w:val="20"/>
      </w:rPr>
    </w:lvl>
  </w:abstractNum>
  <w:abstractNum w:abstractNumId="3">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4">
    <w:nsid w:val="FFFFFF88"/>
    <w:multiLevelType w:val="singleLevel"/>
    <w:tmpl w:val="3446F074"/>
    <w:lvl w:ilvl="0">
      <w:start w:val="1"/>
      <w:numFmt w:val="decimal"/>
      <w:pStyle w:val="ListNumber"/>
      <w:lvlText w:val="%1."/>
      <w:lvlJc w:val="left"/>
      <w:pPr>
        <w:tabs>
          <w:tab w:val="num" w:pos="720"/>
        </w:tabs>
        <w:ind w:left="0" w:firstLine="720"/>
      </w:pPr>
      <w:rPr>
        <w:rFonts w:hint="default"/>
      </w:rPr>
    </w:lvl>
  </w:abstractNum>
  <w:abstractNum w:abstractNumId="5">
    <w:nsid w:val="FFFFFF89"/>
    <w:multiLevelType w:val="singleLevel"/>
    <w:tmpl w:val="01768896"/>
    <w:lvl w:ilvl="0">
      <w:start w:val="1"/>
      <w:numFmt w:val="bullet"/>
      <w:pStyle w:val="ListBullet"/>
      <w:lvlText w:val=""/>
      <w:lvlJc w:val="left"/>
      <w:pPr>
        <w:tabs>
          <w:tab w:val="num" w:pos="360"/>
        </w:tabs>
        <w:ind w:left="360" w:hanging="360"/>
      </w:pPr>
      <w:rPr>
        <w:rFonts w:ascii="Symbol" w:hAnsi="Symbol" w:hint="default"/>
        <w:sz w:val="20"/>
      </w:rPr>
    </w:lvl>
  </w:abstractNum>
  <w:abstractNum w:abstractNumId="6">
    <w:nsid w:val="17734644"/>
    <w:multiLevelType w:val="hybridMultilevel"/>
    <w:tmpl w:val="00447194"/>
    <w:lvl w:ilvl="0" w:tplc="8C263034">
      <w:start w:val="4"/>
      <w:numFmt w:val="lowerRoman"/>
      <w:lvlText w:val="(%1)"/>
      <w:lvlJc w:val="left"/>
      <w:pPr>
        <w:tabs>
          <w:tab w:val="num" w:pos="4320"/>
        </w:tabs>
        <w:ind w:left="4320" w:hanging="720"/>
      </w:pPr>
      <w:rPr>
        <w:rFonts w:hint="default"/>
      </w:rPr>
    </w:lvl>
    <w:lvl w:ilvl="1" w:tplc="AEBE543C">
      <w:start w:val="1"/>
      <w:numFmt w:val="low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7">
    <w:nsid w:val="187C79A9"/>
    <w:multiLevelType w:val="hybridMultilevel"/>
    <w:tmpl w:val="2884C6A0"/>
    <w:name w:val=" Numbered List2"/>
    <w:lvl w:ilvl="0" w:tplc="DF44E044">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3F6368"/>
    <w:multiLevelType w:val="multilevel"/>
    <w:tmpl w:val="D3CA6806"/>
    <w:lvl w:ilvl="0">
      <w:start w:val="1"/>
      <w:numFmt w:val="lowerRoman"/>
      <w:lvlText w:val="(%1)"/>
      <w:lvlJc w:val="left"/>
      <w:pPr>
        <w:tabs>
          <w:tab w:val="num" w:pos="2520"/>
        </w:tabs>
        <w:ind w:left="25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C57D8A"/>
    <w:multiLevelType w:val="hybridMultilevel"/>
    <w:tmpl w:val="4A4CB8E6"/>
    <w:lvl w:ilvl="0" w:tplc="F480529E">
      <w:start w:val="1"/>
      <w:numFmt w:val="lowerLetter"/>
      <w:lvlText w:val="(%1)"/>
      <w:lvlJc w:val="left"/>
      <w:pPr>
        <w:tabs>
          <w:tab w:val="num" w:pos="2160"/>
        </w:tabs>
        <w:ind w:left="2160" w:hanging="720"/>
      </w:pPr>
      <w:rPr>
        <w:rFonts w:hint="default"/>
      </w:rPr>
    </w:lvl>
    <w:lvl w:ilvl="1" w:tplc="01EE748A">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AE724D8"/>
    <w:multiLevelType w:val="hybridMultilevel"/>
    <w:tmpl w:val="2D569A9E"/>
    <w:lvl w:ilvl="0" w:tplc="D67E4F4A">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32A53180"/>
    <w:multiLevelType w:val="hybridMultilevel"/>
    <w:tmpl w:val="C3067282"/>
    <w:lvl w:ilvl="0" w:tplc="F962B29E">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2">
    <w:nsid w:val="458676CA"/>
    <w:multiLevelType w:val="hybridMultilevel"/>
    <w:tmpl w:val="0C7EAE7E"/>
    <w:lvl w:ilvl="0" w:tplc="D66473EE">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51EE6EC5"/>
    <w:multiLevelType w:val="hybridMultilevel"/>
    <w:tmpl w:val="F16419C4"/>
    <w:lvl w:ilvl="0" w:tplc="3E92C4DE">
      <w:start w:val="1"/>
      <w:numFmt w:val="lowerRoman"/>
      <w:lvlText w:val="(%1)"/>
      <w:lvlJc w:val="left"/>
      <w:pPr>
        <w:ind w:left="3210" w:hanging="1065"/>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14">
    <w:nsid w:val="527E6740"/>
    <w:multiLevelType w:val="hybridMultilevel"/>
    <w:tmpl w:val="9F063E88"/>
    <w:lvl w:ilvl="0" w:tplc="2DCEBD80">
      <w:start w:val="1"/>
      <w:numFmt w:val="lowerRoman"/>
      <w:lvlText w:val="(%1)"/>
      <w:lvlJc w:val="left"/>
      <w:pPr>
        <w:tabs>
          <w:tab w:val="num" w:pos="1980"/>
        </w:tabs>
        <w:ind w:left="1980" w:hanging="54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5">
    <w:nsid w:val="56FA05B3"/>
    <w:multiLevelType w:val="hybridMultilevel"/>
    <w:tmpl w:val="A8B47608"/>
    <w:lvl w:ilvl="0" w:tplc="B8C625D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8DE06D3"/>
    <w:multiLevelType w:val="multilevel"/>
    <w:tmpl w:val="A8B47608"/>
    <w:lvl w:ilvl="0">
      <w:start w:val="1"/>
      <w:numFmt w:val="low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427674"/>
    <w:multiLevelType w:val="hybridMultilevel"/>
    <w:tmpl w:val="48DC8F40"/>
    <w:name w:val=" Numbered List3"/>
    <w:lvl w:ilvl="0" w:tplc="F43E866E">
      <w:start w:val="13"/>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B72CC1"/>
    <w:multiLevelType w:val="singleLevel"/>
    <w:tmpl w:val="F9BE95FA"/>
    <w:name w:val=" Numbered List"/>
    <w:lvl w:ilvl="0">
      <w:start w:val="6"/>
      <w:numFmt w:val="decimal"/>
      <w:lvlText w:val="%1."/>
      <w:lvlJc w:val="left"/>
      <w:pPr>
        <w:tabs>
          <w:tab w:val="num" w:pos="720"/>
        </w:tabs>
        <w:ind w:left="0" w:firstLine="720"/>
      </w:pPr>
      <w:rPr>
        <w:rFonts w:hint="default"/>
      </w:rPr>
    </w:lvl>
  </w:abstractNum>
  <w:abstractNum w:abstractNumId="19">
    <w:nsid w:val="72271164"/>
    <w:multiLevelType w:val="hybridMultilevel"/>
    <w:tmpl w:val="D3CA6806"/>
    <w:lvl w:ilvl="0" w:tplc="2DCEBD80">
      <w:start w:val="1"/>
      <w:numFmt w:val="lowerRoman"/>
      <w:lvlText w:val="(%1)"/>
      <w:lvlJc w:val="left"/>
      <w:pPr>
        <w:tabs>
          <w:tab w:val="num" w:pos="2520"/>
        </w:tabs>
        <w:ind w:left="25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2"/>
  </w:num>
  <w:num w:numId="5">
    <w:abstractNumId w:val="1"/>
  </w:num>
  <w:num w:numId="6">
    <w:abstractNumId w:val="1"/>
  </w:num>
  <w:num w:numId="7">
    <w:abstractNumId w:val="0"/>
  </w:num>
  <w:num w:numId="8">
    <w:abstractNumId w:val="0"/>
  </w:num>
  <w:num w:numId="9">
    <w:abstractNumId w:val="5"/>
  </w:num>
  <w:num w:numId="10">
    <w:abstractNumId w:val="5"/>
  </w:num>
  <w:num w:numId="11">
    <w:abstractNumId w:val="4"/>
  </w:num>
  <w:num w:numId="12">
    <w:abstractNumId w:val="4"/>
  </w:num>
  <w:num w:numId="13">
    <w:abstractNumId w:val="4"/>
    <w:lvlOverride w:ilvl="0">
      <w:startOverride w:val="1"/>
    </w:lvlOverride>
  </w:num>
  <w:num w:numId="14">
    <w:abstractNumId w:val="6"/>
  </w:num>
  <w:num w:numId="15">
    <w:abstractNumId w:val="18"/>
  </w:num>
  <w:num w:numId="16">
    <w:abstractNumId w:val="7"/>
  </w:num>
  <w:num w:numId="17">
    <w:abstractNumId w:val="17"/>
  </w:num>
  <w:num w:numId="18">
    <w:abstractNumId w:val="4"/>
    <w:lvlOverride w:ilvl="0">
      <w:startOverride w:val="1"/>
    </w:lvlOverride>
  </w:num>
  <w:num w:numId="19">
    <w:abstractNumId w:val="9"/>
  </w:num>
  <w:num w:numId="20">
    <w:abstractNumId w:val="15"/>
  </w:num>
  <w:num w:numId="21">
    <w:abstractNumId w:val="16"/>
  </w:num>
  <w:num w:numId="22">
    <w:abstractNumId w:val="19"/>
  </w:num>
  <w:num w:numId="23">
    <w:abstractNumId w:val="8"/>
  </w:num>
  <w:num w:numId="24">
    <w:abstractNumId w:val="14"/>
  </w:num>
  <w:num w:numId="25">
    <w:abstractNumId w:val="12"/>
  </w:num>
  <w:num w:numId="26">
    <w:abstractNumId w:val="10"/>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8C"/>
    <w:rsid w:val="00035359"/>
    <w:rsid w:val="00072041"/>
    <w:rsid w:val="000B43C8"/>
    <w:rsid w:val="00112D7D"/>
    <w:rsid w:val="001B1A6D"/>
    <w:rsid w:val="002075D3"/>
    <w:rsid w:val="002427A9"/>
    <w:rsid w:val="0025606C"/>
    <w:rsid w:val="00263B97"/>
    <w:rsid w:val="0036157E"/>
    <w:rsid w:val="00370E3D"/>
    <w:rsid w:val="004D2B37"/>
    <w:rsid w:val="005B198C"/>
    <w:rsid w:val="005D75B5"/>
    <w:rsid w:val="006034BA"/>
    <w:rsid w:val="00610162"/>
    <w:rsid w:val="0068355C"/>
    <w:rsid w:val="006B67A6"/>
    <w:rsid w:val="00765EE5"/>
    <w:rsid w:val="0084509D"/>
    <w:rsid w:val="0084605E"/>
    <w:rsid w:val="008A1A2D"/>
    <w:rsid w:val="008E5C80"/>
    <w:rsid w:val="009C6F9F"/>
    <w:rsid w:val="00A37543"/>
    <w:rsid w:val="00B91548"/>
    <w:rsid w:val="00BC703D"/>
    <w:rsid w:val="00BE3059"/>
    <w:rsid w:val="00C21210"/>
    <w:rsid w:val="00CF4F06"/>
    <w:rsid w:val="00DA7560"/>
    <w:rsid w:val="00E332D1"/>
    <w:rsid w:val="00E5327A"/>
    <w:rsid w:val="00E53D09"/>
    <w:rsid w:val="00ED2B67"/>
    <w:rsid w:val="00EE1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spacing w:after="240"/>
      <w:ind w:left="1440" w:right="1440"/>
      <w:jc w:val="both"/>
    </w:pPr>
  </w:style>
  <w:style w:type="paragraph" w:styleId="BodyText">
    <w:name w:val="Body Text"/>
    <w:basedOn w:val="Normal"/>
    <w:link w:val="BodyTextChar"/>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4"/>
      <w:szCs w:val="24"/>
      <w:lang w:val="en-US" w:eastAsia="en-US" w:bidi="ar-SA"/>
    </w:rPr>
  </w:style>
  <w:style w:type="character" w:customStyle="1" w:styleId="DocID">
    <w:name w:val="DocID"/>
    <w:rPr>
      <w:rFonts w:ascii="Times New Roman" w:hAnsi="Times New Roman" w:cs="Times New Roman"/>
      <w:b w:val="0"/>
      <w:color w:val="000000"/>
      <w:sz w:val="18"/>
      <w:u w:val="none"/>
    </w:rPr>
  </w:style>
  <w:style w:type="character" w:styleId="PageNumber">
    <w:name w:val="page number"/>
    <w:rPr>
      <w:rFonts w:ascii="Times New Roman" w:hAnsi="Times New Roman" w:cs="Times New Roman"/>
      <w:b w:val="0"/>
      <w:sz w:val="24"/>
    </w:rPr>
  </w:style>
  <w:style w:type="character" w:customStyle="1" w:styleId="BodyTextChar">
    <w:name w:val="Body Text Char"/>
    <w:link w:val="BodyText"/>
    <w:rPr>
      <w:sz w:val="24"/>
      <w:szCs w:val="24"/>
      <w:lang w:val="en-US" w:eastAsia="en-US" w:bidi="ar-SA"/>
    </w:rPr>
  </w:style>
  <w:style w:type="paragraph" w:styleId="ListParagraph">
    <w:name w:val="List Paragraph"/>
    <w:basedOn w:val="Normal"/>
    <w:uiPriority w:val="34"/>
    <w:qFormat/>
    <w:rsid w:val="0036157E"/>
    <w:pPr>
      <w:ind w:left="720"/>
    </w:pPr>
  </w:style>
  <w:style w:type="character" w:customStyle="1" w:styleId="FooterChar">
    <w:name w:val="Footer Char"/>
    <w:link w:val="Footer"/>
    <w:uiPriority w:val="99"/>
    <w:rsid w:val="00B915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spacing w:after="240"/>
      <w:outlineLvl w:val="0"/>
    </w:pPr>
    <w:rPr>
      <w:rFonts w:cs="Arial"/>
      <w:b/>
      <w:bCs/>
      <w:kern w:val="32"/>
      <w:szCs w:val="32"/>
      <w:u w:val="single"/>
    </w:rPr>
  </w:style>
  <w:style w:type="paragraph" w:styleId="Heading2">
    <w:name w:val="heading 2"/>
    <w:basedOn w:val="Normal"/>
    <w:next w:val="BodyText"/>
    <w:qFormat/>
    <w:pPr>
      <w:keepNext/>
      <w:spacing w:after="240"/>
      <w:ind w:left="1440" w:hanging="720"/>
      <w:outlineLvl w:val="1"/>
    </w:pPr>
    <w:rPr>
      <w:rFonts w:cs="Arial"/>
      <w:b/>
      <w:bCs/>
      <w:iCs/>
      <w:szCs w:val="28"/>
    </w:rPr>
  </w:style>
  <w:style w:type="paragraph" w:styleId="Heading3">
    <w:name w:val="heading 3"/>
    <w:basedOn w:val="Normal"/>
    <w:next w:val="BodyText"/>
    <w:qFormat/>
    <w:pPr>
      <w:keepNext/>
      <w:spacing w:after="240"/>
      <w:ind w:left="2160" w:hanging="720"/>
      <w:outlineLvl w:val="2"/>
    </w:pPr>
    <w:rPr>
      <w:rFonts w:cs="Arial"/>
      <w:b/>
      <w:bCs/>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spacing w:after="240"/>
      <w:ind w:left="1440" w:right="1440"/>
      <w:jc w:val="both"/>
    </w:pPr>
  </w:style>
  <w:style w:type="paragraph" w:styleId="BodyText">
    <w:name w:val="Body Text"/>
    <w:basedOn w:val="Normal"/>
    <w:link w:val="BodyTextChar"/>
    <w:pPr>
      <w:spacing w:after="240"/>
      <w:ind w:firstLine="720"/>
      <w:jc w:val="both"/>
    </w:pPr>
  </w:style>
  <w:style w:type="paragraph" w:styleId="BodyText2">
    <w:name w:val="Body Text 2"/>
    <w:basedOn w:val="Normal"/>
    <w:link w:val="BodyText2Char"/>
    <w:pPr>
      <w:spacing w:line="480" w:lineRule="auto"/>
      <w:ind w:firstLine="720"/>
      <w:jc w:val="both"/>
    </w:pPr>
  </w:style>
  <w:style w:type="paragraph" w:customStyle="1" w:styleId="BodyText2USDE">
    <w:name w:val="Body Text 2 USDE"/>
    <w:basedOn w:val="Normal"/>
    <w:pPr>
      <w:spacing w:after="240" w:line="480" w:lineRule="auto"/>
      <w:ind w:firstLine="720"/>
    </w:pPr>
    <w:rPr>
      <w:szCs w:val="28"/>
    </w:rPr>
  </w:style>
  <w:style w:type="paragraph" w:styleId="BodyText3">
    <w:name w:val="Body Text 3"/>
    <w:basedOn w:val="Normal"/>
    <w:pPr>
      <w:spacing w:line="480" w:lineRule="auto"/>
      <w:ind w:firstLine="1440"/>
      <w:jc w:val="both"/>
    </w:pPr>
  </w:style>
  <w:style w:type="paragraph" w:styleId="FootnoteText">
    <w:name w:val="footnote text"/>
    <w:basedOn w:val="Normal"/>
    <w:semiHidden/>
    <w:pPr>
      <w:ind w:firstLine="720"/>
    </w:pPr>
    <w:rPr>
      <w:szCs w:val="20"/>
    </w:rPr>
  </w:style>
  <w:style w:type="paragraph" w:customStyle="1" w:styleId="IndentDouble">
    <w:name w:val="Indent Double"/>
    <w:basedOn w:val="Normal"/>
    <w:next w:val="BodyText"/>
    <w:pPr>
      <w:spacing w:after="240"/>
      <w:ind w:left="2160" w:right="2160"/>
      <w:jc w:val="both"/>
    </w:pPr>
  </w:style>
  <w:style w:type="paragraph" w:customStyle="1" w:styleId="IndentSingle">
    <w:name w:val="Indent Single"/>
    <w:basedOn w:val="Normal"/>
    <w:next w:val="BodyText"/>
    <w:pPr>
      <w:spacing w:after="240"/>
      <w:ind w:left="1440" w:right="1440"/>
      <w:jc w:val="both"/>
    </w:pPr>
  </w:style>
  <w:style w:type="paragraph" w:customStyle="1" w:styleId="IndentTriple">
    <w:name w:val="Indent Triple"/>
    <w:basedOn w:val="Normal"/>
    <w:next w:val="BodyText"/>
    <w:pPr>
      <w:spacing w:after="240"/>
      <w:ind w:left="2880" w:right="2880"/>
      <w:jc w:val="both"/>
    </w:pPr>
  </w:style>
  <w:style w:type="paragraph" w:styleId="ListBullet2">
    <w:name w:val="List Bullet 2"/>
    <w:aliases w:val="b2"/>
    <w:basedOn w:val="Normal"/>
    <w:pPr>
      <w:numPr>
        <w:numId w:val="2"/>
      </w:numPr>
      <w:spacing w:after="240"/>
      <w:jc w:val="both"/>
    </w:pPr>
    <w:rPr>
      <w:szCs w:val="20"/>
    </w:rPr>
  </w:style>
  <w:style w:type="paragraph" w:styleId="ListBullet3">
    <w:name w:val="List Bullet 3"/>
    <w:aliases w:val="b3"/>
    <w:basedOn w:val="Normal"/>
    <w:pPr>
      <w:numPr>
        <w:numId w:val="4"/>
      </w:numPr>
      <w:spacing w:after="240"/>
      <w:jc w:val="both"/>
    </w:pPr>
    <w:rPr>
      <w:szCs w:val="20"/>
    </w:rPr>
  </w:style>
  <w:style w:type="paragraph" w:styleId="ListBullet4">
    <w:name w:val="List Bullet 4"/>
    <w:aliases w:val="b4"/>
    <w:basedOn w:val="Normal"/>
    <w:pPr>
      <w:numPr>
        <w:numId w:val="6"/>
      </w:numPr>
      <w:spacing w:after="240"/>
      <w:jc w:val="both"/>
    </w:pPr>
    <w:rPr>
      <w:szCs w:val="20"/>
    </w:rPr>
  </w:style>
  <w:style w:type="paragraph" w:styleId="ListBullet5">
    <w:name w:val="List Bullet 5"/>
    <w:aliases w:val="b5"/>
    <w:basedOn w:val="Normal"/>
    <w:pPr>
      <w:numPr>
        <w:numId w:val="8"/>
      </w:numPr>
      <w:spacing w:after="240"/>
      <w:jc w:val="both"/>
    </w:pPr>
    <w:rPr>
      <w:szCs w:val="20"/>
    </w:rPr>
  </w:style>
  <w:style w:type="paragraph" w:styleId="ListBullet">
    <w:name w:val="List Bullet"/>
    <w:aliases w:val="b1"/>
    <w:basedOn w:val="Normal"/>
    <w:pPr>
      <w:numPr>
        <w:numId w:val="10"/>
      </w:numPr>
      <w:spacing w:after="240"/>
      <w:jc w:val="both"/>
    </w:pPr>
    <w:rPr>
      <w:szCs w:val="20"/>
    </w:rPr>
  </w:style>
  <w:style w:type="paragraph" w:styleId="ListNumber">
    <w:name w:val="List Number"/>
    <w:basedOn w:val="Normal"/>
    <w:pPr>
      <w:numPr>
        <w:numId w:val="12"/>
      </w:numPr>
      <w:spacing w:line="480" w:lineRule="auto"/>
    </w:pPr>
  </w:style>
  <w:style w:type="paragraph" w:customStyle="1" w:styleId="PSNormal">
    <w:name w:val="PSNormal"/>
    <w:basedOn w:val="Normal"/>
    <w:pPr>
      <w:jc w:val="both"/>
    </w:pPr>
  </w:style>
  <w:style w:type="paragraph" w:styleId="Quote">
    <w:name w:val="Quote"/>
    <w:basedOn w:val="Normal"/>
    <w:qFormat/>
    <w:pPr>
      <w:spacing w:after="240"/>
      <w:ind w:left="2160" w:right="720" w:hanging="720"/>
      <w:jc w:val="both"/>
    </w:pPr>
  </w:style>
  <w:style w:type="paragraph" w:styleId="Title">
    <w:name w:val="Title"/>
    <w:basedOn w:val="Normal"/>
    <w:next w:val="BodyText2"/>
    <w:qFormat/>
    <w:pPr>
      <w:spacing w:after="240"/>
      <w:jc w:val="center"/>
      <w:outlineLvl w:val="0"/>
    </w:pPr>
    <w:rPr>
      <w:rFonts w:cs="Arial"/>
      <w:b/>
      <w:bCs/>
      <w:caps/>
    </w:rPr>
  </w:style>
  <w:style w:type="paragraph" w:customStyle="1" w:styleId="Title2">
    <w:name w:val="Title2"/>
    <w:basedOn w:val="Normal"/>
    <w:next w:val="BodyText2"/>
    <w:pPr>
      <w:spacing w:after="240"/>
    </w:pPr>
    <w:rPr>
      <w:rFonts w:ascii="Times New Roman Bold" w:hAnsi="Times New Roman Bold"/>
      <w:b/>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spacing w:after="120"/>
      <w:ind w:left="360"/>
    </w:pPr>
  </w:style>
  <w:style w:type="character" w:customStyle="1" w:styleId="DeltaViewInsertion">
    <w:name w:val="DeltaView Insertion"/>
    <w:rPr>
      <w:color w:val="0000FF"/>
      <w:u w:val="double"/>
    </w:rPr>
  </w:style>
  <w:style w:type="character" w:customStyle="1" w:styleId="DeltaViewDeletion">
    <w:name w:val="DeltaView Deletion"/>
    <w:rPr>
      <w:strike/>
      <w:color w:val="FF0000"/>
    </w:rPr>
  </w:style>
  <w:style w:type="paragraph" w:styleId="BalloonText">
    <w:name w:val="Balloon Text"/>
    <w:basedOn w:val="Normal"/>
    <w:semiHidden/>
    <w:rPr>
      <w:rFonts w:ascii="Tahoma" w:hAnsi="Tahoma" w:cs="Tahoma"/>
      <w:sz w:val="16"/>
      <w:szCs w:val="16"/>
    </w:rPr>
  </w:style>
  <w:style w:type="character" w:customStyle="1" w:styleId="BodyText2Char">
    <w:name w:val="Body Text 2 Char"/>
    <w:link w:val="BodyText2"/>
    <w:rPr>
      <w:sz w:val="24"/>
      <w:szCs w:val="24"/>
      <w:lang w:val="en-US" w:eastAsia="en-US" w:bidi="ar-SA"/>
    </w:rPr>
  </w:style>
  <w:style w:type="character" w:customStyle="1" w:styleId="DocID">
    <w:name w:val="DocID"/>
    <w:rPr>
      <w:rFonts w:ascii="Times New Roman" w:hAnsi="Times New Roman" w:cs="Times New Roman"/>
      <w:b w:val="0"/>
      <w:color w:val="000000"/>
      <w:sz w:val="18"/>
      <w:u w:val="none"/>
    </w:rPr>
  </w:style>
  <w:style w:type="character" w:styleId="PageNumber">
    <w:name w:val="page number"/>
    <w:rPr>
      <w:rFonts w:ascii="Times New Roman" w:hAnsi="Times New Roman" w:cs="Times New Roman"/>
      <w:b w:val="0"/>
      <w:sz w:val="24"/>
    </w:rPr>
  </w:style>
  <w:style w:type="character" w:customStyle="1" w:styleId="BodyTextChar">
    <w:name w:val="Body Text Char"/>
    <w:link w:val="BodyText"/>
    <w:rPr>
      <w:sz w:val="24"/>
      <w:szCs w:val="24"/>
      <w:lang w:val="en-US" w:eastAsia="en-US" w:bidi="ar-SA"/>
    </w:rPr>
  </w:style>
  <w:style w:type="paragraph" w:styleId="ListParagraph">
    <w:name w:val="List Paragraph"/>
    <w:basedOn w:val="Normal"/>
    <w:uiPriority w:val="34"/>
    <w:qFormat/>
    <w:rsid w:val="0036157E"/>
    <w:pPr>
      <w:ind w:left="720"/>
    </w:pPr>
  </w:style>
  <w:style w:type="character" w:customStyle="1" w:styleId="FooterChar">
    <w:name w:val="Footer Char"/>
    <w:link w:val="Footer"/>
    <w:uiPriority w:val="99"/>
    <w:rsid w:val="00B915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309474">
      <w:bodyDiv w:val="1"/>
      <w:marLeft w:val="0"/>
      <w:marRight w:val="0"/>
      <w:marTop w:val="0"/>
      <w:marBottom w:val="0"/>
      <w:divBdr>
        <w:top w:val="none" w:sz="0" w:space="0" w:color="auto"/>
        <w:left w:val="none" w:sz="0" w:space="0" w:color="auto"/>
        <w:bottom w:val="none" w:sz="0" w:space="0" w:color="auto"/>
        <w:right w:val="none" w:sz="0" w:space="0" w:color="auto"/>
      </w:divBdr>
    </w:div>
    <w:div w:id="1564027686">
      <w:bodyDiv w:val="1"/>
      <w:marLeft w:val="0"/>
      <w:marRight w:val="0"/>
      <w:marTop w:val="0"/>
      <w:marBottom w:val="0"/>
      <w:divBdr>
        <w:top w:val="none" w:sz="0" w:space="0" w:color="auto"/>
        <w:left w:val="none" w:sz="0" w:space="0" w:color="auto"/>
        <w:bottom w:val="none" w:sz="0" w:space="0" w:color="auto"/>
        <w:right w:val="none" w:sz="0" w:space="0" w:color="auto"/>
      </w:divBdr>
      <w:divsChild>
        <w:div w:id="1094668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5E5CA-4B90-4A16-956F-8E380CF1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2211</Words>
  <Characters>12608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2012-07-25T18:37:00Z</dcterms:created>
  <dcterms:modified xsi:type="dcterms:W3CDTF">2012-07-25T18:37:00Z</dcterms:modified>
</cp:coreProperties>
</file>