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58" w:rsidRPr="00A9207F" w:rsidRDefault="007B5858" w:rsidP="00D2106D">
      <w:pPr>
        <w:jc w:val="center"/>
        <w:rPr>
          <w:rFonts w:ascii="Times New Roman" w:hAnsi="Times New Roman" w:cs="Times New Roman"/>
          <w:b/>
        </w:rPr>
      </w:pPr>
      <w:r w:rsidRPr="00A9207F">
        <w:rPr>
          <w:rFonts w:ascii="Times New Roman" w:hAnsi="Times New Roman" w:cs="Times New Roman"/>
          <w:b/>
        </w:rPr>
        <w:t>BEFORE THE</w:t>
      </w:r>
    </w:p>
    <w:p w:rsidR="007B5858" w:rsidRPr="00A9207F" w:rsidRDefault="007B5858" w:rsidP="00D2106D">
      <w:pPr>
        <w:tabs>
          <w:tab w:val="center" w:pos="4680"/>
        </w:tabs>
        <w:suppressAutoHyphens/>
        <w:jc w:val="center"/>
        <w:rPr>
          <w:rFonts w:ascii="Times New Roman" w:hAnsi="Times New Roman" w:cs="Times New Roman"/>
          <w:b/>
          <w:bCs/>
          <w:spacing w:val="-3"/>
        </w:rPr>
      </w:pPr>
      <w:r w:rsidRPr="00A9207F">
        <w:rPr>
          <w:rFonts w:ascii="Times New Roman" w:hAnsi="Times New Roman" w:cs="Times New Roman"/>
          <w:b/>
          <w:bCs/>
          <w:spacing w:val="-3"/>
        </w:rPr>
        <w:t>PENNSYLVANIA PUBLIC UTILITY COMMISSION</w:t>
      </w:r>
    </w:p>
    <w:p w:rsidR="007B5858" w:rsidRPr="00A9207F" w:rsidRDefault="007B5858" w:rsidP="00D2106D">
      <w:pPr>
        <w:tabs>
          <w:tab w:val="left" w:pos="-720"/>
        </w:tabs>
        <w:suppressAutoHyphens/>
        <w:ind w:firstLine="1440"/>
        <w:rPr>
          <w:rFonts w:ascii="Times New Roman" w:hAnsi="Times New Roman" w:cs="Times New Roman"/>
          <w:spacing w:val="-3"/>
        </w:rPr>
      </w:pPr>
    </w:p>
    <w:p w:rsidR="00152E00" w:rsidRPr="00A9207F" w:rsidRDefault="00152E00" w:rsidP="00D2106D">
      <w:pPr>
        <w:tabs>
          <w:tab w:val="left" w:pos="-720"/>
        </w:tabs>
        <w:suppressAutoHyphens/>
        <w:ind w:firstLine="1440"/>
        <w:rPr>
          <w:rFonts w:ascii="Times New Roman" w:hAnsi="Times New Roman" w:cs="Times New Roman"/>
          <w:spacing w:val="-3"/>
        </w:rPr>
      </w:pPr>
    </w:p>
    <w:p w:rsidR="007B5858" w:rsidRPr="00A9207F" w:rsidRDefault="007B5858" w:rsidP="00D2106D">
      <w:pPr>
        <w:tabs>
          <w:tab w:val="left" w:pos="-720"/>
        </w:tabs>
        <w:suppressAutoHyphens/>
        <w:ind w:firstLine="1440"/>
        <w:rPr>
          <w:rFonts w:ascii="Times New Roman" w:hAnsi="Times New Roman" w:cs="Times New Roman"/>
          <w:spacing w:val="-3"/>
        </w:rPr>
      </w:pPr>
    </w:p>
    <w:p w:rsidR="007B5858" w:rsidRPr="00A9207F" w:rsidRDefault="00EF3EE2" w:rsidP="00D2106D">
      <w:pPr>
        <w:rPr>
          <w:rFonts w:ascii="Times New Roman" w:hAnsi="Times New Roman" w:cs="Times New Roman"/>
        </w:rPr>
      </w:pPr>
      <w:r w:rsidRPr="00A9207F">
        <w:rPr>
          <w:rFonts w:ascii="Times New Roman" w:hAnsi="Times New Roman" w:cs="Times New Roman"/>
          <w:spacing w:val="-3"/>
        </w:rPr>
        <w:t>David Moore</w:t>
      </w:r>
      <w:r w:rsidR="00402A0B" w:rsidRPr="00A9207F">
        <w:rPr>
          <w:rFonts w:ascii="Times New Roman" w:hAnsi="Times New Roman" w:cs="Times New Roman"/>
          <w:spacing w:val="-3"/>
        </w:rPr>
        <w:t>, Jr.</w:t>
      </w:r>
      <w:r w:rsidR="00DE71E3" w:rsidRPr="00A9207F">
        <w:rPr>
          <w:rFonts w:ascii="Times New Roman" w:hAnsi="Times New Roman" w:cs="Times New Roman"/>
          <w:spacing w:val="-3"/>
        </w:rPr>
        <w:tab/>
      </w:r>
      <w:r w:rsidR="00DE71E3" w:rsidRPr="00A9207F">
        <w:rPr>
          <w:rFonts w:ascii="Times New Roman" w:hAnsi="Times New Roman" w:cs="Times New Roman"/>
          <w:spacing w:val="-3"/>
        </w:rPr>
        <w:tab/>
      </w:r>
      <w:r w:rsidR="007B5858" w:rsidRPr="00A9207F">
        <w:rPr>
          <w:rFonts w:ascii="Times New Roman" w:hAnsi="Times New Roman" w:cs="Times New Roman"/>
          <w:spacing w:val="-3"/>
        </w:rPr>
        <w:tab/>
      </w:r>
      <w:r w:rsidR="007B5858" w:rsidRPr="00A9207F">
        <w:rPr>
          <w:rFonts w:ascii="Times New Roman" w:hAnsi="Times New Roman" w:cs="Times New Roman"/>
          <w:spacing w:val="-3"/>
        </w:rPr>
        <w:tab/>
      </w:r>
      <w:r w:rsidR="007B5858" w:rsidRPr="00A9207F">
        <w:rPr>
          <w:rFonts w:ascii="Times New Roman" w:hAnsi="Times New Roman" w:cs="Times New Roman"/>
          <w:spacing w:val="-3"/>
        </w:rPr>
        <w:tab/>
        <w:t>:</w:t>
      </w:r>
    </w:p>
    <w:p w:rsidR="007B5858" w:rsidRPr="00A9207F" w:rsidRDefault="007B5858" w:rsidP="00D2106D">
      <w:pPr>
        <w:rPr>
          <w:rFonts w:ascii="Times New Roman" w:hAnsi="Times New Roman" w:cs="Times New Roman"/>
        </w:rPr>
      </w:pP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t>:</w:t>
      </w:r>
    </w:p>
    <w:p w:rsidR="007B5858" w:rsidRPr="00A9207F" w:rsidRDefault="007B5858" w:rsidP="00D2106D">
      <w:pPr>
        <w:rPr>
          <w:rFonts w:ascii="Times New Roman" w:hAnsi="Times New Roman" w:cs="Times New Roman"/>
        </w:rPr>
      </w:pPr>
      <w:r w:rsidRPr="00A9207F">
        <w:rPr>
          <w:rFonts w:ascii="Times New Roman" w:hAnsi="Times New Roman" w:cs="Times New Roman"/>
        </w:rPr>
        <w:tab/>
        <w:t>v.</w:t>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t>:</w:t>
      </w:r>
      <w:r w:rsidRPr="00A9207F">
        <w:rPr>
          <w:rFonts w:ascii="Times New Roman" w:hAnsi="Times New Roman" w:cs="Times New Roman"/>
        </w:rPr>
        <w:tab/>
      </w:r>
      <w:r w:rsidRPr="00A9207F">
        <w:rPr>
          <w:rFonts w:ascii="Times New Roman" w:hAnsi="Times New Roman" w:cs="Times New Roman"/>
        </w:rPr>
        <w:tab/>
        <w:t>C-20</w:t>
      </w:r>
      <w:r w:rsidR="00402A0B" w:rsidRPr="00A9207F">
        <w:rPr>
          <w:rFonts w:ascii="Times New Roman" w:hAnsi="Times New Roman" w:cs="Times New Roman"/>
        </w:rPr>
        <w:t>12</w:t>
      </w:r>
      <w:r w:rsidRPr="00A9207F">
        <w:rPr>
          <w:rFonts w:ascii="Times New Roman" w:hAnsi="Times New Roman" w:cs="Times New Roman"/>
        </w:rPr>
        <w:t>-2</w:t>
      </w:r>
      <w:r w:rsidR="00402A0B" w:rsidRPr="00A9207F">
        <w:rPr>
          <w:rFonts w:ascii="Times New Roman" w:hAnsi="Times New Roman" w:cs="Times New Roman"/>
        </w:rPr>
        <w:t>309932</w:t>
      </w:r>
    </w:p>
    <w:p w:rsidR="007B5858" w:rsidRPr="00A9207F" w:rsidRDefault="007B5858" w:rsidP="00D2106D">
      <w:pPr>
        <w:rPr>
          <w:rFonts w:ascii="Times New Roman" w:hAnsi="Times New Roman" w:cs="Times New Roman"/>
        </w:rPr>
      </w:pP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t>:</w:t>
      </w:r>
    </w:p>
    <w:p w:rsidR="007B5858" w:rsidRPr="00A9207F" w:rsidRDefault="007B5858" w:rsidP="00D2106D">
      <w:pPr>
        <w:rPr>
          <w:rFonts w:ascii="Times New Roman" w:hAnsi="Times New Roman" w:cs="Times New Roman"/>
        </w:rPr>
      </w:pPr>
      <w:r w:rsidRPr="00A9207F">
        <w:rPr>
          <w:rFonts w:ascii="Times New Roman" w:hAnsi="Times New Roman" w:cs="Times New Roman"/>
        </w:rPr>
        <w:t>P</w:t>
      </w:r>
      <w:r w:rsidR="00EF3EE2" w:rsidRPr="00A9207F">
        <w:rPr>
          <w:rFonts w:ascii="Times New Roman" w:hAnsi="Times New Roman" w:cs="Times New Roman"/>
        </w:rPr>
        <w:t>ECO Energy Com</w:t>
      </w:r>
      <w:r w:rsidR="00E54EDF" w:rsidRPr="00A9207F">
        <w:rPr>
          <w:rFonts w:ascii="Times New Roman" w:hAnsi="Times New Roman" w:cs="Times New Roman"/>
        </w:rPr>
        <w:t>p</w:t>
      </w:r>
      <w:r w:rsidR="00EF3EE2" w:rsidRPr="00A9207F">
        <w:rPr>
          <w:rFonts w:ascii="Times New Roman" w:hAnsi="Times New Roman" w:cs="Times New Roman"/>
        </w:rPr>
        <w:t>a</w:t>
      </w:r>
      <w:r w:rsidR="00E54EDF" w:rsidRPr="00A9207F">
        <w:rPr>
          <w:rFonts w:ascii="Times New Roman" w:hAnsi="Times New Roman" w:cs="Times New Roman"/>
        </w:rPr>
        <w:t>ny</w:t>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t>:</w:t>
      </w:r>
    </w:p>
    <w:p w:rsidR="007B5858" w:rsidRPr="00A9207F" w:rsidRDefault="007B5858" w:rsidP="00D2106D">
      <w:pPr>
        <w:rPr>
          <w:rFonts w:ascii="Times New Roman" w:hAnsi="Times New Roman" w:cs="Times New Roman"/>
        </w:rPr>
      </w:pPr>
    </w:p>
    <w:p w:rsidR="007B5858" w:rsidRPr="00A9207F" w:rsidRDefault="007B5858" w:rsidP="00D2106D">
      <w:pPr>
        <w:tabs>
          <w:tab w:val="left" w:pos="-720"/>
        </w:tabs>
        <w:suppressAutoHyphens/>
        <w:rPr>
          <w:rFonts w:ascii="Times New Roman" w:hAnsi="Times New Roman" w:cs="Times New Roman"/>
          <w:spacing w:val="-3"/>
        </w:rPr>
      </w:pPr>
    </w:p>
    <w:p w:rsidR="00794F5B" w:rsidRPr="00A9207F" w:rsidRDefault="00794F5B" w:rsidP="00D2106D">
      <w:pPr>
        <w:tabs>
          <w:tab w:val="left" w:pos="-720"/>
        </w:tabs>
        <w:suppressAutoHyphens/>
        <w:rPr>
          <w:rFonts w:ascii="Times New Roman" w:hAnsi="Times New Roman" w:cs="Times New Roman"/>
          <w:spacing w:val="-3"/>
        </w:rPr>
      </w:pPr>
    </w:p>
    <w:p w:rsidR="007B5858" w:rsidRPr="00A9207F" w:rsidRDefault="007B5858" w:rsidP="00D2106D">
      <w:pPr>
        <w:tabs>
          <w:tab w:val="left" w:pos="-720"/>
          <w:tab w:val="left" w:pos="5040"/>
        </w:tabs>
        <w:suppressAutoHyphens/>
        <w:jc w:val="center"/>
        <w:rPr>
          <w:rFonts w:ascii="Times New Roman" w:hAnsi="Times New Roman" w:cs="Times New Roman"/>
          <w:b/>
          <w:spacing w:val="-3"/>
          <w:u w:val="single"/>
        </w:rPr>
      </w:pPr>
      <w:r w:rsidRPr="00A9207F">
        <w:rPr>
          <w:rFonts w:ascii="Times New Roman" w:hAnsi="Times New Roman" w:cs="Times New Roman"/>
          <w:b/>
          <w:spacing w:val="-3"/>
          <w:u w:val="single"/>
        </w:rPr>
        <w:t>INITIAL DECISION</w:t>
      </w:r>
    </w:p>
    <w:p w:rsidR="00AB0987" w:rsidRPr="00A9207F" w:rsidRDefault="00AB0987" w:rsidP="00D2106D">
      <w:pPr>
        <w:tabs>
          <w:tab w:val="left" w:pos="-720"/>
          <w:tab w:val="left" w:pos="5040"/>
        </w:tabs>
        <w:suppressAutoHyphens/>
        <w:jc w:val="center"/>
        <w:rPr>
          <w:rFonts w:ascii="Times New Roman" w:hAnsi="Times New Roman" w:cs="Times New Roman"/>
          <w:b/>
          <w:spacing w:val="-3"/>
          <w:u w:val="single"/>
        </w:rPr>
      </w:pPr>
    </w:p>
    <w:p w:rsidR="00A47872" w:rsidRPr="00A9207F" w:rsidRDefault="00A47872" w:rsidP="00D2106D">
      <w:pPr>
        <w:tabs>
          <w:tab w:val="left" w:pos="-720"/>
          <w:tab w:val="left" w:pos="5040"/>
        </w:tabs>
        <w:suppressAutoHyphens/>
        <w:jc w:val="center"/>
        <w:rPr>
          <w:rFonts w:ascii="Times New Roman" w:hAnsi="Times New Roman" w:cs="Times New Roman"/>
          <w:b/>
          <w:spacing w:val="-3"/>
          <w:u w:val="single"/>
        </w:rPr>
      </w:pPr>
    </w:p>
    <w:p w:rsidR="00AB0987" w:rsidRPr="00A9207F" w:rsidRDefault="00AB0987" w:rsidP="00D2106D">
      <w:pPr>
        <w:tabs>
          <w:tab w:val="left" w:pos="-720"/>
          <w:tab w:val="left" w:pos="5040"/>
        </w:tabs>
        <w:suppressAutoHyphens/>
        <w:jc w:val="center"/>
        <w:rPr>
          <w:rFonts w:ascii="Times New Roman" w:hAnsi="Times New Roman" w:cs="Times New Roman"/>
          <w:spacing w:val="-3"/>
        </w:rPr>
      </w:pPr>
      <w:r w:rsidRPr="00A9207F">
        <w:rPr>
          <w:rFonts w:ascii="Times New Roman" w:hAnsi="Times New Roman" w:cs="Times New Roman"/>
          <w:spacing w:val="-3"/>
        </w:rPr>
        <w:t>Before</w:t>
      </w:r>
    </w:p>
    <w:p w:rsidR="00AB0987" w:rsidRPr="00A9207F" w:rsidRDefault="00AB0987" w:rsidP="00D2106D">
      <w:pPr>
        <w:tabs>
          <w:tab w:val="left" w:pos="-720"/>
          <w:tab w:val="left" w:pos="5040"/>
        </w:tabs>
        <w:suppressAutoHyphens/>
        <w:jc w:val="center"/>
        <w:rPr>
          <w:rFonts w:ascii="Times New Roman" w:hAnsi="Times New Roman" w:cs="Times New Roman"/>
          <w:spacing w:val="-3"/>
        </w:rPr>
      </w:pPr>
      <w:r w:rsidRPr="00A9207F">
        <w:rPr>
          <w:rFonts w:ascii="Times New Roman" w:hAnsi="Times New Roman" w:cs="Times New Roman"/>
          <w:spacing w:val="-3"/>
        </w:rPr>
        <w:t>Dennis J. Buckley</w:t>
      </w:r>
    </w:p>
    <w:p w:rsidR="00A9207F" w:rsidRPr="00A9207F" w:rsidRDefault="00A9207F" w:rsidP="00A9207F">
      <w:pPr>
        <w:tabs>
          <w:tab w:val="left" w:pos="-720"/>
          <w:tab w:val="left" w:pos="5040"/>
        </w:tabs>
        <w:suppressAutoHyphens/>
        <w:jc w:val="center"/>
        <w:rPr>
          <w:rFonts w:ascii="Times New Roman" w:hAnsi="Times New Roman" w:cs="Times New Roman"/>
          <w:spacing w:val="-3"/>
        </w:rPr>
      </w:pPr>
      <w:r w:rsidRPr="00A9207F">
        <w:rPr>
          <w:rFonts w:ascii="Times New Roman" w:hAnsi="Times New Roman" w:cs="Times New Roman"/>
          <w:spacing w:val="-3"/>
        </w:rPr>
        <w:t>Administrative Law Judge</w:t>
      </w:r>
    </w:p>
    <w:p w:rsidR="00A9207F" w:rsidRPr="00A9207F" w:rsidRDefault="00A9207F" w:rsidP="00D2106D">
      <w:pPr>
        <w:tabs>
          <w:tab w:val="left" w:pos="-720"/>
          <w:tab w:val="left" w:pos="5040"/>
        </w:tabs>
        <w:suppressAutoHyphens/>
        <w:jc w:val="center"/>
        <w:rPr>
          <w:rFonts w:ascii="Times New Roman" w:hAnsi="Times New Roman" w:cs="Times New Roman"/>
          <w:spacing w:val="-3"/>
        </w:rPr>
      </w:pPr>
    </w:p>
    <w:p w:rsidR="007B5858" w:rsidRPr="00A9207F" w:rsidRDefault="007B5858" w:rsidP="00D2106D">
      <w:pPr>
        <w:tabs>
          <w:tab w:val="left" w:pos="-720"/>
          <w:tab w:val="left" w:pos="5040"/>
        </w:tabs>
        <w:suppressAutoHyphens/>
        <w:rPr>
          <w:rFonts w:ascii="Times New Roman" w:hAnsi="Times New Roman" w:cs="Times New Roman"/>
          <w:spacing w:val="-3"/>
        </w:rPr>
      </w:pPr>
    </w:p>
    <w:p w:rsidR="007B5858" w:rsidRPr="00A9207F" w:rsidRDefault="007B5858" w:rsidP="00D2106D">
      <w:pPr>
        <w:tabs>
          <w:tab w:val="left" w:pos="-720"/>
          <w:tab w:val="left" w:pos="5040"/>
        </w:tabs>
        <w:suppressAutoHyphens/>
        <w:rPr>
          <w:rFonts w:ascii="Times New Roman" w:hAnsi="Times New Roman" w:cs="Times New Roman"/>
          <w:spacing w:val="-3"/>
        </w:rPr>
      </w:pPr>
    </w:p>
    <w:p w:rsidR="00BF257B" w:rsidRPr="00A9207F" w:rsidRDefault="00794F5B" w:rsidP="00BF257B">
      <w:pPr>
        <w:rPr>
          <w:rFonts w:ascii="Times New Roman" w:hAnsi="Times New Roman" w:cs="Times New Roman"/>
          <w:spacing w:val="-3"/>
          <w:u w:val="single"/>
        </w:rPr>
      </w:pPr>
      <w:r w:rsidRPr="00A9207F">
        <w:rPr>
          <w:rFonts w:ascii="Times New Roman" w:hAnsi="Times New Roman" w:cs="Times New Roman"/>
          <w:spacing w:val="-3"/>
        </w:rPr>
        <w:tab/>
      </w:r>
      <w:r w:rsidRPr="00A9207F">
        <w:rPr>
          <w:rFonts w:ascii="Times New Roman" w:hAnsi="Times New Roman" w:cs="Times New Roman"/>
          <w:spacing w:val="-3"/>
        </w:rPr>
        <w:tab/>
      </w:r>
      <w:r w:rsidRPr="00A9207F">
        <w:rPr>
          <w:rFonts w:ascii="Times New Roman" w:hAnsi="Times New Roman" w:cs="Times New Roman"/>
          <w:spacing w:val="-3"/>
        </w:rPr>
        <w:tab/>
      </w:r>
      <w:r w:rsidR="00BF257B" w:rsidRPr="00A9207F">
        <w:rPr>
          <w:rFonts w:ascii="Times New Roman" w:hAnsi="Times New Roman" w:cs="Times New Roman"/>
          <w:spacing w:val="-3"/>
        </w:rPr>
        <w:tab/>
      </w:r>
      <w:r w:rsidR="007B5858" w:rsidRPr="00A9207F">
        <w:rPr>
          <w:rFonts w:ascii="Times New Roman" w:hAnsi="Times New Roman" w:cs="Times New Roman"/>
          <w:spacing w:val="-3"/>
          <w:u w:val="single"/>
        </w:rPr>
        <w:t>HISTORY OF THE PROCEEDING</w:t>
      </w:r>
    </w:p>
    <w:p w:rsidR="00A54C83" w:rsidRPr="00A9207F" w:rsidRDefault="00A54C83" w:rsidP="00BF257B">
      <w:pPr>
        <w:rPr>
          <w:rFonts w:ascii="Times New Roman" w:hAnsi="Times New Roman" w:cs="Times New Roman"/>
          <w:spacing w:val="-3"/>
          <w:u w:val="single"/>
        </w:rPr>
      </w:pPr>
    </w:p>
    <w:p w:rsidR="00A54C83" w:rsidRPr="00A9207F" w:rsidRDefault="00A54C83" w:rsidP="00BF257B">
      <w:pPr>
        <w:rPr>
          <w:rFonts w:ascii="Times New Roman" w:hAnsi="Times New Roman" w:cs="Times New Roman"/>
          <w:spacing w:val="-3"/>
          <w:u w:val="single"/>
        </w:rPr>
      </w:pPr>
    </w:p>
    <w:p w:rsidR="0034261F" w:rsidRPr="00A9207F" w:rsidRDefault="00C073E0" w:rsidP="00BF257B">
      <w:pPr>
        <w:spacing w:line="360" w:lineRule="auto"/>
        <w:rPr>
          <w:rFonts w:ascii="Times New Roman" w:hAnsi="Times New Roman" w:cs="Times New Roman"/>
          <w:spacing w:val="-3"/>
        </w:rPr>
      </w:pPr>
      <w:r w:rsidRPr="00A9207F">
        <w:rPr>
          <w:rFonts w:ascii="Times New Roman" w:hAnsi="Times New Roman" w:cs="Times New Roman"/>
          <w:spacing w:val="-3"/>
        </w:rPr>
        <w:tab/>
      </w:r>
      <w:r w:rsidRPr="00A9207F">
        <w:rPr>
          <w:rFonts w:ascii="Times New Roman" w:hAnsi="Times New Roman" w:cs="Times New Roman"/>
          <w:spacing w:val="-3"/>
        </w:rPr>
        <w:tab/>
        <w:t xml:space="preserve">This decision </w:t>
      </w:r>
      <w:r w:rsidR="00B57021" w:rsidRPr="00A9207F">
        <w:rPr>
          <w:rFonts w:ascii="Times New Roman" w:hAnsi="Times New Roman" w:cs="Times New Roman"/>
          <w:spacing w:val="-3"/>
        </w:rPr>
        <w:t xml:space="preserve">grants a Preliminary Objection filed by PECO Energy Company (PECO or Respondent) and </w:t>
      </w:r>
      <w:r w:rsidRPr="00A9207F">
        <w:rPr>
          <w:rFonts w:ascii="Times New Roman" w:hAnsi="Times New Roman" w:cs="Times New Roman"/>
          <w:spacing w:val="-3"/>
        </w:rPr>
        <w:t xml:space="preserve">dismisses a </w:t>
      </w:r>
      <w:r w:rsidR="00BF43D7" w:rsidRPr="00A9207F">
        <w:rPr>
          <w:rFonts w:ascii="Times New Roman" w:hAnsi="Times New Roman" w:cs="Times New Roman"/>
          <w:spacing w:val="-3"/>
        </w:rPr>
        <w:t xml:space="preserve">formal </w:t>
      </w:r>
      <w:r w:rsidRPr="00A9207F">
        <w:rPr>
          <w:rFonts w:ascii="Times New Roman" w:hAnsi="Times New Roman" w:cs="Times New Roman"/>
          <w:spacing w:val="-3"/>
        </w:rPr>
        <w:t>C</w:t>
      </w:r>
      <w:r w:rsidR="007B5858" w:rsidRPr="00A9207F">
        <w:rPr>
          <w:rFonts w:ascii="Times New Roman" w:hAnsi="Times New Roman" w:cs="Times New Roman"/>
          <w:spacing w:val="-3"/>
        </w:rPr>
        <w:t xml:space="preserve">omplaint </w:t>
      </w:r>
      <w:r w:rsidR="00B57021" w:rsidRPr="00A9207F">
        <w:rPr>
          <w:rFonts w:ascii="Times New Roman" w:hAnsi="Times New Roman" w:cs="Times New Roman"/>
          <w:spacing w:val="-3"/>
        </w:rPr>
        <w:t>filed by</w:t>
      </w:r>
      <w:r w:rsidR="007B5858" w:rsidRPr="00A9207F">
        <w:rPr>
          <w:rFonts w:ascii="Times New Roman" w:hAnsi="Times New Roman" w:cs="Times New Roman"/>
          <w:spacing w:val="-3"/>
        </w:rPr>
        <w:t xml:space="preserve"> </w:t>
      </w:r>
      <w:r w:rsidR="0034261F" w:rsidRPr="00A9207F">
        <w:rPr>
          <w:rFonts w:ascii="Times New Roman" w:hAnsi="Times New Roman" w:cs="Times New Roman"/>
          <w:spacing w:val="-3"/>
        </w:rPr>
        <w:t>David Moore</w:t>
      </w:r>
      <w:r w:rsidR="00CC5660" w:rsidRPr="00A9207F">
        <w:rPr>
          <w:rFonts w:ascii="Times New Roman" w:hAnsi="Times New Roman" w:cs="Times New Roman"/>
          <w:spacing w:val="-3"/>
        </w:rPr>
        <w:t>, Jr.</w:t>
      </w:r>
      <w:r w:rsidR="003A44FE" w:rsidRPr="00A9207F">
        <w:rPr>
          <w:rFonts w:ascii="Times New Roman" w:hAnsi="Times New Roman" w:cs="Times New Roman"/>
          <w:spacing w:val="-3"/>
        </w:rPr>
        <w:t xml:space="preserve"> </w:t>
      </w:r>
      <w:r w:rsidR="007B5858" w:rsidRPr="00A9207F">
        <w:rPr>
          <w:rFonts w:ascii="Times New Roman" w:hAnsi="Times New Roman" w:cs="Times New Roman"/>
          <w:spacing w:val="-3"/>
        </w:rPr>
        <w:t xml:space="preserve">(Complainant) with the Pennsylvania Public Utility Commission (Commission) on </w:t>
      </w:r>
      <w:r w:rsidR="00B57021" w:rsidRPr="00A9207F">
        <w:rPr>
          <w:rFonts w:ascii="Times New Roman" w:hAnsi="Times New Roman" w:cs="Times New Roman"/>
          <w:spacing w:val="-3"/>
        </w:rPr>
        <w:t>June 11, 2012</w:t>
      </w:r>
      <w:r w:rsidR="00085617" w:rsidRPr="00A9207F">
        <w:rPr>
          <w:rFonts w:ascii="Times New Roman" w:hAnsi="Times New Roman" w:cs="Times New Roman"/>
          <w:spacing w:val="-3"/>
        </w:rPr>
        <w:t>.</w:t>
      </w:r>
    </w:p>
    <w:p w:rsidR="00CC5660" w:rsidRPr="00A9207F" w:rsidRDefault="00CC5660" w:rsidP="002F41A7">
      <w:pPr>
        <w:spacing w:line="360" w:lineRule="auto"/>
        <w:rPr>
          <w:rFonts w:ascii="Times New Roman" w:hAnsi="Times New Roman" w:cs="Times New Roman"/>
          <w:spacing w:val="-3"/>
        </w:rPr>
      </w:pPr>
    </w:p>
    <w:p w:rsidR="00085617" w:rsidRPr="00A9207F" w:rsidRDefault="00A22D18" w:rsidP="00085617">
      <w:pPr>
        <w:spacing w:line="360" w:lineRule="auto"/>
        <w:rPr>
          <w:rFonts w:ascii="Times New Roman" w:hAnsi="Times New Roman" w:cs="Times New Roman"/>
          <w:spacing w:val="-3"/>
        </w:rPr>
      </w:pPr>
      <w:r w:rsidRPr="00A9207F">
        <w:rPr>
          <w:rFonts w:ascii="Times New Roman" w:hAnsi="Times New Roman" w:cs="Times New Roman"/>
          <w:spacing w:val="-3"/>
        </w:rPr>
        <w:tab/>
      </w:r>
      <w:r w:rsidRPr="00A9207F">
        <w:rPr>
          <w:rFonts w:ascii="Times New Roman" w:hAnsi="Times New Roman" w:cs="Times New Roman"/>
          <w:spacing w:val="-3"/>
        </w:rPr>
        <w:tab/>
      </w:r>
      <w:r w:rsidR="00085617" w:rsidRPr="00A9207F">
        <w:rPr>
          <w:rFonts w:ascii="Times New Roman" w:hAnsi="Times New Roman" w:cs="Times New Roman"/>
          <w:spacing w:val="-3"/>
        </w:rPr>
        <w:t>The Complaint is the re-filing of an identical allegation made by the Complainant at Pa. PUC Docket No. C-2009-2111161, that PECO improperly refused to change his rate from commercial to residential service despite the conversion of his business to a residence and asked that a recalculation of Complainant’s electric bill be made and a payment agreement be established.  That prior Complaint was dismissed by the Commission in an Order entered May 3, 2011.</w:t>
      </w:r>
    </w:p>
    <w:p w:rsidR="00085617" w:rsidRPr="00A9207F" w:rsidRDefault="00085617" w:rsidP="00085617">
      <w:pPr>
        <w:spacing w:line="360" w:lineRule="auto"/>
        <w:rPr>
          <w:rFonts w:ascii="Times New Roman" w:hAnsi="Times New Roman" w:cs="Times New Roman"/>
          <w:spacing w:val="-3"/>
        </w:rPr>
      </w:pPr>
    </w:p>
    <w:p w:rsidR="00963049" w:rsidRPr="00A9207F" w:rsidRDefault="00085617" w:rsidP="002F41A7">
      <w:pPr>
        <w:spacing w:line="360" w:lineRule="auto"/>
        <w:rPr>
          <w:rFonts w:ascii="Times New Roman" w:hAnsi="Times New Roman" w:cs="Times New Roman"/>
          <w:spacing w:val="-3"/>
        </w:rPr>
      </w:pPr>
      <w:r w:rsidRPr="00A9207F">
        <w:rPr>
          <w:rFonts w:ascii="Times New Roman" w:hAnsi="Times New Roman" w:cs="Times New Roman"/>
          <w:spacing w:val="-3"/>
        </w:rPr>
        <w:tab/>
      </w:r>
      <w:r w:rsidRPr="00A9207F">
        <w:rPr>
          <w:rFonts w:ascii="Times New Roman" w:hAnsi="Times New Roman" w:cs="Times New Roman"/>
          <w:spacing w:val="-3"/>
        </w:rPr>
        <w:tab/>
      </w:r>
      <w:r w:rsidR="00963049" w:rsidRPr="00A9207F">
        <w:rPr>
          <w:rFonts w:ascii="Times New Roman" w:hAnsi="Times New Roman" w:cs="Times New Roman"/>
          <w:spacing w:val="-3"/>
        </w:rPr>
        <w:t>PECO</w:t>
      </w:r>
      <w:r w:rsidR="007B5858" w:rsidRPr="00A9207F">
        <w:rPr>
          <w:rFonts w:ascii="Times New Roman" w:hAnsi="Times New Roman" w:cs="Times New Roman"/>
          <w:spacing w:val="-3"/>
        </w:rPr>
        <w:t xml:space="preserve"> answered the </w:t>
      </w:r>
      <w:r w:rsidR="00700D03" w:rsidRPr="00A9207F">
        <w:rPr>
          <w:rFonts w:ascii="Times New Roman" w:hAnsi="Times New Roman" w:cs="Times New Roman"/>
          <w:spacing w:val="-3"/>
        </w:rPr>
        <w:t xml:space="preserve">latest </w:t>
      </w:r>
      <w:r w:rsidR="00B3086D" w:rsidRPr="00A9207F">
        <w:rPr>
          <w:rFonts w:ascii="Times New Roman" w:hAnsi="Times New Roman" w:cs="Times New Roman"/>
          <w:spacing w:val="-3"/>
        </w:rPr>
        <w:t>C</w:t>
      </w:r>
      <w:r w:rsidR="007B5858" w:rsidRPr="00A9207F">
        <w:rPr>
          <w:rFonts w:ascii="Times New Roman" w:hAnsi="Times New Roman" w:cs="Times New Roman"/>
          <w:spacing w:val="-3"/>
        </w:rPr>
        <w:t xml:space="preserve">omplaint on </w:t>
      </w:r>
      <w:r w:rsidR="00A35B53" w:rsidRPr="00A9207F">
        <w:rPr>
          <w:rFonts w:ascii="Times New Roman" w:hAnsi="Times New Roman" w:cs="Times New Roman"/>
          <w:spacing w:val="-3"/>
        </w:rPr>
        <w:t>Ju</w:t>
      </w:r>
      <w:r w:rsidR="002E5A24" w:rsidRPr="00A9207F">
        <w:rPr>
          <w:rFonts w:ascii="Times New Roman" w:hAnsi="Times New Roman" w:cs="Times New Roman"/>
          <w:spacing w:val="-3"/>
        </w:rPr>
        <w:t>ne 2</w:t>
      </w:r>
      <w:r w:rsidR="00B57021" w:rsidRPr="00A9207F">
        <w:rPr>
          <w:rFonts w:ascii="Times New Roman" w:hAnsi="Times New Roman" w:cs="Times New Roman"/>
          <w:spacing w:val="-3"/>
        </w:rPr>
        <w:t>2</w:t>
      </w:r>
      <w:r w:rsidR="00A35B53" w:rsidRPr="00A9207F">
        <w:rPr>
          <w:rFonts w:ascii="Times New Roman" w:hAnsi="Times New Roman" w:cs="Times New Roman"/>
          <w:spacing w:val="-3"/>
        </w:rPr>
        <w:t>, 20</w:t>
      </w:r>
      <w:r w:rsidR="00B57021" w:rsidRPr="00A9207F">
        <w:rPr>
          <w:rFonts w:ascii="Times New Roman" w:hAnsi="Times New Roman" w:cs="Times New Roman"/>
          <w:spacing w:val="-3"/>
        </w:rPr>
        <w:t>12</w:t>
      </w:r>
      <w:r w:rsidR="00963049" w:rsidRPr="00A9207F">
        <w:rPr>
          <w:rFonts w:ascii="Times New Roman" w:hAnsi="Times New Roman" w:cs="Times New Roman"/>
          <w:spacing w:val="-3"/>
        </w:rPr>
        <w:t xml:space="preserve"> with the filing of an Answer and New Matter, the latter properly endorsed with a Notice to Plead</w:t>
      </w:r>
      <w:r w:rsidR="002E5A24" w:rsidRPr="00A9207F">
        <w:rPr>
          <w:rFonts w:ascii="Times New Roman" w:hAnsi="Times New Roman" w:cs="Times New Roman"/>
          <w:spacing w:val="-3"/>
        </w:rPr>
        <w:t xml:space="preserve">.  </w:t>
      </w:r>
      <w:r w:rsidR="00963049" w:rsidRPr="00A9207F">
        <w:rPr>
          <w:rFonts w:ascii="Times New Roman" w:hAnsi="Times New Roman" w:cs="Times New Roman"/>
          <w:spacing w:val="-3"/>
        </w:rPr>
        <w:t>PECO</w:t>
      </w:r>
      <w:r w:rsidR="002E5A24" w:rsidRPr="00A9207F">
        <w:rPr>
          <w:rFonts w:ascii="Times New Roman" w:hAnsi="Times New Roman" w:cs="Times New Roman"/>
          <w:spacing w:val="-3"/>
        </w:rPr>
        <w:t xml:space="preserve"> </w:t>
      </w:r>
      <w:r w:rsidR="00B57021" w:rsidRPr="00A9207F">
        <w:rPr>
          <w:rFonts w:ascii="Times New Roman" w:hAnsi="Times New Roman" w:cs="Times New Roman"/>
          <w:spacing w:val="-3"/>
        </w:rPr>
        <w:t xml:space="preserve">once again </w:t>
      </w:r>
      <w:r w:rsidR="002E5A24" w:rsidRPr="00A9207F">
        <w:rPr>
          <w:rFonts w:ascii="Times New Roman" w:hAnsi="Times New Roman" w:cs="Times New Roman"/>
          <w:spacing w:val="-3"/>
        </w:rPr>
        <w:t xml:space="preserve">denied any improper billing </w:t>
      </w:r>
      <w:r w:rsidR="00B57021" w:rsidRPr="00A9207F">
        <w:rPr>
          <w:rFonts w:ascii="Times New Roman" w:hAnsi="Times New Roman" w:cs="Times New Roman"/>
          <w:spacing w:val="-3"/>
        </w:rPr>
        <w:t>and denied that Complainant is entitled to relief</w:t>
      </w:r>
      <w:r w:rsidR="00963049" w:rsidRPr="00A9207F">
        <w:rPr>
          <w:rFonts w:ascii="Times New Roman" w:hAnsi="Times New Roman" w:cs="Times New Roman"/>
          <w:spacing w:val="-3"/>
        </w:rPr>
        <w:t>.</w:t>
      </w:r>
    </w:p>
    <w:p w:rsidR="00963049" w:rsidRPr="00A9207F" w:rsidRDefault="00963049" w:rsidP="002F41A7">
      <w:pPr>
        <w:spacing w:line="360" w:lineRule="auto"/>
        <w:rPr>
          <w:rFonts w:ascii="Times New Roman" w:hAnsi="Times New Roman" w:cs="Times New Roman"/>
          <w:spacing w:val="-3"/>
        </w:rPr>
      </w:pPr>
    </w:p>
    <w:p w:rsidR="002E5A24" w:rsidRPr="00A9207F" w:rsidRDefault="00963049" w:rsidP="002F41A7">
      <w:pPr>
        <w:spacing w:line="360" w:lineRule="auto"/>
        <w:rPr>
          <w:rFonts w:ascii="Times New Roman" w:hAnsi="Times New Roman" w:cs="Times New Roman"/>
          <w:spacing w:val="-3"/>
        </w:rPr>
      </w:pPr>
      <w:r w:rsidRPr="00A9207F">
        <w:rPr>
          <w:rFonts w:ascii="Times New Roman" w:hAnsi="Times New Roman" w:cs="Times New Roman"/>
          <w:spacing w:val="-3"/>
        </w:rPr>
        <w:lastRenderedPageBreak/>
        <w:tab/>
      </w:r>
      <w:r w:rsidRPr="00A9207F">
        <w:rPr>
          <w:rFonts w:ascii="Times New Roman" w:hAnsi="Times New Roman" w:cs="Times New Roman"/>
          <w:spacing w:val="-3"/>
        </w:rPr>
        <w:tab/>
        <w:t>Also on June 22, 2012, PECO filed a Preliminary Objection, again properly endorsed with a Notice to Plead</w:t>
      </w:r>
      <w:r w:rsidR="00700D03" w:rsidRPr="00A9207F">
        <w:rPr>
          <w:rFonts w:ascii="Times New Roman" w:hAnsi="Times New Roman" w:cs="Times New Roman"/>
          <w:spacing w:val="-3"/>
        </w:rPr>
        <w:t>,</w:t>
      </w:r>
      <w:r w:rsidRPr="00A9207F">
        <w:rPr>
          <w:rFonts w:ascii="Times New Roman" w:hAnsi="Times New Roman" w:cs="Times New Roman"/>
          <w:spacing w:val="-3"/>
        </w:rPr>
        <w:t xml:space="preserve"> advising the Complainant that he had ten days from the service of the Notice to file a written response thereto.  </w:t>
      </w:r>
      <w:r w:rsidR="00BE385C" w:rsidRPr="00A9207F">
        <w:rPr>
          <w:rFonts w:ascii="Times New Roman" w:hAnsi="Times New Roman" w:cs="Times New Roman"/>
          <w:spacing w:val="-3"/>
        </w:rPr>
        <w:t xml:space="preserve">The basis of the Preliminary Objection is that the present Complaint is barred by the application of the doctrine of </w:t>
      </w:r>
      <w:r w:rsidR="00BE385C" w:rsidRPr="00A9207F">
        <w:rPr>
          <w:rFonts w:ascii="Times New Roman" w:hAnsi="Times New Roman" w:cs="Times New Roman"/>
          <w:i/>
          <w:spacing w:val="-3"/>
        </w:rPr>
        <w:t>res judicata</w:t>
      </w:r>
      <w:r w:rsidR="00BE385C" w:rsidRPr="00A9207F">
        <w:rPr>
          <w:rFonts w:ascii="Times New Roman" w:hAnsi="Times New Roman" w:cs="Times New Roman"/>
          <w:spacing w:val="-3"/>
        </w:rPr>
        <w:t xml:space="preserve">.  </w:t>
      </w:r>
      <w:r w:rsidRPr="00A9207F">
        <w:rPr>
          <w:rFonts w:ascii="Times New Roman" w:hAnsi="Times New Roman" w:cs="Times New Roman"/>
          <w:spacing w:val="-3"/>
        </w:rPr>
        <w:t xml:space="preserve">To date, the Complainant has not filed a responsive pleading to either </w:t>
      </w:r>
      <w:r w:rsidR="00700D03" w:rsidRPr="00A9207F">
        <w:rPr>
          <w:rFonts w:ascii="Times New Roman" w:hAnsi="Times New Roman" w:cs="Times New Roman"/>
          <w:spacing w:val="-3"/>
        </w:rPr>
        <w:t xml:space="preserve">PECO’s </w:t>
      </w:r>
      <w:r w:rsidRPr="00A9207F">
        <w:rPr>
          <w:rFonts w:ascii="Times New Roman" w:hAnsi="Times New Roman" w:cs="Times New Roman"/>
          <w:spacing w:val="-3"/>
        </w:rPr>
        <w:t>New Matter or to the Preliminary Objection.</w:t>
      </w:r>
      <w:r w:rsidR="00700D03" w:rsidRPr="00A9207F">
        <w:rPr>
          <w:rFonts w:ascii="Times New Roman" w:hAnsi="Times New Roman" w:cs="Times New Roman"/>
          <w:spacing w:val="-3"/>
        </w:rPr>
        <w:t xml:space="preserve">  The Preliminary Objection is, therefore, ready for decision.</w:t>
      </w:r>
    </w:p>
    <w:p w:rsidR="00082F84" w:rsidRPr="00A9207F" w:rsidRDefault="00082F84" w:rsidP="00375EEF">
      <w:pPr>
        <w:spacing w:line="360" w:lineRule="auto"/>
        <w:rPr>
          <w:rFonts w:ascii="Times New Roman" w:hAnsi="Times New Roman" w:cs="Times New Roman"/>
          <w:spacing w:val="-3"/>
        </w:rPr>
      </w:pPr>
    </w:p>
    <w:p w:rsidR="005F3E71" w:rsidRPr="00A9207F" w:rsidRDefault="001B1986" w:rsidP="00A9207F">
      <w:pPr>
        <w:spacing w:line="360" w:lineRule="auto"/>
        <w:jc w:val="center"/>
        <w:rPr>
          <w:rFonts w:ascii="Times New Roman" w:hAnsi="Times New Roman" w:cs="Times New Roman"/>
          <w:spacing w:val="-3"/>
          <w:u w:val="single"/>
        </w:rPr>
      </w:pPr>
      <w:r w:rsidRPr="00A9207F">
        <w:rPr>
          <w:rFonts w:ascii="Times New Roman" w:hAnsi="Times New Roman" w:cs="Times New Roman"/>
          <w:spacing w:val="-3"/>
          <w:u w:val="single"/>
        </w:rPr>
        <w:t>FINDINGS OF FACT</w:t>
      </w:r>
    </w:p>
    <w:p w:rsidR="00A54C83" w:rsidRPr="00A9207F" w:rsidRDefault="00A54C83" w:rsidP="00A9207F">
      <w:pPr>
        <w:spacing w:line="360" w:lineRule="auto"/>
        <w:rPr>
          <w:rFonts w:ascii="Times New Roman" w:hAnsi="Times New Roman" w:cs="Times New Roman"/>
          <w:spacing w:val="-3"/>
        </w:rPr>
      </w:pPr>
    </w:p>
    <w:p w:rsidR="001B1986" w:rsidRPr="00A9207F" w:rsidRDefault="005F3E71" w:rsidP="00BF257B">
      <w:pPr>
        <w:spacing w:line="360" w:lineRule="auto"/>
        <w:rPr>
          <w:rFonts w:ascii="Times New Roman" w:hAnsi="Times New Roman" w:cs="Times New Roman"/>
          <w:spacing w:val="-3"/>
        </w:rPr>
      </w:pPr>
      <w:r w:rsidRPr="00A9207F">
        <w:rPr>
          <w:rFonts w:ascii="Times New Roman" w:hAnsi="Times New Roman" w:cs="Times New Roman"/>
          <w:spacing w:val="-3"/>
        </w:rPr>
        <w:tab/>
      </w:r>
      <w:r w:rsidRPr="00A9207F">
        <w:rPr>
          <w:rFonts w:ascii="Times New Roman" w:hAnsi="Times New Roman" w:cs="Times New Roman"/>
          <w:spacing w:val="-3"/>
        </w:rPr>
        <w:tab/>
        <w:t>1.</w:t>
      </w:r>
      <w:r w:rsidRPr="00A9207F">
        <w:rPr>
          <w:rFonts w:ascii="Times New Roman" w:hAnsi="Times New Roman" w:cs="Times New Roman"/>
          <w:spacing w:val="-3"/>
        </w:rPr>
        <w:tab/>
        <w:t>Complainant is</w:t>
      </w:r>
      <w:r w:rsidR="00A30A8C" w:rsidRPr="00A9207F">
        <w:rPr>
          <w:rFonts w:ascii="Times New Roman" w:hAnsi="Times New Roman" w:cs="Times New Roman"/>
          <w:spacing w:val="-3"/>
        </w:rPr>
        <w:t xml:space="preserve"> </w:t>
      </w:r>
      <w:r w:rsidR="00EF3EE2" w:rsidRPr="00A9207F">
        <w:rPr>
          <w:rFonts w:ascii="Times New Roman" w:hAnsi="Times New Roman" w:cs="Times New Roman"/>
          <w:spacing w:val="-3"/>
        </w:rPr>
        <w:t>David E. Moore</w:t>
      </w:r>
      <w:r w:rsidR="00A30A8C" w:rsidRPr="00A9207F">
        <w:rPr>
          <w:rFonts w:ascii="Times New Roman" w:hAnsi="Times New Roman" w:cs="Times New Roman"/>
          <w:spacing w:val="-3"/>
        </w:rPr>
        <w:t xml:space="preserve">, </w:t>
      </w:r>
      <w:r w:rsidR="00EF3EE2" w:rsidRPr="00A9207F">
        <w:rPr>
          <w:rFonts w:ascii="Times New Roman" w:hAnsi="Times New Roman" w:cs="Times New Roman"/>
          <w:spacing w:val="-3"/>
        </w:rPr>
        <w:t xml:space="preserve">Jr., </w:t>
      </w:r>
      <w:r w:rsidR="00A30A8C" w:rsidRPr="00A9207F">
        <w:rPr>
          <w:rFonts w:ascii="Times New Roman" w:hAnsi="Times New Roman" w:cs="Times New Roman"/>
          <w:spacing w:val="-3"/>
        </w:rPr>
        <w:t xml:space="preserve">who resides at </w:t>
      </w:r>
      <w:r w:rsidR="00EF3EE2" w:rsidRPr="00A9207F">
        <w:rPr>
          <w:rFonts w:ascii="Times New Roman" w:hAnsi="Times New Roman" w:cs="Times New Roman"/>
          <w:spacing w:val="-3"/>
        </w:rPr>
        <w:t>1201 West Erie Avenue, Philadelphia, Pennsylvania</w:t>
      </w:r>
      <w:r w:rsidR="00A30A8C" w:rsidRPr="00A9207F">
        <w:rPr>
          <w:rFonts w:ascii="Times New Roman" w:hAnsi="Times New Roman" w:cs="Times New Roman"/>
          <w:spacing w:val="-3"/>
        </w:rPr>
        <w:t xml:space="preserve">.  </w:t>
      </w:r>
      <w:r w:rsidR="000500B9" w:rsidRPr="00A9207F">
        <w:rPr>
          <w:rFonts w:ascii="Times New Roman" w:hAnsi="Times New Roman" w:cs="Times New Roman"/>
          <w:spacing w:val="-3"/>
        </w:rPr>
        <w:t>H</w:t>
      </w:r>
      <w:r w:rsidR="00A30A8C" w:rsidRPr="00A9207F">
        <w:rPr>
          <w:rFonts w:ascii="Times New Roman" w:hAnsi="Times New Roman" w:cs="Times New Roman"/>
          <w:spacing w:val="-3"/>
        </w:rPr>
        <w:t xml:space="preserve">e </w:t>
      </w:r>
      <w:r w:rsidR="00B81407" w:rsidRPr="00A9207F">
        <w:rPr>
          <w:rFonts w:ascii="Times New Roman" w:hAnsi="Times New Roman" w:cs="Times New Roman"/>
          <w:spacing w:val="-3"/>
        </w:rPr>
        <w:t xml:space="preserve">owns the building at that address and has </w:t>
      </w:r>
      <w:r w:rsidR="00A30A8C" w:rsidRPr="00A9207F">
        <w:rPr>
          <w:rFonts w:ascii="Times New Roman" w:hAnsi="Times New Roman" w:cs="Times New Roman"/>
          <w:spacing w:val="-3"/>
        </w:rPr>
        <w:t>receive</w:t>
      </w:r>
      <w:r w:rsidR="00B81407" w:rsidRPr="00A9207F">
        <w:rPr>
          <w:rFonts w:ascii="Times New Roman" w:hAnsi="Times New Roman" w:cs="Times New Roman"/>
          <w:spacing w:val="-3"/>
        </w:rPr>
        <w:t>d</w:t>
      </w:r>
      <w:r w:rsidR="00A30A8C" w:rsidRPr="00A9207F">
        <w:rPr>
          <w:rFonts w:ascii="Times New Roman" w:hAnsi="Times New Roman" w:cs="Times New Roman"/>
          <w:spacing w:val="-3"/>
        </w:rPr>
        <w:t xml:space="preserve"> electric service from the Respondent at that address</w:t>
      </w:r>
      <w:r w:rsidR="00B81407" w:rsidRPr="00A9207F">
        <w:rPr>
          <w:rFonts w:ascii="Times New Roman" w:hAnsi="Times New Roman" w:cs="Times New Roman"/>
          <w:spacing w:val="-3"/>
        </w:rPr>
        <w:t xml:space="preserve"> since January, 1987</w:t>
      </w:r>
      <w:r w:rsidR="00A30A8C" w:rsidRPr="00A9207F">
        <w:rPr>
          <w:rFonts w:ascii="Times New Roman" w:hAnsi="Times New Roman" w:cs="Times New Roman"/>
          <w:spacing w:val="-3"/>
        </w:rPr>
        <w:t>.</w:t>
      </w:r>
    </w:p>
    <w:p w:rsidR="005F3E71" w:rsidRPr="00A9207F" w:rsidRDefault="005F3E71" w:rsidP="001B1986">
      <w:pPr>
        <w:spacing w:line="360" w:lineRule="auto"/>
        <w:rPr>
          <w:rFonts w:ascii="Times New Roman" w:hAnsi="Times New Roman" w:cs="Times New Roman"/>
          <w:spacing w:val="-3"/>
        </w:rPr>
      </w:pPr>
    </w:p>
    <w:p w:rsidR="005F3E71" w:rsidRPr="00A9207F" w:rsidRDefault="005F3E71" w:rsidP="001B1986">
      <w:pPr>
        <w:spacing w:line="360" w:lineRule="auto"/>
        <w:rPr>
          <w:rFonts w:ascii="Times New Roman" w:hAnsi="Times New Roman" w:cs="Times New Roman"/>
          <w:spacing w:val="-3"/>
        </w:rPr>
      </w:pPr>
      <w:r w:rsidRPr="00A9207F">
        <w:rPr>
          <w:rFonts w:ascii="Times New Roman" w:hAnsi="Times New Roman" w:cs="Times New Roman"/>
          <w:spacing w:val="-3"/>
        </w:rPr>
        <w:tab/>
      </w:r>
      <w:r w:rsidRPr="00A9207F">
        <w:rPr>
          <w:rFonts w:ascii="Times New Roman" w:hAnsi="Times New Roman" w:cs="Times New Roman"/>
          <w:spacing w:val="-3"/>
        </w:rPr>
        <w:tab/>
        <w:t>2.</w:t>
      </w:r>
      <w:r w:rsidRPr="00A9207F">
        <w:rPr>
          <w:rFonts w:ascii="Times New Roman" w:hAnsi="Times New Roman" w:cs="Times New Roman"/>
          <w:spacing w:val="-3"/>
        </w:rPr>
        <w:tab/>
        <w:t>Respondent is</w:t>
      </w:r>
      <w:r w:rsidR="00A30A8C" w:rsidRPr="00A9207F">
        <w:rPr>
          <w:rFonts w:ascii="Times New Roman" w:hAnsi="Times New Roman" w:cs="Times New Roman"/>
          <w:spacing w:val="-3"/>
        </w:rPr>
        <w:t xml:space="preserve"> PECO Energy Company.</w:t>
      </w:r>
    </w:p>
    <w:p w:rsidR="005F3E71" w:rsidRPr="00A9207F" w:rsidRDefault="005F3E71" w:rsidP="001B1986">
      <w:pPr>
        <w:spacing w:line="360" w:lineRule="auto"/>
        <w:rPr>
          <w:rFonts w:ascii="Times New Roman" w:hAnsi="Times New Roman" w:cs="Times New Roman"/>
          <w:spacing w:val="-3"/>
        </w:rPr>
      </w:pPr>
    </w:p>
    <w:p w:rsidR="005F3E71" w:rsidRPr="00A9207F" w:rsidRDefault="005F3E71" w:rsidP="00BE385C">
      <w:pPr>
        <w:spacing w:line="360" w:lineRule="auto"/>
        <w:rPr>
          <w:rFonts w:ascii="Times New Roman" w:hAnsi="Times New Roman" w:cs="Times New Roman"/>
          <w:spacing w:val="-3"/>
        </w:rPr>
      </w:pPr>
      <w:r w:rsidRPr="00A9207F">
        <w:rPr>
          <w:rFonts w:ascii="Times New Roman" w:hAnsi="Times New Roman" w:cs="Times New Roman"/>
          <w:spacing w:val="-3"/>
        </w:rPr>
        <w:tab/>
      </w:r>
      <w:r w:rsidRPr="00A9207F">
        <w:rPr>
          <w:rFonts w:ascii="Times New Roman" w:hAnsi="Times New Roman" w:cs="Times New Roman"/>
          <w:spacing w:val="-3"/>
        </w:rPr>
        <w:tab/>
        <w:t>3.</w:t>
      </w:r>
      <w:r w:rsidRPr="00A9207F">
        <w:rPr>
          <w:rFonts w:ascii="Times New Roman" w:hAnsi="Times New Roman" w:cs="Times New Roman"/>
          <w:spacing w:val="-3"/>
        </w:rPr>
        <w:tab/>
      </w:r>
      <w:r w:rsidR="00BE385C" w:rsidRPr="00A9207F">
        <w:rPr>
          <w:rFonts w:ascii="Times New Roman" w:hAnsi="Times New Roman" w:cs="Times New Roman"/>
          <w:spacing w:val="-3"/>
        </w:rPr>
        <w:t>On May 28, 2009, Complainant filed a Complaint at Pa. PUC Docket No.</w:t>
      </w:r>
      <w:r w:rsidR="00152E00" w:rsidRPr="00A9207F">
        <w:rPr>
          <w:rFonts w:ascii="Times New Roman" w:hAnsi="Times New Roman" w:cs="Times New Roman"/>
          <w:spacing w:val="-3"/>
        </w:rPr>
        <w:t xml:space="preserve"> </w:t>
      </w:r>
      <w:r w:rsidR="00BE385C" w:rsidRPr="00A9207F">
        <w:rPr>
          <w:rFonts w:ascii="Times New Roman" w:hAnsi="Times New Roman" w:cs="Times New Roman"/>
          <w:spacing w:val="-3"/>
        </w:rPr>
        <w:t xml:space="preserve"> C-2009-2111161, alleging that PECO improperly refused to change his rate from commercial to residential service despite the conversion of his business to a residence and asked that a recalculation of Complainant’s electric bill be made and a payment agreement be established.</w:t>
      </w:r>
    </w:p>
    <w:p w:rsidR="00BE385C" w:rsidRPr="00A9207F" w:rsidRDefault="00BE385C" w:rsidP="00BE385C">
      <w:pPr>
        <w:spacing w:line="360" w:lineRule="auto"/>
        <w:rPr>
          <w:rFonts w:ascii="Times New Roman" w:hAnsi="Times New Roman" w:cs="Times New Roman"/>
          <w:spacing w:val="-3"/>
        </w:rPr>
      </w:pPr>
    </w:p>
    <w:p w:rsidR="00BE385C" w:rsidRPr="00A9207F" w:rsidRDefault="00BE385C" w:rsidP="00BE385C">
      <w:pPr>
        <w:spacing w:line="360" w:lineRule="auto"/>
        <w:rPr>
          <w:rFonts w:ascii="Times New Roman" w:hAnsi="Times New Roman" w:cs="Times New Roman"/>
          <w:spacing w:val="-3"/>
        </w:rPr>
      </w:pPr>
      <w:r w:rsidRPr="00A9207F">
        <w:rPr>
          <w:rFonts w:ascii="Times New Roman" w:hAnsi="Times New Roman" w:cs="Times New Roman"/>
          <w:spacing w:val="-3"/>
        </w:rPr>
        <w:tab/>
      </w:r>
      <w:r w:rsidRPr="00A9207F">
        <w:rPr>
          <w:rFonts w:ascii="Times New Roman" w:hAnsi="Times New Roman" w:cs="Times New Roman"/>
          <w:spacing w:val="-3"/>
        </w:rPr>
        <w:tab/>
        <w:t>4.</w:t>
      </w:r>
      <w:r w:rsidRPr="00A9207F">
        <w:rPr>
          <w:rFonts w:ascii="Times New Roman" w:hAnsi="Times New Roman" w:cs="Times New Roman"/>
          <w:spacing w:val="-3"/>
        </w:rPr>
        <w:tab/>
        <w:t xml:space="preserve">On October 29, 2009, a hearing was held in the case at Docket No. </w:t>
      </w:r>
      <w:proofErr w:type="gramStart"/>
      <w:r w:rsidRPr="00A9207F">
        <w:rPr>
          <w:rFonts w:ascii="Times New Roman" w:hAnsi="Times New Roman" w:cs="Times New Roman"/>
          <w:spacing w:val="-3"/>
        </w:rPr>
        <w:t>C-2009-2111161, at which time the Complainant failed to appear.</w:t>
      </w:r>
      <w:proofErr w:type="gramEnd"/>
      <w:r w:rsidRPr="00A9207F">
        <w:rPr>
          <w:rFonts w:ascii="Times New Roman" w:hAnsi="Times New Roman" w:cs="Times New Roman"/>
          <w:spacing w:val="-3"/>
        </w:rPr>
        <w:t xml:space="preserve">  A furth</w:t>
      </w:r>
      <w:r w:rsidR="00152E00" w:rsidRPr="00A9207F">
        <w:rPr>
          <w:rFonts w:ascii="Times New Roman" w:hAnsi="Times New Roman" w:cs="Times New Roman"/>
          <w:spacing w:val="-3"/>
        </w:rPr>
        <w:t>er hearing was held on February </w:t>
      </w:r>
      <w:r w:rsidRPr="00A9207F">
        <w:rPr>
          <w:rFonts w:ascii="Times New Roman" w:hAnsi="Times New Roman" w:cs="Times New Roman"/>
          <w:spacing w:val="-3"/>
        </w:rPr>
        <w:t>5, 2010, in the Philadelphia, Pennsylvania office of the Commission before A</w:t>
      </w:r>
      <w:r w:rsidR="00700D03" w:rsidRPr="00A9207F">
        <w:rPr>
          <w:rFonts w:ascii="Times New Roman" w:hAnsi="Times New Roman" w:cs="Times New Roman"/>
          <w:spacing w:val="-3"/>
        </w:rPr>
        <w:t xml:space="preserve">dministrative </w:t>
      </w:r>
      <w:r w:rsidRPr="00A9207F">
        <w:rPr>
          <w:rFonts w:ascii="Times New Roman" w:hAnsi="Times New Roman" w:cs="Times New Roman"/>
          <w:spacing w:val="-3"/>
        </w:rPr>
        <w:t>L</w:t>
      </w:r>
      <w:r w:rsidR="00700D03" w:rsidRPr="00A9207F">
        <w:rPr>
          <w:rFonts w:ascii="Times New Roman" w:hAnsi="Times New Roman" w:cs="Times New Roman"/>
          <w:spacing w:val="-3"/>
        </w:rPr>
        <w:t xml:space="preserve">aw </w:t>
      </w:r>
      <w:r w:rsidRPr="00A9207F">
        <w:rPr>
          <w:rFonts w:ascii="Times New Roman" w:hAnsi="Times New Roman" w:cs="Times New Roman"/>
          <w:spacing w:val="-3"/>
        </w:rPr>
        <w:t>J</w:t>
      </w:r>
      <w:r w:rsidR="00700D03" w:rsidRPr="00A9207F">
        <w:rPr>
          <w:rFonts w:ascii="Times New Roman" w:hAnsi="Times New Roman" w:cs="Times New Roman"/>
          <w:spacing w:val="-3"/>
        </w:rPr>
        <w:t>udge (ALJ)</w:t>
      </w:r>
      <w:r w:rsidRPr="00A9207F">
        <w:rPr>
          <w:rFonts w:ascii="Times New Roman" w:hAnsi="Times New Roman" w:cs="Times New Roman"/>
          <w:spacing w:val="-3"/>
        </w:rPr>
        <w:t xml:space="preserve"> Charles E. Rainey, Jr.  Complainant, who appeared </w:t>
      </w:r>
      <w:r w:rsidRPr="00A9207F">
        <w:rPr>
          <w:rFonts w:ascii="Times New Roman" w:hAnsi="Times New Roman" w:cs="Times New Roman"/>
          <w:i/>
          <w:spacing w:val="-3"/>
        </w:rPr>
        <w:t>pro se</w:t>
      </w:r>
      <w:r w:rsidRPr="00A9207F">
        <w:rPr>
          <w:rFonts w:ascii="Times New Roman" w:hAnsi="Times New Roman" w:cs="Times New Roman"/>
          <w:spacing w:val="-3"/>
        </w:rPr>
        <w:t xml:space="preserve">, testified on his own behalf.  PECO was represented by Mr. Ken Massey, Esq., who presented one witness, Teresa Ferrier, Regulatory Assessor, and ten exhibits (PECO Exhibits 1, 3-11), all of which were admitted into the record.  </w:t>
      </w:r>
    </w:p>
    <w:p w:rsidR="00BE385C" w:rsidRPr="00A9207F" w:rsidRDefault="00BE385C" w:rsidP="00BE385C">
      <w:pPr>
        <w:spacing w:line="360" w:lineRule="auto"/>
        <w:rPr>
          <w:rFonts w:ascii="Times New Roman" w:hAnsi="Times New Roman" w:cs="Times New Roman"/>
          <w:spacing w:val="-3"/>
        </w:rPr>
      </w:pPr>
    </w:p>
    <w:p w:rsidR="00BE385C" w:rsidRPr="00A9207F" w:rsidRDefault="00BE385C" w:rsidP="00BE385C">
      <w:pPr>
        <w:spacing w:line="360" w:lineRule="auto"/>
        <w:rPr>
          <w:rFonts w:ascii="Times New Roman" w:hAnsi="Times New Roman" w:cs="Times New Roman"/>
          <w:spacing w:val="-3"/>
        </w:rPr>
      </w:pPr>
      <w:r w:rsidRPr="00A9207F">
        <w:rPr>
          <w:rFonts w:ascii="Times New Roman" w:hAnsi="Times New Roman" w:cs="Times New Roman"/>
          <w:spacing w:val="-3"/>
        </w:rPr>
        <w:tab/>
      </w:r>
      <w:r w:rsidRPr="00A9207F">
        <w:rPr>
          <w:rFonts w:ascii="Times New Roman" w:hAnsi="Times New Roman" w:cs="Times New Roman"/>
          <w:spacing w:val="-3"/>
        </w:rPr>
        <w:tab/>
        <w:t>5.</w:t>
      </w:r>
      <w:r w:rsidRPr="00A9207F">
        <w:rPr>
          <w:rFonts w:ascii="Times New Roman" w:hAnsi="Times New Roman" w:cs="Times New Roman"/>
          <w:spacing w:val="-3"/>
        </w:rPr>
        <w:tab/>
        <w:t>On March 25, 2010, counsel for PECO filed a letter brief as requested by ALJ Rainey setting forth PECO’s position with respect to the effect, if any, of Complainant’s Chapter 13 bankruptcy filing.  That letter brief was served on Complainant who filed no responsive pleading.  Given that no reply brief or other responsive pleading was fi</w:t>
      </w:r>
      <w:r w:rsidR="00A54C83" w:rsidRPr="00A9207F">
        <w:rPr>
          <w:rFonts w:ascii="Times New Roman" w:hAnsi="Times New Roman" w:cs="Times New Roman"/>
          <w:spacing w:val="-3"/>
        </w:rPr>
        <w:t>led by Complainant by April </w:t>
      </w:r>
      <w:r w:rsidRPr="00A9207F">
        <w:rPr>
          <w:rFonts w:ascii="Times New Roman" w:hAnsi="Times New Roman" w:cs="Times New Roman"/>
          <w:spacing w:val="-3"/>
        </w:rPr>
        <w:t>14, 2010, as permitted by 52 Pa. Code § 5.502(f), the record closed on that date.</w:t>
      </w:r>
    </w:p>
    <w:p w:rsidR="00BE385C" w:rsidRPr="00A9207F" w:rsidRDefault="00BE385C" w:rsidP="00BE385C">
      <w:pPr>
        <w:spacing w:line="360" w:lineRule="auto"/>
        <w:rPr>
          <w:rFonts w:ascii="Times New Roman" w:hAnsi="Times New Roman" w:cs="Times New Roman"/>
          <w:spacing w:val="-3"/>
        </w:rPr>
      </w:pPr>
    </w:p>
    <w:p w:rsidR="00BE385C" w:rsidRPr="00A9207F" w:rsidRDefault="00BE385C" w:rsidP="00BE385C">
      <w:pPr>
        <w:spacing w:line="360" w:lineRule="auto"/>
        <w:rPr>
          <w:rFonts w:ascii="Times New Roman" w:hAnsi="Times New Roman" w:cs="Times New Roman"/>
          <w:spacing w:val="-3"/>
        </w:rPr>
      </w:pPr>
      <w:r w:rsidRPr="00A9207F">
        <w:rPr>
          <w:rFonts w:ascii="Times New Roman" w:hAnsi="Times New Roman" w:cs="Times New Roman"/>
          <w:spacing w:val="-3"/>
        </w:rPr>
        <w:tab/>
      </w:r>
      <w:r w:rsidRPr="00A9207F">
        <w:rPr>
          <w:rFonts w:ascii="Times New Roman" w:hAnsi="Times New Roman" w:cs="Times New Roman"/>
          <w:spacing w:val="-3"/>
        </w:rPr>
        <w:tab/>
        <w:t>6.</w:t>
      </w:r>
      <w:r w:rsidRPr="00A9207F">
        <w:rPr>
          <w:rFonts w:ascii="Times New Roman" w:hAnsi="Times New Roman" w:cs="Times New Roman"/>
          <w:spacing w:val="-3"/>
        </w:rPr>
        <w:tab/>
        <w:t xml:space="preserve">On October 18, 2010, the case at Docket No. C-2009-2111161 was </w:t>
      </w:r>
      <w:r w:rsidR="00700D03" w:rsidRPr="00A9207F">
        <w:rPr>
          <w:rFonts w:ascii="Times New Roman" w:hAnsi="Times New Roman" w:cs="Times New Roman"/>
          <w:spacing w:val="-3"/>
        </w:rPr>
        <w:t>re</w:t>
      </w:r>
      <w:r w:rsidRPr="00A9207F">
        <w:rPr>
          <w:rFonts w:ascii="Times New Roman" w:hAnsi="Times New Roman" w:cs="Times New Roman"/>
          <w:spacing w:val="-3"/>
        </w:rPr>
        <w:t>assigned to ALJ Dennis J. Buckley for the preparation of an Initial Decision.  In that Initial Decision, it was specifically found that the Complainant had failed to sustain his burden of proving that he has been improperly billed by PECO, and the Complaint was ultimately dismissed by a Commission Order entered May 3, 2011.</w:t>
      </w:r>
    </w:p>
    <w:p w:rsidR="00BE385C" w:rsidRPr="00A9207F" w:rsidRDefault="00BE385C" w:rsidP="00BE385C">
      <w:pPr>
        <w:spacing w:line="360" w:lineRule="auto"/>
        <w:rPr>
          <w:rFonts w:ascii="Times New Roman" w:hAnsi="Times New Roman" w:cs="Times New Roman"/>
          <w:spacing w:val="-3"/>
        </w:rPr>
      </w:pPr>
    </w:p>
    <w:p w:rsidR="00BE385C" w:rsidRPr="00A9207F" w:rsidRDefault="00BE385C" w:rsidP="00BE385C">
      <w:pPr>
        <w:spacing w:line="360" w:lineRule="auto"/>
        <w:rPr>
          <w:rFonts w:ascii="Times New Roman" w:hAnsi="Times New Roman" w:cs="Times New Roman"/>
          <w:spacing w:val="-3"/>
        </w:rPr>
      </w:pPr>
      <w:r w:rsidRPr="00A9207F">
        <w:rPr>
          <w:rFonts w:ascii="Times New Roman" w:hAnsi="Times New Roman" w:cs="Times New Roman"/>
          <w:spacing w:val="-3"/>
        </w:rPr>
        <w:tab/>
      </w:r>
      <w:r w:rsidRPr="00A9207F">
        <w:rPr>
          <w:rFonts w:ascii="Times New Roman" w:hAnsi="Times New Roman" w:cs="Times New Roman"/>
          <w:spacing w:val="-3"/>
        </w:rPr>
        <w:tab/>
        <w:t>7.</w:t>
      </w:r>
      <w:r w:rsidRPr="00A9207F">
        <w:rPr>
          <w:rFonts w:ascii="Times New Roman" w:hAnsi="Times New Roman" w:cs="Times New Roman"/>
          <w:spacing w:val="-3"/>
        </w:rPr>
        <w:tab/>
        <w:t xml:space="preserve">The Complaint filed at Docket No. </w:t>
      </w:r>
      <w:r w:rsidR="009C1CE1" w:rsidRPr="00A9207F">
        <w:rPr>
          <w:rFonts w:ascii="Times New Roman" w:hAnsi="Times New Roman" w:cs="Times New Roman"/>
          <w:spacing w:val="-3"/>
        </w:rPr>
        <w:t xml:space="preserve">C-2012-2309932 is identical in all of its relevant particulars to the Complaint filed at Docket No. </w:t>
      </w:r>
      <w:proofErr w:type="gramStart"/>
      <w:r w:rsidR="009C1CE1" w:rsidRPr="00A9207F">
        <w:rPr>
          <w:rFonts w:ascii="Times New Roman" w:hAnsi="Times New Roman" w:cs="Times New Roman"/>
          <w:spacing w:val="-3"/>
        </w:rPr>
        <w:t>C-2009-2111161.</w:t>
      </w:r>
      <w:proofErr w:type="gramEnd"/>
      <w:r w:rsidRPr="00A9207F">
        <w:rPr>
          <w:rFonts w:ascii="Times New Roman" w:hAnsi="Times New Roman" w:cs="Times New Roman"/>
          <w:spacing w:val="-3"/>
        </w:rPr>
        <w:t xml:space="preserve">  </w:t>
      </w:r>
    </w:p>
    <w:p w:rsidR="00B0794F" w:rsidRPr="00A9207F" w:rsidRDefault="00B0794F" w:rsidP="0086110D">
      <w:pPr>
        <w:spacing w:line="360" w:lineRule="auto"/>
        <w:rPr>
          <w:rFonts w:ascii="Times New Roman" w:hAnsi="Times New Roman" w:cs="Times New Roman"/>
        </w:rPr>
      </w:pPr>
    </w:p>
    <w:p w:rsidR="00CE4298" w:rsidRPr="00A9207F" w:rsidRDefault="007B5858" w:rsidP="00A9207F">
      <w:pPr>
        <w:suppressAutoHyphens/>
        <w:spacing w:line="360" w:lineRule="auto"/>
        <w:jc w:val="center"/>
        <w:rPr>
          <w:rFonts w:ascii="Times New Roman" w:hAnsi="Times New Roman" w:cs="Times New Roman"/>
          <w:spacing w:val="-3"/>
          <w:u w:val="single"/>
        </w:rPr>
      </w:pPr>
      <w:r w:rsidRPr="00A9207F">
        <w:rPr>
          <w:rFonts w:ascii="Times New Roman" w:hAnsi="Times New Roman" w:cs="Times New Roman"/>
          <w:spacing w:val="-3"/>
          <w:u w:val="single"/>
        </w:rPr>
        <w:t>DISCUSSION</w:t>
      </w:r>
    </w:p>
    <w:p w:rsidR="00CE4298" w:rsidRPr="00A9207F" w:rsidRDefault="00CE4298" w:rsidP="004D068C">
      <w:pPr>
        <w:tabs>
          <w:tab w:val="left" w:pos="-720"/>
        </w:tabs>
        <w:suppressAutoHyphens/>
        <w:spacing w:line="360" w:lineRule="auto"/>
        <w:rPr>
          <w:rFonts w:ascii="Times New Roman" w:hAnsi="Times New Roman" w:cs="Times New Roman"/>
          <w:spacing w:val="-3"/>
          <w:u w:val="single"/>
        </w:rPr>
      </w:pPr>
    </w:p>
    <w:p w:rsidR="00402A0B" w:rsidRPr="00A9207F" w:rsidRDefault="007B5858" w:rsidP="004D068C">
      <w:pPr>
        <w:suppressAutoHyphens/>
        <w:spacing w:line="360" w:lineRule="auto"/>
        <w:rPr>
          <w:rFonts w:ascii="Times New Roman" w:hAnsi="Times New Roman" w:cs="Times New Roman"/>
        </w:rPr>
      </w:pPr>
      <w:r w:rsidRPr="00A9207F">
        <w:rPr>
          <w:rFonts w:ascii="Times New Roman" w:hAnsi="Times New Roman" w:cs="Times New Roman"/>
          <w:spacing w:val="-3"/>
        </w:rPr>
        <w:tab/>
      </w:r>
      <w:r w:rsidRPr="00A9207F">
        <w:rPr>
          <w:rFonts w:ascii="Times New Roman" w:hAnsi="Times New Roman" w:cs="Times New Roman"/>
          <w:spacing w:val="-3"/>
        </w:rPr>
        <w:tab/>
      </w:r>
      <w:r w:rsidR="00402A0B" w:rsidRPr="00A9207F">
        <w:rPr>
          <w:rFonts w:ascii="Times New Roman" w:hAnsi="Times New Roman" w:cs="Times New Roman"/>
        </w:rPr>
        <w:t xml:space="preserve">The Commission's Rules of Administrative Practice and Procedure permit the filing of preliminary objections. </w:t>
      </w:r>
      <w:proofErr w:type="gramStart"/>
      <w:r w:rsidR="00402A0B" w:rsidRPr="00A9207F">
        <w:rPr>
          <w:rFonts w:ascii="Times New Roman" w:hAnsi="Times New Roman" w:cs="Times New Roman"/>
        </w:rPr>
        <w:t>52 Pa. Code § 5.101.</w:t>
      </w:r>
      <w:proofErr w:type="gramEnd"/>
      <w:r w:rsidR="00402A0B" w:rsidRPr="00A9207F">
        <w:rPr>
          <w:rFonts w:ascii="Times New Roman" w:hAnsi="Times New Roman" w:cs="Times New Roman"/>
        </w:rPr>
        <w:t xml:space="preserve">  See </w:t>
      </w:r>
      <w:r w:rsidR="00402A0B" w:rsidRPr="00A9207F">
        <w:rPr>
          <w:rFonts w:ascii="Times New Roman" w:hAnsi="Times New Roman" w:cs="Times New Roman"/>
          <w:i/>
        </w:rPr>
        <w:t>Equitable Small Transportation Interveners v. Equitable Gas Company</w:t>
      </w:r>
      <w:r w:rsidR="00402A0B" w:rsidRPr="00A9207F">
        <w:rPr>
          <w:rFonts w:ascii="Times New Roman" w:hAnsi="Times New Roman" w:cs="Times New Roman"/>
        </w:rPr>
        <w:t xml:space="preserve">, Docket No. </w:t>
      </w:r>
      <w:proofErr w:type="gramStart"/>
      <w:r w:rsidR="00402A0B" w:rsidRPr="00A9207F">
        <w:rPr>
          <w:rFonts w:ascii="Times New Roman" w:hAnsi="Times New Roman" w:cs="Times New Roman"/>
        </w:rPr>
        <w:t>C-00935435 (July 18, 1994).</w:t>
      </w:r>
      <w:proofErr w:type="gramEnd"/>
    </w:p>
    <w:p w:rsidR="00402A0B" w:rsidRPr="00A9207F" w:rsidRDefault="00402A0B" w:rsidP="004D068C">
      <w:pPr>
        <w:tabs>
          <w:tab w:val="left" w:pos="-720"/>
        </w:tabs>
        <w:suppressAutoHyphens/>
        <w:spacing w:line="360" w:lineRule="auto"/>
        <w:rPr>
          <w:rFonts w:ascii="Times New Roman" w:hAnsi="Times New Roman" w:cs="Times New Roman"/>
        </w:rPr>
      </w:pPr>
    </w:p>
    <w:p w:rsidR="00402A0B" w:rsidRPr="00A9207F" w:rsidRDefault="00402A0B" w:rsidP="004D068C">
      <w:pPr>
        <w:tabs>
          <w:tab w:val="left" w:pos="-720"/>
        </w:tabs>
        <w:suppressAutoHyphens/>
        <w:spacing w:line="360" w:lineRule="auto"/>
        <w:ind w:firstLine="1440"/>
        <w:rPr>
          <w:rFonts w:ascii="Times New Roman" w:hAnsi="Times New Roman" w:cs="Times New Roman"/>
        </w:rPr>
      </w:pPr>
      <w:r w:rsidRPr="00A9207F">
        <w:rPr>
          <w:rFonts w:ascii="Times New Roman" w:hAnsi="Times New Roman" w:cs="Times New Roman"/>
        </w:rPr>
        <w:t xml:space="preserve">The grounds for preliminary objections are limited to those set forth in 52 Pa Code § 5.101(a) as follows: </w:t>
      </w:r>
    </w:p>
    <w:p w:rsidR="00402A0B" w:rsidRPr="00A9207F" w:rsidRDefault="00402A0B" w:rsidP="001A5583">
      <w:pPr>
        <w:tabs>
          <w:tab w:val="left" w:pos="-720"/>
        </w:tabs>
        <w:suppressAutoHyphens/>
        <w:rPr>
          <w:rFonts w:ascii="Times New Roman" w:hAnsi="Times New Roman" w:cs="Times New Roman"/>
        </w:rPr>
      </w:pPr>
    </w:p>
    <w:p w:rsidR="00402A0B" w:rsidRPr="00A9207F" w:rsidRDefault="001A5583" w:rsidP="004D068C">
      <w:pPr>
        <w:tabs>
          <w:tab w:val="left" w:pos="-720"/>
        </w:tabs>
        <w:suppressAutoHyphens/>
        <w:ind w:left="1440"/>
        <w:rPr>
          <w:rFonts w:ascii="Times New Roman" w:hAnsi="Times New Roman" w:cs="Times New Roman"/>
        </w:rPr>
      </w:pPr>
      <w:r>
        <w:rPr>
          <w:rFonts w:ascii="Times New Roman" w:hAnsi="Times New Roman" w:cs="Times New Roman"/>
        </w:rPr>
        <w:t xml:space="preserve">(1)  </w:t>
      </w:r>
      <w:r w:rsidR="00402A0B" w:rsidRPr="00A9207F">
        <w:rPr>
          <w:rFonts w:ascii="Times New Roman" w:hAnsi="Times New Roman" w:cs="Times New Roman"/>
        </w:rPr>
        <w:t>Lack of Commission jurisdiction or improper service of the pleading initiating the proceeding.</w:t>
      </w:r>
    </w:p>
    <w:p w:rsidR="00402A0B" w:rsidRPr="00A9207F" w:rsidRDefault="00402A0B" w:rsidP="004D068C">
      <w:pPr>
        <w:tabs>
          <w:tab w:val="left" w:pos="-720"/>
        </w:tabs>
        <w:suppressAutoHyphens/>
        <w:ind w:left="1440"/>
        <w:rPr>
          <w:rFonts w:ascii="Times New Roman" w:hAnsi="Times New Roman" w:cs="Times New Roman"/>
        </w:rPr>
      </w:pPr>
    </w:p>
    <w:p w:rsidR="00402A0B" w:rsidRPr="00A9207F" w:rsidRDefault="00402A0B" w:rsidP="004D068C">
      <w:pPr>
        <w:tabs>
          <w:tab w:val="left" w:pos="-720"/>
        </w:tabs>
        <w:suppressAutoHyphens/>
        <w:ind w:left="1440"/>
        <w:rPr>
          <w:rFonts w:ascii="Times New Roman" w:hAnsi="Times New Roman" w:cs="Times New Roman"/>
        </w:rPr>
      </w:pPr>
      <w:r w:rsidRPr="00A9207F">
        <w:rPr>
          <w:rFonts w:ascii="Times New Roman" w:hAnsi="Times New Roman" w:cs="Times New Roman"/>
        </w:rPr>
        <w:t>(2)</w:t>
      </w:r>
      <w:r w:rsidR="001A5583">
        <w:rPr>
          <w:rFonts w:ascii="Times New Roman" w:hAnsi="Times New Roman" w:cs="Times New Roman"/>
        </w:rPr>
        <w:t xml:space="preserve"> </w:t>
      </w:r>
      <w:r w:rsidRPr="00A9207F">
        <w:rPr>
          <w:rFonts w:ascii="Times New Roman" w:hAnsi="Times New Roman" w:cs="Times New Roman"/>
        </w:rPr>
        <w:t xml:space="preserve"> Failure of a pleading to conform to this chapter or the inclusion of scandalous or impertinent matter.</w:t>
      </w:r>
    </w:p>
    <w:p w:rsidR="00402A0B" w:rsidRPr="00A9207F" w:rsidRDefault="00402A0B" w:rsidP="004D068C">
      <w:pPr>
        <w:tabs>
          <w:tab w:val="left" w:pos="-720"/>
        </w:tabs>
        <w:suppressAutoHyphens/>
        <w:ind w:left="1440"/>
        <w:rPr>
          <w:rFonts w:ascii="Times New Roman" w:hAnsi="Times New Roman" w:cs="Times New Roman"/>
        </w:rPr>
      </w:pPr>
    </w:p>
    <w:p w:rsidR="00402A0B" w:rsidRPr="00A9207F" w:rsidRDefault="00402A0B" w:rsidP="004D068C">
      <w:pPr>
        <w:tabs>
          <w:tab w:val="left" w:pos="-720"/>
        </w:tabs>
        <w:suppressAutoHyphens/>
        <w:ind w:left="1440"/>
        <w:rPr>
          <w:rFonts w:ascii="Times New Roman" w:hAnsi="Times New Roman" w:cs="Times New Roman"/>
        </w:rPr>
      </w:pPr>
      <w:r w:rsidRPr="00A9207F">
        <w:rPr>
          <w:rFonts w:ascii="Times New Roman" w:hAnsi="Times New Roman" w:cs="Times New Roman"/>
        </w:rPr>
        <w:t xml:space="preserve">(3) </w:t>
      </w:r>
      <w:r w:rsidR="001A5583">
        <w:rPr>
          <w:rFonts w:ascii="Times New Roman" w:hAnsi="Times New Roman" w:cs="Times New Roman"/>
        </w:rPr>
        <w:t xml:space="preserve"> </w:t>
      </w:r>
      <w:r w:rsidRPr="00A9207F">
        <w:rPr>
          <w:rFonts w:ascii="Times New Roman" w:hAnsi="Times New Roman" w:cs="Times New Roman"/>
        </w:rPr>
        <w:t>Insufficient specificity of a pleading.</w:t>
      </w:r>
    </w:p>
    <w:p w:rsidR="00402A0B" w:rsidRPr="00A9207F" w:rsidRDefault="00402A0B" w:rsidP="004D068C">
      <w:pPr>
        <w:tabs>
          <w:tab w:val="left" w:pos="-720"/>
        </w:tabs>
        <w:suppressAutoHyphens/>
        <w:ind w:left="1440"/>
        <w:rPr>
          <w:rFonts w:ascii="Times New Roman" w:hAnsi="Times New Roman" w:cs="Times New Roman"/>
        </w:rPr>
      </w:pPr>
    </w:p>
    <w:p w:rsidR="00402A0B" w:rsidRPr="00A9207F" w:rsidRDefault="00402A0B" w:rsidP="004D068C">
      <w:pPr>
        <w:tabs>
          <w:tab w:val="left" w:pos="-720"/>
        </w:tabs>
        <w:suppressAutoHyphens/>
        <w:ind w:left="1440"/>
        <w:rPr>
          <w:rFonts w:ascii="Times New Roman" w:hAnsi="Times New Roman" w:cs="Times New Roman"/>
        </w:rPr>
      </w:pPr>
      <w:r w:rsidRPr="00A9207F">
        <w:rPr>
          <w:rFonts w:ascii="Times New Roman" w:hAnsi="Times New Roman" w:cs="Times New Roman"/>
        </w:rPr>
        <w:t>(4)</w:t>
      </w:r>
      <w:r w:rsidR="001A5583">
        <w:rPr>
          <w:rFonts w:ascii="Times New Roman" w:hAnsi="Times New Roman" w:cs="Times New Roman"/>
        </w:rPr>
        <w:t xml:space="preserve"> </w:t>
      </w:r>
      <w:r w:rsidRPr="00A9207F">
        <w:rPr>
          <w:rFonts w:ascii="Times New Roman" w:hAnsi="Times New Roman" w:cs="Times New Roman"/>
        </w:rPr>
        <w:t xml:space="preserve"> Legal insufficiency of a pleading.</w:t>
      </w:r>
    </w:p>
    <w:p w:rsidR="00402A0B" w:rsidRPr="00A9207F" w:rsidRDefault="00402A0B" w:rsidP="004D068C">
      <w:pPr>
        <w:tabs>
          <w:tab w:val="left" w:pos="-720"/>
        </w:tabs>
        <w:suppressAutoHyphens/>
        <w:ind w:left="1440"/>
        <w:rPr>
          <w:rFonts w:ascii="Times New Roman" w:hAnsi="Times New Roman" w:cs="Times New Roman"/>
        </w:rPr>
      </w:pPr>
    </w:p>
    <w:p w:rsidR="00402A0B" w:rsidRPr="00A9207F" w:rsidRDefault="00402A0B" w:rsidP="004D068C">
      <w:pPr>
        <w:tabs>
          <w:tab w:val="left" w:pos="-720"/>
        </w:tabs>
        <w:suppressAutoHyphens/>
        <w:ind w:left="1440"/>
        <w:rPr>
          <w:rFonts w:ascii="Times New Roman" w:hAnsi="Times New Roman" w:cs="Times New Roman"/>
        </w:rPr>
      </w:pPr>
      <w:r w:rsidRPr="00A9207F">
        <w:rPr>
          <w:rFonts w:ascii="Times New Roman" w:hAnsi="Times New Roman" w:cs="Times New Roman"/>
        </w:rPr>
        <w:t xml:space="preserve">(5) </w:t>
      </w:r>
      <w:r w:rsidR="001A5583">
        <w:rPr>
          <w:rFonts w:ascii="Times New Roman" w:hAnsi="Times New Roman" w:cs="Times New Roman"/>
        </w:rPr>
        <w:t xml:space="preserve"> </w:t>
      </w:r>
      <w:r w:rsidRPr="00A9207F">
        <w:rPr>
          <w:rFonts w:ascii="Times New Roman" w:hAnsi="Times New Roman" w:cs="Times New Roman"/>
        </w:rPr>
        <w:t>Lack of capacity to sue, nonjoinder of a necessary party or misjoinder of a cause of action.</w:t>
      </w:r>
    </w:p>
    <w:p w:rsidR="00402A0B" w:rsidRPr="00A9207F" w:rsidRDefault="00402A0B" w:rsidP="004D068C">
      <w:pPr>
        <w:tabs>
          <w:tab w:val="left" w:pos="-720"/>
        </w:tabs>
        <w:suppressAutoHyphens/>
        <w:ind w:left="1440"/>
        <w:rPr>
          <w:rFonts w:ascii="Times New Roman" w:hAnsi="Times New Roman" w:cs="Times New Roman"/>
        </w:rPr>
      </w:pPr>
    </w:p>
    <w:p w:rsidR="00402A0B" w:rsidRPr="00A9207F" w:rsidRDefault="00402A0B" w:rsidP="004D068C">
      <w:pPr>
        <w:tabs>
          <w:tab w:val="left" w:pos="-720"/>
        </w:tabs>
        <w:suppressAutoHyphens/>
        <w:ind w:left="1440"/>
        <w:rPr>
          <w:rFonts w:ascii="Times New Roman" w:hAnsi="Times New Roman" w:cs="Times New Roman"/>
        </w:rPr>
      </w:pPr>
      <w:r w:rsidRPr="00A9207F">
        <w:rPr>
          <w:rFonts w:ascii="Times New Roman" w:hAnsi="Times New Roman" w:cs="Times New Roman"/>
        </w:rPr>
        <w:t xml:space="preserve">(6) </w:t>
      </w:r>
      <w:r w:rsidR="001A5583">
        <w:rPr>
          <w:rFonts w:ascii="Times New Roman" w:hAnsi="Times New Roman" w:cs="Times New Roman"/>
        </w:rPr>
        <w:t xml:space="preserve"> </w:t>
      </w:r>
      <w:r w:rsidRPr="00A9207F">
        <w:rPr>
          <w:rFonts w:ascii="Times New Roman" w:hAnsi="Times New Roman" w:cs="Times New Roman"/>
        </w:rPr>
        <w:t>Pendency of a prior proceeding or agreement for alternative dispute resolution.</w:t>
      </w:r>
    </w:p>
    <w:p w:rsidR="00402A0B" w:rsidRPr="00A9207F" w:rsidRDefault="00402A0B" w:rsidP="004D068C">
      <w:pPr>
        <w:tabs>
          <w:tab w:val="left" w:pos="-720"/>
        </w:tabs>
        <w:suppressAutoHyphens/>
        <w:spacing w:line="360" w:lineRule="auto"/>
        <w:ind w:firstLine="1440"/>
        <w:rPr>
          <w:rFonts w:ascii="Times New Roman" w:hAnsi="Times New Roman" w:cs="Times New Roman"/>
        </w:rPr>
      </w:pPr>
      <w:r w:rsidRPr="00A9207F">
        <w:rPr>
          <w:rFonts w:ascii="Times New Roman" w:hAnsi="Times New Roman" w:cs="Times New Roman"/>
        </w:rPr>
        <w:t xml:space="preserve">Commission procedure regarding the disposition of preliminary objections is similar to that utilized in Pennsylvania civil practice.  </w:t>
      </w:r>
      <w:r w:rsidRPr="00A9207F">
        <w:rPr>
          <w:rFonts w:ascii="Times New Roman" w:hAnsi="Times New Roman" w:cs="Times New Roman"/>
          <w:i/>
        </w:rPr>
        <w:t>Equitable Small Transportation Interveners v. Equitable Gas Company</w:t>
      </w:r>
      <w:r w:rsidRPr="00A9207F">
        <w:rPr>
          <w:rFonts w:ascii="Times New Roman" w:hAnsi="Times New Roman" w:cs="Times New Roman"/>
        </w:rPr>
        <w:t xml:space="preserve">, Docket No. </w:t>
      </w:r>
      <w:proofErr w:type="gramStart"/>
      <w:r w:rsidRPr="00A9207F">
        <w:rPr>
          <w:rFonts w:ascii="Times New Roman" w:hAnsi="Times New Roman" w:cs="Times New Roman"/>
        </w:rPr>
        <w:t>C-00935435 (July 18, 1994).</w:t>
      </w:r>
      <w:proofErr w:type="gramEnd"/>
    </w:p>
    <w:p w:rsidR="00402A0B" w:rsidRPr="00A9207F" w:rsidRDefault="00402A0B" w:rsidP="004D068C">
      <w:pPr>
        <w:tabs>
          <w:tab w:val="left" w:pos="-720"/>
        </w:tabs>
        <w:suppressAutoHyphens/>
        <w:spacing w:line="360" w:lineRule="auto"/>
        <w:rPr>
          <w:rFonts w:ascii="Times New Roman" w:hAnsi="Times New Roman" w:cs="Times New Roman"/>
        </w:rPr>
      </w:pPr>
    </w:p>
    <w:p w:rsidR="00402A0B" w:rsidRPr="00A9207F" w:rsidRDefault="00402A0B" w:rsidP="004D068C">
      <w:pPr>
        <w:tabs>
          <w:tab w:val="left" w:pos="-720"/>
        </w:tabs>
        <w:suppressAutoHyphens/>
        <w:spacing w:line="360" w:lineRule="auto"/>
        <w:ind w:firstLine="1440"/>
        <w:rPr>
          <w:rFonts w:ascii="Times New Roman" w:hAnsi="Times New Roman" w:cs="Times New Roman"/>
        </w:rPr>
      </w:pPr>
      <w:r w:rsidRPr="00A9207F">
        <w:rPr>
          <w:rFonts w:ascii="Times New Roman" w:hAnsi="Times New Roman" w:cs="Times New Roman"/>
        </w:rPr>
        <w:t xml:space="preserve">A preliminary objection in civil practice seeking dismissal of a pleading will be granted only where relief is clearly warranted and free from doubt.  </w:t>
      </w:r>
      <w:r w:rsidRPr="00A9207F">
        <w:rPr>
          <w:rFonts w:ascii="Times New Roman" w:hAnsi="Times New Roman" w:cs="Times New Roman"/>
          <w:i/>
        </w:rPr>
        <w:t xml:space="preserve">Interstate </w:t>
      </w:r>
      <w:proofErr w:type="spellStart"/>
      <w:r w:rsidRPr="00A9207F">
        <w:rPr>
          <w:rFonts w:ascii="Times New Roman" w:hAnsi="Times New Roman" w:cs="Times New Roman"/>
          <w:i/>
        </w:rPr>
        <w:t>Traveller</w:t>
      </w:r>
      <w:proofErr w:type="spellEnd"/>
      <w:r w:rsidRPr="00A9207F">
        <w:rPr>
          <w:rFonts w:ascii="Times New Roman" w:hAnsi="Times New Roman" w:cs="Times New Roman"/>
          <w:i/>
        </w:rPr>
        <w:t xml:space="preserve"> Services, Inc. v. Pa. Dept. of Environmental Resources</w:t>
      </w:r>
      <w:r w:rsidRPr="00A9207F">
        <w:rPr>
          <w:rFonts w:ascii="Times New Roman" w:hAnsi="Times New Roman" w:cs="Times New Roman"/>
        </w:rPr>
        <w:t>, 406 A.2d 1020 (Pa. 1979)</w:t>
      </w:r>
      <w:proofErr w:type="gramStart"/>
      <w:r w:rsidRPr="00A9207F">
        <w:rPr>
          <w:rFonts w:ascii="Times New Roman" w:hAnsi="Times New Roman" w:cs="Times New Roman"/>
        </w:rPr>
        <w:t xml:space="preserve">;  </w:t>
      </w:r>
      <w:r w:rsidRPr="00A9207F">
        <w:rPr>
          <w:rFonts w:ascii="Times New Roman" w:hAnsi="Times New Roman" w:cs="Times New Roman"/>
          <w:i/>
        </w:rPr>
        <w:t>Rivera</w:t>
      </w:r>
      <w:proofErr w:type="gramEnd"/>
      <w:r w:rsidRPr="00A9207F">
        <w:rPr>
          <w:rFonts w:ascii="Times New Roman" w:hAnsi="Times New Roman" w:cs="Times New Roman"/>
          <w:i/>
        </w:rPr>
        <w:t xml:space="preserve"> v. Philadelphia Theological Seminary of St. Charles </w:t>
      </w:r>
      <w:proofErr w:type="spellStart"/>
      <w:r w:rsidRPr="00A9207F">
        <w:rPr>
          <w:rFonts w:ascii="Times New Roman" w:hAnsi="Times New Roman" w:cs="Times New Roman"/>
          <w:i/>
        </w:rPr>
        <w:t>Borromeo</w:t>
      </w:r>
      <w:proofErr w:type="spellEnd"/>
      <w:r w:rsidRPr="00A9207F">
        <w:rPr>
          <w:rFonts w:ascii="Times New Roman" w:hAnsi="Times New Roman" w:cs="Times New Roman"/>
        </w:rPr>
        <w:t xml:space="preserve">, Inc., 595 A.2d 172 (Pa. Super. 1991).  The Commission has adopted this standard.  </w:t>
      </w:r>
      <w:proofErr w:type="gramStart"/>
      <w:r w:rsidRPr="00A9207F">
        <w:rPr>
          <w:rFonts w:ascii="Times New Roman" w:hAnsi="Times New Roman" w:cs="Times New Roman"/>
          <w:i/>
        </w:rPr>
        <w:t>Montague v. Philadelphia Electric Company</w:t>
      </w:r>
      <w:r w:rsidRPr="00A9207F">
        <w:rPr>
          <w:rFonts w:ascii="Times New Roman" w:hAnsi="Times New Roman" w:cs="Times New Roman"/>
        </w:rPr>
        <w:t>, 66 Pa. PUC 24 (1988).</w:t>
      </w:r>
      <w:proofErr w:type="gramEnd"/>
    </w:p>
    <w:p w:rsidR="00402A0B" w:rsidRPr="00A9207F" w:rsidRDefault="00402A0B" w:rsidP="004D068C">
      <w:pPr>
        <w:tabs>
          <w:tab w:val="left" w:pos="-720"/>
        </w:tabs>
        <w:suppressAutoHyphens/>
        <w:spacing w:line="360" w:lineRule="auto"/>
        <w:rPr>
          <w:rFonts w:ascii="Times New Roman" w:hAnsi="Times New Roman" w:cs="Times New Roman"/>
        </w:rPr>
      </w:pPr>
    </w:p>
    <w:p w:rsidR="00402A0B" w:rsidRPr="00A9207F" w:rsidRDefault="00402A0B" w:rsidP="004D068C">
      <w:pPr>
        <w:tabs>
          <w:tab w:val="left" w:pos="-720"/>
        </w:tabs>
        <w:suppressAutoHyphens/>
        <w:spacing w:line="360" w:lineRule="auto"/>
        <w:ind w:firstLine="1440"/>
        <w:rPr>
          <w:rFonts w:ascii="Times New Roman" w:hAnsi="Times New Roman" w:cs="Times New Roman"/>
        </w:rPr>
      </w:pPr>
      <w:r w:rsidRPr="00A9207F">
        <w:rPr>
          <w:rFonts w:ascii="Times New Roman" w:hAnsi="Times New Roman" w:cs="Times New Roman"/>
        </w:rPr>
        <w:t xml:space="preserve">The moving party may not rely on its own factual assertions, but must accept for the purposes of disposition of the preliminary objection, all well-pleaded, material facts of the other party, as well as every inference fairly deducible from those facts.  </w:t>
      </w:r>
      <w:proofErr w:type="gramStart"/>
      <w:r w:rsidRPr="00A9207F">
        <w:rPr>
          <w:rFonts w:ascii="Times New Roman" w:hAnsi="Times New Roman" w:cs="Times New Roman"/>
          <w:i/>
        </w:rPr>
        <w:t>County of Allegheny v. Commw.</w:t>
      </w:r>
      <w:proofErr w:type="gramEnd"/>
      <w:r w:rsidRPr="00A9207F">
        <w:rPr>
          <w:rFonts w:ascii="Times New Roman" w:hAnsi="Times New Roman" w:cs="Times New Roman"/>
          <w:i/>
        </w:rPr>
        <w:t xml:space="preserve"> </w:t>
      </w:r>
      <w:proofErr w:type="gramStart"/>
      <w:r w:rsidRPr="00A9207F">
        <w:rPr>
          <w:rFonts w:ascii="Times New Roman" w:hAnsi="Times New Roman" w:cs="Times New Roman"/>
          <w:i/>
        </w:rPr>
        <w:t>of</w:t>
      </w:r>
      <w:proofErr w:type="gramEnd"/>
      <w:r w:rsidRPr="00A9207F">
        <w:rPr>
          <w:rFonts w:ascii="Times New Roman" w:hAnsi="Times New Roman" w:cs="Times New Roman"/>
          <w:i/>
        </w:rPr>
        <w:t xml:space="preserve"> Pa</w:t>
      </w:r>
      <w:r w:rsidRPr="00A9207F">
        <w:rPr>
          <w:rFonts w:ascii="Times New Roman" w:hAnsi="Times New Roman" w:cs="Times New Roman"/>
        </w:rPr>
        <w:t xml:space="preserve">., 490 A.2d 402 (Pa. 1985).  Therefore, in ruling on a preliminary objection, the Commission must assume, for decisional purposes only, that the factual allegations of the Complaint are true.  Id.  A preliminary objection may be granted only if the moving party prevails as a matter of law.  </w:t>
      </w:r>
      <w:proofErr w:type="gramStart"/>
      <w:r w:rsidRPr="00A9207F">
        <w:rPr>
          <w:rFonts w:ascii="Times New Roman" w:hAnsi="Times New Roman" w:cs="Times New Roman"/>
          <w:i/>
        </w:rPr>
        <w:t>Roc v. Flaherty</w:t>
      </w:r>
      <w:r w:rsidRPr="00A9207F">
        <w:rPr>
          <w:rFonts w:ascii="Times New Roman" w:hAnsi="Times New Roman" w:cs="Times New Roman"/>
        </w:rPr>
        <w:t>, 527 A.2d 211 (Pa. Cmwlth. 1985).</w:t>
      </w:r>
      <w:proofErr w:type="gramEnd"/>
      <w:r w:rsidRPr="00A9207F">
        <w:rPr>
          <w:rFonts w:ascii="Times New Roman" w:hAnsi="Times New Roman" w:cs="Times New Roman"/>
        </w:rPr>
        <w:t xml:space="preserve">  Any doubt must be resolved in favor of the non-moving party by refusing to sustain the preliminary objections.  </w:t>
      </w:r>
      <w:r w:rsidRPr="00A9207F">
        <w:rPr>
          <w:rFonts w:ascii="Times New Roman" w:hAnsi="Times New Roman" w:cs="Times New Roman"/>
          <w:i/>
        </w:rPr>
        <w:t>Dept. of Auditor General, et al. v. State Employees' Retirement System</w:t>
      </w:r>
      <w:r w:rsidRPr="00A9207F">
        <w:rPr>
          <w:rFonts w:ascii="Times New Roman" w:hAnsi="Times New Roman" w:cs="Times New Roman"/>
        </w:rPr>
        <w:t xml:space="preserve">, et al., 836 A.2d 1053, 1064 (Pa. Cmwlth. 2003) citing, </w:t>
      </w:r>
      <w:r w:rsidRPr="00A9207F">
        <w:rPr>
          <w:rFonts w:ascii="Times New Roman" w:hAnsi="Times New Roman" w:cs="Times New Roman"/>
          <w:i/>
        </w:rPr>
        <w:t>Boyd v. Ward</w:t>
      </w:r>
      <w:r w:rsidRPr="00A9207F">
        <w:rPr>
          <w:rFonts w:ascii="Times New Roman" w:hAnsi="Times New Roman" w:cs="Times New Roman"/>
        </w:rPr>
        <w:t>, 802 A.2d 705 (Pa. Cmwlth. 2002).</w:t>
      </w:r>
    </w:p>
    <w:p w:rsidR="00402A0B" w:rsidRPr="00A9207F" w:rsidRDefault="00402A0B" w:rsidP="004D068C">
      <w:pPr>
        <w:tabs>
          <w:tab w:val="left" w:pos="-720"/>
        </w:tabs>
        <w:suppressAutoHyphens/>
        <w:spacing w:line="360" w:lineRule="auto"/>
        <w:rPr>
          <w:rFonts w:ascii="Times New Roman" w:hAnsi="Times New Roman" w:cs="Times New Roman"/>
        </w:rPr>
      </w:pPr>
    </w:p>
    <w:p w:rsidR="00222A8F" w:rsidRPr="00A9207F" w:rsidRDefault="00402A0B" w:rsidP="004D068C">
      <w:pPr>
        <w:spacing w:line="360" w:lineRule="auto"/>
        <w:rPr>
          <w:rFonts w:ascii="Times New Roman" w:hAnsi="Times New Roman" w:cs="Times New Roman"/>
          <w:spacing w:val="-3"/>
        </w:rPr>
      </w:pPr>
      <w:r w:rsidRPr="00A9207F">
        <w:rPr>
          <w:rFonts w:ascii="Times New Roman" w:hAnsi="Times New Roman" w:cs="Times New Roman"/>
        </w:rPr>
        <w:tab/>
      </w:r>
      <w:r w:rsidRPr="00A9207F">
        <w:rPr>
          <w:rFonts w:ascii="Times New Roman" w:hAnsi="Times New Roman" w:cs="Times New Roman"/>
        </w:rPr>
        <w:tab/>
        <w:t xml:space="preserve">PECO’s Preliminary Objection challenges the legal sufficiency of the Complaint filed at Docket No. </w:t>
      </w:r>
      <w:proofErr w:type="gramStart"/>
      <w:r w:rsidRPr="00A9207F">
        <w:rPr>
          <w:rFonts w:ascii="Times New Roman" w:hAnsi="Times New Roman" w:cs="Times New Roman"/>
        </w:rPr>
        <w:t>C-2012-2309932.</w:t>
      </w:r>
      <w:proofErr w:type="gramEnd"/>
      <w:r w:rsidRPr="00A9207F">
        <w:rPr>
          <w:rFonts w:ascii="Times New Roman" w:hAnsi="Times New Roman" w:cs="Times New Roman"/>
        </w:rPr>
        <w:t xml:space="preserve">  PECO’s Preliminary Objection is well taken, and PECO is entitled to relief as a matter of law.</w:t>
      </w:r>
    </w:p>
    <w:p w:rsidR="00222A8F" w:rsidRPr="00A9207F" w:rsidRDefault="00222A8F" w:rsidP="004D068C">
      <w:pPr>
        <w:spacing w:line="360" w:lineRule="auto"/>
        <w:rPr>
          <w:rFonts w:ascii="Times New Roman" w:hAnsi="Times New Roman" w:cs="Times New Roman"/>
          <w:spacing w:val="-3"/>
        </w:rPr>
      </w:pPr>
    </w:p>
    <w:p w:rsidR="00D11F33" w:rsidRPr="00A9207F" w:rsidRDefault="001F79A1" w:rsidP="00092A3D">
      <w:pPr>
        <w:spacing w:line="360" w:lineRule="auto"/>
        <w:rPr>
          <w:rFonts w:ascii="Times New Roman" w:hAnsi="Times New Roman" w:cs="Times New Roman"/>
          <w:spacing w:val="-3"/>
        </w:rPr>
      </w:pPr>
      <w:proofErr w:type="gramStart"/>
      <w:r w:rsidRPr="00A9207F">
        <w:rPr>
          <w:rFonts w:ascii="Times New Roman" w:hAnsi="Times New Roman" w:cs="Times New Roman"/>
          <w:spacing w:val="-3"/>
        </w:rPr>
        <w:t xml:space="preserve">In this case, </w:t>
      </w:r>
      <w:r w:rsidR="009C1CE1" w:rsidRPr="00A9207F">
        <w:rPr>
          <w:rFonts w:ascii="Times New Roman" w:hAnsi="Times New Roman" w:cs="Times New Roman"/>
          <w:spacing w:val="-3"/>
        </w:rPr>
        <w:t>as in the case at Docket No.</w:t>
      </w:r>
      <w:proofErr w:type="gramEnd"/>
      <w:r w:rsidR="009C1CE1" w:rsidRPr="00A9207F">
        <w:rPr>
          <w:rFonts w:ascii="Times New Roman" w:hAnsi="Times New Roman" w:cs="Times New Roman"/>
          <w:spacing w:val="-3"/>
        </w:rPr>
        <w:t xml:space="preserve"> C-2009-2111161, </w:t>
      </w:r>
      <w:r w:rsidRPr="00A9207F">
        <w:rPr>
          <w:rFonts w:ascii="Times New Roman" w:hAnsi="Times New Roman" w:cs="Times New Roman"/>
          <w:spacing w:val="-3"/>
        </w:rPr>
        <w:t xml:space="preserve">the Complainant </w:t>
      </w:r>
      <w:r w:rsidR="006748D9" w:rsidRPr="00A9207F">
        <w:rPr>
          <w:rFonts w:ascii="Times New Roman" w:hAnsi="Times New Roman" w:cs="Times New Roman"/>
          <w:spacing w:val="-3"/>
        </w:rPr>
        <w:t xml:space="preserve">claims improper </w:t>
      </w:r>
      <w:r w:rsidR="00700D03" w:rsidRPr="00A9207F">
        <w:rPr>
          <w:rFonts w:ascii="Times New Roman" w:hAnsi="Times New Roman" w:cs="Times New Roman"/>
          <w:spacing w:val="-3"/>
        </w:rPr>
        <w:t xml:space="preserve">classification of his account which, in turn, resulted in improper </w:t>
      </w:r>
      <w:r w:rsidR="006748D9" w:rsidRPr="00A9207F">
        <w:rPr>
          <w:rFonts w:ascii="Times New Roman" w:hAnsi="Times New Roman" w:cs="Times New Roman"/>
          <w:spacing w:val="-3"/>
        </w:rPr>
        <w:t>billing by PECO</w:t>
      </w:r>
      <w:r w:rsidR="00700D03" w:rsidRPr="00A9207F">
        <w:rPr>
          <w:rFonts w:ascii="Times New Roman" w:hAnsi="Times New Roman" w:cs="Times New Roman"/>
          <w:spacing w:val="-3"/>
        </w:rPr>
        <w:t>,</w:t>
      </w:r>
      <w:r w:rsidR="006748D9" w:rsidRPr="00A9207F">
        <w:rPr>
          <w:rFonts w:ascii="Times New Roman" w:hAnsi="Times New Roman" w:cs="Times New Roman"/>
          <w:spacing w:val="-3"/>
        </w:rPr>
        <w:t xml:space="preserve"> and asks that the Commission establish a payment arrangement</w:t>
      </w:r>
      <w:r w:rsidR="00FD72E7" w:rsidRPr="00A9207F">
        <w:rPr>
          <w:rFonts w:ascii="Times New Roman" w:hAnsi="Times New Roman" w:cs="Times New Roman"/>
          <w:spacing w:val="-3"/>
        </w:rPr>
        <w:t xml:space="preserve"> based on a recalculated bill</w:t>
      </w:r>
      <w:r w:rsidR="009C1CE1" w:rsidRPr="00A9207F">
        <w:rPr>
          <w:rFonts w:ascii="Times New Roman" w:hAnsi="Times New Roman" w:cs="Times New Roman"/>
          <w:spacing w:val="-3"/>
        </w:rPr>
        <w:t xml:space="preserve">.  </w:t>
      </w:r>
      <w:r w:rsidR="00402A0B" w:rsidRPr="00A9207F">
        <w:rPr>
          <w:rFonts w:ascii="Times New Roman" w:hAnsi="Times New Roman" w:cs="Times New Roman"/>
          <w:spacing w:val="-3"/>
        </w:rPr>
        <w:t>However, i</w:t>
      </w:r>
      <w:r w:rsidR="009C1CE1" w:rsidRPr="00A9207F">
        <w:rPr>
          <w:rFonts w:ascii="Times New Roman" w:hAnsi="Times New Roman" w:cs="Times New Roman"/>
          <w:spacing w:val="-3"/>
        </w:rPr>
        <w:t xml:space="preserve">n the </w:t>
      </w:r>
      <w:r w:rsidR="00700D03" w:rsidRPr="00A9207F">
        <w:rPr>
          <w:rFonts w:ascii="Times New Roman" w:hAnsi="Times New Roman" w:cs="Times New Roman"/>
          <w:spacing w:val="-3"/>
        </w:rPr>
        <w:t xml:space="preserve">prior </w:t>
      </w:r>
      <w:r w:rsidR="009C1CE1" w:rsidRPr="00A9207F">
        <w:rPr>
          <w:rFonts w:ascii="Times New Roman" w:hAnsi="Times New Roman" w:cs="Times New Roman"/>
          <w:spacing w:val="-3"/>
        </w:rPr>
        <w:t xml:space="preserve">Complaint at Docket No. 2009-2111161, the Complainant </w:t>
      </w:r>
      <w:r w:rsidR="006748D9" w:rsidRPr="00A9207F">
        <w:rPr>
          <w:rFonts w:ascii="Times New Roman" w:hAnsi="Times New Roman" w:cs="Times New Roman"/>
          <w:iCs/>
          <w:spacing w:val="-3"/>
        </w:rPr>
        <w:t>failed to sustain h</w:t>
      </w:r>
      <w:r w:rsidR="008A623A" w:rsidRPr="00A9207F">
        <w:rPr>
          <w:rFonts w:ascii="Times New Roman" w:hAnsi="Times New Roman" w:cs="Times New Roman"/>
          <w:iCs/>
          <w:spacing w:val="-3"/>
        </w:rPr>
        <w:t>is</w:t>
      </w:r>
      <w:r w:rsidR="006748D9" w:rsidRPr="00A9207F">
        <w:rPr>
          <w:rFonts w:ascii="Times New Roman" w:hAnsi="Times New Roman" w:cs="Times New Roman"/>
          <w:iCs/>
          <w:spacing w:val="-3"/>
        </w:rPr>
        <w:t xml:space="preserve"> burden of proving that h</w:t>
      </w:r>
      <w:r w:rsidR="00700D03" w:rsidRPr="00A9207F">
        <w:rPr>
          <w:rFonts w:ascii="Times New Roman" w:hAnsi="Times New Roman" w:cs="Times New Roman"/>
          <w:iCs/>
          <w:spacing w:val="-3"/>
        </w:rPr>
        <w:t>is account is improperly classified or that h</w:t>
      </w:r>
      <w:r w:rsidR="006748D9" w:rsidRPr="00A9207F">
        <w:rPr>
          <w:rFonts w:ascii="Times New Roman" w:hAnsi="Times New Roman" w:cs="Times New Roman"/>
          <w:iCs/>
          <w:spacing w:val="-3"/>
        </w:rPr>
        <w:t xml:space="preserve">e has </w:t>
      </w:r>
      <w:r w:rsidR="008A623A" w:rsidRPr="00A9207F">
        <w:rPr>
          <w:rFonts w:ascii="Times New Roman" w:hAnsi="Times New Roman" w:cs="Times New Roman"/>
          <w:iCs/>
          <w:spacing w:val="-3"/>
        </w:rPr>
        <w:t>been improperly billed by PECO</w:t>
      </w:r>
      <w:r w:rsidR="008D2E2C" w:rsidRPr="00A9207F">
        <w:rPr>
          <w:rFonts w:ascii="Times New Roman" w:hAnsi="Times New Roman" w:cs="Times New Roman"/>
          <w:iCs/>
          <w:spacing w:val="-3"/>
        </w:rPr>
        <w:t xml:space="preserve">.  </w:t>
      </w:r>
      <w:r w:rsidR="00BE5430" w:rsidRPr="00A9207F">
        <w:rPr>
          <w:rFonts w:ascii="Times New Roman" w:hAnsi="Times New Roman" w:cs="Times New Roman"/>
          <w:spacing w:val="-3"/>
        </w:rPr>
        <w:t>The Complainant failed to show that he is being billed at an improper rate.</w:t>
      </w:r>
      <w:r w:rsidR="009C1CE1" w:rsidRPr="00A9207F">
        <w:rPr>
          <w:rFonts w:ascii="Times New Roman" w:hAnsi="Times New Roman" w:cs="Times New Roman"/>
          <w:spacing w:val="-3"/>
        </w:rPr>
        <w:t xml:space="preserve">  </w:t>
      </w:r>
      <w:r w:rsidR="00BE5430" w:rsidRPr="00A9207F">
        <w:rPr>
          <w:rFonts w:ascii="Times New Roman" w:hAnsi="Times New Roman" w:cs="Times New Roman"/>
          <w:spacing w:val="-3"/>
        </w:rPr>
        <w:t>With respect to Complainant’s request for a payment arrangement, t</w:t>
      </w:r>
      <w:r w:rsidR="00D11F33" w:rsidRPr="00A9207F">
        <w:rPr>
          <w:rFonts w:ascii="Times New Roman" w:hAnsi="Times New Roman" w:cs="Times New Roman"/>
          <w:spacing w:val="-3"/>
        </w:rPr>
        <w:t xml:space="preserve">he Commission has repeatedly held that a customer with a </w:t>
      </w:r>
      <w:r w:rsidR="00D11F33" w:rsidRPr="00A9207F">
        <w:rPr>
          <w:rFonts w:ascii="Times New Roman" w:hAnsi="Times New Roman" w:cs="Times New Roman"/>
          <w:bCs/>
          <w:spacing w:val="-3"/>
        </w:rPr>
        <w:t>commercial</w:t>
      </w:r>
      <w:r w:rsidR="00D11F33" w:rsidRPr="00A9207F">
        <w:rPr>
          <w:rFonts w:ascii="Times New Roman" w:hAnsi="Times New Roman" w:cs="Times New Roman"/>
          <w:spacing w:val="-3"/>
        </w:rPr>
        <w:t xml:space="preserve"> account for public utility service does not fall within the Commission regulations at 52 Pa. Code Chapter 56 and is not entitled to a </w:t>
      </w:r>
      <w:r w:rsidR="00D11F33" w:rsidRPr="00A9207F">
        <w:rPr>
          <w:rFonts w:ascii="Times New Roman" w:hAnsi="Times New Roman" w:cs="Times New Roman"/>
          <w:bCs/>
          <w:spacing w:val="-3"/>
        </w:rPr>
        <w:t>payment arrangement</w:t>
      </w:r>
      <w:r w:rsidR="00D11F33" w:rsidRPr="00A9207F">
        <w:rPr>
          <w:rFonts w:ascii="Times New Roman" w:hAnsi="Times New Roman" w:cs="Times New Roman"/>
          <w:spacing w:val="-3"/>
        </w:rPr>
        <w:t xml:space="preserve"> or other protections applicable to residential accounts under the Commission regulations at 52 Pa. Code Chapter 56.  </w:t>
      </w:r>
      <w:r w:rsidR="00D11F33" w:rsidRPr="00A9207F">
        <w:rPr>
          <w:rFonts w:ascii="Times New Roman" w:hAnsi="Times New Roman" w:cs="Times New Roman"/>
          <w:i/>
          <w:iCs/>
          <w:spacing w:val="-3"/>
        </w:rPr>
        <w:t>Bio/Data Corporation v. PECO Energy Co.,</w:t>
      </w:r>
      <w:r w:rsidR="00D11F33" w:rsidRPr="00A9207F">
        <w:rPr>
          <w:rFonts w:ascii="Times New Roman" w:hAnsi="Times New Roman" w:cs="Times New Roman"/>
          <w:spacing w:val="-3"/>
        </w:rPr>
        <w:t xml:space="preserve"> Docket No. </w:t>
      </w:r>
      <w:proofErr w:type="gramStart"/>
      <w:r w:rsidR="00D11F33" w:rsidRPr="00A9207F">
        <w:rPr>
          <w:rFonts w:ascii="Times New Roman" w:hAnsi="Times New Roman" w:cs="Times New Roman"/>
          <w:spacing w:val="-3"/>
        </w:rPr>
        <w:t xml:space="preserve">C-20026698 (Order entered July 30, 2002); </w:t>
      </w:r>
      <w:r w:rsidR="00D11F33" w:rsidRPr="00A9207F">
        <w:rPr>
          <w:rFonts w:ascii="Times New Roman" w:hAnsi="Times New Roman" w:cs="Times New Roman"/>
          <w:i/>
          <w:iCs/>
          <w:spacing w:val="-3"/>
        </w:rPr>
        <w:t>Lebanon Valley Enterprises, Inc. v. Metropolitan Edison Co.,</w:t>
      </w:r>
      <w:r w:rsidR="001A5583">
        <w:rPr>
          <w:rFonts w:ascii="Times New Roman" w:hAnsi="Times New Roman" w:cs="Times New Roman"/>
          <w:spacing w:val="-3"/>
        </w:rPr>
        <w:t xml:space="preserve"> Docket No.</w:t>
      </w:r>
      <w:proofErr w:type="gramEnd"/>
      <w:r w:rsidR="001A5583">
        <w:rPr>
          <w:rFonts w:ascii="Times New Roman" w:hAnsi="Times New Roman" w:cs="Times New Roman"/>
          <w:spacing w:val="-3"/>
        </w:rPr>
        <w:t xml:space="preserve"> C</w:t>
      </w:r>
      <w:r w:rsidR="001A5583">
        <w:rPr>
          <w:rFonts w:ascii="Times New Roman" w:hAnsi="Times New Roman" w:cs="Times New Roman"/>
          <w:spacing w:val="-3"/>
        </w:rPr>
        <w:noBreakHyphen/>
      </w:r>
      <w:r w:rsidR="00D11F33" w:rsidRPr="00A9207F">
        <w:rPr>
          <w:rFonts w:ascii="Times New Roman" w:hAnsi="Times New Roman" w:cs="Times New Roman"/>
          <w:spacing w:val="-3"/>
        </w:rPr>
        <w:t xml:space="preserve">00015522 (Order entered October 15, 2001); </w:t>
      </w:r>
      <w:r w:rsidR="00D11F33" w:rsidRPr="00A9207F">
        <w:rPr>
          <w:rFonts w:ascii="Times New Roman" w:hAnsi="Times New Roman" w:cs="Times New Roman"/>
          <w:i/>
          <w:iCs/>
          <w:spacing w:val="-3"/>
        </w:rPr>
        <w:t>Kayla's Place Inc. v. Duquesne Light Co.,</w:t>
      </w:r>
      <w:r w:rsidR="00D11F33" w:rsidRPr="00A9207F">
        <w:rPr>
          <w:rFonts w:ascii="Times New Roman" w:hAnsi="Times New Roman" w:cs="Times New Roman"/>
          <w:spacing w:val="-3"/>
        </w:rPr>
        <w:t xml:space="preserve"> Docket No. </w:t>
      </w:r>
      <w:proofErr w:type="gramStart"/>
      <w:r w:rsidR="00D11F33" w:rsidRPr="00A9207F">
        <w:rPr>
          <w:rFonts w:ascii="Times New Roman" w:hAnsi="Times New Roman" w:cs="Times New Roman"/>
          <w:spacing w:val="-3"/>
        </w:rPr>
        <w:t xml:space="preserve">C-00981711 (Order entered May 24, 1999); </w:t>
      </w:r>
      <w:r w:rsidR="00D11F33" w:rsidRPr="00A9207F">
        <w:rPr>
          <w:rFonts w:ascii="Times New Roman" w:hAnsi="Times New Roman" w:cs="Times New Roman"/>
          <w:i/>
          <w:iCs/>
          <w:spacing w:val="-3"/>
        </w:rPr>
        <w:t>Kenny v. Duquesne Light Co.,</w:t>
      </w:r>
      <w:r w:rsidR="001A5583">
        <w:rPr>
          <w:rFonts w:ascii="Times New Roman" w:hAnsi="Times New Roman" w:cs="Times New Roman"/>
          <w:spacing w:val="-3"/>
        </w:rPr>
        <w:t xml:space="preserve"> Docket No.</w:t>
      </w:r>
      <w:proofErr w:type="gramEnd"/>
      <w:r w:rsidR="001A5583">
        <w:rPr>
          <w:rFonts w:ascii="Times New Roman" w:hAnsi="Times New Roman" w:cs="Times New Roman"/>
          <w:spacing w:val="-3"/>
        </w:rPr>
        <w:t xml:space="preserve"> C</w:t>
      </w:r>
      <w:r w:rsidR="001A5583">
        <w:rPr>
          <w:rFonts w:ascii="Times New Roman" w:hAnsi="Times New Roman" w:cs="Times New Roman"/>
          <w:spacing w:val="-3"/>
        </w:rPr>
        <w:noBreakHyphen/>
      </w:r>
      <w:r w:rsidR="00D11F33" w:rsidRPr="00A9207F">
        <w:rPr>
          <w:rFonts w:ascii="Times New Roman" w:hAnsi="Times New Roman" w:cs="Times New Roman"/>
          <w:spacing w:val="-3"/>
        </w:rPr>
        <w:t>00967789 (Order entered November 27, 1996); see also, 52 Pa. Code §§ 55.2(a), 56.1.</w:t>
      </w:r>
    </w:p>
    <w:p w:rsidR="003906DB" w:rsidRPr="00A9207F" w:rsidRDefault="003906DB" w:rsidP="00A9207F">
      <w:pPr>
        <w:spacing w:line="360" w:lineRule="auto"/>
        <w:ind w:right="720" w:firstLine="1440"/>
        <w:rPr>
          <w:rFonts w:ascii="Times New Roman" w:hAnsi="Times New Roman" w:cs="Times New Roman"/>
          <w:spacing w:val="-3"/>
        </w:rPr>
      </w:pPr>
    </w:p>
    <w:p w:rsidR="003906DB" w:rsidRPr="00A9207F" w:rsidRDefault="009C1CE1" w:rsidP="004D068C">
      <w:pPr>
        <w:spacing w:line="360" w:lineRule="auto"/>
        <w:ind w:firstLine="1440"/>
        <w:rPr>
          <w:rFonts w:ascii="Times New Roman" w:hAnsi="Times New Roman" w:cs="Times New Roman"/>
          <w:spacing w:val="-3"/>
        </w:rPr>
      </w:pPr>
      <w:r w:rsidRPr="00A9207F">
        <w:rPr>
          <w:rFonts w:ascii="Times New Roman" w:hAnsi="Times New Roman" w:cs="Times New Roman"/>
          <w:spacing w:val="-3"/>
        </w:rPr>
        <w:t xml:space="preserve">In the present Complaint, the Complainant has asserted </w:t>
      </w:r>
      <w:r w:rsidR="00402A0B" w:rsidRPr="00A9207F">
        <w:rPr>
          <w:rFonts w:ascii="Times New Roman" w:hAnsi="Times New Roman" w:cs="Times New Roman"/>
          <w:spacing w:val="-3"/>
        </w:rPr>
        <w:t>the</w:t>
      </w:r>
      <w:r w:rsidRPr="00A9207F">
        <w:rPr>
          <w:rFonts w:ascii="Times New Roman" w:hAnsi="Times New Roman" w:cs="Times New Roman"/>
          <w:spacing w:val="-3"/>
        </w:rPr>
        <w:t xml:space="preserve"> identical claim, unsupported by the averment of any new evidence, and has asked for the same relief as in his original Complaint.</w:t>
      </w:r>
      <w:r w:rsidRPr="00A9207F">
        <w:rPr>
          <w:rStyle w:val="FootnoteReference"/>
          <w:rFonts w:ascii="Times New Roman" w:hAnsi="Times New Roman" w:cs="Times New Roman"/>
          <w:spacing w:val="-3"/>
        </w:rPr>
        <w:footnoteReference w:id="1"/>
      </w:r>
      <w:r w:rsidR="003906DB" w:rsidRPr="00A9207F">
        <w:rPr>
          <w:rFonts w:ascii="Times New Roman" w:hAnsi="Times New Roman" w:cs="Times New Roman"/>
          <w:spacing w:val="-3"/>
        </w:rPr>
        <w:t xml:space="preserve">  The Complaint is, therefore,</w:t>
      </w:r>
      <w:r w:rsidR="00402A0B" w:rsidRPr="00A9207F">
        <w:rPr>
          <w:rFonts w:ascii="Times New Roman" w:hAnsi="Times New Roman" w:cs="Times New Roman"/>
          <w:spacing w:val="-3"/>
        </w:rPr>
        <w:t xml:space="preserve"> legally insufficient and is </w:t>
      </w:r>
      <w:r w:rsidR="003906DB" w:rsidRPr="00A9207F">
        <w:rPr>
          <w:rFonts w:ascii="Times New Roman" w:hAnsi="Times New Roman" w:cs="Times New Roman"/>
          <w:spacing w:val="-3"/>
        </w:rPr>
        <w:t xml:space="preserve">barred by the doctrine of </w:t>
      </w:r>
      <w:r w:rsidR="003906DB" w:rsidRPr="00A9207F">
        <w:rPr>
          <w:rFonts w:ascii="Times New Roman" w:hAnsi="Times New Roman" w:cs="Times New Roman"/>
          <w:i/>
          <w:spacing w:val="-3"/>
        </w:rPr>
        <w:t>res judicata</w:t>
      </w:r>
      <w:r w:rsidR="003906DB" w:rsidRPr="00A9207F">
        <w:rPr>
          <w:rFonts w:ascii="Times New Roman" w:hAnsi="Times New Roman" w:cs="Times New Roman"/>
          <w:spacing w:val="-3"/>
        </w:rPr>
        <w:t xml:space="preserve"> and must be dismissed.</w:t>
      </w:r>
    </w:p>
    <w:p w:rsidR="003906DB" w:rsidRPr="00A9207F" w:rsidRDefault="003906DB" w:rsidP="00A9207F">
      <w:pPr>
        <w:spacing w:line="360" w:lineRule="auto"/>
        <w:ind w:right="720" w:firstLine="1440"/>
        <w:rPr>
          <w:rFonts w:ascii="Times New Roman" w:hAnsi="Times New Roman" w:cs="Times New Roman"/>
          <w:spacing w:val="-3"/>
        </w:rPr>
      </w:pPr>
    </w:p>
    <w:p w:rsidR="003906DB" w:rsidRPr="00A9207F" w:rsidRDefault="003906DB" w:rsidP="004D068C">
      <w:pPr>
        <w:spacing w:line="360" w:lineRule="auto"/>
        <w:ind w:firstLine="1440"/>
        <w:rPr>
          <w:rFonts w:ascii="Times New Roman" w:hAnsi="Times New Roman" w:cs="Times New Roman"/>
          <w:spacing w:val="-3"/>
        </w:rPr>
      </w:pPr>
      <w:r w:rsidRPr="00A9207F">
        <w:rPr>
          <w:rFonts w:ascii="Times New Roman" w:hAnsi="Times New Roman" w:cs="Times New Roman"/>
          <w:spacing w:val="-3"/>
        </w:rPr>
        <w:t xml:space="preserve">The doctrine of </w:t>
      </w:r>
      <w:r w:rsidRPr="00A9207F">
        <w:rPr>
          <w:rFonts w:ascii="Times New Roman" w:hAnsi="Times New Roman" w:cs="Times New Roman"/>
          <w:i/>
          <w:spacing w:val="-3"/>
        </w:rPr>
        <w:t>res judicata</w:t>
      </w:r>
      <w:r w:rsidRPr="00A9207F">
        <w:rPr>
          <w:rFonts w:ascii="Times New Roman" w:hAnsi="Times New Roman" w:cs="Times New Roman"/>
          <w:spacing w:val="-3"/>
        </w:rPr>
        <w:t xml:space="preserve"> is designed to promote certainty, finality and judicial economy.  It reflects the refusal of the law to tolerate the re-litigation of a matter decided by a court or agency of competent jurisdiction.  The courts have repeatedly stated that a "final valid judgment on the merits by a court of competent jurisdiction bars any future suit between the same parties on the same cause of action."  </w:t>
      </w:r>
      <w:proofErr w:type="gramStart"/>
      <w:r w:rsidRPr="00A9207F">
        <w:rPr>
          <w:rFonts w:ascii="Times New Roman" w:hAnsi="Times New Roman" w:cs="Times New Roman"/>
          <w:i/>
          <w:spacing w:val="-3"/>
        </w:rPr>
        <w:t xml:space="preserve">McCarthy, et al. v. Township of </w:t>
      </w:r>
      <w:proofErr w:type="spellStart"/>
      <w:r w:rsidRPr="00A9207F">
        <w:rPr>
          <w:rFonts w:ascii="Times New Roman" w:hAnsi="Times New Roman" w:cs="Times New Roman"/>
          <w:i/>
          <w:spacing w:val="-3"/>
        </w:rPr>
        <w:t>McCandless</w:t>
      </w:r>
      <w:proofErr w:type="spellEnd"/>
      <w:r w:rsidRPr="00A9207F">
        <w:rPr>
          <w:rFonts w:ascii="Times New Roman" w:hAnsi="Times New Roman" w:cs="Times New Roman"/>
          <w:spacing w:val="-3"/>
        </w:rPr>
        <w:t xml:space="preserve">, 7 Pa. Commonwealth Ct. 611, 300 A.2d 815 (1973); </w:t>
      </w:r>
      <w:r w:rsidRPr="00A9207F">
        <w:rPr>
          <w:rFonts w:ascii="Times New Roman" w:hAnsi="Times New Roman" w:cs="Times New Roman"/>
          <w:i/>
          <w:spacing w:val="-3"/>
        </w:rPr>
        <w:t>Martin v. Poole</w:t>
      </w:r>
      <w:r w:rsidRPr="00A9207F">
        <w:rPr>
          <w:rFonts w:ascii="Times New Roman" w:hAnsi="Times New Roman" w:cs="Times New Roman"/>
          <w:spacing w:val="-3"/>
        </w:rPr>
        <w:t>, 232 Pa. Superior Ct. 263, 177 A.2d 339 (1975).</w:t>
      </w:r>
      <w:proofErr w:type="gramEnd"/>
      <w:r w:rsidRPr="00A9207F">
        <w:rPr>
          <w:rFonts w:ascii="Times New Roman" w:hAnsi="Times New Roman" w:cs="Times New Roman"/>
          <w:spacing w:val="-3"/>
        </w:rPr>
        <w:t xml:space="preserve">  Under </w:t>
      </w:r>
      <w:r w:rsidRPr="00A9207F">
        <w:rPr>
          <w:rFonts w:ascii="Times New Roman" w:hAnsi="Times New Roman" w:cs="Times New Roman"/>
          <w:i/>
          <w:spacing w:val="-3"/>
        </w:rPr>
        <w:t>res judicata</w:t>
      </w:r>
      <w:r w:rsidRPr="00A9207F">
        <w:rPr>
          <w:rFonts w:ascii="Times New Roman" w:hAnsi="Times New Roman" w:cs="Times New Roman"/>
          <w:spacing w:val="-3"/>
        </w:rPr>
        <w:t>, when a court of competent jurisdiction enters a final judgment on the merits of a cause of action, the parties to that case</w:t>
      </w:r>
      <w:r w:rsidR="00402A0B" w:rsidRPr="00A9207F">
        <w:rPr>
          <w:rFonts w:ascii="Times New Roman" w:hAnsi="Times New Roman" w:cs="Times New Roman"/>
          <w:spacing w:val="-3"/>
        </w:rPr>
        <w:t xml:space="preserve"> . . .</w:t>
      </w:r>
      <w:r w:rsidRPr="00A9207F">
        <w:rPr>
          <w:rFonts w:ascii="Times New Roman" w:hAnsi="Times New Roman" w:cs="Times New Roman"/>
          <w:spacing w:val="-3"/>
        </w:rPr>
        <w:t xml:space="preserve"> are thereafter bound "not only as to every matter which was offered and received, but also as to any other admissible matter which might have been offered." </w:t>
      </w:r>
      <w:proofErr w:type="gramStart"/>
      <w:r w:rsidRPr="00A9207F">
        <w:rPr>
          <w:rFonts w:ascii="Times New Roman" w:hAnsi="Times New Roman" w:cs="Times New Roman"/>
          <w:i/>
          <w:spacing w:val="-3"/>
        </w:rPr>
        <w:t xml:space="preserve">Commission v. </w:t>
      </w:r>
      <w:proofErr w:type="spellStart"/>
      <w:r w:rsidRPr="00A9207F">
        <w:rPr>
          <w:rFonts w:ascii="Times New Roman" w:hAnsi="Times New Roman" w:cs="Times New Roman"/>
          <w:i/>
          <w:spacing w:val="-3"/>
        </w:rPr>
        <w:t>Sunnen</w:t>
      </w:r>
      <w:proofErr w:type="spellEnd"/>
      <w:r w:rsidRPr="00A9207F">
        <w:rPr>
          <w:rFonts w:ascii="Times New Roman" w:hAnsi="Times New Roman" w:cs="Times New Roman"/>
          <w:spacing w:val="-3"/>
        </w:rPr>
        <w:t xml:space="preserve">, 333 U.S. 591, 68 </w:t>
      </w:r>
      <w:proofErr w:type="spellStart"/>
      <w:r w:rsidRPr="00A9207F">
        <w:rPr>
          <w:rFonts w:ascii="Times New Roman" w:hAnsi="Times New Roman" w:cs="Times New Roman"/>
          <w:spacing w:val="-3"/>
        </w:rPr>
        <w:t>S.Ct</w:t>
      </w:r>
      <w:proofErr w:type="spellEnd"/>
      <w:r w:rsidRPr="00A9207F">
        <w:rPr>
          <w:rFonts w:ascii="Times New Roman" w:hAnsi="Times New Roman" w:cs="Times New Roman"/>
          <w:spacing w:val="-3"/>
        </w:rPr>
        <w:t xml:space="preserve">. 715, 719 (1948); </w:t>
      </w:r>
      <w:r w:rsidRPr="00A9207F">
        <w:rPr>
          <w:rFonts w:ascii="Times New Roman" w:hAnsi="Times New Roman" w:cs="Times New Roman"/>
          <w:i/>
          <w:spacing w:val="-3"/>
        </w:rPr>
        <w:t xml:space="preserve">Jones v. </w:t>
      </w:r>
      <w:proofErr w:type="spellStart"/>
      <w:r w:rsidRPr="00A9207F">
        <w:rPr>
          <w:rFonts w:ascii="Times New Roman" w:hAnsi="Times New Roman" w:cs="Times New Roman"/>
          <w:i/>
          <w:spacing w:val="-3"/>
        </w:rPr>
        <w:t>Costlow</w:t>
      </w:r>
      <w:proofErr w:type="spellEnd"/>
      <w:r w:rsidRPr="00A9207F">
        <w:rPr>
          <w:rFonts w:ascii="Times New Roman" w:hAnsi="Times New Roman" w:cs="Times New Roman"/>
          <w:spacing w:val="-3"/>
        </w:rPr>
        <w:t>, 354 Pa. 245, 47 AW.</w:t>
      </w:r>
      <w:proofErr w:type="gramEnd"/>
      <w:r w:rsidRPr="00A9207F">
        <w:rPr>
          <w:rFonts w:ascii="Times New Roman" w:hAnsi="Times New Roman" w:cs="Times New Roman"/>
          <w:spacing w:val="-3"/>
        </w:rPr>
        <w:t xml:space="preserve"> </w:t>
      </w:r>
      <w:proofErr w:type="gramStart"/>
      <w:r w:rsidRPr="00A9207F">
        <w:rPr>
          <w:rFonts w:ascii="Times New Roman" w:hAnsi="Times New Roman" w:cs="Times New Roman"/>
          <w:spacing w:val="-3"/>
        </w:rPr>
        <w:t>2d 259 (1946).</w:t>
      </w:r>
      <w:proofErr w:type="gramEnd"/>
    </w:p>
    <w:p w:rsidR="003906DB" w:rsidRPr="00A9207F" w:rsidRDefault="003906DB" w:rsidP="00A9207F">
      <w:pPr>
        <w:spacing w:line="360" w:lineRule="auto"/>
        <w:ind w:right="720" w:firstLine="1440"/>
        <w:rPr>
          <w:rFonts w:ascii="Times New Roman" w:hAnsi="Times New Roman" w:cs="Times New Roman"/>
          <w:spacing w:val="-3"/>
        </w:rPr>
      </w:pPr>
    </w:p>
    <w:p w:rsidR="003906DB" w:rsidRPr="00A9207F" w:rsidRDefault="003906DB" w:rsidP="004D068C">
      <w:pPr>
        <w:spacing w:line="360" w:lineRule="auto"/>
        <w:ind w:firstLine="1440"/>
        <w:rPr>
          <w:rFonts w:ascii="Times New Roman" w:hAnsi="Times New Roman" w:cs="Times New Roman"/>
          <w:spacing w:val="-3"/>
        </w:rPr>
      </w:pPr>
      <w:r w:rsidRPr="00A9207F">
        <w:rPr>
          <w:rFonts w:ascii="Times New Roman" w:hAnsi="Times New Roman" w:cs="Times New Roman"/>
          <w:spacing w:val="-3"/>
        </w:rPr>
        <w:t>For the doctrine</w:t>
      </w:r>
      <w:r w:rsidR="00700D03" w:rsidRPr="00A9207F">
        <w:rPr>
          <w:rFonts w:ascii="Times New Roman" w:hAnsi="Times New Roman" w:cs="Times New Roman"/>
          <w:spacing w:val="-3"/>
        </w:rPr>
        <w:t xml:space="preserve"> of </w:t>
      </w:r>
      <w:r w:rsidR="00700D03" w:rsidRPr="00A9207F">
        <w:rPr>
          <w:rFonts w:ascii="Times New Roman" w:hAnsi="Times New Roman" w:cs="Times New Roman"/>
          <w:i/>
          <w:spacing w:val="-3"/>
        </w:rPr>
        <w:t>res judicata</w:t>
      </w:r>
      <w:r w:rsidRPr="00A9207F">
        <w:rPr>
          <w:rFonts w:ascii="Times New Roman" w:hAnsi="Times New Roman" w:cs="Times New Roman"/>
          <w:spacing w:val="-3"/>
        </w:rPr>
        <w:t xml:space="preserve"> to apply, four conditions must be met: (1) identity of issues, (2) identity of causes of action, (3) identity of persons and parties to the action, and (4) identity of the quality and capacity of the parties suing or sued.  </w:t>
      </w:r>
      <w:r w:rsidRPr="00A9207F">
        <w:rPr>
          <w:rFonts w:ascii="Times New Roman" w:hAnsi="Times New Roman" w:cs="Times New Roman"/>
          <w:i/>
          <w:spacing w:val="-3"/>
        </w:rPr>
        <w:t>Safeguard Mutual Insurance Co. v. Williams</w:t>
      </w:r>
      <w:r w:rsidRPr="00A9207F">
        <w:rPr>
          <w:rFonts w:ascii="Times New Roman" w:hAnsi="Times New Roman" w:cs="Times New Roman"/>
          <w:spacing w:val="-3"/>
        </w:rPr>
        <w:t xml:space="preserve">, 463 Pa. 567, 345 A.2d 664 (1975); </w:t>
      </w:r>
      <w:r w:rsidRPr="00A9207F">
        <w:rPr>
          <w:rFonts w:ascii="Times New Roman" w:hAnsi="Times New Roman" w:cs="Times New Roman"/>
          <w:i/>
          <w:spacing w:val="-3"/>
        </w:rPr>
        <w:t xml:space="preserve">Day v. </w:t>
      </w:r>
      <w:proofErr w:type="spellStart"/>
      <w:r w:rsidRPr="00A9207F">
        <w:rPr>
          <w:rFonts w:ascii="Times New Roman" w:hAnsi="Times New Roman" w:cs="Times New Roman"/>
          <w:i/>
          <w:spacing w:val="-3"/>
        </w:rPr>
        <w:t>Volkswagenwerk</w:t>
      </w:r>
      <w:proofErr w:type="spellEnd"/>
      <w:r w:rsidRPr="00A9207F">
        <w:rPr>
          <w:rFonts w:ascii="Times New Roman" w:hAnsi="Times New Roman" w:cs="Times New Roman"/>
          <w:i/>
          <w:spacing w:val="-3"/>
        </w:rPr>
        <w:t xml:space="preserve"> </w:t>
      </w:r>
      <w:proofErr w:type="spellStart"/>
      <w:r w:rsidRPr="00A9207F">
        <w:rPr>
          <w:rFonts w:ascii="Times New Roman" w:hAnsi="Times New Roman" w:cs="Times New Roman"/>
          <w:i/>
          <w:spacing w:val="-3"/>
        </w:rPr>
        <w:t>Aktiengesellschaft</w:t>
      </w:r>
      <w:proofErr w:type="spellEnd"/>
      <w:r w:rsidRPr="00A9207F">
        <w:rPr>
          <w:rFonts w:ascii="Times New Roman" w:hAnsi="Times New Roman" w:cs="Times New Roman"/>
          <w:spacing w:val="-3"/>
        </w:rPr>
        <w:t xml:space="preserve">, 318 Pa. Superior Ct. 225, 464 A.2d 1313 (1983); </w:t>
      </w:r>
      <w:r w:rsidRPr="00A9207F">
        <w:rPr>
          <w:rFonts w:ascii="Times New Roman" w:hAnsi="Times New Roman" w:cs="Times New Roman"/>
          <w:i/>
          <w:spacing w:val="-3"/>
        </w:rPr>
        <w:t>Northwestern Lehigh School District v. Commonwealth of Pennsylvania, Agricultural Lands Condemnation Approval Board</w:t>
      </w:r>
      <w:r w:rsidRPr="00A9207F">
        <w:rPr>
          <w:rFonts w:ascii="Times New Roman" w:hAnsi="Times New Roman" w:cs="Times New Roman"/>
          <w:spacing w:val="-3"/>
        </w:rPr>
        <w:t xml:space="preserve">, 134 Pa. Commonwealth Ct. 291, 578 A. 2d 614 (1990).  The Commonwealth Court stated that, "for the purposes of </w:t>
      </w:r>
      <w:r w:rsidRPr="00A9207F">
        <w:rPr>
          <w:rFonts w:ascii="Times New Roman" w:hAnsi="Times New Roman" w:cs="Times New Roman"/>
          <w:i/>
          <w:spacing w:val="-3"/>
        </w:rPr>
        <w:t>res judicata</w:t>
      </w:r>
      <w:r w:rsidRPr="00A9207F">
        <w:rPr>
          <w:rFonts w:ascii="Times New Roman" w:hAnsi="Times New Roman" w:cs="Times New Roman"/>
          <w:spacing w:val="-3"/>
        </w:rPr>
        <w:t xml:space="preserve">, there is identity of causes of action when in both the old and new </w:t>
      </w:r>
      <w:proofErr w:type="gramStart"/>
      <w:r w:rsidRPr="00A9207F">
        <w:rPr>
          <w:rFonts w:ascii="Times New Roman" w:hAnsi="Times New Roman" w:cs="Times New Roman"/>
          <w:spacing w:val="-3"/>
        </w:rPr>
        <w:t>proceedings,</w:t>
      </w:r>
      <w:proofErr w:type="gramEnd"/>
      <w:r w:rsidRPr="00A9207F">
        <w:rPr>
          <w:rFonts w:ascii="Times New Roman" w:hAnsi="Times New Roman" w:cs="Times New Roman"/>
          <w:spacing w:val="-3"/>
        </w:rPr>
        <w:t xml:space="preserve"> the subject matter and the ultimate issues are the same." </w:t>
      </w:r>
      <w:r w:rsidRPr="00A9207F">
        <w:rPr>
          <w:rFonts w:ascii="Times New Roman" w:hAnsi="Times New Roman" w:cs="Times New Roman"/>
          <w:i/>
          <w:spacing w:val="-3"/>
        </w:rPr>
        <w:t xml:space="preserve">Howard </w:t>
      </w:r>
      <w:proofErr w:type="gramStart"/>
      <w:r w:rsidRPr="00A9207F">
        <w:rPr>
          <w:rFonts w:ascii="Times New Roman" w:hAnsi="Times New Roman" w:cs="Times New Roman"/>
          <w:i/>
          <w:spacing w:val="-3"/>
        </w:rPr>
        <w:t>v .</w:t>
      </w:r>
      <w:proofErr w:type="gramEnd"/>
      <w:r w:rsidRPr="00A9207F">
        <w:rPr>
          <w:rFonts w:ascii="Times New Roman" w:hAnsi="Times New Roman" w:cs="Times New Roman"/>
          <w:i/>
          <w:spacing w:val="-3"/>
        </w:rPr>
        <w:t xml:space="preserve"> </w:t>
      </w:r>
      <w:proofErr w:type="gramStart"/>
      <w:r w:rsidRPr="00A9207F">
        <w:rPr>
          <w:rFonts w:ascii="Times New Roman" w:hAnsi="Times New Roman" w:cs="Times New Roman"/>
          <w:i/>
          <w:spacing w:val="-3"/>
        </w:rPr>
        <w:t>Department of Public Welfare</w:t>
      </w:r>
      <w:r w:rsidRPr="00A9207F">
        <w:rPr>
          <w:rFonts w:ascii="Times New Roman" w:hAnsi="Times New Roman" w:cs="Times New Roman"/>
          <w:spacing w:val="-3"/>
        </w:rPr>
        <w:t>, 108 Pa. Commonwealth Ct. 592, 529 A.2d 1231 (1987).</w:t>
      </w:r>
      <w:proofErr w:type="gramEnd"/>
    </w:p>
    <w:p w:rsidR="003906DB" w:rsidRPr="00A9207F" w:rsidRDefault="003906DB" w:rsidP="00A9207F">
      <w:pPr>
        <w:spacing w:line="360" w:lineRule="auto"/>
        <w:ind w:right="720" w:firstLine="1440"/>
        <w:rPr>
          <w:rFonts w:ascii="Times New Roman" w:hAnsi="Times New Roman" w:cs="Times New Roman"/>
          <w:spacing w:val="-3"/>
        </w:rPr>
      </w:pPr>
    </w:p>
    <w:p w:rsidR="003906DB" w:rsidRPr="00A9207F" w:rsidRDefault="003906DB" w:rsidP="004D068C">
      <w:pPr>
        <w:spacing w:line="360" w:lineRule="auto"/>
        <w:ind w:firstLine="1440"/>
        <w:rPr>
          <w:rFonts w:ascii="Times New Roman" w:hAnsi="Times New Roman" w:cs="Times New Roman"/>
          <w:spacing w:val="-3"/>
        </w:rPr>
      </w:pPr>
      <w:r w:rsidRPr="00A9207F">
        <w:rPr>
          <w:rFonts w:ascii="Times New Roman" w:hAnsi="Times New Roman" w:cs="Times New Roman"/>
          <w:spacing w:val="-3"/>
        </w:rPr>
        <w:t xml:space="preserve">Although the Commission's procedural rules do not specifically address the application of the doctrine, the Commission has adopted this well-settled legal principle.  </w:t>
      </w:r>
      <w:r w:rsidRPr="00A9207F">
        <w:rPr>
          <w:rFonts w:ascii="Times New Roman" w:hAnsi="Times New Roman" w:cs="Times New Roman"/>
          <w:i/>
          <w:spacing w:val="-3"/>
        </w:rPr>
        <w:t>Ella Simms v. Philadelphia Electric Company</w:t>
      </w:r>
      <w:r w:rsidRPr="00A9207F">
        <w:rPr>
          <w:rFonts w:ascii="Times New Roman" w:hAnsi="Times New Roman" w:cs="Times New Roman"/>
          <w:spacing w:val="-3"/>
        </w:rPr>
        <w:t xml:space="preserve">, Docket No. </w:t>
      </w:r>
      <w:proofErr w:type="gramStart"/>
      <w:r w:rsidRPr="00A9207F">
        <w:rPr>
          <w:rFonts w:ascii="Times New Roman" w:hAnsi="Times New Roman" w:cs="Times New Roman"/>
          <w:spacing w:val="-3"/>
        </w:rPr>
        <w:t>F-889246 (1988).</w:t>
      </w:r>
      <w:proofErr w:type="gramEnd"/>
      <w:r w:rsidRPr="00A9207F">
        <w:rPr>
          <w:rFonts w:ascii="Times New Roman" w:hAnsi="Times New Roman" w:cs="Times New Roman"/>
          <w:spacing w:val="-3"/>
        </w:rPr>
        <w:t xml:space="preserve">  The Commission has recognized the applicability of the doctrine of </w:t>
      </w:r>
      <w:r w:rsidRPr="00A9207F">
        <w:rPr>
          <w:rFonts w:ascii="Times New Roman" w:hAnsi="Times New Roman" w:cs="Times New Roman"/>
          <w:i/>
          <w:spacing w:val="-3"/>
        </w:rPr>
        <w:t>res judicata</w:t>
      </w:r>
      <w:r w:rsidRPr="00A9207F">
        <w:rPr>
          <w:rFonts w:ascii="Times New Roman" w:hAnsi="Times New Roman" w:cs="Times New Roman"/>
          <w:spacing w:val="-3"/>
        </w:rPr>
        <w:t xml:space="preserve"> in proceedings before it.  </w:t>
      </w:r>
      <w:r w:rsidRPr="00A9207F">
        <w:rPr>
          <w:rFonts w:ascii="Times New Roman" w:hAnsi="Times New Roman" w:cs="Times New Roman"/>
          <w:i/>
          <w:spacing w:val="-3"/>
        </w:rPr>
        <w:t>O'Toole v. Bell Telephone Company of Pennsylvania</w:t>
      </w:r>
      <w:r w:rsidRPr="00A9207F">
        <w:rPr>
          <w:rFonts w:ascii="Times New Roman" w:hAnsi="Times New Roman" w:cs="Times New Roman"/>
          <w:spacing w:val="-3"/>
        </w:rPr>
        <w:t xml:space="preserve">, 77 Pa. PUC 98 (1992).  The Pennsylvania courts have affirmed the Commission's application of the doctrine in the context of utility rate proceedings. </w:t>
      </w:r>
      <w:r w:rsidRPr="00A9207F">
        <w:rPr>
          <w:rFonts w:ascii="Times New Roman" w:hAnsi="Times New Roman" w:cs="Times New Roman"/>
          <w:i/>
          <w:spacing w:val="-3"/>
        </w:rPr>
        <w:t>Philadelphia Electric Company v. Pennsylvania Public Utility Commission</w:t>
      </w:r>
      <w:r w:rsidRPr="00A9207F">
        <w:rPr>
          <w:rFonts w:ascii="Times New Roman" w:hAnsi="Times New Roman" w:cs="Times New Roman"/>
          <w:spacing w:val="-3"/>
        </w:rPr>
        <w:t xml:space="preserve">, 433 A.2d 620 (Pa. Cmwlth. 1981); see also, </w:t>
      </w:r>
      <w:r w:rsidRPr="00A9207F">
        <w:rPr>
          <w:rFonts w:ascii="Times New Roman" w:hAnsi="Times New Roman" w:cs="Times New Roman"/>
          <w:i/>
          <w:spacing w:val="-3"/>
        </w:rPr>
        <w:t>Kentucky West Virginia Gas Co. v. Pennsylvania Public Utility Commission</w:t>
      </w:r>
      <w:r w:rsidRPr="00A9207F">
        <w:rPr>
          <w:rFonts w:ascii="Times New Roman" w:hAnsi="Times New Roman" w:cs="Times New Roman"/>
          <w:spacing w:val="-3"/>
        </w:rPr>
        <w:t xml:space="preserve">, 721 F. Supp. 710 (M.D. Pa. 1989) (acknowledging the role of </w:t>
      </w:r>
      <w:r w:rsidRPr="00A9207F">
        <w:rPr>
          <w:rFonts w:ascii="Times New Roman" w:hAnsi="Times New Roman" w:cs="Times New Roman"/>
          <w:i/>
          <w:spacing w:val="-3"/>
        </w:rPr>
        <w:t>res judicata</w:t>
      </w:r>
      <w:r w:rsidRPr="00A9207F">
        <w:rPr>
          <w:rFonts w:ascii="Times New Roman" w:hAnsi="Times New Roman" w:cs="Times New Roman"/>
          <w:spacing w:val="-3"/>
        </w:rPr>
        <w:t xml:space="preserve"> and collateral estoppel in administrative proceedings), </w:t>
      </w:r>
      <w:proofErr w:type="spellStart"/>
      <w:r w:rsidRPr="00A9207F">
        <w:rPr>
          <w:rFonts w:ascii="Times New Roman" w:hAnsi="Times New Roman" w:cs="Times New Roman"/>
          <w:i/>
          <w:spacing w:val="-3"/>
        </w:rPr>
        <w:t>affd</w:t>
      </w:r>
      <w:proofErr w:type="spellEnd"/>
      <w:r w:rsidRPr="00A9207F">
        <w:rPr>
          <w:rFonts w:ascii="Times New Roman" w:hAnsi="Times New Roman" w:cs="Times New Roman"/>
          <w:spacing w:val="-3"/>
        </w:rPr>
        <w:t>., 899 F. 2d 1217.</w:t>
      </w:r>
    </w:p>
    <w:p w:rsidR="003906DB" w:rsidRPr="00A9207F" w:rsidRDefault="003906DB" w:rsidP="00A9207F">
      <w:pPr>
        <w:spacing w:line="360" w:lineRule="auto"/>
        <w:ind w:right="720" w:firstLine="1440"/>
        <w:rPr>
          <w:rFonts w:ascii="Times New Roman" w:hAnsi="Times New Roman" w:cs="Times New Roman"/>
          <w:spacing w:val="-3"/>
        </w:rPr>
      </w:pPr>
    </w:p>
    <w:p w:rsidR="003906DB" w:rsidRPr="00A9207F" w:rsidRDefault="003906DB" w:rsidP="004D068C">
      <w:pPr>
        <w:spacing w:line="360" w:lineRule="auto"/>
        <w:ind w:firstLine="1440"/>
        <w:rPr>
          <w:rFonts w:ascii="Times New Roman" w:hAnsi="Times New Roman" w:cs="Times New Roman"/>
          <w:spacing w:val="-3"/>
        </w:rPr>
      </w:pPr>
      <w:r w:rsidRPr="00A9207F">
        <w:rPr>
          <w:rFonts w:ascii="Times New Roman" w:hAnsi="Times New Roman" w:cs="Times New Roman"/>
          <w:spacing w:val="-3"/>
        </w:rPr>
        <w:t xml:space="preserve">All four conditions required for a finding of </w:t>
      </w:r>
      <w:r w:rsidRPr="00A9207F">
        <w:rPr>
          <w:rFonts w:ascii="Times New Roman" w:hAnsi="Times New Roman" w:cs="Times New Roman"/>
          <w:i/>
          <w:spacing w:val="-3"/>
        </w:rPr>
        <w:t>res judicata</w:t>
      </w:r>
      <w:r w:rsidRPr="00A9207F">
        <w:rPr>
          <w:rFonts w:ascii="Times New Roman" w:hAnsi="Times New Roman" w:cs="Times New Roman"/>
          <w:spacing w:val="-3"/>
        </w:rPr>
        <w:t xml:space="preserve"> have been met</w:t>
      </w:r>
      <w:r w:rsidR="00402A0B" w:rsidRPr="00A9207F">
        <w:rPr>
          <w:rFonts w:ascii="Times New Roman" w:hAnsi="Times New Roman" w:cs="Times New Roman"/>
          <w:spacing w:val="-3"/>
        </w:rPr>
        <w:t xml:space="preserve"> in this case</w:t>
      </w:r>
      <w:r w:rsidRPr="00A9207F">
        <w:rPr>
          <w:rFonts w:ascii="Times New Roman" w:hAnsi="Times New Roman" w:cs="Times New Roman"/>
          <w:spacing w:val="-3"/>
        </w:rPr>
        <w:t>: 1) the issues are identical (both Complaints pertain to</w:t>
      </w:r>
      <w:r w:rsidR="00222A8F" w:rsidRPr="00A9207F">
        <w:rPr>
          <w:rFonts w:ascii="Times New Roman" w:hAnsi="Times New Roman" w:cs="Times New Roman"/>
          <w:spacing w:val="-3"/>
        </w:rPr>
        <w:t xml:space="preserve"> an identical allegation made by the Complainant that PECO improperly refused to change his rate from commercial to residential and asks that a recalculation of Complainant’s electric bill be made and a payment agreement be established</w:t>
      </w:r>
      <w:r w:rsidRPr="00A9207F">
        <w:rPr>
          <w:rFonts w:ascii="Times New Roman" w:hAnsi="Times New Roman" w:cs="Times New Roman"/>
          <w:spacing w:val="-3"/>
        </w:rPr>
        <w:t>); 2) the cause</w:t>
      </w:r>
      <w:r w:rsidR="00222A8F" w:rsidRPr="00A9207F">
        <w:rPr>
          <w:rFonts w:ascii="Times New Roman" w:hAnsi="Times New Roman" w:cs="Times New Roman"/>
          <w:spacing w:val="-3"/>
        </w:rPr>
        <w:t>s of action are identical (the Complainant argues in both C</w:t>
      </w:r>
      <w:r w:rsidRPr="00A9207F">
        <w:rPr>
          <w:rFonts w:ascii="Times New Roman" w:hAnsi="Times New Roman" w:cs="Times New Roman"/>
          <w:spacing w:val="-3"/>
        </w:rPr>
        <w:t xml:space="preserve">omplaints that he was incorrectly </w:t>
      </w:r>
      <w:r w:rsidR="00222A8F" w:rsidRPr="00A9207F">
        <w:rPr>
          <w:rFonts w:ascii="Times New Roman" w:hAnsi="Times New Roman" w:cs="Times New Roman"/>
          <w:spacing w:val="-3"/>
        </w:rPr>
        <w:t xml:space="preserve">billed and so </w:t>
      </w:r>
      <w:r w:rsidRPr="00A9207F">
        <w:rPr>
          <w:rFonts w:ascii="Times New Roman" w:hAnsi="Times New Roman" w:cs="Times New Roman"/>
          <w:spacing w:val="-3"/>
        </w:rPr>
        <w:t xml:space="preserve">is not responsible for payment); 3) the persons and parties to </w:t>
      </w:r>
      <w:r w:rsidR="00222A8F" w:rsidRPr="00A9207F">
        <w:rPr>
          <w:rFonts w:ascii="Times New Roman" w:hAnsi="Times New Roman" w:cs="Times New Roman"/>
          <w:spacing w:val="-3"/>
        </w:rPr>
        <w:t>the action are identical (both C</w:t>
      </w:r>
      <w:r w:rsidRPr="00A9207F">
        <w:rPr>
          <w:rFonts w:ascii="Times New Roman" w:hAnsi="Times New Roman" w:cs="Times New Roman"/>
          <w:spacing w:val="-3"/>
        </w:rPr>
        <w:t>omplaints involve the Complainant</w:t>
      </w:r>
      <w:r w:rsidR="00222A8F" w:rsidRPr="00A9207F">
        <w:rPr>
          <w:rFonts w:ascii="Times New Roman" w:hAnsi="Times New Roman" w:cs="Times New Roman"/>
          <w:spacing w:val="-3"/>
        </w:rPr>
        <w:t xml:space="preserve"> and PECO</w:t>
      </w:r>
      <w:r w:rsidRPr="00A9207F">
        <w:rPr>
          <w:rFonts w:ascii="Times New Roman" w:hAnsi="Times New Roman" w:cs="Times New Roman"/>
          <w:spacing w:val="-3"/>
        </w:rPr>
        <w:t>); and 4) the quality and capacity of the parties suing or sued are also identical.</w:t>
      </w:r>
    </w:p>
    <w:p w:rsidR="003906DB" w:rsidRPr="00A9207F" w:rsidRDefault="003906DB" w:rsidP="00A9207F">
      <w:pPr>
        <w:spacing w:line="360" w:lineRule="auto"/>
        <w:ind w:right="720" w:firstLine="1440"/>
        <w:rPr>
          <w:rFonts w:ascii="Times New Roman" w:hAnsi="Times New Roman" w:cs="Times New Roman"/>
          <w:spacing w:val="-3"/>
        </w:rPr>
      </w:pPr>
    </w:p>
    <w:p w:rsidR="003906DB" w:rsidRPr="00A9207F" w:rsidRDefault="003906DB" w:rsidP="004D068C">
      <w:pPr>
        <w:spacing w:line="360" w:lineRule="auto"/>
        <w:ind w:firstLine="1440"/>
        <w:rPr>
          <w:rFonts w:ascii="Times New Roman" w:hAnsi="Times New Roman" w:cs="Times New Roman"/>
          <w:spacing w:val="-3"/>
        </w:rPr>
      </w:pPr>
      <w:r w:rsidRPr="00A9207F">
        <w:rPr>
          <w:rFonts w:ascii="Times New Roman" w:hAnsi="Times New Roman" w:cs="Times New Roman"/>
          <w:spacing w:val="-3"/>
        </w:rPr>
        <w:t xml:space="preserve">Besides the doctrine of </w:t>
      </w:r>
      <w:r w:rsidRPr="00A9207F">
        <w:rPr>
          <w:rFonts w:ascii="Times New Roman" w:hAnsi="Times New Roman" w:cs="Times New Roman"/>
          <w:i/>
          <w:spacing w:val="-3"/>
        </w:rPr>
        <w:t>res judicata</w:t>
      </w:r>
      <w:r w:rsidRPr="00A9207F">
        <w:rPr>
          <w:rFonts w:ascii="Times New Roman" w:hAnsi="Times New Roman" w:cs="Times New Roman"/>
          <w:spacing w:val="-3"/>
        </w:rPr>
        <w:t>, a complain</w:t>
      </w:r>
      <w:r w:rsidR="00E742C1" w:rsidRPr="00A9207F">
        <w:rPr>
          <w:rFonts w:ascii="Times New Roman" w:hAnsi="Times New Roman" w:cs="Times New Roman"/>
          <w:spacing w:val="-3"/>
        </w:rPr>
        <w:t>an</w:t>
      </w:r>
      <w:r w:rsidRPr="00A9207F">
        <w:rPr>
          <w:rFonts w:ascii="Times New Roman" w:hAnsi="Times New Roman" w:cs="Times New Roman"/>
          <w:spacing w:val="-3"/>
        </w:rPr>
        <w:t>t is prohibited by Section 316 of the Public Utility Code from raising issues previously decided.  Section 316 provides, in pertinent part:</w:t>
      </w:r>
    </w:p>
    <w:p w:rsidR="003906DB" w:rsidRPr="00A9207F" w:rsidRDefault="003906DB" w:rsidP="008024A9">
      <w:pPr>
        <w:ind w:right="720" w:firstLine="1440"/>
        <w:rPr>
          <w:rFonts w:ascii="Times New Roman" w:hAnsi="Times New Roman" w:cs="Times New Roman"/>
          <w:spacing w:val="-3"/>
        </w:rPr>
      </w:pPr>
    </w:p>
    <w:p w:rsidR="003906DB" w:rsidRPr="00A9207F" w:rsidRDefault="003906DB" w:rsidP="00BD2C0B">
      <w:pPr>
        <w:pStyle w:val="NoSpacing"/>
        <w:ind w:left="1440" w:right="720"/>
        <w:rPr>
          <w:rFonts w:ascii="Times New Roman" w:hAnsi="Times New Roman" w:cs="Times New Roman"/>
        </w:rPr>
      </w:pPr>
      <w:r w:rsidRPr="00A9207F">
        <w:rPr>
          <w:rFonts w:ascii="Times New Roman" w:hAnsi="Times New Roman" w:cs="Times New Roman"/>
        </w:rPr>
        <w:t xml:space="preserve">Whenever the Commission shall make any rule, regulation, finding, determination or order, the same shall be </w:t>
      </w:r>
      <w:r w:rsidRPr="00A9207F">
        <w:rPr>
          <w:rFonts w:ascii="Times New Roman" w:hAnsi="Times New Roman" w:cs="Times New Roman"/>
          <w:i/>
        </w:rPr>
        <w:t>prima facie</w:t>
      </w:r>
      <w:r w:rsidRPr="00A9207F">
        <w:rPr>
          <w:rFonts w:ascii="Times New Roman" w:hAnsi="Times New Roman" w:cs="Times New Roman"/>
        </w:rPr>
        <w:t xml:space="preserve"> evidence of the facts found and shall remain conclusive upon all parties affected thereby, unless set aside, annulled or modified on judicial review.</w:t>
      </w:r>
    </w:p>
    <w:p w:rsidR="003906DB" w:rsidRPr="00A9207F" w:rsidRDefault="003906DB" w:rsidP="00BD2C0B">
      <w:pPr>
        <w:ind w:right="720" w:firstLine="1440"/>
        <w:rPr>
          <w:rFonts w:ascii="Times New Roman" w:hAnsi="Times New Roman" w:cs="Times New Roman"/>
          <w:spacing w:val="-3"/>
        </w:rPr>
      </w:pPr>
    </w:p>
    <w:p w:rsidR="003906DB" w:rsidRPr="00A9207F" w:rsidRDefault="003906DB" w:rsidP="00A9207F">
      <w:pPr>
        <w:spacing w:line="360" w:lineRule="auto"/>
        <w:ind w:right="720" w:firstLine="1440"/>
        <w:rPr>
          <w:rFonts w:ascii="Times New Roman" w:hAnsi="Times New Roman" w:cs="Times New Roman"/>
          <w:spacing w:val="-3"/>
        </w:rPr>
      </w:pPr>
      <w:proofErr w:type="gramStart"/>
      <w:r w:rsidRPr="00A9207F">
        <w:rPr>
          <w:rFonts w:ascii="Times New Roman" w:hAnsi="Times New Roman" w:cs="Times New Roman"/>
          <w:spacing w:val="-3"/>
        </w:rPr>
        <w:t>66 Pa. C.S. § 316.</w:t>
      </w:r>
      <w:proofErr w:type="gramEnd"/>
    </w:p>
    <w:p w:rsidR="003906DB" w:rsidRPr="00A9207F" w:rsidRDefault="003906DB" w:rsidP="00BD2C0B">
      <w:pPr>
        <w:spacing w:line="360" w:lineRule="auto"/>
        <w:ind w:right="720" w:firstLine="1440"/>
        <w:rPr>
          <w:rFonts w:ascii="Times New Roman" w:hAnsi="Times New Roman" w:cs="Times New Roman"/>
          <w:spacing w:val="-3"/>
        </w:rPr>
      </w:pPr>
    </w:p>
    <w:p w:rsidR="003906DB" w:rsidRPr="00A9207F" w:rsidRDefault="003906DB" w:rsidP="00BD2C0B">
      <w:pPr>
        <w:spacing w:line="360" w:lineRule="auto"/>
        <w:ind w:firstLine="1440"/>
        <w:rPr>
          <w:rFonts w:ascii="Times New Roman" w:hAnsi="Times New Roman" w:cs="Times New Roman"/>
          <w:spacing w:val="-3"/>
        </w:rPr>
      </w:pPr>
      <w:r w:rsidRPr="00A9207F">
        <w:rPr>
          <w:rFonts w:ascii="Times New Roman" w:hAnsi="Times New Roman" w:cs="Times New Roman"/>
          <w:spacing w:val="-3"/>
        </w:rPr>
        <w:t>This section of the Public Utility Code precludes a collateral attack upon a Commission order which has not been reversed upon appeal.</w:t>
      </w:r>
      <w:r w:rsidR="00E742C1" w:rsidRPr="00A9207F">
        <w:rPr>
          <w:rFonts w:ascii="Times New Roman" w:hAnsi="Times New Roman" w:cs="Times New Roman"/>
          <w:spacing w:val="-3"/>
        </w:rPr>
        <w:t xml:space="preserve">  </w:t>
      </w:r>
      <w:proofErr w:type="gramStart"/>
      <w:r w:rsidR="00E742C1" w:rsidRPr="00A9207F">
        <w:rPr>
          <w:rFonts w:ascii="Times New Roman" w:hAnsi="Times New Roman" w:cs="Times New Roman"/>
          <w:spacing w:val="-3"/>
        </w:rPr>
        <w:t>The Commission’s Order of May 3, 2011, at Docket No.</w:t>
      </w:r>
      <w:proofErr w:type="gramEnd"/>
      <w:r w:rsidR="00E742C1" w:rsidRPr="00A9207F">
        <w:rPr>
          <w:rFonts w:ascii="Times New Roman" w:hAnsi="Times New Roman" w:cs="Times New Roman"/>
          <w:spacing w:val="-3"/>
        </w:rPr>
        <w:t xml:space="preserve"> C-2009-2111161, which dismissed the original Complaint in this case was not set aside, annulled, or modified by judicial review.  In fact, that Order was not appealed and so remains conclusive upon all parties affected thereby.</w:t>
      </w:r>
    </w:p>
    <w:p w:rsidR="009B3B81" w:rsidRPr="00A9207F" w:rsidRDefault="009B3B81" w:rsidP="00A9207F">
      <w:pPr>
        <w:spacing w:line="360" w:lineRule="auto"/>
        <w:ind w:right="720" w:firstLine="1440"/>
        <w:rPr>
          <w:rFonts w:ascii="Times New Roman" w:hAnsi="Times New Roman" w:cs="Times New Roman"/>
          <w:spacing w:val="-3"/>
        </w:rPr>
      </w:pPr>
    </w:p>
    <w:p w:rsidR="009B3B81" w:rsidRPr="00A9207F" w:rsidRDefault="009B3B81" w:rsidP="00545BE8">
      <w:pPr>
        <w:spacing w:line="360" w:lineRule="auto"/>
        <w:ind w:firstLine="1440"/>
        <w:rPr>
          <w:rFonts w:ascii="Times New Roman" w:hAnsi="Times New Roman" w:cs="Times New Roman"/>
          <w:spacing w:val="-3"/>
        </w:rPr>
      </w:pPr>
      <w:r w:rsidRPr="00A9207F">
        <w:rPr>
          <w:rFonts w:ascii="Times New Roman" w:hAnsi="Times New Roman" w:cs="Times New Roman"/>
          <w:spacing w:val="-3"/>
        </w:rPr>
        <w:t xml:space="preserve">Finally, the Commission has, on occasion, precluded a party from filing further informal and formal complaints when the party has been an abuser of the system.  In </w:t>
      </w:r>
      <w:r w:rsidRPr="00A9207F">
        <w:rPr>
          <w:rFonts w:ascii="Times New Roman" w:hAnsi="Times New Roman" w:cs="Times New Roman"/>
          <w:i/>
          <w:spacing w:val="-3"/>
        </w:rPr>
        <w:t xml:space="preserve">Sheri </w:t>
      </w:r>
      <w:proofErr w:type="spellStart"/>
      <w:r w:rsidRPr="00A9207F">
        <w:rPr>
          <w:rFonts w:ascii="Times New Roman" w:hAnsi="Times New Roman" w:cs="Times New Roman"/>
          <w:i/>
          <w:spacing w:val="-3"/>
        </w:rPr>
        <w:t>Seidenstricker</w:t>
      </w:r>
      <w:proofErr w:type="spellEnd"/>
      <w:r w:rsidRPr="00A9207F">
        <w:rPr>
          <w:rFonts w:ascii="Times New Roman" w:hAnsi="Times New Roman" w:cs="Times New Roman"/>
          <w:i/>
          <w:spacing w:val="-3"/>
        </w:rPr>
        <w:t xml:space="preserve"> v. Metropolitan Edison Company</w:t>
      </w:r>
      <w:r w:rsidRPr="00A9207F">
        <w:rPr>
          <w:rFonts w:ascii="Times New Roman" w:hAnsi="Times New Roman" w:cs="Times New Roman"/>
          <w:spacing w:val="-3"/>
        </w:rPr>
        <w:t>, Docket No. F</w:t>
      </w:r>
      <w:r w:rsidRPr="00A9207F">
        <w:rPr>
          <w:rFonts w:ascii="Times New Roman" w:hAnsi="Times New Roman" w:cs="Times New Roman"/>
          <w:spacing w:val="-3"/>
        </w:rPr>
        <w:noBreakHyphen/>
        <w:t>2008</w:t>
      </w:r>
      <w:r w:rsidRPr="00A9207F">
        <w:rPr>
          <w:rFonts w:ascii="Times New Roman" w:hAnsi="Times New Roman" w:cs="Times New Roman"/>
          <w:spacing w:val="-3"/>
        </w:rPr>
        <w:noBreakHyphen/>
        <w:t xml:space="preserve">2019388 (Final Order entered July 28, 2009), the Commission adopted the ALJ’s Initial Decision which, </w:t>
      </w:r>
      <w:r w:rsidRPr="00A9207F">
        <w:rPr>
          <w:rFonts w:ascii="Times New Roman" w:hAnsi="Times New Roman" w:cs="Times New Roman"/>
          <w:i/>
          <w:spacing w:val="-3"/>
        </w:rPr>
        <w:t xml:space="preserve">inter alia, </w:t>
      </w:r>
      <w:r w:rsidRPr="00A9207F">
        <w:rPr>
          <w:rFonts w:ascii="Times New Roman" w:hAnsi="Times New Roman" w:cs="Times New Roman"/>
          <w:spacing w:val="-3"/>
        </w:rPr>
        <w:t>ordered that complainant in that case be precluded from filing further informal and formal complaints pertaining to the same account until such time as the current balance on that account was paid in full</w:t>
      </w:r>
      <w:r w:rsidR="00705DD8" w:rsidRPr="00A9207F">
        <w:rPr>
          <w:rFonts w:ascii="Times New Roman" w:hAnsi="Times New Roman" w:cs="Times New Roman"/>
          <w:spacing w:val="-3"/>
        </w:rPr>
        <w:t xml:space="preserve">.  That outcome was based on the </w:t>
      </w:r>
      <w:r w:rsidRPr="00A9207F">
        <w:rPr>
          <w:rFonts w:ascii="Times New Roman" w:hAnsi="Times New Roman" w:cs="Times New Roman"/>
          <w:spacing w:val="-3"/>
        </w:rPr>
        <w:t>finding that complainant had abused the system by using its provisions to prevent termination of service over the course of many years while receiving electric utility service from respondent and accruing a large outstanding balance.  Similarly, in the instant case, the Complainant should be precluded from filing further informal and formal complaints pertaining to the classification of his account with PECO and his accumulated arrearages for the service address of 1201 West Erie Avenue, Philadelphia, Pennsylvania.</w:t>
      </w:r>
    </w:p>
    <w:p w:rsidR="009B3B81" w:rsidRPr="00A9207F" w:rsidRDefault="009B3B81" w:rsidP="00A9207F">
      <w:pPr>
        <w:spacing w:line="360" w:lineRule="auto"/>
        <w:ind w:right="720" w:firstLine="1440"/>
        <w:rPr>
          <w:rFonts w:ascii="Times New Roman" w:hAnsi="Times New Roman" w:cs="Times New Roman"/>
          <w:spacing w:val="-3"/>
        </w:rPr>
      </w:pPr>
    </w:p>
    <w:p w:rsidR="003906DB" w:rsidRPr="00A9207F" w:rsidRDefault="003906DB" w:rsidP="00A9207F">
      <w:pPr>
        <w:spacing w:line="360" w:lineRule="auto"/>
        <w:ind w:right="720" w:firstLine="1440"/>
        <w:rPr>
          <w:rFonts w:ascii="Times New Roman" w:hAnsi="Times New Roman" w:cs="Times New Roman"/>
          <w:spacing w:val="-3"/>
        </w:rPr>
      </w:pPr>
    </w:p>
    <w:p w:rsidR="00C36D84" w:rsidRPr="00A9207F" w:rsidRDefault="00C36D84" w:rsidP="00A9207F">
      <w:pPr>
        <w:spacing w:line="360" w:lineRule="auto"/>
        <w:ind w:right="720" w:firstLine="1440"/>
        <w:rPr>
          <w:rFonts w:ascii="Times New Roman" w:hAnsi="Times New Roman" w:cs="Times New Roman"/>
          <w:spacing w:val="-3"/>
        </w:rPr>
      </w:pPr>
    </w:p>
    <w:p w:rsidR="00BD2C0B" w:rsidRDefault="00BD2C0B" w:rsidP="00545BE8">
      <w:pPr>
        <w:spacing w:line="360" w:lineRule="auto"/>
        <w:jc w:val="center"/>
        <w:outlineLvl w:val="0"/>
        <w:rPr>
          <w:rFonts w:ascii="Times New Roman" w:hAnsi="Times New Roman" w:cs="Times New Roman"/>
          <w:spacing w:val="-3"/>
          <w:u w:val="single"/>
        </w:rPr>
      </w:pPr>
    </w:p>
    <w:p w:rsidR="00C36D84" w:rsidRPr="00A9207F" w:rsidRDefault="007B5858" w:rsidP="00545BE8">
      <w:pPr>
        <w:spacing w:line="360" w:lineRule="auto"/>
        <w:jc w:val="center"/>
        <w:outlineLvl w:val="0"/>
        <w:rPr>
          <w:rFonts w:ascii="Times New Roman" w:hAnsi="Times New Roman" w:cs="Times New Roman"/>
          <w:spacing w:val="-3"/>
        </w:rPr>
      </w:pPr>
      <w:r w:rsidRPr="00A9207F">
        <w:rPr>
          <w:rFonts w:ascii="Times New Roman" w:hAnsi="Times New Roman" w:cs="Times New Roman"/>
          <w:spacing w:val="-3"/>
          <w:u w:val="single"/>
        </w:rPr>
        <w:t>CONCLUSIONS OF LAW</w:t>
      </w:r>
    </w:p>
    <w:p w:rsidR="00C36D84" w:rsidRPr="00A9207F" w:rsidRDefault="00C36D84" w:rsidP="00545BE8">
      <w:pPr>
        <w:spacing w:line="360" w:lineRule="auto"/>
        <w:ind w:right="720" w:firstLine="1440"/>
        <w:outlineLvl w:val="0"/>
        <w:rPr>
          <w:rFonts w:ascii="Times New Roman" w:hAnsi="Times New Roman" w:cs="Times New Roman"/>
          <w:spacing w:val="-3"/>
        </w:rPr>
      </w:pPr>
    </w:p>
    <w:p w:rsidR="00D664BD" w:rsidRPr="00A9207F" w:rsidRDefault="00D664BD" w:rsidP="00545BE8">
      <w:pPr>
        <w:spacing w:line="360" w:lineRule="auto"/>
        <w:ind w:firstLine="1440"/>
        <w:outlineLvl w:val="0"/>
        <w:rPr>
          <w:rFonts w:ascii="Times New Roman" w:hAnsi="Times New Roman" w:cs="Times New Roman"/>
        </w:rPr>
      </w:pPr>
      <w:r w:rsidRPr="00A9207F">
        <w:rPr>
          <w:rFonts w:ascii="Times New Roman" w:hAnsi="Times New Roman" w:cs="Times New Roman"/>
        </w:rPr>
        <w:t>1.</w:t>
      </w:r>
      <w:r w:rsidRPr="00A9207F">
        <w:rPr>
          <w:rFonts w:ascii="Times New Roman" w:hAnsi="Times New Roman" w:cs="Times New Roman"/>
        </w:rPr>
        <w:tab/>
        <w:t xml:space="preserve">The Commission has jurisdiction over the parties and the subject matter of this proceeding.  </w:t>
      </w:r>
      <w:proofErr w:type="gramStart"/>
      <w:r w:rsidRPr="00A9207F">
        <w:rPr>
          <w:rFonts w:ascii="Times New Roman" w:hAnsi="Times New Roman" w:cs="Times New Roman"/>
        </w:rPr>
        <w:t>66 Pa. C.S. §§701</w:t>
      </w:r>
      <w:r w:rsidR="0030377F" w:rsidRPr="00A9207F">
        <w:rPr>
          <w:rFonts w:ascii="Times New Roman" w:hAnsi="Times New Roman" w:cs="Times New Roman"/>
        </w:rPr>
        <w:t>.</w:t>
      </w:r>
      <w:proofErr w:type="gramEnd"/>
    </w:p>
    <w:p w:rsidR="00D664BD" w:rsidRPr="00A9207F" w:rsidRDefault="00D664BD" w:rsidP="00A9207F">
      <w:pPr>
        <w:spacing w:line="360" w:lineRule="auto"/>
        <w:ind w:right="720" w:firstLine="1440"/>
        <w:jc w:val="center"/>
        <w:rPr>
          <w:rFonts w:ascii="Times New Roman" w:hAnsi="Times New Roman" w:cs="Times New Roman"/>
          <w:u w:val="single"/>
        </w:rPr>
      </w:pPr>
    </w:p>
    <w:p w:rsidR="00FB67AB" w:rsidRPr="00A9207F" w:rsidRDefault="00D664BD" w:rsidP="00545BE8">
      <w:pPr>
        <w:spacing w:line="360" w:lineRule="auto"/>
        <w:ind w:firstLine="1440"/>
        <w:rPr>
          <w:rFonts w:ascii="Times New Roman" w:hAnsi="Times New Roman" w:cs="Times New Roman"/>
          <w:spacing w:val="-3"/>
        </w:rPr>
      </w:pPr>
      <w:r w:rsidRPr="00A9207F">
        <w:rPr>
          <w:rFonts w:ascii="Times New Roman" w:hAnsi="Times New Roman" w:cs="Times New Roman"/>
        </w:rPr>
        <w:t>2.</w:t>
      </w:r>
      <w:r w:rsidRPr="00A9207F">
        <w:rPr>
          <w:rFonts w:ascii="Times New Roman" w:hAnsi="Times New Roman" w:cs="Times New Roman"/>
        </w:rPr>
        <w:tab/>
      </w:r>
      <w:r w:rsidR="007B5858" w:rsidRPr="00A9207F">
        <w:rPr>
          <w:rFonts w:ascii="Times New Roman" w:hAnsi="Times New Roman" w:cs="Times New Roman"/>
          <w:spacing w:val="-3"/>
        </w:rPr>
        <w:t xml:space="preserve">The due process rights of Complainant have been fully protected in this proceeding. </w:t>
      </w:r>
      <w:r w:rsidR="001F0CC2" w:rsidRPr="00A9207F">
        <w:rPr>
          <w:rFonts w:ascii="Times New Roman" w:hAnsi="Times New Roman" w:cs="Times New Roman"/>
          <w:spacing w:val="-3"/>
        </w:rPr>
        <w:t xml:space="preserve"> </w:t>
      </w:r>
      <w:r w:rsidR="007B5858" w:rsidRPr="00A9207F">
        <w:rPr>
          <w:rFonts w:ascii="Times New Roman" w:hAnsi="Times New Roman" w:cs="Times New Roman"/>
          <w:i/>
          <w:spacing w:val="-3"/>
        </w:rPr>
        <w:t>Sentner v. Bell Telephone Company of Pennsylvania</w:t>
      </w:r>
      <w:r w:rsidR="007B5858" w:rsidRPr="00A9207F">
        <w:rPr>
          <w:rFonts w:ascii="Times New Roman" w:hAnsi="Times New Roman" w:cs="Times New Roman"/>
          <w:spacing w:val="-3"/>
        </w:rPr>
        <w:t xml:space="preserve">, Docket No. </w:t>
      </w:r>
      <w:proofErr w:type="gramStart"/>
      <w:r w:rsidR="007B5858" w:rsidRPr="00A9207F">
        <w:rPr>
          <w:rFonts w:ascii="Times New Roman" w:hAnsi="Times New Roman" w:cs="Times New Roman"/>
          <w:spacing w:val="-3"/>
        </w:rPr>
        <w:t>F</w:t>
      </w:r>
      <w:r w:rsidR="00AA7044" w:rsidRPr="00A9207F">
        <w:rPr>
          <w:rFonts w:ascii="Times New Roman" w:hAnsi="Times New Roman" w:cs="Times New Roman"/>
          <w:spacing w:val="-3"/>
        </w:rPr>
        <w:t>-</w:t>
      </w:r>
      <w:r w:rsidR="007B5858" w:rsidRPr="00A9207F">
        <w:rPr>
          <w:rFonts w:ascii="Times New Roman" w:hAnsi="Times New Roman" w:cs="Times New Roman"/>
          <w:spacing w:val="-3"/>
        </w:rPr>
        <w:t>00161106 (Order entered October 25, 1993); and 52 Pa. Code § 5.245(a).</w:t>
      </w:r>
      <w:proofErr w:type="gramEnd"/>
    </w:p>
    <w:p w:rsidR="00222A8F" w:rsidRPr="00A9207F" w:rsidRDefault="00222A8F" w:rsidP="00A9207F">
      <w:pPr>
        <w:spacing w:line="360" w:lineRule="auto"/>
        <w:ind w:right="720" w:firstLine="1440"/>
        <w:rPr>
          <w:rFonts w:ascii="Times New Roman" w:hAnsi="Times New Roman" w:cs="Times New Roman"/>
          <w:spacing w:val="-3"/>
        </w:rPr>
      </w:pPr>
    </w:p>
    <w:p w:rsidR="00222A8F" w:rsidRPr="00A9207F" w:rsidRDefault="00222A8F" w:rsidP="00545BE8">
      <w:pPr>
        <w:spacing w:line="360" w:lineRule="auto"/>
        <w:ind w:firstLine="1440"/>
        <w:rPr>
          <w:rFonts w:ascii="Times New Roman" w:hAnsi="Times New Roman" w:cs="Times New Roman"/>
          <w:spacing w:val="-3"/>
        </w:rPr>
      </w:pPr>
      <w:r w:rsidRPr="00A9207F">
        <w:rPr>
          <w:rFonts w:ascii="Times New Roman" w:hAnsi="Times New Roman" w:cs="Times New Roman"/>
          <w:spacing w:val="-3"/>
        </w:rPr>
        <w:t>3.</w:t>
      </w:r>
      <w:r w:rsidRPr="00A9207F">
        <w:rPr>
          <w:rFonts w:ascii="Times New Roman" w:hAnsi="Times New Roman" w:cs="Times New Roman"/>
          <w:spacing w:val="-3"/>
        </w:rPr>
        <w:tab/>
        <w:t xml:space="preserve">A final valid judgment on the merits of a case by a court of competent jurisdiction bars any future suit between the same parties on the same cause of action. </w:t>
      </w:r>
      <w:proofErr w:type="gramStart"/>
      <w:r w:rsidRPr="00A9207F">
        <w:rPr>
          <w:rFonts w:ascii="Times New Roman" w:hAnsi="Times New Roman" w:cs="Times New Roman"/>
          <w:i/>
          <w:spacing w:val="-3"/>
        </w:rPr>
        <w:t xml:space="preserve">McCarthy, et al. v. Township of </w:t>
      </w:r>
      <w:proofErr w:type="spellStart"/>
      <w:r w:rsidRPr="00A9207F">
        <w:rPr>
          <w:rFonts w:ascii="Times New Roman" w:hAnsi="Times New Roman" w:cs="Times New Roman"/>
          <w:i/>
          <w:spacing w:val="-3"/>
        </w:rPr>
        <w:t>McCandless</w:t>
      </w:r>
      <w:proofErr w:type="spellEnd"/>
      <w:r w:rsidRPr="00A9207F">
        <w:rPr>
          <w:rFonts w:ascii="Times New Roman" w:hAnsi="Times New Roman" w:cs="Times New Roman"/>
          <w:spacing w:val="-3"/>
        </w:rPr>
        <w:t xml:space="preserve">, 7 Pa. Commonwealth Ct. 611, 300 A.2d 815 (1973); </w:t>
      </w:r>
      <w:r w:rsidRPr="00A9207F">
        <w:rPr>
          <w:rFonts w:ascii="Times New Roman" w:hAnsi="Times New Roman" w:cs="Times New Roman"/>
          <w:i/>
          <w:spacing w:val="-3"/>
        </w:rPr>
        <w:t>Martin v. Poole</w:t>
      </w:r>
      <w:r w:rsidRPr="00A9207F">
        <w:rPr>
          <w:rFonts w:ascii="Times New Roman" w:hAnsi="Times New Roman" w:cs="Times New Roman"/>
          <w:spacing w:val="-3"/>
        </w:rPr>
        <w:t>, 232 Pa. Superior Ct. 263, 177 A.2d 339 (1975).</w:t>
      </w:r>
      <w:proofErr w:type="gramEnd"/>
    </w:p>
    <w:p w:rsidR="00222A8F" w:rsidRPr="00A9207F" w:rsidRDefault="00222A8F" w:rsidP="00A9207F">
      <w:pPr>
        <w:spacing w:line="360" w:lineRule="auto"/>
        <w:ind w:right="720" w:firstLine="1440"/>
        <w:rPr>
          <w:rFonts w:ascii="Times New Roman" w:hAnsi="Times New Roman" w:cs="Times New Roman"/>
          <w:spacing w:val="-3"/>
        </w:rPr>
      </w:pPr>
    </w:p>
    <w:p w:rsidR="00222A8F" w:rsidRPr="00A9207F" w:rsidRDefault="00222A8F" w:rsidP="00545BE8">
      <w:pPr>
        <w:spacing w:line="360" w:lineRule="auto"/>
        <w:ind w:firstLine="1440"/>
        <w:rPr>
          <w:rFonts w:ascii="Times New Roman" w:hAnsi="Times New Roman" w:cs="Times New Roman"/>
          <w:spacing w:val="-3"/>
        </w:rPr>
      </w:pPr>
      <w:r w:rsidRPr="00A9207F">
        <w:rPr>
          <w:rFonts w:ascii="Times New Roman" w:hAnsi="Times New Roman" w:cs="Times New Roman"/>
          <w:spacing w:val="-3"/>
        </w:rPr>
        <w:t>4.</w:t>
      </w:r>
      <w:r w:rsidR="003C05FF" w:rsidRPr="00A9207F">
        <w:rPr>
          <w:rFonts w:ascii="Times New Roman" w:hAnsi="Times New Roman" w:cs="Times New Roman"/>
          <w:spacing w:val="-3"/>
        </w:rPr>
        <w:tab/>
      </w:r>
      <w:r w:rsidRPr="00A9207F">
        <w:rPr>
          <w:rFonts w:ascii="Times New Roman" w:hAnsi="Times New Roman" w:cs="Times New Roman"/>
          <w:spacing w:val="-3"/>
        </w:rPr>
        <w:t xml:space="preserve">Under the doctrine of </w:t>
      </w:r>
      <w:r w:rsidRPr="00A9207F">
        <w:rPr>
          <w:rFonts w:ascii="Times New Roman" w:hAnsi="Times New Roman" w:cs="Times New Roman"/>
          <w:i/>
          <w:spacing w:val="-3"/>
        </w:rPr>
        <w:t>res judicata</w:t>
      </w:r>
      <w:r w:rsidRPr="00A9207F">
        <w:rPr>
          <w:rFonts w:ascii="Times New Roman" w:hAnsi="Times New Roman" w:cs="Times New Roman"/>
          <w:spacing w:val="-3"/>
        </w:rPr>
        <w:t xml:space="preserve">, when a court of competent jurisdiction enters a final judgment on the merits of a cause of action, the parties to that case are thereafter bound "not only as to every matter which was offered and received, but also as to any other admissible matter which might have been offered." </w:t>
      </w:r>
      <w:proofErr w:type="gramStart"/>
      <w:r w:rsidRPr="00A9207F">
        <w:rPr>
          <w:rFonts w:ascii="Times New Roman" w:hAnsi="Times New Roman" w:cs="Times New Roman"/>
          <w:i/>
          <w:spacing w:val="-3"/>
        </w:rPr>
        <w:t xml:space="preserve">Commission v. </w:t>
      </w:r>
      <w:proofErr w:type="spellStart"/>
      <w:r w:rsidRPr="00A9207F">
        <w:rPr>
          <w:rFonts w:ascii="Times New Roman" w:hAnsi="Times New Roman" w:cs="Times New Roman"/>
          <w:i/>
          <w:spacing w:val="-3"/>
        </w:rPr>
        <w:t>Sunnen</w:t>
      </w:r>
      <w:proofErr w:type="spellEnd"/>
      <w:r w:rsidRPr="00A9207F">
        <w:rPr>
          <w:rFonts w:ascii="Times New Roman" w:hAnsi="Times New Roman" w:cs="Times New Roman"/>
          <w:spacing w:val="-3"/>
        </w:rPr>
        <w:t xml:space="preserve">, 333 U.S. 591, 68 </w:t>
      </w:r>
      <w:proofErr w:type="spellStart"/>
      <w:r w:rsidRPr="00A9207F">
        <w:rPr>
          <w:rFonts w:ascii="Times New Roman" w:hAnsi="Times New Roman" w:cs="Times New Roman"/>
          <w:spacing w:val="-3"/>
        </w:rPr>
        <w:t>S.Ct</w:t>
      </w:r>
      <w:proofErr w:type="spellEnd"/>
      <w:r w:rsidRPr="00A9207F">
        <w:rPr>
          <w:rFonts w:ascii="Times New Roman" w:hAnsi="Times New Roman" w:cs="Times New Roman"/>
          <w:spacing w:val="-3"/>
        </w:rPr>
        <w:t xml:space="preserve">. 715, 719 (1948); </w:t>
      </w:r>
      <w:r w:rsidRPr="00A9207F">
        <w:rPr>
          <w:rFonts w:ascii="Times New Roman" w:hAnsi="Times New Roman" w:cs="Times New Roman"/>
          <w:i/>
          <w:spacing w:val="-3"/>
        </w:rPr>
        <w:t xml:space="preserve">Jones v. </w:t>
      </w:r>
      <w:proofErr w:type="spellStart"/>
      <w:r w:rsidRPr="00A9207F">
        <w:rPr>
          <w:rFonts w:ascii="Times New Roman" w:hAnsi="Times New Roman" w:cs="Times New Roman"/>
          <w:i/>
          <w:spacing w:val="-3"/>
        </w:rPr>
        <w:t>Costlow</w:t>
      </w:r>
      <w:proofErr w:type="spellEnd"/>
      <w:r w:rsidRPr="00A9207F">
        <w:rPr>
          <w:rFonts w:ascii="Times New Roman" w:hAnsi="Times New Roman" w:cs="Times New Roman"/>
          <w:spacing w:val="-3"/>
        </w:rPr>
        <w:t>, 354 Pa. 245, 47 A. 2d 259 (1946).</w:t>
      </w:r>
      <w:proofErr w:type="gramEnd"/>
    </w:p>
    <w:p w:rsidR="00222A8F" w:rsidRPr="00A9207F" w:rsidRDefault="00222A8F" w:rsidP="00A9207F">
      <w:pPr>
        <w:spacing w:line="360" w:lineRule="auto"/>
        <w:ind w:right="720" w:firstLine="1440"/>
        <w:rPr>
          <w:rFonts w:ascii="Times New Roman" w:hAnsi="Times New Roman" w:cs="Times New Roman"/>
          <w:spacing w:val="-3"/>
        </w:rPr>
      </w:pPr>
    </w:p>
    <w:p w:rsidR="00222A8F" w:rsidRPr="00A9207F" w:rsidRDefault="00222A8F" w:rsidP="00545BE8">
      <w:pPr>
        <w:spacing w:line="360" w:lineRule="auto"/>
        <w:ind w:firstLine="1440"/>
        <w:rPr>
          <w:rFonts w:ascii="Times New Roman" w:hAnsi="Times New Roman" w:cs="Times New Roman"/>
          <w:spacing w:val="-3"/>
        </w:rPr>
      </w:pPr>
      <w:r w:rsidRPr="00A9207F">
        <w:rPr>
          <w:rFonts w:ascii="Times New Roman" w:hAnsi="Times New Roman" w:cs="Times New Roman"/>
          <w:spacing w:val="-3"/>
        </w:rPr>
        <w:t>5.</w:t>
      </w:r>
      <w:r w:rsidRPr="00A9207F">
        <w:rPr>
          <w:rFonts w:ascii="Times New Roman" w:hAnsi="Times New Roman" w:cs="Times New Roman"/>
          <w:spacing w:val="-3"/>
        </w:rPr>
        <w:tab/>
        <w:t xml:space="preserve">For the doctrine of </w:t>
      </w:r>
      <w:r w:rsidRPr="00A9207F">
        <w:rPr>
          <w:rFonts w:ascii="Times New Roman" w:hAnsi="Times New Roman" w:cs="Times New Roman"/>
          <w:i/>
          <w:spacing w:val="-3"/>
        </w:rPr>
        <w:t>res judicata</w:t>
      </w:r>
      <w:r w:rsidRPr="00A9207F">
        <w:rPr>
          <w:rFonts w:ascii="Times New Roman" w:hAnsi="Times New Roman" w:cs="Times New Roman"/>
          <w:spacing w:val="-3"/>
        </w:rPr>
        <w:t xml:space="preserve"> to prevail, four conditions must be met: (1) identity of issues, (2) identity of causes of action, (3) identity of persons and parties to the action, and (4) identity of the quality and capacity of the parties suing or sued. </w:t>
      </w:r>
      <w:r w:rsidRPr="00A9207F">
        <w:rPr>
          <w:rFonts w:ascii="Times New Roman" w:hAnsi="Times New Roman" w:cs="Times New Roman"/>
          <w:i/>
          <w:spacing w:val="-3"/>
        </w:rPr>
        <w:t>Safeguard Mutual Insurance Co. v. Williams</w:t>
      </w:r>
      <w:r w:rsidRPr="00A9207F">
        <w:rPr>
          <w:rFonts w:ascii="Times New Roman" w:hAnsi="Times New Roman" w:cs="Times New Roman"/>
          <w:spacing w:val="-3"/>
        </w:rPr>
        <w:t xml:space="preserve">, 463 Pa. 567, 345 A.2d 664 (1975); </w:t>
      </w:r>
      <w:r w:rsidRPr="00A9207F">
        <w:rPr>
          <w:rFonts w:ascii="Times New Roman" w:hAnsi="Times New Roman" w:cs="Times New Roman"/>
          <w:i/>
          <w:spacing w:val="-3"/>
        </w:rPr>
        <w:t xml:space="preserve">Day v. </w:t>
      </w:r>
      <w:proofErr w:type="spellStart"/>
      <w:r w:rsidRPr="00A9207F">
        <w:rPr>
          <w:rFonts w:ascii="Times New Roman" w:hAnsi="Times New Roman" w:cs="Times New Roman"/>
          <w:i/>
          <w:spacing w:val="-3"/>
        </w:rPr>
        <w:t>Volkswagenwerk</w:t>
      </w:r>
      <w:proofErr w:type="spellEnd"/>
      <w:r w:rsidRPr="00A9207F">
        <w:rPr>
          <w:rFonts w:ascii="Times New Roman" w:hAnsi="Times New Roman" w:cs="Times New Roman"/>
          <w:i/>
          <w:spacing w:val="-3"/>
        </w:rPr>
        <w:t xml:space="preserve"> </w:t>
      </w:r>
      <w:proofErr w:type="spellStart"/>
      <w:r w:rsidRPr="00A9207F">
        <w:rPr>
          <w:rFonts w:ascii="Times New Roman" w:hAnsi="Times New Roman" w:cs="Times New Roman"/>
          <w:i/>
          <w:spacing w:val="-3"/>
        </w:rPr>
        <w:t>Aktiengesellschaft</w:t>
      </w:r>
      <w:proofErr w:type="spellEnd"/>
      <w:r w:rsidRPr="00A9207F">
        <w:rPr>
          <w:rFonts w:ascii="Times New Roman" w:hAnsi="Times New Roman" w:cs="Times New Roman"/>
          <w:spacing w:val="-3"/>
        </w:rPr>
        <w:t xml:space="preserve">, 318 Pa. Superior Ct. 225, 464 A.2d 1313 (1983); </w:t>
      </w:r>
      <w:r w:rsidRPr="00A9207F">
        <w:rPr>
          <w:rFonts w:ascii="Times New Roman" w:hAnsi="Times New Roman" w:cs="Times New Roman"/>
          <w:i/>
          <w:spacing w:val="-3"/>
        </w:rPr>
        <w:t>Northwestern Lehigh School District v. Commonwealth of Pennsylvania, Agricultural Lands Condemnation Approval Board</w:t>
      </w:r>
      <w:r w:rsidRPr="00A9207F">
        <w:rPr>
          <w:rFonts w:ascii="Times New Roman" w:hAnsi="Times New Roman" w:cs="Times New Roman"/>
          <w:spacing w:val="-3"/>
        </w:rPr>
        <w:t>, 134 Pa. Commonwealth Ct. 291, 578 A. 2d 614 (1990).</w:t>
      </w:r>
    </w:p>
    <w:p w:rsidR="00222A8F" w:rsidRPr="00A9207F" w:rsidRDefault="00222A8F" w:rsidP="00A9207F">
      <w:pPr>
        <w:spacing w:line="360" w:lineRule="auto"/>
        <w:ind w:right="720" w:firstLine="1440"/>
        <w:rPr>
          <w:rFonts w:ascii="Times New Roman" w:hAnsi="Times New Roman" w:cs="Times New Roman"/>
          <w:spacing w:val="-3"/>
        </w:rPr>
      </w:pPr>
    </w:p>
    <w:p w:rsidR="00222A8F" w:rsidRPr="00A9207F" w:rsidRDefault="00222A8F" w:rsidP="00545BE8">
      <w:pPr>
        <w:spacing w:line="360" w:lineRule="auto"/>
        <w:ind w:firstLine="1440"/>
        <w:rPr>
          <w:rFonts w:ascii="Times New Roman" w:hAnsi="Times New Roman" w:cs="Times New Roman"/>
          <w:spacing w:val="-3"/>
        </w:rPr>
      </w:pPr>
      <w:r w:rsidRPr="00A9207F">
        <w:rPr>
          <w:rFonts w:ascii="Times New Roman" w:hAnsi="Times New Roman" w:cs="Times New Roman"/>
          <w:spacing w:val="-3"/>
        </w:rPr>
        <w:t>6.</w:t>
      </w:r>
      <w:r w:rsidRPr="00A9207F">
        <w:rPr>
          <w:rFonts w:ascii="Times New Roman" w:hAnsi="Times New Roman" w:cs="Times New Roman"/>
          <w:spacing w:val="-3"/>
        </w:rPr>
        <w:tab/>
        <w:t xml:space="preserve">For the purposes of </w:t>
      </w:r>
      <w:r w:rsidRPr="00A9207F">
        <w:rPr>
          <w:rFonts w:ascii="Times New Roman" w:hAnsi="Times New Roman" w:cs="Times New Roman"/>
          <w:i/>
          <w:spacing w:val="-3"/>
        </w:rPr>
        <w:t>res judicata</w:t>
      </w:r>
      <w:r w:rsidRPr="00A9207F">
        <w:rPr>
          <w:rFonts w:ascii="Times New Roman" w:hAnsi="Times New Roman" w:cs="Times New Roman"/>
          <w:spacing w:val="-3"/>
        </w:rPr>
        <w:t xml:space="preserve">, there is identity of causes of action when in both the old and new proceedings, the subject matter and the ultimate issues are the same. </w:t>
      </w:r>
      <w:proofErr w:type="gramStart"/>
      <w:r w:rsidRPr="00A9207F">
        <w:rPr>
          <w:rFonts w:ascii="Times New Roman" w:hAnsi="Times New Roman" w:cs="Times New Roman"/>
          <w:i/>
          <w:spacing w:val="-3"/>
        </w:rPr>
        <w:t>Howard v. Department of Public Welfare</w:t>
      </w:r>
      <w:r w:rsidRPr="00A9207F">
        <w:rPr>
          <w:rFonts w:ascii="Times New Roman" w:hAnsi="Times New Roman" w:cs="Times New Roman"/>
          <w:spacing w:val="-3"/>
        </w:rPr>
        <w:t>, 108 Pa. Commonwealth Ct. 592, 529 A.2d 1231 (1987).</w:t>
      </w:r>
      <w:proofErr w:type="gramEnd"/>
    </w:p>
    <w:p w:rsidR="00222A8F" w:rsidRPr="00A9207F" w:rsidRDefault="00222A8F" w:rsidP="00545BE8">
      <w:pPr>
        <w:spacing w:line="360" w:lineRule="auto"/>
        <w:ind w:firstLine="1440"/>
        <w:rPr>
          <w:rFonts w:ascii="Times New Roman" w:hAnsi="Times New Roman" w:cs="Times New Roman"/>
          <w:spacing w:val="-3"/>
        </w:rPr>
      </w:pPr>
      <w:r w:rsidRPr="00A9207F">
        <w:rPr>
          <w:rFonts w:ascii="Times New Roman" w:hAnsi="Times New Roman" w:cs="Times New Roman"/>
          <w:spacing w:val="-3"/>
        </w:rPr>
        <w:t>7.</w:t>
      </w:r>
      <w:r w:rsidRPr="00A9207F">
        <w:rPr>
          <w:rFonts w:ascii="Times New Roman" w:hAnsi="Times New Roman" w:cs="Times New Roman"/>
          <w:spacing w:val="-3"/>
        </w:rPr>
        <w:tab/>
        <w:t xml:space="preserve">The Commission has recognized the applicability of the doctrine of </w:t>
      </w:r>
      <w:r w:rsidRPr="00A9207F">
        <w:rPr>
          <w:rFonts w:ascii="Times New Roman" w:hAnsi="Times New Roman" w:cs="Times New Roman"/>
          <w:i/>
          <w:spacing w:val="-3"/>
        </w:rPr>
        <w:t>res judicata</w:t>
      </w:r>
      <w:r w:rsidRPr="00A9207F">
        <w:rPr>
          <w:rFonts w:ascii="Times New Roman" w:hAnsi="Times New Roman" w:cs="Times New Roman"/>
          <w:spacing w:val="-3"/>
        </w:rPr>
        <w:t xml:space="preserve"> in proceedings before it. </w:t>
      </w:r>
      <w:r w:rsidRPr="00A9207F">
        <w:rPr>
          <w:rFonts w:ascii="Times New Roman" w:hAnsi="Times New Roman" w:cs="Times New Roman"/>
          <w:i/>
          <w:spacing w:val="-3"/>
        </w:rPr>
        <w:t>O'Toole v. Bell Telephone Company of Pennsylvania</w:t>
      </w:r>
      <w:r w:rsidRPr="00A9207F">
        <w:rPr>
          <w:rFonts w:ascii="Times New Roman" w:hAnsi="Times New Roman" w:cs="Times New Roman"/>
          <w:spacing w:val="-3"/>
        </w:rPr>
        <w:t xml:space="preserve">, 77 Pa. PUC 98 (1992). </w:t>
      </w:r>
      <w:r w:rsidR="00705DD8" w:rsidRPr="00A9207F">
        <w:rPr>
          <w:rFonts w:ascii="Times New Roman" w:hAnsi="Times New Roman" w:cs="Times New Roman"/>
          <w:spacing w:val="-3"/>
        </w:rPr>
        <w:t xml:space="preserve"> </w:t>
      </w:r>
    </w:p>
    <w:p w:rsidR="00705DD8" w:rsidRPr="00A9207F" w:rsidRDefault="00705DD8" w:rsidP="00A9207F">
      <w:pPr>
        <w:spacing w:line="360" w:lineRule="auto"/>
        <w:ind w:right="720" w:firstLine="1440"/>
        <w:rPr>
          <w:rFonts w:ascii="Times New Roman" w:hAnsi="Times New Roman" w:cs="Times New Roman"/>
          <w:spacing w:val="-3"/>
        </w:rPr>
      </w:pPr>
    </w:p>
    <w:p w:rsidR="00222A8F" w:rsidRPr="00A9207F" w:rsidRDefault="00222A8F" w:rsidP="00545BE8">
      <w:pPr>
        <w:spacing w:line="360" w:lineRule="auto"/>
        <w:ind w:firstLine="1440"/>
        <w:rPr>
          <w:rFonts w:ascii="Times New Roman" w:hAnsi="Times New Roman" w:cs="Times New Roman"/>
          <w:spacing w:val="-3"/>
        </w:rPr>
      </w:pPr>
      <w:r w:rsidRPr="00A9207F">
        <w:rPr>
          <w:rFonts w:ascii="Times New Roman" w:hAnsi="Times New Roman" w:cs="Times New Roman"/>
          <w:spacing w:val="-3"/>
        </w:rPr>
        <w:t>8.</w:t>
      </w:r>
      <w:r w:rsidRPr="00A9207F">
        <w:rPr>
          <w:rFonts w:ascii="Times New Roman" w:hAnsi="Times New Roman" w:cs="Times New Roman"/>
          <w:spacing w:val="-3"/>
        </w:rPr>
        <w:tab/>
        <w:t xml:space="preserve">A complaint is prohibited by Section 316 of the Public Utility Code from raising issues previously decided. </w:t>
      </w:r>
      <w:proofErr w:type="gramStart"/>
      <w:r w:rsidRPr="00A9207F">
        <w:rPr>
          <w:rFonts w:ascii="Times New Roman" w:hAnsi="Times New Roman" w:cs="Times New Roman"/>
          <w:spacing w:val="-3"/>
        </w:rPr>
        <w:t>66 Pa. C.S. § 316.</w:t>
      </w:r>
      <w:proofErr w:type="gramEnd"/>
    </w:p>
    <w:p w:rsidR="00222A8F" w:rsidRDefault="00222A8F" w:rsidP="00545BE8">
      <w:pPr>
        <w:spacing w:line="360" w:lineRule="auto"/>
        <w:ind w:right="720"/>
        <w:rPr>
          <w:rFonts w:ascii="Times New Roman" w:hAnsi="Times New Roman" w:cs="Times New Roman"/>
          <w:spacing w:val="-3"/>
        </w:rPr>
      </w:pPr>
    </w:p>
    <w:p w:rsidR="00545BE8" w:rsidRPr="00A9207F" w:rsidRDefault="00545BE8" w:rsidP="00545BE8">
      <w:pPr>
        <w:spacing w:line="360" w:lineRule="auto"/>
        <w:ind w:right="720"/>
        <w:rPr>
          <w:rFonts w:ascii="Times New Roman" w:hAnsi="Times New Roman" w:cs="Times New Roman"/>
          <w:spacing w:val="-3"/>
        </w:rPr>
      </w:pPr>
    </w:p>
    <w:p w:rsidR="003C05FF" w:rsidRDefault="007B5858" w:rsidP="00545BE8">
      <w:pPr>
        <w:spacing w:line="360" w:lineRule="auto"/>
        <w:ind w:right="90" w:firstLine="90"/>
        <w:jc w:val="center"/>
        <w:rPr>
          <w:rFonts w:ascii="Times New Roman" w:hAnsi="Times New Roman" w:cs="Times New Roman"/>
          <w:spacing w:val="-3"/>
          <w:u w:val="single"/>
        </w:rPr>
      </w:pPr>
      <w:r w:rsidRPr="00A9207F">
        <w:rPr>
          <w:rFonts w:ascii="Times New Roman" w:hAnsi="Times New Roman" w:cs="Times New Roman"/>
          <w:spacing w:val="-3"/>
          <w:u w:val="single"/>
        </w:rPr>
        <w:t>ORDER</w:t>
      </w:r>
    </w:p>
    <w:p w:rsidR="00545BE8" w:rsidRPr="00A9207F" w:rsidRDefault="00545BE8" w:rsidP="00545BE8">
      <w:pPr>
        <w:spacing w:line="360" w:lineRule="auto"/>
        <w:ind w:right="90" w:firstLine="90"/>
        <w:jc w:val="center"/>
        <w:rPr>
          <w:rFonts w:ascii="Times New Roman" w:hAnsi="Times New Roman" w:cs="Times New Roman"/>
          <w:spacing w:val="-3"/>
          <w:u w:val="single"/>
        </w:rPr>
      </w:pPr>
    </w:p>
    <w:p w:rsidR="003C05FF" w:rsidRPr="00A9207F" w:rsidRDefault="003C05FF" w:rsidP="00A9207F">
      <w:pPr>
        <w:spacing w:line="360" w:lineRule="auto"/>
        <w:ind w:right="720" w:firstLine="1440"/>
        <w:rPr>
          <w:rFonts w:ascii="Times New Roman" w:hAnsi="Times New Roman" w:cs="Times New Roman"/>
          <w:spacing w:val="-3"/>
          <w:u w:val="single"/>
        </w:rPr>
      </w:pPr>
    </w:p>
    <w:p w:rsidR="009257F0" w:rsidRPr="00A9207F" w:rsidRDefault="007B5858" w:rsidP="00A9207F">
      <w:pPr>
        <w:tabs>
          <w:tab w:val="left" w:pos="0"/>
        </w:tabs>
        <w:suppressAutoHyphens/>
        <w:spacing w:line="360" w:lineRule="auto"/>
        <w:ind w:right="720" w:firstLine="1440"/>
        <w:rPr>
          <w:rFonts w:ascii="Times New Roman" w:hAnsi="Times New Roman" w:cs="Times New Roman"/>
          <w:spacing w:val="-3"/>
        </w:rPr>
      </w:pPr>
      <w:r w:rsidRPr="00A9207F">
        <w:rPr>
          <w:rFonts w:ascii="Times New Roman" w:hAnsi="Times New Roman" w:cs="Times New Roman"/>
          <w:spacing w:val="-3"/>
        </w:rPr>
        <w:t>THEREFORE,</w:t>
      </w:r>
    </w:p>
    <w:p w:rsidR="003C05FF" w:rsidRPr="00A9207F" w:rsidRDefault="003C05FF" w:rsidP="00A9207F">
      <w:pPr>
        <w:tabs>
          <w:tab w:val="left" w:pos="0"/>
        </w:tabs>
        <w:suppressAutoHyphens/>
        <w:spacing w:line="360" w:lineRule="auto"/>
        <w:ind w:right="720" w:firstLine="1440"/>
        <w:rPr>
          <w:rFonts w:ascii="Times New Roman" w:hAnsi="Times New Roman" w:cs="Times New Roman"/>
          <w:spacing w:val="-3"/>
        </w:rPr>
      </w:pPr>
    </w:p>
    <w:p w:rsidR="009257F0" w:rsidRPr="00A9207F" w:rsidRDefault="009257F0" w:rsidP="00BD2C0B">
      <w:pPr>
        <w:suppressAutoHyphens/>
        <w:spacing w:line="360" w:lineRule="auto"/>
        <w:ind w:firstLine="1440"/>
        <w:rPr>
          <w:rFonts w:ascii="Times New Roman" w:hAnsi="Times New Roman" w:cs="Times New Roman"/>
          <w:spacing w:val="-3"/>
        </w:rPr>
      </w:pPr>
      <w:r w:rsidRPr="00A9207F">
        <w:rPr>
          <w:rFonts w:ascii="Times New Roman" w:hAnsi="Times New Roman" w:cs="Times New Roman"/>
          <w:spacing w:val="-3"/>
        </w:rPr>
        <w:t>IT IS ORDERED:</w:t>
      </w:r>
    </w:p>
    <w:p w:rsidR="003C05FF" w:rsidRPr="00A9207F" w:rsidRDefault="003C05FF" w:rsidP="00A9207F">
      <w:pPr>
        <w:tabs>
          <w:tab w:val="left" w:pos="0"/>
        </w:tabs>
        <w:suppressAutoHyphens/>
        <w:spacing w:line="360" w:lineRule="auto"/>
        <w:ind w:right="720" w:firstLine="1440"/>
        <w:rPr>
          <w:rFonts w:ascii="Times New Roman" w:hAnsi="Times New Roman" w:cs="Times New Roman"/>
          <w:spacing w:val="-3"/>
        </w:rPr>
      </w:pPr>
    </w:p>
    <w:p w:rsidR="00A51F65" w:rsidRPr="00A9207F" w:rsidRDefault="007B5858" w:rsidP="00545BE8">
      <w:pPr>
        <w:suppressAutoHyphens/>
        <w:spacing w:line="360" w:lineRule="auto"/>
        <w:ind w:firstLine="1440"/>
        <w:rPr>
          <w:rFonts w:ascii="Times New Roman" w:hAnsi="Times New Roman" w:cs="Times New Roman"/>
          <w:spacing w:val="-3"/>
        </w:rPr>
      </w:pPr>
      <w:r w:rsidRPr="00A9207F">
        <w:rPr>
          <w:rFonts w:ascii="Times New Roman" w:hAnsi="Times New Roman" w:cs="Times New Roman"/>
          <w:spacing w:val="-3"/>
        </w:rPr>
        <w:t>1.</w:t>
      </w:r>
      <w:r w:rsidR="008D798D" w:rsidRPr="00A9207F">
        <w:rPr>
          <w:rFonts w:ascii="Times New Roman" w:hAnsi="Times New Roman" w:cs="Times New Roman"/>
          <w:spacing w:val="-3"/>
        </w:rPr>
        <w:tab/>
        <w:t xml:space="preserve">That the Complaint of </w:t>
      </w:r>
      <w:r w:rsidR="00A51F65" w:rsidRPr="00A9207F">
        <w:rPr>
          <w:rFonts w:ascii="Times New Roman" w:hAnsi="Times New Roman" w:cs="Times New Roman"/>
          <w:spacing w:val="-3"/>
        </w:rPr>
        <w:t>David Moore</w:t>
      </w:r>
      <w:r w:rsidR="00402A0B" w:rsidRPr="00A9207F">
        <w:rPr>
          <w:rFonts w:ascii="Times New Roman" w:hAnsi="Times New Roman" w:cs="Times New Roman"/>
          <w:spacing w:val="-3"/>
        </w:rPr>
        <w:t>, Jr.</w:t>
      </w:r>
      <w:r w:rsidR="008D798D" w:rsidRPr="00A9207F">
        <w:rPr>
          <w:rFonts w:ascii="Times New Roman" w:hAnsi="Times New Roman" w:cs="Times New Roman"/>
          <w:spacing w:val="-3"/>
        </w:rPr>
        <w:t xml:space="preserve"> against PECO Energy Company at Docket No. C-20</w:t>
      </w:r>
      <w:r w:rsidR="00402A0B" w:rsidRPr="00A9207F">
        <w:rPr>
          <w:rFonts w:ascii="Times New Roman" w:hAnsi="Times New Roman" w:cs="Times New Roman"/>
          <w:spacing w:val="-3"/>
        </w:rPr>
        <w:t>12</w:t>
      </w:r>
      <w:r w:rsidR="008D798D" w:rsidRPr="00A9207F">
        <w:rPr>
          <w:rFonts w:ascii="Times New Roman" w:hAnsi="Times New Roman" w:cs="Times New Roman"/>
          <w:spacing w:val="-3"/>
        </w:rPr>
        <w:t>-</w:t>
      </w:r>
      <w:r w:rsidR="003C05FF" w:rsidRPr="00A9207F">
        <w:rPr>
          <w:rFonts w:ascii="Times New Roman" w:hAnsi="Times New Roman" w:cs="Times New Roman"/>
          <w:spacing w:val="-3"/>
        </w:rPr>
        <w:t>2309932</w:t>
      </w:r>
      <w:r w:rsidR="008D798D" w:rsidRPr="00A9207F">
        <w:rPr>
          <w:rFonts w:ascii="Times New Roman" w:hAnsi="Times New Roman" w:cs="Times New Roman"/>
          <w:spacing w:val="-3"/>
        </w:rPr>
        <w:t xml:space="preserve"> is hereby </w:t>
      </w:r>
      <w:r w:rsidR="00A51F65" w:rsidRPr="00A9207F">
        <w:rPr>
          <w:rFonts w:ascii="Times New Roman" w:hAnsi="Times New Roman" w:cs="Times New Roman"/>
          <w:spacing w:val="-3"/>
        </w:rPr>
        <w:t>dismissed</w:t>
      </w:r>
      <w:r w:rsidR="00402A0B" w:rsidRPr="00A9207F">
        <w:rPr>
          <w:rFonts w:ascii="Times New Roman" w:hAnsi="Times New Roman" w:cs="Times New Roman"/>
          <w:spacing w:val="-3"/>
        </w:rPr>
        <w:t>, with prejudice</w:t>
      </w:r>
      <w:r w:rsidR="00A51F65" w:rsidRPr="00A9207F">
        <w:rPr>
          <w:rFonts w:ascii="Times New Roman" w:hAnsi="Times New Roman" w:cs="Times New Roman"/>
          <w:spacing w:val="-3"/>
        </w:rPr>
        <w:t>.</w:t>
      </w:r>
    </w:p>
    <w:p w:rsidR="00A51F65" w:rsidRPr="00A9207F" w:rsidRDefault="00A51F65" w:rsidP="00A9207F">
      <w:pPr>
        <w:tabs>
          <w:tab w:val="left" w:pos="0"/>
        </w:tabs>
        <w:suppressAutoHyphens/>
        <w:spacing w:line="360" w:lineRule="auto"/>
        <w:ind w:right="720" w:firstLine="1440"/>
        <w:rPr>
          <w:rFonts w:ascii="Times New Roman" w:hAnsi="Times New Roman" w:cs="Times New Roman"/>
          <w:spacing w:val="-3"/>
        </w:rPr>
      </w:pPr>
    </w:p>
    <w:p w:rsidR="007B5858" w:rsidRPr="00A9207F" w:rsidRDefault="00A51F65" w:rsidP="00545BE8">
      <w:pPr>
        <w:tabs>
          <w:tab w:val="left" w:pos="0"/>
        </w:tabs>
        <w:suppressAutoHyphens/>
        <w:spacing w:line="360" w:lineRule="auto"/>
        <w:ind w:firstLine="1440"/>
        <w:rPr>
          <w:rFonts w:ascii="Times New Roman" w:hAnsi="Times New Roman" w:cs="Times New Roman"/>
          <w:spacing w:val="-3"/>
        </w:rPr>
      </w:pPr>
      <w:r w:rsidRPr="00A9207F">
        <w:rPr>
          <w:rFonts w:ascii="Times New Roman" w:hAnsi="Times New Roman" w:cs="Times New Roman"/>
          <w:spacing w:val="-3"/>
        </w:rPr>
        <w:t>2.</w:t>
      </w:r>
      <w:r w:rsidRPr="00A9207F">
        <w:rPr>
          <w:rFonts w:ascii="Times New Roman" w:hAnsi="Times New Roman" w:cs="Times New Roman"/>
          <w:spacing w:val="-3"/>
        </w:rPr>
        <w:tab/>
        <w:t>That the rec</w:t>
      </w:r>
      <w:bookmarkStart w:id="0" w:name="_GoBack"/>
      <w:bookmarkEnd w:id="0"/>
      <w:r w:rsidRPr="00A9207F">
        <w:rPr>
          <w:rFonts w:ascii="Times New Roman" w:hAnsi="Times New Roman" w:cs="Times New Roman"/>
          <w:spacing w:val="-3"/>
        </w:rPr>
        <w:t xml:space="preserve">ord in this matter </w:t>
      </w:r>
      <w:r w:rsidR="00A53F2A" w:rsidRPr="00A9207F">
        <w:rPr>
          <w:rFonts w:ascii="Times New Roman" w:hAnsi="Times New Roman" w:cs="Times New Roman"/>
          <w:spacing w:val="-3"/>
        </w:rPr>
        <w:t>be</w:t>
      </w:r>
      <w:r w:rsidRPr="00A9207F">
        <w:rPr>
          <w:rFonts w:ascii="Times New Roman" w:hAnsi="Times New Roman" w:cs="Times New Roman"/>
          <w:spacing w:val="-3"/>
        </w:rPr>
        <w:t xml:space="preserve"> marked closed.</w:t>
      </w:r>
    </w:p>
    <w:p w:rsidR="007B5858" w:rsidRPr="00A9207F" w:rsidRDefault="007B5858" w:rsidP="00A9207F">
      <w:pPr>
        <w:spacing w:line="360" w:lineRule="auto"/>
        <w:ind w:right="720" w:firstLine="1440"/>
        <w:rPr>
          <w:rFonts w:ascii="Times New Roman" w:hAnsi="Times New Roman" w:cs="Times New Roman"/>
        </w:rPr>
      </w:pPr>
    </w:p>
    <w:p w:rsidR="00AA7044" w:rsidRPr="00A9207F" w:rsidRDefault="00AA7044" w:rsidP="00A9207F">
      <w:pPr>
        <w:spacing w:line="360" w:lineRule="auto"/>
        <w:ind w:right="720" w:firstLine="1440"/>
        <w:rPr>
          <w:rFonts w:ascii="Times New Roman" w:hAnsi="Times New Roman" w:cs="Times New Roman"/>
        </w:rPr>
      </w:pPr>
    </w:p>
    <w:p w:rsidR="007B5858" w:rsidRPr="00A9207F" w:rsidRDefault="007B5858" w:rsidP="00545BE8">
      <w:pPr>
        <w:widowControl w:val="0"/>
        <w:rPr>
          <w:rFonts w:ascii="Times New Roman" w:hAnsi="Times New Roman" w:cs="Times New Roman"/>
        </w:rPr>
      </w:pPr>
      <w:r w:rsidRPr="00A9207F">
        <w:rPr>
          <w:rFonts w:ascii="Times New Roman" w:hAnsi="Times New Roman" w:cs="Times New Roman"/>
        </w:rPr>
        <w:t xml:space="preserve">Date:  </w:t>
      </w:r>
      <w:r w:rsidR="00402A0B" w:rsidRPr="00A9207F">
        <w:rPr>
          <w:rFonts w:ascii="Times New Roman" w:hAnsi="Times New Roman" w:cs="Times New Roman"/>
          <w:u w:val="single"/>
        </w:rPr>
        <w:t>July 18,</w:t>
      </w:r>
      <w:r w:rsidRPr="00A9207F">
        <w:rPr>
          <w:rFonts w:ascii="Times New Roman" w:hAnsi="Times New Roman" w:cs="Times New Roman"/>
          <w:u w:val="single"/>
        </w:rPr>
        <w:t xml:space="preserve"> 201</w:t>
      </w:r>
      <w:r w:rsidR="00402A0B" w:rsidRPr="00A9207F">
        <w:rPr>
          <w:rFonts w:ascii="Times New Roman" w:hAnsi="Times New Roman" w:cs="Times New Roman"/>
          <w:u w:val="single"/>
        </w:rPr>
        <w:t>2</w:t>
      </w:r>
      <w:r w:rsidRPr="00A9207F">
        <w:rPr>
          <w:rFonts w:ascii="Times New Roman" w:hAnsi="Times New Roman" w:cs="Times New Roman"/>
        </w:rPr>
        <w:tab/>
      </w:r>
      <w:r w:rsidR="00E742C1"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r>
      <w:r w:rsidRPr="00A9207F">
        <w:rPr>
          <w:rFonts w:ascii="Times New Roman" w:hAnsi="Times New Roman" w:cs="Times New Roman"/>
        </w:rPr>
        <w:tab/>
        <w:t>__________________________________</w:t>
      </w:r>
    </w:p>
    <w:p w:rsidR="007B5858" w:rsidRPr="00A9207F" w:rsidRDefault="00545BE8" w:rsidP="00A9207F">
      <w:pPr>
        <w:widowControl w:val="0"/>
        <w:ind w:right="720" w:firstLine="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5858" w:rsidRPr="00A9207F">
        <w:rPr>
          <w:rFonts w:ascii="Times New Roman" w:hAnsi="Times New Roman" w:cs="Times New Roman"/>
        </w:rPr>
        <w:t>Dennis J. Buckley</w:t>
      </w:r>
    </w:p>
    <w:p w:rsidR="007B5858" w:rsidRPr="00A9207F" w:rsidRDefault="00545BE8" w:rsidP="00A9207F">
      <w:pPr>
        <w:widowControl w:val="0"/>
        <w:ind w:right="720" w:firstLine="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5858" w:rsidRPr="00A9207F">
        <w:rPr>
          <w:rFonts w:ascii="Times New Roman" w:hAnsi="Times New Roman" w:cs="Times New Roman"/>
        </w:rPr>
        <w:t>Administrative Law Judge</w:t>
      </w:r>
    </w:p>
    <w:p w:rsidR="00DC01E9" w:rsidRPr="00A9207F" w:rsidRDefault="00DC01E9" w:rsidP="00A9207F">
      <w:pPr>
        <w:tabs>
          <w:tab w:val="left" w:pos="0"/>
        </w:tabs>
        <w:suppressAutoHyphens/>
        <w:ind w:right="720" w:firstLine="1440"/>
        <w:rPr>
          <w:rFonts w:ascii="Times New Roman" w:hAnsi="Times New Roman" w:cs="Times New Roman"/>
          <w:spacing w:val="-3"/>
        </w:rPr>
      </w:pPr>
    </w:p>
    <w:sectPr w:rsidR="00DC01E9" w:rsidRPr="00A9207F" w:rsidSect="00A9207F">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3A7" w:rsidRDefault="001C33A7" w:rsidP="00045EE4">
      <w:r>
        <w:separator/>
      </w:r>
    </w:p>
  </w:endnote>
  <w:endnote w:type="continuationSeparator" w:id="0">
    <w:p w:rsidR="001C33A7" w:rsidRDefault="001C33A7"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972" w:rsidRDefault="00416839" w:rsidP="00554972">
    <w:pPr>
      <w:pStyle w:val="Footer"/>
      <w:framePr w:wrap="around" w:vAnchor="text" w:hAnchor="margin" w:xAlign="center" w:y="1"/>
      <w:rPr>
        <w:rStyle w:val="PageNumber"/>
      </w:rPr>
    </w:pPr>
    <w:r>
      <w:rPr>
        <w:rStyle w:val="PageNumber"/>
      </w:rPr>
      <w:fldChar w:fldCharType="begin"/>
    </w:r>
    <w:r w:rsidR="00554972">
      <w:rPr>
        <w:rStyle w:val="PageNumber"/>
      </w:rPr>
      <w:instrText xml:space="preserve">PAGE  </w:instrText>
    </w:r>
    <w:r>
      <w:rPr>
        <w:rStyle w:val="PageNumber"/>
      </w:rPr>
      <w:fldChar w:fldCharType="end"/>
    </w:r>
  </w:p>
  <w:p w:rsidR="00554972" w:rsidRDefault="00554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972" w:rsidRPr="00BF257B" w:rsidRDefault="00416839" w:rsidP="00554972">
    <w:pPr>
      <w:pStyle w:val="Footer"/>
      <w:framePr w:wrap="around" w:vAnchor="text" w:hAnchor="margin" w:xAlign="center" w:y="1"/>
      <w:rPr>
        <w:rStyle w:val="PageNumber"/>
        <w:rFonts w:ascii="Times New Roman" w:hAnsi="Times New Roman" w:cs="Times New Roman"/>
        <w:sz w:val="20"/>
        <w:szCs w:val="20"/>
      </w:rPr>
    </w:pPr>
    <w:r w:rsidRPr="00BF257B">
      <w:rPr>
        <w:rStyle w:val="PageNumber"/>
        <w:rFonts w:ascii="Times New Roman" w:hAnsi="Times New Roman" w:cs="Times New Roman"/>
        <w:sz w:val="20"/>
        <w:szCs w:val="20"/>
      </w:rPr>
      <w:fldChar w:fldCharType="begin"/>
    </w:r>
    <w:r w:rsidR="00554972" w:rsidRPr="00BF257B">
      <w:rPr>
        <w:rStyle w:val="PageNumber"/>
        <w:rFonts w:ascii="Times New Roman" w:hAnsi="Times New Roman" w:cs="Times New Roman"/>
        <w:sz w:val="20"/>
        <w:szCs w:val="20"/>
      </w:rPr>
      <w:instrText xml:space="preserve">PAGE  </w:instrText>
    </w:r>
    <w:r w:rsidRPr="00BF257B">
      <w:rPr>
        <w:rStyle w:val="PageNumber"/>
        <w:rFonts w:ascii="Times New Roman" w:hAnsi="Times New Roman" w:cs="Times New Roman"/>
        <w:sz w:val="20"/>
        <w:szCs w:val="20"/>
      </w:rPr>
      <w:fldChar w:fldCharType="separate"/>
    </w:r>
    <w:r w:rsidR="008024A9">
      <w:rPr>
        <w:rStyle w:val="PageNumber"/>
        <w:rFonts w:ascii="Times New Roman" w:hAnsi="Times New Roman" w:cs="Times New Roman"/>
        <w:noProof/>
        <w:sz w:val="20"/>
        <w:szCs w:val="20"/>
      </w:rPr>
      <w:t>9</w:t>
    </w:r>
    <w:r w:rsidRPr="00BF257B">
      <w:rPr>
        <w:rStyle w:val="PageNumber"/>
        <w:rFonts w:ascii="Times New Roman" w:hAnsi="Times New Roman" w:cs="Times New Roman"/>
        <w:sz w:val="20"/>
        <w:szCs w:val="20"/>
      </w:rPr>
      <w:fldChar w:fldCharType="end"/>
    </w:r>
  </w:p>
  <w:p w:rsidR="00554972" w:rsidRPr="001B2E5E" w:rsidRDefault="0055497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3A7" w:rsidRDefault="001C33A7" w:rsidP="00045EE4">
      <w:r>
        <w:separator/>
      </w:r>
    </w:p>
  </w:footnote>
  <w:footnote w:type="continuationSeparator" w:id="0">
    <w:p w:rsidR="001C33A7" w:rsidRDefault="001C33A7" w:rsidP="00045EE4">
      <w:r>
        <w:continuationSeparator/>
      </w:r>
    </w:p>
  </w:footnote>
  <w:footnote w:id="1">
    <w:p w:rsidR="009C1CE1" w:rsidRPr="00BF257B" w:rsidRDefault="009C1CE1">
      <w:pPr>
        <w:pStyle w:val="FootnoteText"/>
        <w:rPr>
          <w:rFonts w:ascii="Times New Roman" w:hAnsi="Times New Roman" w:cs="Times New Roman"/>
        </w:rPr>
      </w:pPr>
      <w:r w:rsidRPr="00BF257B">
        <w:rPr>
          <w:rStyle w:val="FootnoteReference"/>
          <w:rFonts w:ascii="Times New Roman" w:hAnsi="Times New Roman" w:cs="Times New Roman"/>
        </w:rPr>
        <w:footnoteRef/>
      </w:r>
      <w:r w:rsidRPr="00BF257B">
        <w:rPr>
          <w:rFonts w:ascii="Times New Roman" w:hAnsi="Times New Roman" w:cs="Times New Roman"/>
        </w:rPr>
        <w:t xml:space="preserve"> </w:t>
      </w:r>
      <w:r w:rsidRPr="00BF257B">
        <w:rPr>
          <w:rFonts w:ascii="Times New Roman" w:hAnsi="Times New Roman" w:cs="Times New Roman"/>
        </w:rPr>
        <w:tab/>
      </w:r>
      <w:r w:rsidR="00085617" w:rsidRPr="00BF257B">
        <w:rPr>
          <w:rFonts w:ascii="Times New Roman" w:hAnsi="Times New Roman" w:cs="Times New Roman"/>
        </w:rPr>
        <w:t xml:space="preserve">In the prior Complaint, the Complainant referenced his Chapter 13 bankruptcy filing in arguing inability to pay the higher commercial rate.  </w:t>
      </w:r>
      <w:r w:rsidRPr="00BF257B">
        <w:rPr>
          <w:rFonts w:ascii="Times New Roman" w:hAnsi="Times New Roman" w:cs="Times New Roman"/>
        </w:rPr>
        <w:t>I note that in the present Complaint, the Complainant asserts that he recently suffered a heart attack which allegedly affects his ability to pay.  However, the issue in this case</w:t>
      </w:r>
      <w:r w:rsidR="00085617" w:rsidRPr="00BF257B">
        <w:rPr>
          <w:rFonts w:ascii="Times New Roman" w:hAnsi="Times New Roman" w:cs="Times New Roman"/>
        </w:rPr>
        <w:t>, as in the underlying case,</w:t>
      </w:r>
      <w:r w:rsidRPr="00BF257B">
        <w:rPr>
          <w:rFonts w:ascii="Times New Roman" w:hAnsi="Times New Roman" w:cs="Times New Roman"/>
        </w:rPr>
        <w:t xml:space="preserve"> is an allegation of improper </w:t>
      </w:r>
      <w:r w:rsidR="00700D03" w:rsidRPr="00BF257B">
        <w:rPr>
          <w:rFonts w:ascii="Times New Roman" w:hAnsi="Times New Roman" w:cs="Times New Roman"/>
        </w:rPr>
        <w:t xml:space="preserve">account classification, </w:t>
      </w:r>
      <w:r w:rsidRPr="00BF257B">
        <w:rPr>
          <w:rFonts w:ascii="Times New Roman" w:hAnsi="Times New Roman" w:cs="Times New Roman"/>
        </w:rPr>
        <w:t>billing</w:t>
      </w:r>
      <w:r w:rsidR="00402A0B" w:rsidRPr="00BF257B">
        <w:rPr>
          <w:rFonts w:ascii="Times New Roman" w:hAnsi="Times New Roman" w:cs="Times New Roman"/>
        </w:rPr>
        <w:t xml:space="preserve"> and the amount that the Complainant owes PECO based on a recalculation</w:t>
      </w:r>
      <w:r w:rsidRPr="00BF257B">
        <w:rPr>
          <w:rFonts w:ascii="Times New Roman" w:hAnsi="Times New Roman" w:cs="Times New Roman"/>
        </w:rPr>
        <w:t xml:space="preserve">, </w:t>
      </w:r>
      <w:r w:rsidRPr="00BF257B">
        <w:rPr>
          <w:rFonts w:ascii="Times New Roman" w:hAnsi="Times New Roman" w:cs="Times New Roman"/>
          <w:u w:val="single"/>
        </w:rPr>
        <w:t>not</w:t>
      </w:r>
      <w:r w:rsidRPr="00BF257B">
        <w:rPr>
          <w:rFonts w:ascii="Times New Roman" w:hAnsi="Times New Roman" w:cs="Times New Roman"/>
        </w:rPr>
        <w:t xml:space="preserve"> inability to pay.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0ABE"/>
    <w:rsid w:val="000014B7"/>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3E3C"/>
    <w:rsid w:val="00025668"/>
    <w:rsid w:val="0002592A"/>
    <w:rsid w:val="00025D14"/>
    <w:rsid w:val="00026710"/>
    <w:rsid w:val="00027A04"/>
    <w:rsid w:val="00031DFE"/>
    <w:rsid w:val="000326DC"/>
    <w:rsid w:val="000336F2"/>
    <w:rsid w:val="0003399E"/>
    <w:rsid w:val="00033DBE"/>
    <w:rsid w:val="000353F1"/>
    <w:rsid w:val="00036D5D"/>
    <w:rsid w:val="00036EF4"/>
    <w:rsid w:val="000376F9"/>
    <w:rsid w:val="000403CD"/>
    <w:rsid w:val="000407AC"/>
    <w:rsid w:val="00045EE4"/>
    <w:rsid w:val="00046304"/>
    <w:rsid w:val="000500B9"/>
    <w:rsid w:val="0005066D"/>
    <w:rsid w:val="0005071B"/>
    <w:rsid w:val="00050E0C"/>
    <w:rsid w:val="0005286E"/>
    <w:rsid w:val="000609B6"/>
    <w:rsid w:val="00061364"/>
    <w:rsid w:val="0006608A"/>
    <w:rsid w:val="000673AB"/>
    <w:rsid w:val="000700AB"/>
    <w:rsid w:val="000725BE"/>
    <w:rsid w:val="00075E7E"/>
    <w:rsid w:val="00077BC2"/>
    <w:rsid w:val="00082F84"/>
    <w:rsid w:val="00085617"/>
    <w:rsid w:val="00086351"/>
    <w:rsid w:val="0009147B"/>
    <w:rsid w:val="00092A3D"/>
    <w:rsid w:val="00092F06"/>
    <w:rsid w:val="000943BE"/>
    <w:rsid w:val="000952F9"/>
    <w:rsid w:val="000964CC"/>
    <w:rsid w:val="000974B4"/>
    <w:rsid w:val="000977CD"/>
    <w:rsid w:val="00097A4C"/>
    <w:rsid w:val="000A18DD"/>
    <w:rsid w:val="000A3309"/>
    <w:rsid w:val="000A4939"/>
    <w:rsid w:val="000A5469"/>
    <w:rsid w:val="000A6A9D"/>
    <w:rsid w:val="000A725A"/>
    <w:rsid w:val="000B0A10"/>
    <w:rsid w:val="000B3AB8"/>
    <w:rsid w:val="000B3BA5"/>
    <w:rsid w:val="000B6C5B"/>
    <w:rsid w:val="000B77FB"/>
    <w:rsid w:val="000C0C90"/>
    <w:rsid w:val="000C13F0"/>
    <w:rsid w:val="000C3889"/>
    <w:rsid w:val="000C3DF7"/>
    <w:rsid w:val="000C67B7"/>
    <w:rsid w:val="000C6B9A"/>
    <w:rsid w:val="000C723E"/>
    <w:rsid w:val="000C7890"/>
    <w:rsid w:val="000D06AC"/>
    <w:rsid w:val="000D42E8"/>
    <w:rsid w:val="000D4D9A"/>
    <w:rsid w:val="000D4F59"/>
    <w:rsid w:val="000D4FF3"/>
    <w:rsid w:val="000D5FFC"/>
    <w:rsid w:val="000E1D21"/>
    <w:rsid w:val="000E45E1"/>
    <w:rsid w:val="000E4E90"/>
    <w:rsid w:val="000F2893"/>
    <w:rsid w:val="000F31BB"/>
    <w:rsid w:val="000F3452"/>
    <w:rsid w:val="00100125"/>
    <w:rsid w:val="001030D4"/>
    <w:rsid w:val="001035F9"/>
    <w:rsid w:val="0010634F"/>
    <w:rsid w:val="00106C5A"/>
    <w:rsid w:val="0011051F"/>
    <w:rsid w:val="00110C5C"/>
    <w:rsid w:val="00111240"/>
    <w:rsid w:val="00113394"/>
    <w:rsid w:val="0011339D"/>
    <w:rsid w:val="00114C3A"/>
    <w:rsid w:val="00115EE3"/>
    <w:rsid w:val="00116AA9"/>
    <w:rsid w:val="00117645"/>
    <w:rsid w:val="00117CF3"/>
    <w:rsid w:val="00117D59"/>
    <w:rsid w:val="00122110"/>
    <w:rsid w:val="0012407C"/>
    <w:rsid w:val="001265C7"/>
    <w:rsid w:val="001268C6"/>
    <w:rsid w:val="001272C9"/>
    <w:rsid w:val="00132793"/>
    <w:rsid w:val="001332E9"/>
    <w:rsid w:val="001347FF"/>
    <w:rsid w:val="00137568"/>
    <w:rsid w:val="00143C40"/>
    <w:rsid w:val="001457F0"/>
    <w:rsid w:val="0015194B"/>
    <w:rsid w:val="00151955"/>
    <w:rsid w:val="00151CD1"/>
    <w:rsid w:val="00152189"/>
    <w:rsid w:val="00152E00"/>
    <w:rsid w:val="001563DF"/>
    <w:rsid w:val="00157015"/>
    <w:rsid w:val="00157BD9"/>
    <w:rsid w:val="00160E81"/>
    <w:rsid w:val="00161335"/>
    <w:rsid w:val="00162D6F"/>
    <w:rsid w:val="00164A37"/>
    <w:rsid w:val="001655E0"/>
    <w:rsid w:val="00165D81"/>
    <w:rsid w:val="00170604"/>
    <w:rsid w:val="00170B11"/>
    <w:rsid w:val="00171293"/>
    <w:rsid w:val="00171C38"/>
    <w:rsid w:val="001732D6"/>
    <w:rsid w:val="00173A2C"/>
    <w:rsid w:val="001757DC"/>
    <w:rsid w:val="00177B7D"/>
    <w:rsid w:val="00180659"/>
    <w:rsid w:val="00180890"/>
    <w:rsid w:val="00180C37"/>
    <w:rsid w:val="00180D73"/>
    <w:rsid w:val="001875C7"/>
    <w:rsid w:val="00187979"/>
    <w:rsid w:val="00191877"/>
    <w:rsid w:val="001930A0"/>
    <w:rsid w:val="001933D0"/>
    <w:rsid w:val="00194558"/>
    <w:rsid w:val="00194DDD"/>
    <w:rsid w:val="00195784"/>
    <w:rsid w:val="0019705E"/>
    <w:rsid w:val="0019717E"/>
    <w:rsid w:val="001A0B2C"/>
    <w:rsid w:val="001A0B60"/>
    <w:rsid w:val="001A205B"/>
    <w:rsid w:val="001A4154"/>
    <w:rsid w:val="001A5583"/>
    <w:rsid w:val="001A5BDD"/>
    <w:rsid w:val="001A5FBA"/>
    <w:rsid w:val="001A79DB"/>
    <w:rsid w:val="001B1986"/>
    <w:rsid w:val="001B21A8"/>
    <w:rsid w:val="001B2E09"/>
    <w:rsid w:val="001B2E5E"/>
    <w:rsid w:val="001B3717"/>
    <w:rsid w:val="001B71A2"/>
    <w:rsid w:val="001B7D8F"/>
    <w:rsid w:val="001C0B64"/>
    <w:rsid w:val="001C0D4B"/>
    <w:rsid w:val="001C25AF"/>
    <w:rsid w:val="001C33A7"/>
    <w:rsid w:val="001C3896"/>
    <w:rsid w:val="001C4EE7"/>
    <w:rsid w:val="001C5C0F"/>
    <w:rsid w:val="001D08BE"/>
    <w:rsid w:val="001D1BF2"/>
    <w:rsid w:val="001D2011"/>
    <w:rsid w:val="001D25F2"/>
    <w:rsid w:val="001D2D4B"/>
    <w:rsid w:val="001D35D3"/>
    <w:rsid w:val="001D41D0"/>
    <w:rsid w:val="001D6380"/>
    <w:rsid w:val="001D6EBF"/>
    <w:rsid w:val="001D758C"/>
    <w:rsid w:val="001E1CA9"/>
    <w:rsid w:val="001E2102"/>
    <w:rsid w:val="001E5F8C"/>
    <w:rsid w:val="001E60B4"/>
    <w:rsid w:val="001F0CC2"/>
    <w:rsid w:val="001F17D1"/>
    <w:rsid w:val="001F2281"/>
    <w:rsid w:val="001F51F6"/>
    <w:rsid w:val="001F5ABE"/>
    <w:rsid w:val="001F6848"/>
    <w:rsid w:val="001F69E2"/>
    <w:rsid w:val="001F79A1"/>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0C0D"/>
    <w:rsid w:val="002215A5"/>
    <w:rsid w:val="002219F4"/>
    <w:rsid w:val="00221EC8"/>
    <w:rsid w:val="0022290A"/>
    <w:rsid w:val="00222A8F"/>
    <w:rsid w:val="00222D5C"/>
    <w:rsid w:val="00224795"/>
    <w:rsid w:val="002273B5"/>
    <w:rsid w:val="002305E2"/>
    <w:rsid w:val="00233590"/>
    <w:rsid w:val="00243C4D"/>
    <w:rsid w:val="00244FA8"/>
    <w:rsid w:val="002458A2"/>
    <w:rsid w:val="00250745"/>
    <w:rsid w:val="002522A6"/>
    <w:rsid w:val="00252589"/>
    <w:rsid w:val="00253036"/>
    <w:rsid w:val="00254E65"/>
    <w:rsid w:val="00255D2C"/>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126"/>
    <w:rsid w:val="002D1165"/>
    <w:rsid w:val="002D1358"/>
    <w:rsid w:val="002D1A2C"/>
    <w:rsid w:val="002D2C75"/>
    <w:rsid w:val="002D3A5E"/>
    <w:rsid w:val="002E1741"/>
    <w:rsid w:val="002E285E"/>
    <w:rsid w:val="002E2EAD"/>
    <w:rsid w:val="002E32AF"/>
    <w:rsid w:val="002E39CD"/>
    <w:rsid w:val="002E3BEE"/>
    <w:rsid w:val="002E5A24"/>
    <w:rsid w:val="002E6905"/>
    <w:rsid w:val="002E6D1D"/>
    <w:rsid w:val="002F41A7"/>
    <w:rsid w:val="0030077E"/>
    <w:rsid w:val="003008BF"/>
    <w:rsid w:val="00300ADA"/>
    <w:rsid w:val="003017FF"/>
    <w:rsid w:val="003029F5"/>
    <w:rsid w:val="0030377F"/>
    <w:rsid w:val="003038CC"/>
    <w:rsid w:val="0030480A"/>
    <w:rsid w:val="00306F18"/>
    <w:rsid w:val="00307285"/>
    <w:rsid w:val="003107D8"/>
    <w:rsid w:val="0031235C"/>
    <w:rsid w:val="00313180"/>
    <w:rsid w:val="00316451"/>
    <w:rsid w:val="00320B24"/>
    <w:rsid w:val="00321BB7"/>
    <w:rsid w:val="00322D9C"/>
    <w:rsid w:val="003255F4"/>
    <w:rsid w:val="00325A42"/>
    <w:rsid w:val="003262CF"/>
    <w:rsid w:val="003265E4"/>
    <w:rsid w:val="00330E4F"/>
    <w:rsid w:val="00336A58"/>
    <w:rsid w:val="00337261"/>
    <w:rsid w:val="003379C3"/>
    <w:rsid w:val="00337AC8"/>
    <w:rsid w:val="0034261F"/>
    <w:rsid w:val="00342A67"/>
    <w:rsid w:val="00344769"/>
    <w:rsid w:val="00350C1F"/>
    <w:rsid w:val="00354C10"/>
    <w:rsid w:val="00360EC5"/>
    <w:rsid w:val="0036395F"/>
    <w:rsid w:val="003642FA"/>
    <w:rsid w:val="00365843"/>
    <w:rsid w:val="00365F06"/>
    <w:rsid w:val="00366E3E"/>
    <w:rsid w:val="003702D0"/>
    <w:rsid w:val="00371F3B"/>
    <w:rsid w:val="003720B7"/>
    <w:rsid w:val="00372982"/>
    <w:rsid w:val="00375EEF"/>
    <w:rsid w:val="00376F95"/>
    <w:rsid w:val="00377F85"/>
    <w:rsid w:val="0038042C"/>
    <w:rsid w:val="00381136"/>
    <w:rsid w:val="003813F9"/>
    <w:rsid w:val="003826B8"/>
    <w:rsid w:val="00382F09"/>
    <w:rsid w:val="00383391"/>
    <w:rsid w:val="003900AF"/>
    <w:rsid w:val="0039037B"/>
    <w:rsid w:val="003903B3"/>
    <w:rsid w:val="003906DB"/>
    <w:rsid w:val="0039181D"/>
    <w:rsid w:val="00393584"/>
    <w:rsid w:val="00397596"/>
    <w:rsid w:val="003A0E25"/>
    <w:rsid w:val="003A1936"/>
    <w:rsid w:val="003A337C"/>
    <w:rsid w:val="003A44FE"/>
    <w:rsid w:val="003A4783"/>
    <w:rsid w:val="003A5CF2"/>
    <w:rsid w:val="003A6558"/>
    <w:rsid w:val="003A6895"/>
    <w:rsid w:val="003B087B"/>
    <w:rsid w:val="003B2831"/>
    <w:rsid w:val="003B7CD5"/>
    <w:rsid w:val="003C05FF"/>
    <w:rsid w:val="003C4FF1"/>
    <w:rsid w:val="003D05CD"/>
    <w:rsid w:val="003D1ED5"/>
    <w:rsid w:val="003D2703"/>
    <w:rsid w:val="003D29AA"/>
    <w:rsid w:val="003D4361"/>
    <w:rsid w:val="003D45D8"/>
    <w:rsid w:val="003D467D"/>
    <w:rsid w:val="003D5112"/>
    <w:rsid w:val="003D7E0F"/>
    <w:rsid w:val="003E587F"/>
    <w:rsid w:val="003E63F0"/>
    <w:rsid w:val="003E728F"/>
    <w:rsid w:val="003E744E"/>
    <w:rsid w:val="003E782B"/>
    <w:rsid w:val="003F0638"/>
    <w:rsid w:val="003F17CD"/>
    <w:rsid w:val="003F6B18"/>
    <w:rsid w:val="003F6ED1"/>
    <w:rsid w:val="00400067"/>
    <w:rsid w:val="00402A0B"/>
    <w:rsid w:val="004032D2"/>
    <w:rsid w:val="004044CD"/>
    <w:rsid w:val="00405AAF"/>
    <w:rsid w:val="00405FDB"/>
    <w:rsid w:val="00406223"/>
    <w:rsid w:val="00406525"/>
    <w:rsid w:val="00407E07"/>
    <w:rsid w:val="00412CE2"/>
    <w:rsid w:val="00414098"/>
    <w:rsid w:val="00414835"/>
    <w:rsid w:val="00416839"/>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5AF5"/>
    <w:rsid w:val="00447FAF"/>
    <w:rsid w:val="00453473"/>
    <w:rsid w:val="00457AB5"/>
    <w:rsid w:val="004603E4"/>
    <w:rsid w:val="00460B7B"/>
    <w:rsid w:val="00463F63"/>
    <w:rsid w:val="00465C27"/>
    <w:rsid w:val="004714BC"/>
    <w:rsid w:val="00473AF4"/>
    <w:rsid w:val="00476978"/>
    <w:rsid w:val="00480006"/>
    <w:rsid w:val="00480BE5"/>
    <w:rsid w:val="00480CA9"/>
    <w:rsid w:val="004820EC"/>
    <w:rsid w:val="00485D8E"/>
    <w:rsid w:val="00487F3B"/>
    <w:rsid w:val="0049487C"/>
    <w:rsid w:val="00495B6F"/>
    <w:rsid w:val="004971E2"/>
    <w:rsid w:val="004A02E2"/>
    <w:rsid w:val="004A0A46"/>
    <w:rsid w:val="004A2FCD"/>
    <w:rsid w:val="004A3846"/>
    <w:rsid w:val="004A3FAA"/>
    <w:rsid w:val="004A5D8A"/>
    <w:rsid w:val="004A6296"/>
    <w:rsid w:val="004A6CF8"/>
    <w:rsid w:val="004A6DFB"/>
    <w:rsid w:val="004B203D"/>
    <w:rsid w:val="004B6203"/>
    <w:rsid w:val="004C0D74"/>
    <w:rsid w:val="004C109F"/>
    <w:rsid w:val="004C1F88"/>
    <w:rsid w:val="004C2FC6"/>
    <w:rsid w:val="004C306B"/>
    <w:rsid w:val="004C3B86"/>
    <w:rsid w:val="004C41CA"/>
    <w:rsid w:val="004C58BF"/>
    <w:rsid w:val="004C6B90"/>
    <w:rsid w:val="004C739B"/>
    <w:rsid w:val="004C7475"/>
    <w:rsid w:val="004C7F9C"/>
    <w:rsid w:val="004D04F3"/>
    <w:rsid w:val="004D068C"/>
    <w:rsid w:val="004D1F16"/>
    <w:rsid w:val="004D6485"/>
    <w:rsid w:val="004D722E"/>
    <w:rsid w:val="004E05A5"/>
    <w:rsid w:val="004E1A77"/>
    <w:rsid w:val="004E4266"/>
    <w:rsid w:val="004E5676"/>
    <w:rsid w:val="004E5860"/>
    <w:rsid w:val="004E5C0C"/>
    <w:rsid w:val="004E5DE6"/>
    <w:rsid w:val="004E71E1"/>
    <w:rsid w:val="004F0DA6"/>
    <w:rsid w:val="004F23F9"/>
    <w:rsid w:val="004F3B37"/>
    <w:rsid w:val="004F6103"/>
    <w:rsid w:val="005027A7"/>
    <w:rsid w:val="00502E0A"/>
    <w:rsid w:val="00503610"/>
    <w:rsid w:val="00504B56"/>
    <w:rsid w:val="005054CE"/>
    <w:rsid w:val="00507335"/>
    <w:rsid w:val="00511247"/>
    <w:rsid w:val="00511A8D"/>
    <w:rsid w:val="00512246"/>
    <w:rsid w:val="00513554"/>
    <w:rsid w:val="005156AE"/>
    <w:rsid w:val="005218EC"/>
    <w:rsid w:val="0052238D"/>
    <w:rsid w:val="0052406C"/>
    <w:rsid w:val="005245DA"/>
    <w:rsid w:val="00526E4B"/>
    <w:rsid w:val="00527F8C"/>
    <w:rsid w:val="0053276B"/>
    <w:rsid w:val="00534487"/>
    <w:rsid w:val="0053562C"/>
    <w:rsid w:val="0054104C"/>
    <w:rsid w:val="00542DB1"/>
    <w:rsid w:val="005443F7"/>
    <w:rsid w:val="00544DE9"/>
    <w:rsid w:val="00545BE8"/>
    <w:rsid w:val="005504F4"/>
    <w:rsid w:val="00550922"/>
    <w:rsid w:val="00551212"/>
    <w:rsid w:val="0055128E"/>
    <w:rsid w:val="00552F47"/>
    <w:rsid w:val="00554011"/>
    <w:rsid w:val="00554972"/>
    <w:rsid w:val="005559B7"/>
    <w:rsid w:val="00555D0E"/>
    <w:rsid w:val="00557EF4"/>
    <w:rsid w:val="00560968"/>
    <w:rsid w:val="005609C7"/>
    <w:rsid w:val="005617F1"/>
    <w:rsid w:val="00562172"/>
    <w:rsid w:val="00570821"/>
    <w:rsid w:val="0057148A"/>
    <w:rsid w:val="005715BA"/>
    <w:rsid w:val="00574128"/>
    <w:rsid w:val="00574F21"/>
    <w:rsid w:val="00575775"/>
    <w:rsid w:val="005770FE"/>
    <w:rsid w:val="005806B1"/>
    <w:rsid w:val="00583280"/>
    <w:rsid w:val="0058404A"/>
    <w:rsid w:val="00584177"/>
    <w:rsid w:val="00592F9A"/>
    <w:rsid w:val="00593012"/>
    <w:rsid w:val="005955ED"/>
    <w:rsid w:val="005956BA"/>
    <w:rsid w:val="00595C86"/>
    <w:rsid w:val="005964AD"/>
    <w:rsid w:val="00597EC2"/>
    <w:rsid w:val="005A1BB4"/>
    <w:rsid w:val="005A2592"/>
    <w:rsid w:val="005A3661"/>
    <w:rsid w:val="005A7951"/>
    <w:rsid w:val="005A7EFA"/>
    <w:rsid w:val="005B14C1"/>
    <w:rsid w:val="005B2255"/>
    <w:rsid w:val="005B25FD"/>
    <w:rsid w:val="005B362C"/>
    <w:rsid w:val="005B5432"/>
    <w:rsid w:val="005B58EC"/>
    <w:rsid w:val="005B62CD"/>
    <w:rsid w:val="005B63DC"/>
    <w:rsid w:val="005B6BC3"/>
    <w:rsid w:val="005B7367"/>
    <w:rsid w:val="005B7E31"/>
    <w:rsid w:val="005C2B9D"/>
    <w:rsid w:val="005C5474"/>
    <w:rsid w:val="005D2899"/>
    <w:rsid w:val="005D4834"/>
    <w:rsid w:val="005D50F7"/>
    <w:rsid w:val="005E2A4A"/>
    <w:rsid w:val="005E2B4B"/>
    <w:rsid w:val="005E2C25"/>
    <w:rsid w:val="005E44B5"/>
    <w:rsid w:val="005E4580"/>
    <w:rsid w:val="005E50A6"/>
    <w:rsid w:val="005E625F"/>
    <w:rsid w:val="005F0758"/>
    <w:rsid w:val="005F1C0D"/>
    <w:rsid w:val="005F3C15"/>
    <w:rsid w:val="005F3E71"/>
    <w:rsid w:val="005F4374"/>
    <w:rsid w:val="005F51F2"/>
    <w:rsid w:val="005F620A"/>
    <w:rsid w:val="005F68F2"/>
    <w:rsid w:val="005F6FA6"/>
    <w:rsid w:val="005F7FC5"/>
    <w:rsid w:val="0060127D"/>
    <w:rsid w:val="006015DE"/>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AED"/>
    <w:rsid w:val="00637C00"/>
    <w:rsid w:val="00637CFE"/>
    <w:rsid w:val="00640B4C"/>
    <w:rsid w:val="006429DC"/>
    <w:rsid w:val="00642F45"/>
    <w:rsid w:val="006456EA"/>
    <w:rsid w:val="00647152"/>
    <w:rsid w:val="006500DB"/>
    <w:rsid w:val="00651DFD"/>
    <w:rsid w:val="006525B9"/>
    <w:rsid w:val="00653729"/>
    <w:rsid w:val="0065470B"/>
    <w:rsid w:val="006550AD"/>
    <w:rsid w:val="00655C45"/>
    <w:rsid w:val="00655DC4"/>
    <w:rsid w:val="006613A7"/>
    <w:rsid w:val="006614A9"/>
    <w:rsid w:val="00661CC7"/>
    <w:rsid w:val="00661FF5"/>
    <w:rsid w:val="00662676"/>
    <w:rsid w:val="00664C73"/>
    <w:rsid w:val="00671EEC"/>
    <w:rsid w:val="0067478C"/>
    <w:rsid w:val="006748D9"/>
    <w:rsid w:val="0067697D"/>
    <w:rsid w:val="006770BC"/>
    <w:rsid w:val="00683549"/>
    <w:rsid w:val="0069106E"/>
    <w:rsid w:val="006911DE"/>
    <w:rsid w:val="00692F9F"/>
    <w:rsid w:val="006933F1"/>
    <w:rsid w:val="00696066"/>
    <w:rsid w:val="00696DAB"/>
    <w:rsid w:val="00697B9A"/>
    <w:rsid w:val="006A2880"/>
    <w:rsid w:val="006A305D"/>
    <w:rsid w:val="006A41CF"/>
    <w:rsid w:val="006A605E"/>
    <w:rsid w:val="006A60C2"/>
    <w:rsid w:val="006A6E97"/>
    <w:rsid w:val="006A764F"/>
    <w:rsid w:val="006A7C78"/>
    <w:rsid w:val="006B17E3"/>
    <w:rsid w:val="006B2070"/>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7D87"/>
    <w:rsid w:val="006F22A7"/>
    <w:rsid w:val="006F3B1F"/>
    <w:rsid w:val="006F3B6C"/>
    <w:rsid w:val="006F4DC9"/>
    <w:rsid w:val="006F7B81"/>
    <w:rsid w:val="006F7D9C"/>
    <w:rsid w:val="00700748"/>
    <w:rsid w:val="00700D03"/>
    <w:rsid w:val="00702183"/>
    <w:rsid w:val="00703173"/>
    <w:rsid w:val="00705DD8"/>
    <w:rsid w:val="00706A95"/>
    <w:rsid w:val="00707FB4"/>
    <w:rsid w:val="00710400"/>
    <w:rsid w:val="00714DBB"/>
    <w:rsid w:val="007160EF"/>
    <w:rsid w:val="00720669"/>
    <w:rsid w:val="007228DD"/>
    <w:rsid w:val="00723AC1"/>
    <w:rsid w:val="007256B8"/>
    <w:rsid w:val="00726E67"/>
    <w:rsid w:val="00732BD0"/>
    <w:rsid w:val="00733AE0"/>
    <w:rsid w:val="00734C69"/>
    <w:rsid w:val="00734D04"/>
    <w:rsid w:val="0073583A"/>
    <w:rsid w:val="007362DE"/>
    <w:rsid w:val="00737203"/>
    <w:rsid w:val="00737DB1"/>
    <w:rsid w:val="00740FBA"/>
    <w:rsid w:val="0074256E"/>
    <w:rsid w:val="00750C3F"/>
    <w:rsid w:val="00751D6E"/>
    <w:rsid w:val="00751F0D"/>
    <w:rsid w:val="00752DB8"/>
    <w:rsid w:val="00755762"/>
    <w:rsid w:val="00760497"/>
    <w:rsid w:val="00760EA0"/>
    <w:rsid w:val="00762D04"/>
    <w:rsid w:val="00763FBC"/>
    <w:rsid w:val="00764715"/>
    <w:rsid w:val="0076515E"/>
    <w:rsid w:val="007651A8"/>
    <w:rsid w:val="00765B5E"/>
    <w:rsid w:val="00766B9B"/>
    <w:rsid w:val="007716F6"/>
    <w:rsid w:val="007770C7"/>
    <w:rsid w:val="0077736D"/>
    <w:rsid w:val="00780161"/>
    <w:rsid w:val="00781DF0"/>
    <w:rsid w:val="00783B18"/>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48FD"/>
    <w:rsid w:val="007B505E"/>
    <w:rsid w:val="007B5858"/>
    <w:rsid w:val="007C08BD"/>
    <w:rsid w:val="007C1BCB"/>
    <w:rsid w:val="007C2D9C"/>
    <w:rsid w:val="007C3F2F"/>
    <w:rsid w:val="007C64A2"/>
    <w:rsid w:val="007C64EF"/>
    <w:rsid w:val="007D3037"/>
    <w:rsid w:val="007D47F8"/>
    <w:rsid w:val="007D504E"/>
    <w:rsid w:val="007D7343"/>
    <w:rsid w:val="007D791A"/>
    <w:rsid w:val="007D7E0C"/>
    <w:rsid w:val="007E4120"/>
    <w:rsid w:val="007E465A"/>
    <w:rsid w:val="007E554B"/>
    <w:rsid w:val="007F462B"/>
    <w:rsid w:val="007F5625"/>
    <w:rsid w:val="007F7136"/>
    <w:rsid w:val="007F777F"/>
    <w:rsid w:val="00800663"/>
    <w:rsid w:val="00801944"/>
    <w:rsid w:val="00802190"/>
    <w:rsid w:val="008024A9"/>
    <w:rsid w:val="0080277C"/>
    <w:rsid w:val="0080754A"/>
    <w:rsid w:val="00810586"/>
    <w:rsid w:val="00810E2F"/>
    <w:rsid w:val="008110F5"/>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4777"/>
    <w:rsid w:val="008559C5"/>
    <w:rsid w:val="00856045"/>
    <w:rsid w:val="0086110D"/>
    <w:rsid w:val="00861A50"/>
    <w:rsid w:val="00862560"/>
    <w:rsid w:val="0086522F"/>
    <w:rsid w:val="008652FC"/>
    <w:rsid w:val="00867FF1"/>
    <w:rsid w:val="00871BB9"/>
    <w:rsid w:val="008723D2"/>
    <w:rsid w:val="008741E1"/>
    <w:rsid w:val="008750BC"/>
    <w:rsid w:val="00877858"/>
    <w:rsid w:val="00882408"/>
    <w:rsid w:val="00884284"/>
    <w:rsid w:val="008863FD"/>
    <w:rsid w:val="00886423"/>
    <w:rsid w:val="008901FD"/>
    <w:rsid w:val="00890F6D"/>
    <w:rsid w:val="008931F8"/>
    <w:rsid w:val="00896236"/>
    <w:rsid w:val="0089787B"/>
    <w:rsid w:val="008A23E4"/>
    <w:rsid w:val="008A25E6"/>
    <w:rsid w:val="008A2C31"/>
    <w:rsid w:val="008A3487"/>
    <w:rsid w:val="008A3C97"/>
    <w:rsid w:val="008A5DD7"/>
    <w:rsid w:val="008A623A"/>
    <w:rsid w:val="008A712B"/>
    <w:rsid w:val="008B18B0"/>
    <w:rsid w:val="008B337F"/>
    <w:rsid w:val="008B4BD9"/>
    <w:rsid w:val="008C0B74"/>
    <w:rsid w:val="008C0BCA"/>
    <w:rsid w:val="008C13AD"/>
    <w:rsid w:val="008C1E23"/>
    <w:rsid w:val="008C2565"/>
    <w:rsid w:val="008C405A"/>
    <w:rsid w:val="008D2E2C"/>
    <w:rsid w:val="008D45C9"/>
    <w:rsid w:val="008D6D66"/>
    <w:rsid w:val="008D798D"/>
    <w:rsid w:val="008E06CB"/>
    <w:rsid w:val="008E17A3"/>
    <w:rsid w:val="008E17E0"/>
    <w:rsid w:val="008E19A4"/>
    <w:rsid w:val="008E1DB1"/>
    <w:rsid w:val="008E23CB"/>
    <w:rsid w:val="008E259F"/>
    <w:rsid w:val="008E5F76"/>
    <w:rsid w:val="008E6500"/>
    <w:rsid w:val="008F0EF6"/>
    <w:rsid w:val="008F3974"/>
    <w:rsid w:val="008F4046"/>
    <w:rsid w:val="008F4C9A"/>
    <w:rsid w:val="008F5CCD"/>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7F0"/>
    <w:rsid w:val="00925925"/>
    <w:rsid w:val="009269B4"/>
    <w:rsid w:val="009272F9"/>
    <w:rsid w:val="009278E9"/>
    <w:rsid w:val="00933874"/>
    <w:rsid w:val="00940605"/>
    <w:rsid w:val="00940986"/>
    <w:rsid w:val="009409DE"/>
    <w:rsid w:val="0094124A"/>
    <w:rsid w:val="009420E9"/>
    <w:rsid w:val="00943DBB"/>
    <w:rsid w:val="00945060"/>
    <w:rsid w:val="009475EB"/>
    <w:rsid w:val="009512CC"/>
    <w:rsid w:val="00954642"/>
    <w:rsid w:val="0095533F"/>
    <w:rsid w:val="009554A0"/>
    <w:rsid w:val="0095597B"/>
    <w:rsid w:val="00957424"/>
    <w:rsid w:val="009602CD"/>
    <w:rsid w:val="0096089A"/>
    <w:rsid w:val="00960C2D"/>
    <w:rsid w:val="00960ECC"/>
    <w:rsid w:val="00961274"/>
    <w:rsid w:val="009621D4"/>
    <w:rsid w:val="00963049"/>
    <w:rsid w:val="0096518B"/>
    <w:rsid w:val="00967BE7"/>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3127"/>
    <w:rsid w:val="009B3B81"/>
    <w:rsid w:val="009B79D2"/>
    <w:rsid w:val="009C1478"/>
    <w:rsid w:val="009C1CE1"/>
    <w:rsid w:val="009C37CB"/>
    <w:rsid w:val="009C4C1A"/>
    <w:rsid w:val="009C5618"/>
    <w:rsid w:val="009C62BF"/>
    <w:rsid w:val="009D2A06"/>
    <w:rsid w:val="009D5B2D"/>
    <w:rsid w:val="009D6FBC"/>
    <w:rsid w:val="009D715F"/>
    <w:rsid w:val="009D74CD"/>
    <w:rsid w:val="009E44FC"/>
    <w:rsid w:val="009E4B8E"/>
    <w:rsid w:val="009E5352"/>
    <w:rsid w:val="009F02D9"/>
    <w:rsid w:val="009F48D1"/>
    <w:rsid w:val="00A00F70"/>
    <w:rsid w:val="00A04425"/>
    <w:rsid w:val="00A04773"/>
    <w:rsid w:val="00A04ABE"/>
    <w:rsid w:val="00A061F3"/>
    <w:rsid w:val="00A07A19"/>
    <w:rsid w:val="00A10E6A"/>
    <w:rsid w:val="00A10EA2"/>
    <w:rsid w:val="00A1253A"/>
    <w:rsid w:val="00A129B9"/>
    <w:rsid w:val="00A12B1A"/>
    <w:rsid w:val="00A13950"/>
    <w:rsid w:val="00A159FC"/>
    <w:rsid w:val="00A20FB9"/>
    <w:rsid w:val="00A22543"/>
    <w:rsid w:val="00A22D18"/>
    <w:rsid w:val="00A23313"/>
    <w:rsid w:val="00A23AF7"/>
    <w:rsid w:val="00A245F1"/>
    <w:rsid w:val="00A25069"/>
    <w:rsid w:val="00A270F6"/>
    <w:rsid w:val="00A273C4"/>
    <w:rsid w:val="00A27C72"/>
    <w:rsid w:val="00A30A8C"/>
    <w:rsid w:val="00A316FD"/>
    <w:rsid w:val="00A317B1"/>
    <w:rsid w:val="00A31F96"/>
    <w:rsid w:val="00A32BDE"/>
    <w:rsid w:val="00A33160"/>
    <w:rsid w:val="00A33E09"/>
    <w:rsid w:val="00A343CD"/>
    <w:rsid w:val="00A35243"/>
    <w:rsid w:val="00A352C6"/>
    <w:rsid w:val="00A35928"/>
    <w:rsid w:val="00A35B53"/>
    <w:rsid w:val="00A40970"/>
    <w:rsid w:val="00A42F30"/>
    <w:rsid w:val="00A42F8D"/>
    <w:rsid w:val="00A4553B"/>
    <w:rsid w:val="00A47872"/>
    <w:rsid w:val="00A51F65"/>
    <w:rsid w:val="00A52254"/>
    <w:rsid w:val="00A53F2A"/>
    <w:rsid w:val="00A54C83"/>
    <w:rsid w:val="00A567EA"/>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5195"/>
    <w:rsid w:val="00A86E2C"/>
    <w:rsid w:val="00A8715C"/>
    <w:rsid w:val="00A8740D"/>
    <w:rsid w:val="00A9061C"/>
    <w:rsid w:val="00A91CF0"/>
    <w:rsid w:val="00A9207F"/>
    <w:rsid w:val="00A940B1"/>
    <w:rsid w:val="00A94FDD"/>
    <w:rsid w:val="00AA01A8"/>
    <w:rsid w:val="00AA0487"/>
    <w:rsid w:val="00AA0A06"/>
    <w:rsid w:val="00AA2923"/>
    <w:rsid w:val="00AA5B5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0F1A"/>
    <w:rsid w:val="00AE2F32"/>
    <w:rsid w:val="00AE5075"/>
    <w:rsid w:val="00AE66AF"/>
    <w:rsid w:val="00AE698E"/>
    <w:rsid w:val="00AE756B"/>
    <w:rsid w:val="00AF1946"/>
    <w:rsid w:val="00AF30ED"/>
    <w:rsid w:val="00AF5B03"/>
    <w:rsid w:val="00B0314E"/>
    <w:rsid w:val="00B03470"/>
    <w:rsid w:val="00B0470B"/>
    <w:rsid w:val="00B04A9F"/>
    <w:rsid w:val="00B0794F"/>
    <w:rsid w:val="00B1198A"/>
    <w:rsid w:val="00B13C8A"/>
    <w:rsid w:val="00B145AB"/>
    <w:rsid w:val="00B1540B"/>
    <w:rsid w:val="00B16AD2"/>
    <w:rsid w:val="00B16DF7"/>
    <w:rsid w:val="00B16FE6"/>
    <w:rsid w:val="00B173B1"/>
    <w:rsid w:val="00B22D2F"/>
    <w:rsid w:val="00B249B9"/>
    <w:rsid w:val="00B25715"/>
    <w:rsid w:val="00B3086D"/>
    <w:rsid w:val="00B30DAF"/>
    <w:rsid w:val="00B3165A"/>
    <w:rsid w:val="00B31F22"/>
    <w:rsid w:val="00B32AAF"/>
    <w:rsid w:val="00B3412A"/>
    <w:rsid w:val="00B359A0"/>
    <w:rsid w:val="00B379C6"/>
    <w:rsid w:val="00B404FE"/>
    <w:rsid w:val="00B415D3"/>
    <w:rsid w:val="00B44C4E"/>
    <w:rsid w:val="00B515F1"/>
    <w:rsid w:val="00B52436"/>
    <w:rsid w:val="00B5448D"/>
    <w:rsid w:val="00B546E5"/>
    <w:rsid w:val="00B554F0"/>
    <w:rsid w:val="00B57021"/>
    <w:rsid w:val="00B57B95"/>
    <w:rsid w:val="00B60270"/>
    <w:rsid w:val="00B61B72"/>
    <w:rsid w:val="00B61D13"/>
    <w:rsid w:val="00B65D85"/>
    <w:rsid w:val="00B665A3"/>
    <w:rsid w:val="00B70571"/>
    <w:rsid w:val="00B717F6"/>
    <w:rsid w:val="00B71B9B"/>
    <w:rsid w:val="00B722E9"/>
    <w:rsid w:val="00B723F9"/>
    <w:rsid w:val="00B72813"/>
    <w:rsid w:val="00B73BEB"/>
    <w:rsid w:val="00B747C8"/>
    <w:rsid w:val="00B74F55"/>
    <w:rsid w:val="00B805FD"/>
    <w:rsid w:val="00B80C6C"/>
    <w:rsid w:val="00B81407"/>
    <w:rsid w:val="00B81484"/>
    <w:rsid w:val="00B81C39"/>
    <w:rsid w:val="00B8287E"/>
    <w:rsid w:val="00B82E03"/>
    <w:rsid w:val="00B85474"/>
    <w:rsid w:val="00B876BB"/>
    <w:rsid w:val="00B90354"/>
    <w:rsid w:val="00B90605"/>
    <w:rsid w:val="00B90A67"/>
    <w:rsid w:val="00B91A99"/>
    <w:rsid w:val="00B91AF0"/>
    <w:rsid w:val="00B92155"/>
    <w:rsid w:val="00B92B63"/>
    <w:rsid w:val="00BA0A2A"/>
    <w:rsid w:val="00BA16AC"/>
    <w:rsid w:val="00BA240A"/>
    <w:rsid w:val="00BA29F7"/>
    <w:rsid w:val="00BA5F89"/>
    <w:rsid w:val="00BA6BF2"/>
    <w:rsid w:val="00BA7ECF"/>
    <w:rsid w:val="00BB0352"/>
    <w:rsid w:val="00BB092F"/>
    <w:rsid w:val="00BB35AF"/>
    <w:rsid w:val="00BB3757"/>
    <w:rsid w:val="00BB4862"/>
    <w:rsid w:val="00BB5C86"/>
    <w:rsid w:val="00BB6B48"/>
    <w:rsid w:val="00BC09B3"/>
    <w:rsid w:val="00BC19D4"/>
    <w:rsid w:val="00BC1A08"/>
    <w:rsid w:val="00BC2D0F"/>
    <w:rsid w:val="00BC2EB2"/>
    <w:rsid w:val="00BC32FE"/>
    <w:rsid w:val="00BC414E"/>
    <w:rsid w:val="00BC58B1"/>
    <w:rsid w:val="00BC61F4"/>
    <w:rsid w:val="00BD0278"/>
    <w:rsid w:val="00BD2C0B"/>
    <w:rsid w:val="00BD5B38"/>
    <w:rsid w:val="00BD62AE"/>
    <w:rsid w:val="00BE05B2"/>
    <w:rsid w:val="00BE0AAF"/>
    <w:rsid w:val="00BE385C"/>
    <w:rsid w:val="00BE396C"/>
    <w:rsid w:val="00BE4F60"/>
    <w:rsid w:val="00BE5430"/>
    <w:rsid w:val="00BE6418"/>
    <w:rsid w:val="00BE64DA"/>
    <w:rsid w:val="00BE6501"/>
    <w:rsid w:val="00BE78BC"/>
    <w:rsid w:val="00BF1D44"/>
    <w:rsid w:val="00BF257B"/>
    <w:rsid w:val="00BF288B"/>
    <w:rsid w:val="00BF3A63"/>
    <w:rsid w:val="00BF3C26"/>
    <w:rsid w:val="00BF43D7"/>
    <w:rsid w:val="00BF45AB"/>
    <w:rsid w:val="00BF4BD4"/>
    <w:rsid w:val="00BF595C"/>
    <w:rsid w:val="00BF70B1"/>
    <w:rsid w:val="00C01CC1"/>
    <w:rsid w:val="00C02DE0"/>
    <w:rsid w:val="00C0420B"/>
    <w:rsid w:val="00C0490B"/>
    <w:rsid w:val="00C056D5"/>
    <w:rsid w:val="00C073E0"/>
    <w:rsid w:val="00C07697"/>
    <w:rsid w:val="00C077D4"/>
    <w:rsid w:val="00C07BD5"/>
    <w:rsid w:val="00C1384F"/>
    <w:rsid w:val="00C138F7"/>
    <w:rsid w:val="00C14831"/>
    <w:rsid w:val="00C16313"/>
    <w:rsid w:val="00C20432"/>
    <w:rsid w:val="00C2056A"/>
    <w:rsid w:val="00C21188"/>
    <w:rsid w:val="00C212B6"/>
    <w:rsid w:val="00C21F31"/>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D84"/>
    <w:rsid w:val="00C36FB6"/>
    <w:rsid w:val="00C421EE"/>
    <w:rsid w:val="00C44520"/>
    <w:rsid w:val="00C4622D"/>
    <w:rsid w:val="00C46B19"/>
    <w:rsid w:val="00C47D97"/>
    <w:rsid w:val="00C5442F"/>
    <w:rsid w:val="00C5450D"/>
    <w:rsid w:val="00C54CE7"/>
    <w:rsid w:val="00C54D2B"/>
    <w:rsid w:val="00C60AA3"/>
    <w:rsid w:val="00C61896"/>
    <w:rsid w:val="00C62407"/>
    <w:rsid w:val="00C644B5"/>
    <w:rsid w:val="00C65C1A"/>
    <w:rsid w:val="00C66413"/>
    <w:rsid w:val="00C6642E"/>
    <w:rsid w:val="00C71246"/>
    <w:rsid w:val="00C735C0"/>
    <w:rsid w:val="00C743BB"/>
    <w:rsid w:val="00C74A27"/>
    <w:rsid w:val="00C75139"/>
    <w:rsid w:val="00C7582C"/>
    <w:rsid w:val="00C75EE5"/>
    <w:rsid w:val="00C7712D"/>
    <w:rsid w:val="00C777CE"/>
    <w:rsid w:val="00C77F29"/>
    <w:rsid w:val="00C8031F"/>
    <w:rsid w:val="00C80BD5"/>
    <w:rsid w:val="00C81233"/>
    <w:rsid w:val="00C83F97"/>
    <w:rsid w:val="00C8446C"/>
    <w:rsid w:val="00C84582"/>
    <w:rsid w:val="00C858B8"/>
    <w:rsid w:val="00C86E9C"/>
    <w:rsid w:val="00C86F10"/>
    <w:rsid w:val="00C904AA"/>
    <w:rsid w:val="00C93EF2"/>
    <w:rsid w:val="00C944B3"/>
    <w:rsid w:val="00C94CAC"/>
    <w:rsid w:val="00CA049C"/>
    <w:rsid w:val="00CA0617"/>
    <w:rsid w:val="00CA11BA"/>
    <w:rsid w:val="00CA6515"/>
    <w:rsid w:val="00CA697E"/>
    <w:rsid w:val="00CA6FAB"/>
    <w:rsid w:val="00CA773A"/>
    <w:rsid w:val="00CA77E6"/>
    <w:rsid w:val="00CB05DF"/>
    <w:rsid w:val="00CB1287"/>
    <w:rsid w:val="00CB3151"/>
    <w:rsid w:val="00CB32BE"/>
    <w:rsid w:val="00CB330F"/>
    <w:rsid w:val="00CB7DA9"/>
    <w:rsid w:val="00CC124D"/>
    <w:rsid w:val="00CC5660"/>
    <w:rsid w:val="00CC616B"/>
    <w:rsid w:val="00CC6B59"/>
    <w:rsid w:val="00CD1910"/>
    <w:rsid w:val="00CD20CD"/>
    <w:rsid w:val="00CD2D69"/>
    <w:rsid w:val="00CD345F"/>
    <w:rsid w:val="00CD63D9"/>
    <w:rsid w:val="00CD6D8A"/>
    <w:rsid w:val="00CE0045"/>
    <w:rsid w:val="00CE1F64"/>
    <w:rsid w:val="00CE2561"/>
    <w:rsid w:val="00CE3AF1"/>
    <w:rsid w:val="00CE4298"/>
    <w:rsid w:val="00CE4F2E"/>
    <w:rsid w:val="00CE52B0"/>
    <w:rsid w:val="00CE79BD"/>
    <w:rsid w:val="00CE7E58"/>
    <w:rsid w:val="00CF50BB"/>
    <w:rsid w:val="00D029CB"/>
    <w:rsid w:val="00D0371C"/>
    <w:rsid w:val="00D066BA"/>
    <w:rsid w:val="00D06F30"/>
    <w:rsid w:val="00D11F33"/>
    <w:rsid w:val="00D12F97"/>
    <w:rsid w:val="00D1513D"/>
    <w:rsid w:val="00D16C19"/>
    <w:rsid w:val="00D17F66"/>
    <w:rsid w:val="00D20587"/>
    <w:rsid w:val="00D21049"/>
    <w:rsid w:val="00D2106D"/>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33ED"/>
    <w:rsid w:val="00D471A1"/>
    <w:rsid w:val="00D5056E"/>
    <w:rsid w:val="00D52459"/>
    <w:rsid w:val="00D5306E"/>
    <w:rsid w:val="00D55162"/>
    <w:rsid w:val="00D556C0"/>
    <w:rsid w:val="00D55731"/>
    <w:rsid w:val="00D62B6F"/>
    <w:rsid w:val="00D63D87"/>
    <w:rsid w:val="00D65954"/>
    <w:rsid w:val="00D65A8D"/>
    <w:rsid w:val="00D65BA1"/>
    <w:rsid w:val="00D662BA"/>
    <w:rsid w:val="00D664BD"/>
    <w:rsid w:val="00D6782D"/>
    <w:rsid w:val="00D67BF4"/>
    <w:rsid w:val="00D734A6"/>
    <w:rsid w:val="00D73573"/>
    <w:rsid w:val="00D73930"/>
    <w:rsid w:val="00D74BC2"/>
    <w:rsid w:val="00D75043"/>
    <w:rsid w:val="00D80B82"/>
    <w:rsid w:val="00D817C0"/>
    <w:rsid w:val="00D8442A"/>
    <w:rsid w:val="00D856F3"/>
    <w:rsid w:val="00D85A2A"/>
    <w:rsid w:val="00D912E2"/>
    <w:rsid w:val="00D972CF"/>
    <w:rsid w:val="00D97C0D"/>
    <w:rsid w:val="00DA0847"/>
    <w:rsid w:val="00DA2F8F"/>
    <w:rsid w:val="00DB226E"/>
    <w:rsid w:val="00DB2560"/>
    <w:rsid w:val="00DB2E73"/>
    <w:rsid w:val="00DB2F85"/>
    <w:rsid w:val="00DB3399"/>
    <w:rsid w:val="00DB3CFC"/>
    <w:rsid w:val="00DB73A7"/>
    <w:rsid w:val="00DC01E9"/>
    <w:rsid w:val="00DC2296"/>
    <w:rsid w:val="00DC2B0D"/>
    <w:rsid w:val="00DC3144"/>
    <w:rsid w:val="00DC4DDD"/>
    <w:rsid w:val="00DC5482"/>
    <w:rsid w:val="00DC723D"/>
    <w:rsid w:val="00DD1A58"/>
    <w:rsid w:val="00DD2F2F"/>
    <w:rsid w:val="00DD3197"/>
    <w:rsid w:val="00DD7ABD"/>
    <w:rsid w:val="00DE4EC8"/>
    <w:rsid w:val="00DE71E3"/>
    <w:rsid w:val="00DF0FC7"/>
    <w:rsid w:val="00DF1237"/>
    <w:rsid w:val="00DF13AB"/>
    <w:rsid w:val="00DF275F"/>
    <w:rsid w:val="00DF5C12"/>
    <w:rsid w:val="00DF7748"/>
    <w:rsid w:val="00DF7776"/>
    <w:rsid w:val="00E00C8E"/>
    <w:rsid w:val="00E00CFE"/>
    <w:rsid w:val="00E020B0"/>
    <w:rsid w:val="00E038DF"/>
    <w:rsid w:val="00E0484B"/>
    <w:rsid w:val="00E0575E"/>
    <w:rsid w:val="00E05C66"/>
    <w:rsid w:val="00E10DC4"/>
    <w:rsid w:val="00E1121E"/>
    <w:rsid w:val="00E11ADC"/>
    <w:rsid w:val="00E12A47"/>
    <w:rsid w:val="00E1589F"/>
    <w:rsid w:val="00E16C22"/>
    <w:rsid w:val="00E16D6A"/>
    <w:rsid w:val="00E22081"/>
    <w:rsid w:val="00E23625"/>
    <w:rsid w:val="00E23D46"/>
    <w:rsid w:val="00E2511F"/>
    <w:rsid w:val="00E265F6"/>
    <w:rsid w:val="00E26ED2"/>
    <w:rsid w:val="00E27ED0"/>
    <w:rsid w:val="00E33726"/>
    <w:rsid w:val="00E33BAD"/>
    <w:rsid w:val="00E344AB"/>
    <w:rsid w:val="00E3603A"/>
    <w:rsid w:val="00E36953"/>
    <w:rsid w:val="00E3718B"/>
    <w:rsid w:val="00E419D9"/>
    <w:rsid w:val="00E43D81"/>
    <w:rsid w:val="00E43E09"/>
    <w:rsid w:val="00E47478"/>
    <w:rsid w:val="00E47CA3"/>
    <w:rsid w:val="00E50732"/>
    <w:rsid w:val="00E51FC0"/>
    <w:rsid w:val="00E5275A"/>
    <w:rsid w:val="00E52AE5"/>
    <w:rsid w:val="00E53B0C"/>
    <w:rsid w:val="00E54EDF"/>
    <w:rsid w:val="00E60AF3"/>
    <w:rsid w:val="00E629AD"/>
    <w:rsid w:val="00E62D27"/>
    <w:rsid w:val="00E64D4B"/>
    <w:rsid w:val="00E652BD"/>
    <w:rsid w:val="00E66328"/>
    <w:rsid w:val="00E702E6"/>
    <w:rsid w:val="00E703CE"/>
    <w:rsid w:val="00E70E8D"/>
    <w:rsid w:val="00E70EE6"/>
    <w:rsid w:val="00E719D1"/>
    <w:rsid w:val="00E73FBB"/>
    <w:rsid w:val="00E742C1"/>
    <w:rsid w:val="00E7604F"/>
    <w:rsid w:val="00E763EF"/>
    <w:rsid w:val="00E80409"/>
    <w:rsid w:val="00E8166C"/>
    <w:rsid w:val="00E85025"/>
    <w:rsid w:val="00E87F30"/>
    <w:rsid w:val="00E9132D"/>
    <w:rsid w:val="00E9152E"/>
    <w:rsid w:val="00E921DD"/>
    <w:rsid w:val="00E93DFF"/>
    <w:rsid w:val="00E94092"/>
    <w:rsid w:val="00E94332"/>
    <w:rsid w:val="00E94DB8"/>
    <w:rsid w:val="00E9553A"/>
    <w:rsid w:val="00E95593"/>
    <w:rsid w:val="00E95E51"/>
    <w:rsid w:val="00EA077B"/>
    <w:rsid w:val="00EA1FCF"/>
    <w:rsid w:val="00EA2B5B"/>
    <w:rsid w:val="00EA3FB0"/>
    <w:rsid w:val="00EA63AA"/>
    <w:rsid w:val="00EA7D61"/>
    <w:rsid w:val="00EB0895"/>
    <w:rsid w:val="00EB0B35"/>
    <w:rsid w:val="00EB1B94"/>
    <w:rsid w:val="00EB1D42"/>
    <w:rsid w:val="00EC1F38"/>
    <w:rsid w:val="00EC2565"/>
    <w:rsid w:val="00EC4BF2"/>
    <w:rsid w:val="00EC644B"/>
    <w:rsid w:val="00ED09B9"/>
    <w:rsid w:val="00ED399F"/>
    <w:rsid w:val="00ED41D4"/>
    <w:rsid w:val="00ED4BB5"/>
    <w:rsid w:val="00EE0A0C"/>
    <w:rsid w:val="00EE1152"/>
    <w:rsid w:val="00EE274A"/>
    <w:rsid w:val="00EE2DF2"/>
    <w:rsid w:val="00EE5D97"/>
    <w:rsid w:val="00EE7D9E"/>
    <w:rsid w:val="00EF0EEC"/>
    <w:rsid w:val="00EF161E"/>
    <w:rsid w:val="00EF19D0"/>
    <w:rsid w:val="00EF1E7F"/>
    <w:rsid w:val="00EF2237"/>
    <w:rsid w:val="00EF2633"/>
    <w:rsid w:val="00EF3B97"/>
    <w:rsid w:val="00EF3EE2"/>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170B"/>
    <w:rsid w:val="00F31FCF"/>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87A10"/>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7AB"/>
    <w:rsid w:val="00FB691E"/>
    <w:rsid w:val="00FC1AC6"/>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72E7"/>
    <w:rsid w:val="00FD79A1"/>
    <w:rsid w:val="00FD7ABE"/>
    <w:rsid w:val="00FE07CB"/>
    <w:rsid w:val="00FE0C87"/>
    <w:rsid w:val="00FE0EB1"/>
    <w:rsid w:val="00FE1260"/>
    <w:rsid w:val="00FE4615"/>
    <w:rsid w:val="00FE48D7"/>
    <w:rsid w:val="00FE4EBB"/>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NoSpacing">
    <w:name w:val="No Spacing"/>
    <w:uiPriority w:val="1"/>
    <w:qFormat/>
    <w:rsid w:val="003906DB"/>
    <w:pPr>
      <w:autoSpaceDE w:val="0"/>
      <w:autoSpaceDN w:val="0"/>
      <w:spacing w:line="240" w:lineRule="auto"/>
    </w:pPr>
    <w:rPr>
      <w:rFonts w:ascii="CG Times" w:eastAsia="Times New Roman" w:hAnsi="CG Times" w:cs="CG Times"/>
      <w:sz w:val="24"/>
      <w:szCs w:val="24"/>
    </w:rPr>
  </w:style>
  <w:style w:type="paragraph" w:styleId="Header">
    <w:name w:val="header"/>
    <w:basedOn w:val="Normal"/>
    <w:link w:val="HeaderChar"/>
    <w:uiPriority w:val="99"/>
    <w:unhideWhenUsed/>
    <w:rsid w:val="00152E00"/>
    <w:pPr>
      <w:tabs>
        <w:tab w:val="center" w:pos="4680"/>
        <w:tab w:val="right" w:pos="9360"/>
      </w:tabs>
    </w:pPr>
  </w:style>
  <w:style w:type="character" w:customStyle="1" w:styleId="HeaderChar">
    <w:name w:val="Header Char"/>
    <w:basedOn w:val="DefaultParagraphFont"/>
    <w:link w:val="Header"/>
    <w:uiPriority w:val="99"/>
    <w:rsid w:val="00152E00"/>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NoSpacing">
    <w:name w:val="No Spacing"/>
    <w:uiPriority w:val="1"/>
    <w:qFormat/>
    <w:rsid w:val="003906DB"/>
    <w:pPr>
      <w:autoSpaceDE w:val="0"/>
      <w:autoSpaceDN w:val="0"/>
      <w:spacing w:line="240" w:lineRule="auto"/>
    </w:pPr>
    <w:rPr>
      <w:rFonts w:ascii="CG Times" w:eastAsia="Times New Roman" w:hAnsi="CG Times" w:cs="CG Times"/>
      <w:sz w:val="24"/>
      <w:szCs w:val="24"/>
    </w:rPr>
  </w:style>
  <w:style w:type="paragraph" w:styleId="Header">
    <w:name w:val="header"/>
    <w:basedOn w:val="Normal"/>
    <w:link w:val="HeaderChar"/>
    <w:uiPriority w:val="99"/>
    <w:unhideWhenUsed/>
    <w:rsid w:val="00152E00"/>
    <w:pPr>
      <w:tabs>
        <w:tab w:val="center" w:pos="4680"/>
        <w:tab w:val="right" w:pos="9360"/>
      </w:tabs>
    </w:pPr>
  </w:style>
  <w:style w:type="character" w:customStyle="1" w:styleId="HeaderChar">
    <w:name w:val="Header Char"/>
    <w:basedOn w:val="DefaultParagraphFont"/>
    <w:link w:val="Header"/>
    <w:uiPriority w:val="99"/>
    <w:rsid w:val="00152E0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FAA1-1F40-4786-873D-6BDF85BE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6</cp:revision>
  <cp:lastPrinted>2012-07-31T13:48:00Z</cp:lastPrinted>
  <dcterms:created xsi:type="dcterms:W3CDTF">2012-07-19T20:54:00Z</dcterms:created>
  <dcterms:modified xsi:type="dcterms:W3CDTF">2012-07-31T13:49:00Z</dcterms:modified>
</cp:coreProperties>
</file>