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3D2E73" w:rsidP="00E00F6E">
      <w:pPr>
        <w:pStyle w:val="Title"/>
        <w:ind w:right="-90"/>
        <w:rPr>
          <w:szCs w:val="26"/>
        </w:rPr>
      </w:pPr>
      <w:r>
        <w:rPr>
          <w:szCs w:val="26"/>
        </w:rPr>
        <w:t xml:space="preserve"> </w:t>
      </w:r>
      <w:r w:rsidR="00E00F6E"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E00F6E" w:rsidP="00964AD0">
      <w:pPr>
        <w:jc w:val="right"/>
        <w:rPr>
          <w:szCs w:val="26"/>
        </w:rPr>
      </w:pPr>
      <w:r w:rsidRPr="003472DA">
        <w:rPr>
          <w:szCs w:val="26"/>
        </w:rPr>
        <w:t xml:space="preserve">Public Meeting held </w:t>
      </w:r>
      <w:r w:rsidR="006814B0">
        <w:rPr>
          <w:szCs w:val="26"/>
        </w:rPr>
        <w:t>August 2</w:t>
      </w:r>
      <w:r w:rsidR="00764FDB">
        <w:rPr>
          <w:szCs w:val="26"/>
        </w:rPr>
        <w:t>, 201</w:t>
      </w:r>
      <w:r w:rsidR="009737E6">
        <w:rPr>
          <w:szCs w:val="26"/>
        </w:rPr>
        <w:t>2</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ind w:firstLine="720"/>
        <w:rPr>
          <w:szCs w:val="26"/>
        </w:rPr>
      </w:pPr>
      <w:r w:rsidRPr="003472DA">
        <w:rPr>
          <w:szCs w:val="26"/>
        </w:rPr>
        <w:t>Wayne E. Gardner</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r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Default="00B23CA3" w:rsidP="00F94F57">
            <w:pPr>
              <w:tabs>
                <w:tab w:val="left" w:pos="330"/>
              </w:tabs>
              <w:ind w:left="720" w:right="-720" w:hanging="720"/>
              <w:rPr>
                <w:szCs w:val="26"/>
              </w:rPr>
            </w:pPr>
          </w:p>
          <w:p w:rsidR="007B6A3C" w:rsidRDefault="00170C7D" w:rsidP="00F94F57">
            <w:pPr>
              <w:tabs>
                <w:tab w:val="left" w:pos="330"/>
              </w:tabs>
              <w:ind w:left="720" w:right="-720" w:hanging="720"/>
              <w:rPr>
                <w:szCs w:val="26"/>
              </w:rPr>
            </w:pPr>
            <w:r>
              <w:rPr>
                <w:szCs w:val="26"/>
              </w:rPr>
              <w:t>De</w:t>
            </w:r>
            <w:r w:rsidR="006814B0">
              <w:rPr>
                <w:szCs w:val="26"/>
              </w:rPr>
              <w:t xml:space="preserve">borah Bethay </w:t>
            </w:r>
          </w:p>
          <w:p w:rsidR="007B6A3C" w:rsidRDefault="007B6A3C" w:rsidP="00F94F57">
            <w:pPr>
              <w:tabs>
                <w:tab w:val="left" w:pos="330"/>
              </w:tabs>
              <w:ind w:left="720" w:right="-720" w:hanging="720"/>
              <w:rPr>
                <w:szCs w:val="26"/>
              </w:rPr>
            </w:pPr>
          </w:p>
          <w:p w:rsidR="007B6A3C" w:rsidRDefault="00DB7CBC" w:rsidP="00203A4D">
            <w:pPr>
              <w:tabs>
                <w:tab w:val="left" w:pos="720"/>
              </w:tabs>
              <w:ind w:left="720" w:right="-720" w:hanging="720"/>
              <w:rPr>
                <w:szCs w:val="26"/>
              </w:rPr>
            </w:pPr>
            <w:r>
              <w:rPr>
                <w:szCs w:val="26"/>
              </w:rPr>
              <w:tab/>
            </w:r>
            <w:r w:rsidR="007B6A3C">
              <w:rPr>
                <w:szCs w:val="26"/>
              </w:rPr>
              <w:t>v.</w:t>
            </w:r>
          </w:p>
          <w:p w:rsidR="007B6A3C" w:rsidRDefault="007B6A3C" w:rsidP="00F94F57">
            <w:pPr>
              <w:tabs>
                <w:tab w:val="left" w:pos="330"/>
              </w:tabs>
              <w:ind w:left="720" w:right="-720" w:hanging="720"/>
              <w:rPr>
                <w:szCs w:val="26"/>
              </w:rPr>
            </w:pPr>
          </w:p>
          <w:p w:rsidR="009737E6" w:rsidRPr="003472DA" w:rsidRDefault="009737E6" w:rsidP="004A5231">
            <w:pPr>
              <w:tabs>
                <w:tab w:val="left" w:pos="330"/>
              </w:tabs>
              <w:ind w:left="720" w:right="-720" w:hanging="720"/>
              <w:rPr>
                <w:szCs w:val="26"/>
              </w:rPr>
            </w:pPr>
            <w:r>
              <w:rPr>
                <w:szCs w:val="26"/>
              </w:rPr>
              <w:t>PECO Energy Company</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170C7D" w:rsidRPr="00170C7D">
              <w:rPr>
                <w:szCs w:val="26"/>
              </w:rPr>
              <w:t>F</w:t>
            </w:r>
            <w:r w:rsidR="007B6A3C" w:rsidRPr="00170C7D">
              <w:rPr>
                <w:szCs w:val="26"/>
              </w:rPr>
              <w:t>-</w:t>
            </w:r>
            <w:r w:rsidR="007B6A3C" w:rsidRPr="0024045B">
              <w:rPr>
                <w:szCs w:val="26"/>
              </w:rPr>
              <w:t>20</w:t>
            </w:r>
            <w:r w:rsidR="009737E6" w:rsidRPr="0024045B">
              <w:rPr>
                <w:szCs w:val="26"/>
              </w:rPr>
              <w:t>1</w:t>
            </w:r>
            <w:r>
              <w:rPr>
                <w:szCs w:val="26"/>
              </w:rPr>
              <w:t>1</w:t>
            </w:r>
            <w:r w:rsidR="007B6A3C" w:rsidRPr="0024045B">
              <w:rPr>
                <w:szCs w:val="26"/>
              </w:rPr>
              <w:t>-</w:t>
            </w:r>
            <w:r>
              <w:rPr>
                <w:szCs w:val="26"/>
              </w:rPr>
              <w:t>2266250</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9737E6">
            <w:pPr>
              <w:ind w:right="-720"/>
              <w:rPr>
                <w:b/>
                <w:szCs w:val="26"/>
              </w:rPr>
            </w:pPr>
            <w:r w:rsidRPr="0024045B">
              <w:rPr>
                <w:b/>
                <w:szCs w:val="26"/>
              </w:rPr>
              <w:t xml:space="preserve">            </w:t>
            </w:r>
          </w:p>
          <w:p w:rsidR="009737E6" w:rsidRPr="0024045B" w:rsidRDefault="009737E6" w:rsidP="0024045B">
            <w:pPr>
              <w:ind w:left="792" w:right="-720" w:hanging="792"/>
              <w:rPr>
                <w:b/>
                <w:szCs w:val="26"/>
              </w:rPr>
            </w:pPr>
            <w:r w:rsidRPr="0024045B">
              <w:rPr>
                <w:b/>
                <w:szCs w:val="26"/>
              </w:rPr>
              <w:t xml:space="preserve">            </w:t>
            </w:r>
          </w:p>
        </w:tc>
      </w:tr>
      <w:tr w:rsidR="009737E6" w:rsidRPr="0024045B" w:rsidTr="00F94F57">
        <w:tc>
          <w:tcPr>
            <w:tcW w:w="6768" w:type="dxa"/>
          </w:tcPr>
          <w:p w:rsidR="009737E6" w:rsidRPr="003472DA" w:rsidRDefault="009737E6" w:rsidP="00F94F57">
            <w:pPr>
              <w:tabs>
                <w:tab w:val="left" w:pos="330"/>
              </w:tabs>
              <w:ind w:left="720" w:right="-720" w:hanging="720"/>
              <w:rPr>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3C55F4" w:rsidRPr="00964EB1"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6814B0">
        <w:rPr>
          <w:szCs w:val="26"/>
        </w:rPr>
        <w:t>Deborah Bethay</w:t>
      </w:r>
      <w:r w:rsidR="00C22285">
        <w:rPr>
          <w:szCs w:val="26"/>
        </w:rPr>
        <w:t xml:space="preserve"> (Complainant)</w:t>
      </w:r>
      <w:r w:rsidR="00611B06">
        <w:rPr>
          <w:szCs w:val="26"/>
        </w:rPr>
        <w:t>, filed</w:t>
      </w:r>
      <w:r w:rsidR="007F5118">
        <w:rPr>
          <w:szCs w:val="26"/>
        </w:rPr>
        <w:t xml:space="preserve"> </w:t>
      </w:r>
      <w:r w:rsidRPr="00571F5C">
        <w:rPr>
          <w:szCs w:val="26"/>
        </w:rPr>
        <w:t xml:space="preserve">on </w:t>
      </w:r>
      <w:r w:rsidR="00170C7D">
        <w:rPr>
          <w:szCs w:val="26"/>
        </w:rPr>
        <w:t>April 1</w:t>
      </w:r>
      <w:r w:rsidR="006814B0">
        <w:rPr>
          <w:szCs w:val="26"/>
        </w:rPr>
        <w:t>9</w:t>
      </w:r>
      <w:r w:rsidR="00611B06">
        <w:rPr>
          <w:szCs w:val="26"/>
        </w:rPr>
        <w:t>, 2012</w:t>
      </w:r>
      <w:r w:rsidR="00747E30">
        <w:rPr>
          <w:szCs w:val="26"/>
        </w:rPr>
        <w:t>,</w:t>
      </w:r>
      <w:r w:rsidR="00E42936">
        <w:rPr>
          <w:rStyle w:val="FootnoteReference"/>
          <w:szCs w:val="26"/>
        </w:rPr>
        <w:footnoteReference w:id="1"/>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BC3EC5">
        <w:rPr>
          <w:szCs w:val="26"/>
        </w:rPr>
        <w:t>Ky </w:t>
      </w:r>
      <w:r w:rsidR="006814B0">
        <w:rPr>
          <w:szCs w:val="26"/>
        </w:rPr>
        <w:t>Van Nguyen</w:t>
      </w:r>
      <w:r w:rsidR="00101D54">
        <w:rPr>
          <w:szCs w:val="26"/>
        </w:rPr>
        <w:t>,</w:t>
      </w:r>
      <w:r w:rsidR="008F7A43">
        <w:rPr>
          <w:szCs w:val="26"/>
        </w:rPr>
        <w:t xml:space="preserve"> </w:t>
      </w:r>
      <w:r w:rsidR="00C55576">
        <w:rPr>
          <w:szCs w:val="26"/>
        </w:rPr>
        <w:t>issued</w:t>
      </w:r>
      <w:r w:rsidR="008F7A43">
        <w:rPr>
          <w:szCs w:val="26"/>
        </w:rPr>
        <w:t xml:space="preserve"> </w:t>
      </w:r>
      <w:r w:rsidR="006814B0">
        <w:rPr>
          <w:szCs w:val="26"/>
        </w:rPr>
        <w:t>April 11</w:t>
      </w:r>
      <w:r w:rsidR="00995B85">
        <w:rPr>
          <w:szCs w:val="26"/>
        </w:rPr>
        <w:t>, 2012</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6814B0">
        <w:rPr>
          <w:szCs w:val="26"/>
        </w:rPr>
        <w:t xml:space="preserve">PECO </w:t>
      </w:r>
      <w:r w:rsidR="006814B0">
        <w:rPr>
          <w:szCs w:val="26"/>
        </w:rPr>
        <w:lastRenderedPageBreak/>
        <w:t xml:space="preserve">Energy Company (PECO) filed </w:t>
      </w:r>
      <w:r w:rsidR="00170C7D">
        <w:rPr>
          <w:szCs w:val="26"/>
        </w:rPr>
        <w:t xml:space="preserve">Replies to Exceptions </w:t>
      </w:r>
      <w:r w:rsidR="006814B0">
        <w:rPr>
          <w:szCs w:val="26"/>
        </w:rPr>
        <w:t>on June 29, 2012</w:t>
      </w:r>
      <w:r w:rsidRPr="00571F5C">
        <w:rPr>
          <w:szCs w:val="26"/>
        </w:rPr>
        <w:t>.</w:t>
      </w:r>
      <w:r w:rsidR="00D76068">
        <w:rPr>
          <w:szCs w:val="26"/>
        </w:rPr>
        <w:t xml:space="preserve">  </w:t>
      </w:r>
      <w:r w:rsidR="00D76068" w:rsidRPr="00964EB1">
        <w:rPr>
          <w:szCs w:val="26"/>
        </w:rPr>
        <w:t>For the reasons set forth herein, we shall</w:t>
      </w:r>
      <w:r w:rsidR="003C55F4" w:rsidRPr="00964EB1">
        <w:rPr>
          <w:szCs w:val="26"/>
        </w:rPr>
        <w:t xml:space="preserve"> </w:t>
      </w:r>
      <w:r w:rsidR="00964EB1" w:rsidRPr="00964EB1">
        <w:rPr>
          <w:szCs w:val="26"/>
        </w:rPr>
        <w:t xml:space="preserve">deny the Complainant’s Exceptions and adopt the Initial Decision.   </w:t>
      </w:r>
      <w:r w:rsidR="00A155CD" w:rsidRPr="00964EB1">
        <w:rPr>
          <w:szCs w:val="26"/>
        </w:rPr>
        <w:t xml:space="preserve">   </w:t>
      </w:r>
    </w:p>
    <w:p w:rsidR="0058255E" w:rsidRDefault="0058255E" w:rsidP="003C55F4">
      <w:pPr>
        <w:spacing w:line="360" w:lineRule="auto"/>
        <w:ind w:left="720" w:hanging="720"/>
        <w:jc w:val="center"/>
        <w:rPr>
          <w:b/>
          <w:szCs w:val="26"/>
        </w:rPr>
      </w:pPr>
    </w:p>
    <w:p w:rsidR="00524BED" w:rsidRDefault="00524BED" w:rsidP="003C55F4">
      <w:pPr>
        <w:spacing w:line="360" w:lineRule="auto"/>
        <w:ind w:left="720" w:hanging="720"/>
        <w:jc w:val="center"/>
        <w:rPr>
          <w:b/>
          <w:szCs w:val="26"/>
        </w:rPr>
      </w:pPr>
      <w:r>
        <w:rPr>
          <w:b/>
          <w:szCs w:val="26"/>
        </w:rPr>
        <w:t>History of the Proceeding</w:t>
      </w:r>
    </w:p>
    <w:p w:rsidR="00567496" w:rsidRDefault="00567496" w:rsidP="00524BED">
      <w:pPr>
        <w:spacing w:line="360" w:lineRule="auto"/>
        <w:rPr>
          <w:szCs w:val="26"/>
        </w:rPr>
      </w:pPr>
    </w:p>
    <w:p w:rsidR="004C7B28" w:rsidRDefault="004C7B28" w:rsidP="004C7B28">
      <w:pPr>
        <w:spacing w:line="360" w:lineRule="auto"/>
        <w:ind w:firstLine="1440"/>
      </w:pPr>
      <w:r>
        <w:t xml:space="preserve">On September 30, 2011, Deborah Bethay (Complainant) filed a </w:t>
      </w:r>
      <w:r w:rsidR="00C22285">
        <w:t>Formal C</w:t>
      </w:r>
      <w:r>
        <w:t xml:space="preserve">omplaint </w:t>
      </w:r>
      <w:r w:rsidR="00C22285">
        <w:t xml:space="preserve">(Complaint) </w:t>
      </w:r>
      <w:r>
        <w:t>with the Commission against PECO</w:t>
      </w:r>
      <w:r w:rsidR="00406AF1">
        <w:t>,</w:t>
      </w:r>
      <w:r>
        <w:t xml:space="preserve"> alleging </w:t>
      </w:r>
      <w:r w:rsidR="00406AF1">
        <w:t xml:space="preserve">that </w:t>
      </w:r>
      <w:r w:rsidR="00FD2430">
        <w:t xml:space="preserve">she was not responsible for a </w:t>
      </w:r>
      <w:r>
        <w:t xml:space="preserve">bill </w:t>
      </w:r>
      <w:r w:rsidR="00406AF1">
        <w:t>for electric services</w:t>
      </w:r>
      <w:r w:rsidR="00FD2430">
        <w:t xml:space="preserve"> at a previous address</w:t>
      </w:r>
      <w:r>
        <w:t>.</w:t>
      </w:r>
      <w:r w:rsidR="008B3AB1">
        <w:rPr>
          <w:rStyle w:val="FootnoteReference"/>
        </w:rPr>
        <w:footnoteReference w:id="2"/>
      </w:r>
      <w:r>
        <w:t xml:space="preserve">  On October 26, 2011, </w:t>
      </w:r>
      <w:r w:rsidR="00B62C2E">
        <w:t xml:space="preserve">PECO </w:t>
      </w:r>
      <w:r>
        <w:t xml:space="preserve">filed an </w:t>
      </w:r>
      <w:r w:rsidR="00B62C2E">
        <w:t>A</w:t>
      </w:r>
      <w:r>
        <w:t xml:space="preserve">nswer denying the material allegations of the </w:t>
      </w:r>
      <w:r w:rsidR="00B62C2E">
        <w:t>C</w:t>
      </w:r>
      <w:r>
        <w:t>omplaint.</w:t>
      </w:r>
    </w:p>
    <w:p w:rsidR="004C7B28" w:rsidRDefault="004C7B28" w:rsidP="004C7B28">
      <w:pPr>
        <w:spacing w:line="360" w:lineRule="auto"/>
      </w:pPr>
    </w:p>
    <w:p w:rsidR="004C7B28" w:rsidRDefault="004C7B28" w:rsidP="004C7B28">
      <w:pPr>
        <w:spacing w:line="360" w:lineRule="auto"/>
      </w:pPr>
      <w:r>
        <w:tab/>
      </w:r>
      <w:r>
        <w:tab/>
      </w:r>
      <w:r w:rsidR="008F5858">
        <w:t>By</w:t>
      </w:r>
      <w:r>
        <w:t xml:space="preserve"> Hearing Notice dated February 1, 2012</w:t>
      </w:r>
      <w:r w:rsidR="008F5858">
        <w:t>, the Office of Administrative Law Judge</w:t>
      </w:r>
      <w:r>
        <w:t xml:space="preserve"> notified the </w:t>
      </w:r>
      <w:r w:rsidR="008F5858">
        <w:t>P</w:t>
      </w:r>
      <w:r>
        <w:t>arties that an initial hearing was scheduled for March 29, 2012</w:t>
      </w:r>
      <w:r w:rsidR="008F5858">
        <w:t>.</w:t>
      </w:r>
      <w:r>
        <w:t xml:space="preserve"> </w:t>
      </w:r>
      <w:r w:rsidR="008F5858">
        <w:t xml:space="preserve"> </w:t>
      </w:r>
      <w:r w:rsidR="00880CEB">
        <w:t xml:space="preserve">The Hearing Notice also informed the Parties that they </w:t>
      </w:r>
      <w:r w:rsidR="003A3F6B">
        <w:t>could</w:t>
      </w:r>
      <w:r w:rsidR="00880CEB">
        <w:t xml:space="preserve"> lose the case if they did not come to the hearing and present facts on the issues addressed at the hearing.</w:t>
      </w:r>
      <w:r>
        <w:t xml:space="preserve">     </w:t>
      </w:r>
    </w:p>
    <w:p w:rsidR="004C7B28" w:rsidRDefault="004C7B28" w:rsidP="004C7B28">
      <w:pPr>
        <w:spacing w:line="360" w:lineRule="auto"/>
      </w:pPr>
    </w:p>
    <w:p w:rsidR="004C7B28" w:rsidRDefault="004C7B28" w:rsidP="004C7B28">
      <w:pPr>
        <w:spacing w:line="360" w:lineRule="auto"/>
      </w:pPr>
      <w:r>
        <w:tab/>
      </w:r>
      <w:r>
        <w:tab/>
      </w:r>
      <w:r w:rsidR="00E7461E">
        <w:t>By</w:t>
      </w:r>
      <w:r>
        <w:t xml:space="preserve"> Prehearing Order dated February 2, 2012</w:t>
      </w:r>
      <w:r w:rsidR="00E7461E">
        <w:t xml:space="preserve">, </w:t>
      </w:r>
      <w:r w:rsidR="000E0582">
        <w:t xml:space="preserve">the ALJ </w:t>
      </w:r>
      <w:r>
        <w:t xml:space="preserve">advised the </w:t>
      </w:r>
      <w:r w:rsidR="000E0582">
        <w:t>P</w:t>
      </w:r>
      <w:r>
        <w:t xml:space="preserve">arties of the date and time of the scheduled hearing and applicable procedural rules.  </w:t>
      </w:r>
      <w:r w:rsidR="00D16A25">
        <w:t>The ALJ</w:t>
      </w:r>
      <w:r>
        <w:t xml:space="preserve"> also advised the parties that a request for a change of the scheduled hearing date must be submitted in writing no later than five business days before the hearing, that </w:t>
      </w:r>
      <w:r w:rsidR="00D16A25">
        <w:t>such</w:t>
      </w:r>
      <w:r>
        <w:t xml:space="preserve"> </w:t>
      </w:r>
      <w:r w:rsidR="00D16A25">
        <w:t xml:space="preserve">a </w:t>
      </w:r>
      <w:r>
        <w:t xml:space="preserve">request is rarely granted except for good cause, and that the case </w:t>
      </w:r>
      <w:r w:rsidR="00D16A25">
        <w:t>w</w:t>
      </w:r>
      <w:r>
        <w:t xml:space="preserve">ould be dismissed if </w:t>
      </w:r>
      <w:r w:rsidR="00D16A25">
        <w:t>a party</w:t>
      </w:r>
      <w:r>
        <w:t xml:space="preserve"> failed to obtain a continuance or failed to appear for the hearing.  </w:t>
      </w:r>
    </w:p>
    <w:p w:rsidR="004C7B28" w:rsidRDefault="004C7B28" w:rsidP="004C7B28">
      <w:pPr>
        <w:spacing w:line="360" w:lineRule="auto"/>
      </w:pPr>
    </w:p>
    <w:p w:rsidR="004C7B28" w:rsidRDefault="004C7B28" w:rsidP="004C7B28">
      <w:pPr>
        <w:spacing w:line="360" w:lineRule="auto"/>
      </w:pPr>
      <w:r>
        <w:tab/>
      </w:r>
      <w:r>
        <w:tab/>
        <w:t>On the date of the hearing, the Complainant failed to appear</w:t>
      </w:r>
      <w:r w:rsidR="00D24E72">
        <w:t>.</w:t>
      </w:r>
      <w:r>
        <w:t xml:space="preserve"> </w:t>
      </w:r>
      <w:r w:rsidR="00D24E72">
        <w:t xml:space="preserve"> Counsel </w:t>
      </w:r>
      <w:r>
        <w:t xml:space="preserve"> appeared on behalf of </w:t>
      </w:r>
      <w:r w:rsidR="00D24E72">
        <w:t>PECO and</w:t>
      </w:r>
      <w:r>
        <w:t xml:space="preserve"> moved to dismiss the </w:t>
      </w:r>
      <w:r w:rsidR="00D24E72">
        <w:t>C</w:t>
      </w:r>
      <w:r>
        <w:t xml:space="preserve">omplaint with prejudice.  </w:t>
      </w:r>
      <w:r>
        <w:tab/>
      </w:r>
      <w:r w:rsidR="00BC3EC5">
        <w:t>Tr. at </w:t>
      </w:r>
      <w:r w:rsidR="00A77067">
        <w:t xml:space="preserve">4.  </w:t>
      </w:r>
      <w:r>
        <w:t>The record closed on March 29, 2012.</w:t>
      </w:r>
    </w:p>
    <w:p w:rsidR="00464A04" w:rsidRDefault="00464A04" w:rsidP="004C7B28">
      <w:pPr>
        <w:spacing w:line="360" w:lineRule="auto"/>
      </w:pPr>
      <w:r>
        <w:lastRenderedPageBreak/>
        <w:tab/>
      </w:r>
      <w:r>
        <w:tab/>
        <w:t>In h</w:t>
      </w:r>
      <w:r w:rsidR="009E2988">
        <w:t>is</w:t>
      </w:r>
      <w:r>
        <w:t xml:space="preserve"> Initial Decision, issued April 11, 2012,</w:t>
      </w:r>
      <w:r w:rsidR="009E2988">
        <w:t xml:space="preserve"> the ALJ dismissed the Complaint with prejudice due to the Complainant’s failure to appear for the hearing.  </w:t>
      </w:r>
      <w:r w:rsidR="00DB4B5C">
        <w:t>I.D. at 3, 4.</w:t>
      </w:r>
      <w:r w:rsidR="003B70B8">
        <w:t xml:space="preserve">  As previously noted, the Complainant filed Exceptions on April 19, 2012.</w:t>
      </w:r>
      <w:r w:rsidR="003B70B8">
        <w:rPr>
          <w:rStyle w:val="FootnoteReference"/>
        </w:rPr>
        <w:footnoteReference w:id="3"/>
      </w:r>
      <w:r w:rsidR="003B70B8">
        <w:t xml:space="preserve">  PECO filed Replies to Exceptions on June 29, 2012.   </w:t>
      </w:r>
      <w:r w:rsidR="00DB4B5C">
        <w:t xml:space="preserve">  </w:t>
      </w:r>
      <w:r w:rsidR="009E2988">
        <w:t xml:space="preserve"> </w:t>
      </w:r>
      <w:r>
        <w:t xml:space="preserve"> </w:t>
      </w:r>
    </w:p>
    <w:p w:rsidR="001869F9" w:rsidRDefault="001869F9" w:rsidP="007B5775">
      <w:pPr>
        <w:tabs>
          <w:tab w:val="left" w:pos="-1440"/>
          <w:tab w:val="left" w:pos="-720"/>
        </w:tabs>
        <w:suppressAutoHyphens/>
        <w:spacing w:line="360" w:lineRule="auto"/>
        <w:ind w:firstLine="1440"/>
        <w:rPr>
          <w:szCs w:val="24"/>
        </w:rPr>
      </w:pPr>
    </w:p>
    <w:p w:rsidR="00E33352" w:rsidRDefault="002561C5" w:rsidP="00367C10">
      <w:pPr>
        <w:tabs>
          <w:tab w:val="left" w:pos="-1440"/>
          <w:tab w:val="left" w:pos="-720"/>
        </w:tabs>
        <w:suppressAutoHyphens/>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C42659" w:rsidRPr="00C42659" w:rsidRDefault="00C42659" w:rsidP="00C42659">
      <w:pPr>
        <w:widowControl w:val="0"/>
        <w:spacing w:line="360" w:lineRule="auto"/>
        <w:ind w:firstLine="1440"/>
        <w:rPr>
          <w:szCs w:val="26"/>
        </w:rPr>
      </w:pPr>
      <w:r w:rsidRPr="00C42659">
        <w:rPr>
          <w:szCs w:val="26"/>
        </w:rPr>
        <w:t xml:space="preserve">As the proponent of a rule or order, the Complainant in this proceeding bears the burden of proof pursuant to Section 332(a) of the </w:t>
      </w:r>
      <w:r w:rsidR="00AD0786">
        <w:rPr>
          <w:szCs w:val="26"/>
        </w:rPr>
        <w:t xml:space="preserve">Public Utility </w:t>
      </w:r>
      <w:r w:rsidR="005E250D">
        <w:rPr>
          <w:szCs w:val="26"/>
        </w:rPr>
        <w:t>Code</w:t>
      </w:r>
      <w:r w:rsidR="00AD0786">
        <w:rPr>
          <w:szCs w:val="26"/>
        </w:rPr>
        <w:t xml:space="preserve"> (Code)</w:t>
      </w:r>
      <w:r w:rsidR="00443DD7">
        <w:rPr>
          <w:szCs w:val="26"/>
        </w:rPr>
        <w:t>,</w:t>
      </w:r>
      <w:r w:rsidRPr="00C42659">
        <w:rPr>
          <w:szCs w:val="26"/>
        </w:rPr>
        <w:t xml:space="preserve"> 66 Pa. C.S. § 332(a).  To establish a sufficient case and satisfy the burden of proof, the Complainant must show that the Respondent is responsible or accountable for the problem described in the Complaint.  </w:t>
      </w:r>
      <w:r w:rsidRPr="00C42659">
        <w:rPr>
          <w:i/>
          <w:szCs w:val="26"/>
        </w:rPr>
        <w:t>Patterson v. The Bell Telephone Company of Pennsylvania</w:t>
      </w:r>
      <w:r w:rsidRPr="00C42659">
        <w:rPr>
          <w:szCs w:val="26"/>
        </w:rPr>
        <w:t xml:space="preserve">, 72 Pa. P.U.C. 196 (1990).  Such a showing must be by a preponderance of the evidence.  </w:t>
      </w:r>
      <w:r w:rsidRPr="00C42659">
        <w:rPr>
          <w:i/>
          <w:iCs/>
          <w:szCs w:val="26"/>
        </w:rPr>
        <w:t>Samuel J. Lansberry, Inc. v. Pa. PUC</w:t>
      </w:r>
      <w:r w:rsidRPr="00C42659">
        <w:rPr>
          <w:szCs w:val="26"/>
        </w:rPr>
        <w:t xml:space="preserve">, 578 A.2d 600 (Pa. Cmwlth. 1990), </w:t>
      </w:r>
      <w:r w:rsidRPr="00C42659">
        <w:rPr>
          <w:i/>
          <w:szCs w:val="26"/>
        </w:rPr>
        <w:t>alloc. denied,</w:t>
      </w:r>
      <w:r w:rsidRPr="00C42659">
        <w:rPr>
          <w:szCs w:val="26"/>
        </w:rPr>
        <w:t xml:space="preserve"> 529 Pa. 654, 602 A.2d 863 (1992).  That is, the Complainant’s evidence must be more convincing, by even the smallest amount, than that presented by the Respondent.  </w:t>
      </w:r>
      <w:r w:rsidRPr="00C42659">
        <w:rPr>
          <w:i/>
          <w:szCs w:val="26"/>
        </w:rPr>
        <w:t>Se-Ling Hosiery, Inc. v. Margulies</w:t>
      </w:r>
      <w:r w:rsidRPr="00C4265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42659">
        <w:rPr>
          <w:i/>
          <w:szCs w:val="26"/>
        </w:rPr>
        <w:t xml:space="preserve">Norfolk &amp; Western Ry. Co. v. Pa. PUC, </w:t>
      </w:r>
      <w:r w:rsidRPr="00C42659">
        <w:rPr>
          <w:szCs w:val="26"/>
        </w:rPr>
        <w:t>489 Pa. 109, 413 A.2d 1037 (1980).</w:t>
      </w:r>
    </w:p>
    <w:p w:rsidR="00C42659" w:rsidRPr="00C42659" w:rsidRDefault="00C42659" w:rsidP="00C42659">
      <w:pPr>
        <w:widowControl w:val="0"/>
        <w:spacing w:line="360" w:lineRule="auto"/>
        <w:rPr>
          <w:szCs w:val="26"/>
        </w:rPr>
      </w:pPr>
    </w:p>
    <w:p w:rsidR="005E2B87" w:rsidRDefault="00C42659" w:rsidP="00C42659">
      <w:pPr>
        <w:widowControl w:val="0"/>
        <w:spacing w:line="360" w:lineRule="auto"/>
        <w:ind w:firstLine="1440"/>
      </w:pPr>
      <w:r w:rsidRPr="00C42659">
        <w:lastRenderedPageBreak/>
        <w:t xml:space="preserve">Upon the presentation by a complainant of evidence sufficient to initially satisfy the burden of proof, the burden of going forward with the evidence to rebut the evidence of the customer shifts to the respondent. </w:t>
      </w:r>
      <w:r w:rsidR="00DF7F58">
        <w:t xml:space="preserve"> </w:t>
      </w:r>
      <w:r w:rsidRPr="00C42659">
        <w:t xml:space="preserve">If the evidence presented by the respondent is of co-equal value or “weight,” the burden of proof has not been satisfied. The complainant now has to provide some additional evidence to rebut that of the respondent. </w:t>
      </w:r>
      <w:r w:rsidRPr="00C42659">
        <w:rPr>
          <w:iCs/>
        </w:rPr>
        <w:t xml:space="preserve"> </w:t>
      </w:r>
      <w:hyperlink r:id="rId9" w:history="1">
        <w:r w:rsidRPr="00DF7F58">
          <w:rPr>
            <w:rFonts w:ascii="Times New (W1)" w:hAnsi="Times New (W1)"/>
            <w:i/>
          </w:rPr>
          <w:t>Burleson v. Pa. PUC</w:t>
        </w:r>
        <w:r w:rsidRPr="00DF7F58">
          <w:rPr>
            <w:rFonts w:ascii="Times New (W1)" w:hAnsi="Times New (W1)"/>
          </w:rPr>
          <w:t xml:space="preserve">, 443 A.2d 1373 (Pa. Cmwlth. 1982), </w:t>
        </w:r>
        <w:r w:rsidRPr="000C213E">
          <w:rPr>
            <w:rFonts w:ascii="Times New (W1)" w:hAnsi="Times New (W1)"/>
            <w:i/>
          </w:rPr>
          <w:t>aff’d</w:t>
        </w:r>
        <w:r w:rsidRPr="00DF7F58">
          <w:rPr>
            <w:rFonts w:ascii="Times New (W1)" w:hAnsi="Times New (W1)"/>
          </w:rPr>
          <w:t>, 501 Pa. 433, 461 A.2d 1234 (1983).</w:t>
        </w:r>
      </w:hyperlink>
      <w:r w:rsidR="00DF7F58">
        <w:rPr>
          <w:rFonts w:ascii="Times New (W1)" w:hAnsi="Times New (W1)"/>
          <w:iCs/>
        </w:rPr>
        <w:t xml:space="preserve">  </w:t>
      </w:r>
      <w:r w:rsidRPr="00C42659">
        <w:t xml:space="preserve">While the burden of </w:t>
      </w:r>
      <w:r w:rsidR="00022EC2">
        <w:t>going forward with the evidence</w:t>
      </w:r>
      <w:r w:rsidRPr="00C42659">
        <w:t xml:space="preserve"> may </w:t>
      </w:r>
      <w:r w:rsidRPr="00DF7F58">
        <w:rPr>
          <w:bCs/>
        </w:rPr>
        <w:t>shift</w:t>
      </w:r>
      <w:r w:rsidRPr="00C42659">
        <w:t xml:space="preserve"> back and forth during a proceeding, the </w:t>
      </w:r>
      <w:r w:rsidRPr="00DF7F58">
        <w:rPr>
          <w:bCs/>
        </w:rPr>
        <w:t>burden of proof</w:t>
      </w:r>
      <w:r w:rsidRPr="00C42659">
        <w:t xml:space="preserve"> never </w:t>
      </w:r>
      <w:r w:rsidRPr="00DF7F58">
        <w:rPr>
          <w:bCs/>
        </w:rPr>
        <w:t xml:space="preserve">shifts. </w:t>
      </w:r>
      <w:r w:rsidR="00BC3EC5">
        <w:rPr>
          <w:bCs/>
        </w:rPr>
        <w:t xml:space="preserve"> </w:t>
      </w:r>
      <w:r w:rsidRPr="00DF7F58">
        <w:rPr>
          <w:bCs/>
        </w:rPr>
        <w:t>The burden of proof</w:t>
      </w:r>
      <w:r w:rsidRPr="00C42659">
        <w:t xml:space="preserve"> always remains on the party seeking affirmative relief from the Commission.  </w:t>
      </w:r>
      <w:r w:rsidRPr="00C42659">
        <w:rPr>
          <w:i/>
        </w:rPr>
        <w:t xml:space="preserve">Milkie v. Pa. PUC, </w:t>
      </w:r>
      <w:r w:rsidRPr="00C42659">
        <w:t>768 A.2d 1217 (Pa. Cmwlth. 2001).</w:t>
      </w:r>
      <w:r w:rsidR="005E2B87">
        <w:t xml:space="preserve">  </w:t>
      </w:r>
    </w:p>
    <w:p w:rsidR="00A71FBA" w:rsidRDefault="00A71FBA" w:rsidP="00C42659">
      <w:pPr>
        <w:widowControl w:val="0"/>
        <w:spacing w:line="360" w:lineRule="auto"/>
        <w:ind w:firstLine="1440"/>
      </w:pPr>
    </w:p>
    <w:p w:rsidR="00C42659" w:rsidRPr="00C42659" w:rsidRDefault="00166C52" w:rsidP="00C42659">
      <w:pPr>
        <w:widowControl w:val="0"/>
        <w:spacing w:line="360" w:lineRule="auto"/>
        <w:ind w:firstLine="1440"/>
        <w:rPr>
          <w:szCs w:val="26"/>
        </w:rPr>
      </w:pPr>
      <w:r>
        <w:rPr>
          <w:szCs w:val="26"/>
        </w:rPr>
        <w:t>The ALJ</w:t>
      </w:r>
      <w:r w:rsidR="00DF7F58">
        <w:rPr>
          <w:szCs w:val="26"/>
        </w:rPr>
        <w:t xml:space="preserve"> </w:t>
      </w:r>
      <w:r w:rsidR="00C42659" w:rsidRPr="00C42659">
        <w:rPr>
          <w:szCs w:val="26"/>
        </w:rPr>
        <w:t xml:space="preserve">made </w:t>
      </w:r>
      <w:r>
        <w:rPr>
          <w:szCs w:val="26"/>
        </w:rPr>
        <w:t xml:space="preserve">four </w:t>
      </w:r>
      <w:r w:rsidR="00C42659" w:rsidRPr="00C42659">
        <w:rPr>
          <w:szCs w:val="26"/>
        </w:rPr>
        <w:t>Findings of Fact and reached</w:t>
      </w:r>
      <w:r w:rsidR="00DF7F58">
        <w:rPr>
          <w:szCs w:val="26"/>
        </w:rPr>
        <w:t xml:space="preserve"> </w:t>
      </w:r>
      <w:r>
        <w:rPr>
          <w:szCs w:val="26"/>
        </w:rPr>
        <w:t>two</w:t>
      </w:r>
      <w:r w:rsidR="00C42659" w:rsidRPr="00C42659">
        <w:rPr>
          <w:szCs w:val="26"/>
        </w:rPr>
        <w:t xml:space="preserve"> Conclusions of Law.</w:t>
      </w:r>
      <w:r w:rsidR="00DF7F58">
        <w:rPr>
          <w:szCs w:val="26"/>
        </w:rPr>
        <w:t xml:space="preserve">  I.D. at </w:t>
      </w:r>
      <w:r w:rsidR="00647754">
        <w:rPr>
          <w:szCs w:val="26"/>
        </w:rPr>
        <w:t>2</w:t>
      </w:r>
      <w:r w:rsidR="00DF7F58">
        <w:rPr>
          <w:szCs w:val="26"/>
        </w:rPr>
        <w:t xml:space="preserve">, </w:t>
      </w:r>
      <w:r>
        <w:rPr>
          <w:szCs w:val="26"/>
        </w:rPr>
        <w:t>4</w:t>
      </w:r>
      <w:r w:rsidR="00DF7F58">
        <w:rPr>
          <w:szCs w:val="26"/>
        </w:rPr>
        <w:t>.</w:t>
      </w:r>
      <w:r w:rsidR="00C42659"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42659" w:rsidRPr="00C42659" w:rsidRDefault="00C42659" w:rsidP="00C42659">
      <w:pPr>
        <w:widowControl w:val="0"/>
        <w:spacing w:line="360" w:lineRule="auto"/>
        <w:rPr>
          <w:szCs w:val="26"/>
        </w:rPr>
      </w:pPr>
    </w:p>
    <w:p w:rsidR="00D83968" w:rsidRDefault="00C42659" w:rsidP="00C42659">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1F73C2">
          <w:rPr>
            <w:i/>
            <w:iCs/>
            <w:color w:val="000000"/>
            <w:szCs w:val="26"/>
          </w:rPr>
          <w:t xml:space="preserve">Consolidated Rail Corp. v. Pa. 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1" w:history="1">
        <w:r w:rsidRPr="001F73C2">
          <w:rPr>
            <w:i/>
            <w:iCs/>
            <w:color w:val="000000"/>
            <w:szCs w:val="26"/>
          </w:rPr>
          <w:t>University of Pennsylvania v. Pa. PUC</w:t>
        </w:r>
        <w:r w:rsidRPr="001F73C2">
          <w:rPr>
            <w:color w:val="000000"/>
            <w:szCs w:val="26"/>
          </w:rPr>
          <w:t>, 485 A.2d 1217 (Pa. Cmwlth. 1984).</w:t>
        </w:r>
      </w:hyperlink>
    </w:p>
    <w:p w:rsidR="00693AF3" w:rsidRDefault="00693AF3" w:rsidP="00C42659">
      <w:pPr>
        <w:spacing w:line="360" w:lineRule="auto"/>
        <w:ind w:firstLine="1440"/>
        <w:rPr>
          <w:color w:val="000000"/>
          <w:szCs w:val="26"/>
        </w:rPr>
      </w:pPr>
    </w:p>
    <w:p w:rsidR="0069178F" w:rsidRDefault="00693AF3" w:rsidP="00C42659">
      <w:pPr>
        <w:spacing w:line="360" w:lineRule="auto"/>
        <w:ind w:firstLine="1440"/>
        <w:rPr>
          <w:color w:val="000000"/>
          <w:szCs w:val="26"/>
        </w:rPr>
      </w:pPr>
      <w:r>
        <w:rPr>
          <w:color w:val="000000"/>
          <w:szCs w:val="26"/>
        </w:rPr>
        <w:t xml:space="preserve">In her Exceptions, the Complainant states that she was in the hospital for knee replacement surgery and rehabilitation on the day of the hearing.  </w:t>
      </w:r>
      <w:r w:rsidR="00962633">
        <w:rPr>
          <w:color w:val="000000"/>
          <w:szCs w:val="26"/>
        </w:rPr>
        <w:t xml:space="preserve">Exc. at 1.  </w:t>
      </w:r>
      <w:r>
        <w:rPr>
          <w:color w:val="000000"/>
          <w:szCs w:val="26"/>
        </w:rPr>
        <w:t xml:space="preserve">The Complainant attached </w:t>
      </w:r>
      <w:r w:rsidR="004E00C0">
        <w:rPr>
          <w:color w:val="000000"/>
          <w:szCs w:val="26"/>
        </w:rPr>
        <w:t>hospital records to her Exceptions</w:t>
      </w:r>
      <w:r w:rsidR="00C12D18">
        <w:rPr>
          <w:color w:val="000000"/>
          <w:szCs w:val="26"/>
        </w:rPr>
        <w:t xml:space="preserve"> to support that she was in the hospital from March 21, 2012 to April 1, 2012</w:t>
      </w:r>
      <w:r w:rsidR="004E00C0">
        <w:rPr>
          <w:color w:val="000000"/>
          <w:szCs w:val="26"/>
        </w:rPr>
        <w:t>.</w:t>
      </w:r>
      <w:r w:rsidR="003B30B2">
        <w:rPr>
          <w:color w:val="000000"/>
          <w:szCs w:val="26"/>
        </w:rPr>
        <w:t xml:space="preserve">  </w:t>
      </w:r>
    </w:p>
    <w:p w:rsidR="0069178F" w:rsidRDefault="0069178F" w:rsidP="00C42659">
      <w:pPr>
        <w:spacing w:line="360" w:lineRule="auto"/>
        <w:ind w:firstLine="1440"/>
        <w:rPr>
          <w:color w:val="000000"/>
          <w:szCs w:val="26"/>
        </w:rPr>
      </w:pPr>
    </w:p>
    <w:p w:rsidR="008D3F0E" w:rsidRDefault="00962633" w:rsidP="00C42659">
      <w:pPr>
        <w:spacing w:line="360" w:lineRule="auto"/>
        <w:ind w:firstLine="1440"/>
        <w:rPr>
          <w:color w:val="000000"/>
          <w:szCs w:val="26"/>
        </w:rPr>
      </w:pPr>
      <w:r>
        <w:rPr>
          <w:color w:val="000000"/>
          <w:szCs w:val="26"/>
        </w:rPr>
        <w:lastRenderedPageBreak/>
        <w:t xml:space="preserve">In its Replies to Exceptions, PECO requests that the Exceptions be denied because the Initial Decision properly dismissed the Complaint due to the Complainant’s failure to appear for the scheduled hearing.  R.Exc. at 1.  PECO avers that the </w:t>
      </w:r>
      <w:r w:rsidR="004047C6">
        <w:rPr>
          <w:color w:val="000000"/>
          <w:szCs w:val="26"/>
        </w:rPr>
        <w:t xml:space="preserve">Commission provided the Complainant with due process </w:t>
      </w:r>
      <w:r w:rsidR="008D3F0E">
        <w:rPr>
          <w:color w:val="000000"/>
          <w:szCs w:val="26"/>
        </w:rPr>
        <w:t>by mailing the Hearing Notice and the Prehearing Order to the Complainant.  PECO states that</w:t>
      </w:r>
      <w:r w:rsidR="00FE365E">
        <w:rPr>
          <w:color w:val="000000"/>
          <w:szCs w:val="26"/>
        </w:rPr>
        <w:t>,</w:t>
      </w:r>
      <w:r w:rsidR="008D3F0E">
        <w:rPr>
          <w:color w:val="000000"/>
          <w:szCs w:val="26"/>
        </w:rPr>
        <w:t xml:space="preserve"> because these documents were not returned by the United States Postal Service, they are presumed to have been received.  </w:t>
      </w:r>
      <w:r w:rsidR="008D3F0E">
        <w:rPr>
          <w:i/>
          <w:color w:val="000000"/>
          <w:szCs w:val="26"/>
        </w:rPr>
        <w:t>Id</w:t>
      </w:r>
      <w:r w:rsidR="008D3F0E">
        <w:rPr>
          <w:color w:val="000000"/>
          <w:szCs w:val="26"/>
        </w:rPr>
        <w:t xml:space="preserve">. at 2.  PECO asserts that the Complainant waived her opportunity to participate in the hearing and cannot now reopen the record without proof that her failure to appear was unavoidable and that the interest of PECO and the public will not be prejudiced.  </w:t>
      </w:r>
      <w:r w:rsidR="008D3F0E" w:rsidRPr="008D3F0E">
        <w:rPr>
          <w:i/>
          <w:color w:val="000000"/>
          <w:szCs w:val="26"/>
        </w:rPr>
        <w:t>Id</w:t>
      </w:r>
      <w:r w:rsidR="008D3F0E">
        <w:rPr>
          <w:color w:val="000000"/>
          <w:szCs w:val="26"/>
        </w:rPr>
        <w:t>. at 2-3.</w:t>
      </w:r>
    </w:p>
    <w:p w:rsidR="008D3F0E" w:rsidRDefault="008D3F0E" w:rsidP="00C42659">
      <w:pPr>
        <w:spacing w:line="360" w:lineRule="auto"/>
        <w:ind w:firstLine="1440"/>
        <w:rPr>
          <w:color w:val="000000"/>
          <w:szCs w:val="26"/>
        </w:rPr>
      </w:pPr>
    </w:p>
    <w:p w:rsidR="00B06503" w:rsidRDefault="00667616" w:rsidP="00C42659">
      <w:pPr>
        <w:spacing w:line="360" w:lineRule="auto"/>
        <w:ind w:firstLine="1440"/>
        <w:rPr>
          <w:color w:val="000000"/>
          <w:szCs w:val="26"/>
        </w:rPr>
      </w:pPr>
      <w:r>
        <w:rPr>
          <w:color w:val="000000"/>
          <w:szCs w:val="26"/>
        </w:rPr>
        <w:t xml:space="preserve">PECO additionally states that the Complainant had ample time to request a continuance of the hearing and to notify the Commission of her pending surgery, but failed to do so.  As such, PECO believes that the Complainant cannot prove that her failure to appear was unavoidable.  PECO further avers that it would be prejudiced </w:t>
      </w:r>
      <w:r w:rsidR="00FE365E">
        <w:rPr>
          <w:color w:val="000000"/>
          <w:szCs w:val="26"/>
        </w:rPr>
        <w:t>because</w:t>
      </w:r>
      <w:r>
        <w:rPr>
          <w:color w:val="000000"/>
          <w:szCs w:val="26"/>
        </w:rPr>
        <w:t xml:space="preserve"> it expended an inordinate amount of its resources to prepare for a hearing at which the Complainant did not appear and that the public would be prejudiced by the Complainant’s wasteful use of the Commission’s and PECO’s resources.  </w:t>
      </w:r>
      <w:r w:rsidRPr="00667616">
        <w:rPr>
          <w:i/>
          <w:color w:val="000000"/>
          <w:szCs w:val="26"/>
        </w:rPr>
        <w:t>Id</w:t>
      </w:r>
      <w:r>
        <w:rPr>
          <w:color w:val="000000"/>
          <w:szCs w:val="26"/>
        </w:rPr>
        <w:t xml:space="preserve">. at 3.    </w:t>
      </w:r>
    </w:p>
    <w:p w:rsidR="00B06503" w:rsidRDefault="00B06503" w:rsidP="00C42659">
      <w:pPr>
        <w:spacing w:line="360" w:lineRule="auto"/>
        <w:ind w:firstLine="1440"/>
        <w:rPr>
          <w:color w:val="000000"/>
          <w:szCs w:val="26"/>
        </w:rPr>
      </w:pPr>
    </w:p>
    <w:p w:rsidR="0011210B" w:rsidRDefault="00A77067" w:rsidP="00A77067">
      <w:pPr>
        <w:spacing w:line="360" w:lineRule="auto"/>
        <w:ind w:firstLine="1440"/>
        <w:rPr>
          <w:szCs w:val="26"/>
        </w:rPr>
      </w:pPr>
      <w:r w:rsidRPr="00A77067">
        <w:rPr>
          <w:szCs w:val="26"/>
        </w:rPr>
        <w:t>Based on our review of the record, as well as the Exceptions and Replies to Exceptions, we will deny the Complainant’s Exceptions and adopt the ALJ’s Initial Decision</w:t>
      </w:r>
      <w:r w:rsidR="0011210B">
        <w:rPr>
          <w:szCs w:val="26"/>
        </w:rPr>
        <w:t>.</w:t>
      </w:r>
      <w:r w:rsidRPr="00A77067">
        <w:rPr>
          <w:szCs w:val="26"/>
        </w:rPr>
        <w:t xml:space="preserve"> </w:t>
      </w:r>
      <w:r w:rsidR="0011210B">
        <w:rPr>
          <w:szCs w:val="26"/>
        </w:rPr>
        <w:t xml:space="preserve"> W</w:t>
      </w:r>
      <w:r w:rsidRPr="00A77067">
        <w:rPr>
          <w:szCs w:val="26"/>
        </w:rPr>
        <w:t xml:space="preserve">e </w:t>
      </w:r>
      <w:r>
        <w:rPr>
          <w:szCs w:val="26"/>
        </w:rPr>
        <w:t>find</w:t>
      </w:r>
      <w:r w:rsidRPr="00A77067">
        <w:rPr>
          <w:szCs w:val="26"/>
        </w:rPr>
        <w:t xml:space="preserve"> that the ALJ properly dismissed the Complaint based on </w:t>
      </w:r>
      <w:r>
        <w:rPr>
          <w:szCs w:val="26"/>
        </w:rPr>
        <w:t>the Complainant’s</w:t>
      </w:r>
      <w:r w:rsidRPr="00A77067">
        <w:rPr>
          <w:szCs w:val="26"/>
        </w:rPr>
        <w:t xml:space="preserve"> failure to appear for the scheduled hearing.</w:t>
      </w:r>
      <w:r>
        <w:rPr>
          <w:szCs w:val="26"/>
        </w:rPr>
        <w:t xml:space="preserve">  </w:t>
      </w:r>
    </w:p>
    <w:p w:rsidR="0011210B" w:rsidRDefault="0011210B" w:rsidP="00A77067">
      <w:pPr>
        <w:spacing w:line="360" w:lineRule="auto"/>
        <w:ind w:firstLine="1440"/>
        <w:rPr>
          <w:szCs w:val="26"/>
        </w:rPr>
      </w:pPr>
    </w:p>
    <w:p w:rsidR="00292C44" w:rsidRDefault="00A77067" w:rsidP="00A77067">
      <w:pPr>
        <w:spacing w:line="360" w:lineRule="auto"/>
        <w:ind w:firstLine="1440"/>
        <w:rPr>
          <w:szCs w:val="26"/>
        </w:rPr>
      </w:pPr>
      <w:r>
        <w:rPr>
          <w:szCs w:val="26"/>
        </w:rPr>
        <w:t xml:space="preserve">The </w:t>
      </w:r>
      <w:r w:rsidRPr="00A77067">
        <w:rPr>
          <w:szCs w:val="26"/>
        </w:rPr>
        <w:t xml:space="preserve">Complainant </w:t>
      </w:r>
      <w:r>
        <w:rPr>
          <w:szCs w:val="26"/>
        </w:rPr>
        <w:t>does</w:t>
      </w:r>
      <w:r w:rsidRPr="00A77067">
        <w:rPr>
          <w:szCs w:val="26"/>
        </w:rPr>
        <w:t xml:space="preserve"> not disput</w:t>
      </w:r>
      <w:r>
        <w:rPr>
          <w:szCs w:val="26"/>
        </w:rPr>
        <w:t>e</w:t>
      </w:r>
      <w:r w:rsidRPr="00A77067">
        <w:rPr>
          <w:szCs w:val="26"/>
        </w:rPr>
        <w:t xml:space="preserve"> that she received the </w:t>
      </w:r>
      <w:r>
        <w:rPr>
          <w:szCs w:val="26"/>
        </w:rPr>
        <w:t>Hearing Notice and the Prehearing Order</w:t>
      </w:r>
      <w:r w:rsidRPr="00A77067">
        <w:rPr>
          <w:szCs w:val="26"/>
        </w:rPr>
        <w:t xml:space="preserve">. </w:t>
      </w:r>
      <w:r w:rsidR="00D016BB">
        <w:rPr>
          <w:szCs w:val="26"/>
        </w:rPr>
        <w:t xml:space="preserve"> The </w:t>
      </w:r>
      <w:r w:rsidR="00D016BB">
        <w:t xml:space="preserve">Hearing Notice informed the Parties of the date and time of the initial hearing and that they could lose the case if they did not come to the hearing and present facts on the issues addressed at the hearing.  </w:t>
      </w:r>
      <w:r w:rsidR="009D2C3D">
        <w:t xml:space="preserve">The </w:t>
      </w:r>
      <w:r w:rsidR="00D016BB">
        <w:t xml:space="preserve">Prehearing Order </w:t>
      </w:r>
      <w:r w:rsidR="009D2C3D">
        <w:t xml:space="preserve">also </w:t>
      </w:r>
      <w:r w:rsidR="00D016BB">
        <w:t xml:space="preserve">advised the Parties of the date and time of the scheduled hearing </w:t>
      </w:r>
      <w:r w:rsidR="009D2C3D">
        <w:t xml:space="preserve">and that the case would be </w:t>
      </w:r>
      <w:r w:rsidR="009D2C3D">
        <w:lastRenderedPageBreak/>
        <w:t xml:space="preserve">dismissed if a party failed to obtain a continuance or to appear for the hearing.  The Prehearing Order further advised the Parties that </w:t>
      </w:r>
      <w:r w:rsidR="00D016BB">
        <w:t xml:space="preserve">a request for a change of the scheduled hearing date must be submitted in writing no later than five business days before the hearing. </w:t>
      </w:r>
      <w:r w:rsidR="00D35718">
        <w:t xml:space="preserve"> </w:t>
      </w:r>
      <w:r w:rsidRPr="00A77067">
        <w:rPr>
          <w:szCs w:val="26"/>
        </w:rPr>
        <w:t xml:space="preserve">Because both of these documents were sent to the Complainant’s address, as listed on the Complaint, and were not returned by the post office, we presume that the Complainant received these documents.  </w:t>
      </w:r>
      <w:r w:rsidRPr="00A77067">
        <w:rPr>
          <w:i/>
          <w:szCs w:val="26"/>
        </w:rPr>
        <w:t>See, Berkowitz v. Mayflower Securities, Inc.</w:t>
      </w:r>
      <w:r w:rsidRPr="00A77067">
        <w:rPr>
          <w:szCs w:val="26"/>
        </w:rPr>
        <w:t>, 455 Pa. 531, 317 A.2d 584 (1974);</w:t>
      </w:r>
      <w:r w:rsidRPr="00A77067">
        <w:rPr>
          <w:i/>
          <w:szCs w:val="26"/>
        </w:rPr>
        <w:t xml:space="preserve"> Geary v. Verizon Pennsylvania Inc</w:t>
      </w:r>
      <w:r w:rsidRPr="00A77067">
        <w:rPr>
          <w:szCs w:val="26"/>
        </w:rPr>
        <w:t xml:space="preserve">., Docket No. </w:t>
      </w:r>
    </w:p>
    <w:p w:rsidR="00A77067" w:rsidRPr="00A77067" w:rsidRDefault="00A77067" w:rsidP="00292C44">
      <w:pPr>
        <w:spacing w:line="360" w:lineRule="auto"/>
        <w:rPr>
          <w:szCs w:val="26"/>
        </w:rPr>
      </w:pPr>
      <w:r w:rsidRPr="00A77067">
        <w:rPr>
          <w:szCs w:val="26"/>
        </w:rPr>
        <w:t xml:space="preserve">C-2009-2118625 (Order entered September 16, 2010).  As such, the Complainant was provided with the requisite notice and opportunity to be heard, and her due process rights have been satisfied.  </w:t>
      </w:r>
      <w:r w:rsidRPr="00A77067">
        <w:rPr>
          <w:i/>
          <w:szCs w:val="26"/>
        </w:rPr>
        <w:t>Schneider v. Pa. PUC</w:t>
      </w:r>
      <w:r w:rsidRPr="00A77067">
        <w:rPr>
          <w:szCs w:val="26"/>
        </w:rPr>
        <w:t xml:space="preserve">, 479 A.2d 10 (Pa. Cmwlth. 1984).        </w:t>
      </w:r>
    </w:p>
    <w:p w:rsidR="00A77067" w:rsidRPr="00A77067" w:rsidRDefault="00A77067" w:rsidP="00A77067">
      <w:pPr>
        <w:spacing w:line="360" w:lineRule="auto"/>
        <w:ind w:firstLine="1440"/>
        <w:rPr>
          <w:szCs w:val="26"/>
        </w:rPr>
      </w:pPr>
    </w:p>
    <w:p w:rsidR="0011210B" w:rsidRDefault="0036351D" w:rsidP="0011210B">
      <w:pPr>
        <w:spacing w:line="360" w:lineRule="auto"/>
        <w:ind w:firstLine="1440"/>
        <w:rPr>
          <w:szCs w:val="24"/>
        </w:rPr>
      </w:pPr>
      <w:r>
        <w:rPr>
          <w:szCs w:val="26"/>
        </w:rPr>
        <w:t>While the Complainant appears to have had good cause to request a continuance in this case, she</w:t>
      </w:r>
      <w:r w:rsidR="00A77067" w:rsidRPr="00A77067">
        <w:rPr>
          <w:szCs w:val="26"/>
        </w:rPr>
        <w:t xml:space="preserve"> simply failed to follow the Commission’s procedures pertaining to requests for continuances.  </w:t>
      </w:r>
      <w:r>
        <w:rPr>
          <w:szCs w:val="26"/>
        </w:rPr>
        <w:t xml:space="preserve">We agree with </w:t>
      </w:r>
      <w:r w:rsidR="0093784D">
        <w:rPr>
          <w:color w:val="000000"/>
          <w:szCs w:val="26"/>
        </w:rPr>
        <w:t xml:space="preserve">PECO that, although the Complainant had the time and opportunity to request a continuance of the hearing and to notify the Commission of her scheduled surgery, she failed to do so.  </w:t>
      </w:r>
      <w:r w:rsidR="00A77067" w:rsidRPr="00A77067">
        <w:rPr>
          <w:szCs w:val="24"/>
        </w:rPr>
        <w:t xml:space="preserve">As we have previously stated, </w:t>
      </w:r>
    </w:p>
    <w:p w:rsidR="00BC3EC5" w:rsidRDefault="00BC3EC5" w:rsidP="00BC3EC5">
      <w:pPr>
        <w:ind w:firstLine="1440"/>
        <w:rPr>
          <w:szCs w:val="24"/>
        </w:rPr>
      </w:pPr>
    </w:p>
    <w:p w:rsidR="0011210B" w:rsidRDefault="00A77067" w:rsidP="0011210B">
      <w:pPr>
        <w:ind w:left="1440" w:right="1440"/>
        <w:rPr>
          <w:i/>
          <w:szCs w:val="24"/>
        </w:rPr>
      </w:pPr>
      <w:r w:rsidRPr="00A77067">
        <w:rPr>
          <w:szCs w:val="24"/>
        </w:rPr>
        <w:t xml:space="preserve">While the Commission does not expect </w:t>
      </w:r>
      <w:r w:rsidRPr="00A77067">
        <w:rPr>
          <w:i/>
          <w:szCs w:val="24"/>
        </w:rPr>
        <w:t>pro se</w:t>
      </w:r>
      <w:r w:rsidRPr="00A77067">
        <w:rPr>
          <w:szCs w:val="24"/>
        </w:rPr>
        <w:t xml:space="preserve"> complainants to be familiar with all the Commission’s procedures, the rules, which ensure notice and due process, must be followed by all complainants, whether or not they have counsel.  Showing up for a hearing is among the most basic of the Commission’s requirements.  </w:t>
      </w:r>
      <w:r w:rsidR="0093784D">
        <w:rPr>
          <w:i/>
          <w:szCs w:val="24"/>
        </w:rPr>
        <w:t xml:space="preserve"> </w:t>
      </w:r>
    </w:p>
    <w:p w:rsidR="0011210B" w:rsidRDefault="0011210B" w:rsidP="0011210B">
      <w:pPr>
        <w:ind w:left="1440"/>
        <w:rPr>
          <w:i/>
          <w:szCs w:val="24"/>
        </w:rPr>
      </w:pPr>
    </w:p>
    <w:p w:rsidR="00A77067" w:rsidRPr="00A77067" w:rsidRDefault="0011210B" w:rsidP="0011210B">
      <w:pPr>
        <w:spacing w:line="360" w:lineRule="auto"/>
        <w:rPr>
          <w:szCs w:val="24"/>
        </w:rPr>
      </w:pPr>
      <w:r w:rsidRPr="00A77067">
        <w:rPr>
          <w:i/>
          <w:szCs w:val="24"/>
        </w:rPr>
        <w:t xml:space="preserve">Geary, supra, </w:t>
      </w:r>
      <w:r w:rsidRPr="00A77067">
        <w:rPr>
          <w:szCs w:val="24"/>
        </w:rPr>
        <w:t>at 5</w:t>
      </w:r>
      <w:r>
        <w:rPr>
          <w:szCs w:val="24"/>
        </w:rPr>
        <w:t xml:space="preserve">.  </w:t>
      </w:r>
      <w:r w:rsidR="00A77067" w:rsidRPr="00A77067">
        <w:rPr>
          <w:szCs w:val="24"/>
        </w:rPr>
        <w:t xml:space="preserve">Under the circumstances in this case, we find that the ALJ correctly dismissed the Complaint, consistent with prior Commission decisions and the Code.  </w:t>
      </w:r>
    </w:p>
    <w:p w:rsidR="0093784D" w:rsidRDefault="0093784D" w:rsidP="00A77067">
      <w:pPr>
        <w:tabs>
          <w:tab w:val="left" w:pos="0"/>
        </w:tabs>
        <w:spacing w:line="360" w:lineRule="auto"/>
        <w:rPr>
          <w:szCs w:val="24"/>
        </w:rPr>
      </w:pPr>
    </w:p>
    <w:p w:rsidR="00A77067" w:rsidRPr="00A77067" w:rsidRDefault="00A77067" w:rsidP="00A77067">
      <w:pPr>
        <w:tabs>
          <w:tab w:val="left" w:pos="0"/>
        </w:tabs>
        <w:spacing w:line="360" w:lineRule="auto"/>
        <w:rPr>
          <w:szCs w:val="26"/>
        </w:rPr>
      </w:pPr>
      <w:r w:rsidRPr="00A77067">
        <w:rPr>
          <w:szCs w:val="24"/>
        </w:rPr>
        <w:tab/>
      </w:r>
      <w:r w:rsidRPr="00A77067">
        <w:rPr>
          <w:szCs w:val="24"/>
        </w:rPr>
        <w:tab/>
      </w:r>
      <w:r w:rsidR="0093784D">
        <w:rPr>
          <w:szCs w:val="24"/>
        </w:rPr>
        <w:t>Moreover, b</w:t>
      </w:r>
      <w:r w:rsidRPr="00A77067">
        <w:rPr>
          <w:szCs w:val="24"/>
        </w:rPr>
        <w:t xml:space="preserve">ecause </w:t>
      </w:r>
      <w:r w:rsidR="0093784D">
        <w:rPr>
          <w:szCs w:val="24"/>
        </w:rPr>
        <w:t>the Complainant</w:t>
      </w:r>
      <w:r w:rsidRPr="00A77067">
        <w:rPr>
          <w:szCs w:val="24"/>
        </w:rPr>
        <w:t xml:space="preserve"> failed to appear at the hearing and to present any evidence in support of her Complaint, </w:t>
      </w:r>
      <w:r w:rsidR="0093784D">
        <w:rPr>
          <w:szCs w:val="24"/>
        </w:rPr>
        <w:t>she</w:t>
      </w:r>
      <w:r w:rsidRPr="00A77067">
        <w:rPr>
          <w:szCs w:val="24"/>
        </w:rPr>
        <w:t xml:space="preserve"> failed to meet her burden of proof.  </w:t>
      </w:r>
      <w:r w:rsidRPr="00A77067">
        <w:rPr>
          <w:szCs w:val="24"/>
        </w:rPr>
        <w:lastRenderedPageBreak/>
        <w:t xml:space="preserve">Accordingly, the Complaint must be dismissed with prejudice.  </w:t>
      </w:r>
      <w:r w:rsidRPr="00A77067">
        <w:rPr>
          <w:i/>
          <w:szCs w:val="24"/>
        </w:rPr>
        <w:t>See, Jefferson v. UGI Utilities, Inc.</w:t>
      </w:r>
      <w:r w:rsidRPr="00A77067">
        <w:rPr>
          <w:szCs w:val="24"/>
        </w:rPr>
        <w:t xml:space="preserve">, Docket No. Z-00269892 (Order entered December 26, 1995).  </w:t>
      </w:r>
      <w:r w:rsidRPr="00A77067">
        <w:rPr>
          <w:i/>
          <w:szCs w:val="24"/>
        </w:rPr>
        <w:t xml:space="preserve"> </w:t>
      </w:r>
      <w:r w:rsidRPr="00A77067">
        <w:rPr>
          <w:szCs w:val="24"/>
        </w:rPr>
        <w:t xml:space="preserve">    </w:t>
      </w:r>
      <w:r w:rsidRPr="00A77067">
        <w:rPr>
          <w:szCs w:val="24"/>
        </w:rPr>
        <w:tab/>
        <w:t xml:space="preserve">          </w:t>
      </w:r>
      <w:r w:rsidRPr="00A77067">
        <w:rPr>
          <w:i/>
          <w:szCs w:val="24"/>
        </w:rPr>
        <w:t xml:space="preserve"> </w:t>
      </w:r>
      <w:r w:rsidRPr="00A77067">
        <w:rPr>
          <w:szCs w:val="24"/>
        </w:rPr>
        <w:t xml:space="preserve">          </w:t>
      </w:r>
    </w:p>
    <w:p w:rsidR="00DE1BC8" w:rsidRDefault="00DE1BC8" w:rsidP="00292C44">
      <w:pPr>
        <w:spacing w:line="360" w:lineRule="auto"/>
        <w:jc w:val="center"/>
        <w:rPr>
          <w:rFonts w:ascii="Times New (W1)" w:hAnsi="Times New (W1)"/>
          <w:b/>
          <w:szCs w:val="22"/>
        </w:rPr>
      </w:pPr>
    </w:p>
    <w:p w:rsidR="00BC1B7D" w:rsidRDefault="005C446F" w:rsidP="00292C44">
      <w:pPr>
        <w:spacing w:line="360" w:lineRule="auto"/>
        <w:jc w:val="center"/>
        <w:rPr>
          <w:rFonts w:ascii="Times New (W1)" w:hAnsi="Times New (W1)"/>
          <w:b/>
          <w:szCs w:val="22"/>
        </w:rPr>
      </w:pPr>
      <w:r>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Pr="007828A8" w:rsidRDefault="000A4744" w:rsidP="00066A76">
      <w:pPr>
        <w:spacing w:line="360" w:lineRule="auto"/>
        <w:rPr>
          <w:szCs w:val="26"/>
        </w:rPr>
      </w:pPr>
      <w:r w:rsidRPr="00A55BFB">
        <w:rPr>
          <w:b/>
          <w:szCs w:val="22"/>
        </w:rPr>
        <w:tab/>
      </w:r>
      <w:r w:rsidRPr="00A55BFB">
        <w:rPr>
          <w:b/>
          <w:szCs w:val="22"/>
        </w:rPr>
        <w:tab/>
      </w:r>
      <w:r w:rsidR="0049202A">
        <w:rPr>
          <w:szCs w:val="26"/>
        </w:rPr>
        <w:t>For the reasons discussed herein, we shall deny the Complainant’s Exceptions and adopt the ALJ’s Initial Decision, consistent with this Opinion and Order;</w:t>
      </w:r>
      <w:r w:rsidR="0044197C" w:rsidRPr="00A55BFB">
        <w:rPr>
          <w:szCs w:val="22"/>
        </w:rPr>
        <w:t xml:space="preserve"> </w:t>
      </w:r>
      <w:r w:rsidR="00066A76" w:rsidRPr="007828A8">
        <w:rPr>
          <w:b/>
          <w:szCs w:val="26"/>
        </w:rPr>
        <w:t>THEREFORE,</w:t>
      </w:r>
      <w:r w:rsidR="00066A76" w:rsidRPr="007828A8">
        <w:rPr>
          <w:szCs w:val="26"/>
        </w:rPr>
        <w:t xml:space="preserve"> </w:t>
      </w:r>
    </w:p>
    <w:p w:rsidR="00DD561C" w:rsidRDefault="00066A76" w:rsidP="0049202A">
      <w:pPr>
        <w:spacing w:line="360" w:lineRule="auto"/>
        <w:rPr>
          <w:szCs w:val="26"/>
        </w:rPr>
      </w:pPr>
      <w:r w:rsidRPr="00066A76">
        <w:rPr>
          <w:szCs w:val="26"/>
        </w:rPr>
        <w:tab/>
      </w:r>
      <w:r w:rsidRPr="00066A76">
        <w:rPr>
          <w:szCs w:val="26"/>
        </w:rPr>
        <w:tab/>
      </w:r>
    </w:p>
    <w:p w:rsidR="00066A76" w:rsidRPr="00066A76" w:rsidRDefault="00066A76" w:rsidP="00DD561C">
      <w:pPr>
        <w:spacing w:line="360" w:lineRule="auto"/>
        <w:ind w:left="720" w:firstLine="720"/>
        <w:rPr>
          <w:b/>
          <w:szCs w:val="26"/>
        </w:rPr>
      </w:pPr>
      <w:r w:rsidRPr="00066A76">
        <w:rPr>
          <w:b/>
          <w:szCs w:val="26"/>
        </w:rPr>
        <w:t>IT IS ORDERED:</w:t>
      </w:r>
    </w:p>
    <w:p w:rsidR="00066A76" w:rsidRPr="00066A76" w:rsidRDefault="00066A76" w:rsidP="00066A76">
      <w:pPr>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49202A">
        <w:rPr>
          <w:szCs w:val="26"/>
        </w:rPr>
        <w:t>Deborah Bethay</w:t>
      </w:r>
      <w:r w:rsidR="00151C0A">
        <w:rPr>
          <w:szCs w:val="26"/>
        </w:rPr>
        <w:t xml:space="preserve">, filed on </w:t>
      </w:r>
      <w:r w:rsidR="00206D72">
        <w:rPr>
          <w:szCs w:val="26"/>
        </w:rPr>
        <w:t>April 1</w:t>
      </w:r>
      <w:r w:rsidR="0049202A">
        <w:rPr>
          <w:szCs w:val="26"/>
        </w:rPr>
        <w:t>9</w:t>
      </w:r>
      <w:r w:rsidR="00151C0A">
        <w:rPr>
          <w:szCs w:val="26"/>
        </w:rPr>
        <w:t>, 2012,</w:t>
      </w:r>
      <w:r w:rsidR="009F11DD">
        <w:rPr>
          <w:szCs w:val="26"/>
        </w:rPr>
        <w:t xml:space="preserve"> </w:t>
      </w:r>
      <w:r w:rsidR="00151C0A">
        <w:rPr>
          <w:szCs w:val="26"/>
        </w:rPr>
        <w:t xml:space="preserve">are </w:t>
      </w:r>
      <w:r>
        <w:rPr>
          <w:szCs w:val="26"/>
        </w:rPr>
        <w:t>denied.</w:t>
      </w:r>
    </w:p>
    <w:p w:rsidR="009F11DD" w:rsidRDefault="009F11DD"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Initial Decision of Administrative Law Judge </w:t>
      </w:r>
      <w:r w:rsidR="0049202A">
        <w:rPr>
          <w:szCs w:val="26"/>
        </w:rPr>
        <w:t>Ky Van Nguyen,</w:t>
      </w:r>
      <w:r>
        <w:rPr>
          <w:szCs w:val="26"/>
        </w:rPr>
        <w:t xml:space="preserve"> issued </w:t>
      </w:r>
      <w:r w:rsidR="0049202A">
        <w:rPr>
          <w:szCs w:val="26"/>
        </w:rPr>
        <w:t>April 11</w:t>
      </w:r>
      <w:r w:rsidR="00151C0A">
        <w:rPr>
          <w:szCs w:val="26"/>
        </w:rPr>
        <w:t>, 2012</w:t>
      </w:r>
      <w:r>
        <w:rPr>
          <w:szCs w:val="26"/>
        </w:rPr>
        <w:t xml:space="preserve">, is </w:t>
      </w:r>
      <w:r w:rsidR="0049202A">
        <w:rPr>
          <w:szCs w:val="26"/>
        </w:rPr>
        <w:t>adopted</w:t>
      </w:r>
      <w:r>
        <w:rPr>
          <w:szCs w:val="26"/>
        </w:rPr>
        <w:t xml:space="preserve">.  </w:t>
      </w:r>
    </w:p>
    <w:p w:rsidR="00066A76" w:rsidRDefault="00066A76" w:rsidP="00066A76">
      <w:pPr>
        <w:spacing w:line="360" w:lineRule="auto"/>
        <w:rPr>
          <w:szCs w:val="26"/>
        </w:rPr>
      </w:pPr>
    </w:p>
    <w:p w:rsidR="00684B84" w:rsidRDefault="00066A76" w:rsidP="0049202A">
      <w:pPr>
        <w:spacing w:line="360" w:lineRule="auto"/>
        <w:rPr>
          <w:szCs w:val="26"/>
        </w:rPr>
      </w:pPr>
      <w:r>
        <w:rPr>
          <w:szCs w:val="26"/>
        </w:rPr>
        <w:tab/>
      </w:r>
      <w:r>
        <w:rPr>
          <w:szCs w:val="26"/>
        </w:rPr>
        <w:tab/>
      </w:r>
      <w:r w:rsidR="0049202A">
        <w:rPr>
          <w:szCs w:val="26"/>
        </w:rPr>
        <w:t>3.</w:t>
      </w:r>
      <w:r w:rsidR="0049202A">
        <w:rPr>
          <w:szCs w:val="26"/>
        </w:rPr>
        <w:tab/>
        <w:t>That the Complaint filed by Deborah Bethay against PECO Energy Company</w:t>
      </w:r>
      <w:r w:rsidR="009F6A3C">
        <w:rPr>
          <w:szCs w:val="26"/>
        </w:rPr>
        <w:t>,</w:t>
      </w:r>
      <w:r w:rsidR="0049202A">
        <w:rPr>
          <w:szCs w:val="26"/>
        </w:rPr>
        <w:t xml:space="preserve"> at Docket No. F-2011-2266250</w:t>
      </w:r>
      <w:r w:rsidR="009F6A3C">
        <w:rPr>
          <w:szCs w:val="26"/>
        </w:rPr>
        <w:t>,</w:t>
      </w:r>
      <w:r w:rsidR="0049202A">
        <w:rPr>
          <w:szCs w:val="26"/>
        </w:rPr>
        <w:t xml:space="preserve"> is dismissed with prejudice.</w:t>
      </w:r>
    </w:p>
    <w:p w:rsidR="00684B84" w:rsidRDefault="00684B84"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DE1BC8" w:rsidRDefault="00DE1BC8" w:rsidP="00691A22">
      <w:pPr>
        <w:spacing w:line="360" w:lineRule="auto"/>
        <w:rPr>
          <w:szCs w:val="26"/>
        </w:rPr>
      </w:pPr>
    </w:p>
    <w:p w:rsidR="00066A76" w:rsidRDefault="009F6A3C" w:rsidP="00684B84">
      <w:pPr>
        <w:spacing w:line="360" w:lineRule="auto"/>
        <w:ind w:left="720" w:firstLine="720"/>
        <w:rPr>
          <w:szCs w:val="26"/>
        </w:rPr>
      </w:pPr>
      <w:r>
        <w:rPr>
          <w:szCs w:val="26"/>
        </w:rPr>
        <w:lastRenderedPageBreak/>
        <w:t>4</w:t>
      </w:r>
      <w:r w:rsidR="00691A22">
        <w:rPr>
          <w:szCs w:val="26"/>
        </w:rPr>
        <w:t>.</w:t>
      </w:r>
      <w:r w:rsidR="00691A22">
        <w:rPr>
          <w:szCs w:val="26"/>
        </w:rPr>
        <w:tab/>
        <w:t xml:space="preserve">That this case shall be marked closed.    </w:t>
      </w:r>
    </w:p>
    <w:p w:rsidR="00691A22" w:rsidRPr="00066A76" w:rsidRDefault="00691A22" w:rsidP="00691A22">
      <w:pPr>
        <w:spacing w:line="360" w:lineRule="auto"/>
        <w:rPr>
          <w:szCs w:val="26"/>
        </w:rPr>
      </w:pPr>
    </w:p>
    <w:p w:rsidR="00066A76" w:rsidRPr="00066A76" w:rsidRDefault="00D14777" w:rsidP="00066A76">
      <w:pPr>
        <w:spacing w:line="360" w:lineRule="auto"/>
        <w:rPr>
          <w:szCs w:val="24"/>
        </w:rPr>
      </w:pPr>
      <w:r>
        <w:rPr>
          <w:noProof/>
        </w:rPr>
        <w:drawing>
          <wp:anchor distT="0" distB="0" distL="114300" distR="114300" simplePos="0" relativeHeight="251658240" behindDoc="1" locked="0" layoutInCell="1" allowOverlap="1" wp14:anchorId="387C9DF5" wp14:editId="1FC4877D">
            <wp:simplePos x="0" y="0"/>
            <wp:positionH relativeFrom="column">
              <wp:posOffset>2927350</wp:posOffset>
            </wp:positionH>
            <wp:positionV relativeFrom="paragraph">
              <wp:posOffset>147955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9F6A3C">
        <w:rPr>
          <w:szCs w:val="24"/>
        </w:rPr>
        <w:t>August 2</w:t>
      </w:r>
      <w:r w:rsidRPr="00066A76">
        <w:rPr>
          <w:szCs w:val="24"/>
        </w:rPr>
        <w:t>, 201</w:t>
      </w:r>
      <w:r w:rsidR="00C442B4">
        <w:rPr>
          <w:szCs w:val="24"/>
        </w:rPr>
        <w:t>2</w:t>
      </w:r>
      <w:r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D14777">
        <w:rPr>
          <w:rFonts w:ascii="Times New (W1)" w:hAnsi="Times New (W1)"/>
          <w:szCs w:val="22"/>
        </w:rPr>
        <w:t>August 2, 2012</w:t>
      </w:r>
      <w:bookmarkStart w:id="0" w:name="_GoBack"/>
      <w:bookmarkEnd w:id="0"/>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69" w:rsidRDefault="00623E69" w:rsidP="00567496">
      <w:r>
        <w:separator/>
      </w:r>
    </w:p>
  </w:endnote>
  <w:endnote w:type="continuationSeparator" w:id="0">
    <w:p w:rsidR="00623E69" w:rsidRDefault="00623E69"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F94F57" w:rsidRDefault="00F94F57">
        <w:pPr>
          <w:pStyle w:val="Footer"/>
          <w:jc w:val="center"/>
        </w:pPr>
        <w:r>
          <w:fldChar w:fldCharType="begin"/>
        </w:r>
        <w:r>
          <w:instrText xml:space="preserve"> PAGE   \* MERGEFORMAT </w:instrText>
        </w:r>
        <w:r>
          <w:fldChar w:fldCharType="separate"/>
        </w:r>
        <w:r w:rsidR="00D14777">
          <w:rPr>
            <w:noProof/>
          </w:rPr>
          <w:t>8</w:t>
        </w:r>
        <w:r>
          <w:rPr>
            <w:noProof/>
          </w:rPr>
          <w:fldChar w:fldCharType="end"/>
        </w:r>
      </w:p>
    </w:sdtContent>
  </w:sdt>
  <w:p w:rsidR="00F94F57" w:rsidRDefault="00F9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69" w:rsidRDefault="00623E69" w:rsidP="00567496">
      <w:r>
        <w:separator/>
      </w:r>
    </w:p>
  </w:footnote>
  <w:footnote w:type="continuationSeparator" w:id="0">
    <w:p w:rsidR="00623E69" w:rsidRDefault="00623E69" w:rsidP="00567496">
      <w:r>
        <w:continuationSeparator/>
      </w:r>
    </w:p>
  </w:footnote>
  <w:footnote w:id="1">
    <w:p w:rsidR="00E42936" w:rsidRPr="004C7B28" w:rsidRDefault="00E42936" w:rsidP="00E42936">
      <w:pPr>
        <w:pStyle w:val="FootnoteText"/>
        <w:ind w:firstLine="720"/>
        <w:rPr>
          <w:sz w:val="26"/>
        </w:rPr>
      </w:pPr>
      <w:r w:rsidRPr="004C7B28">
        <w:rPr>
          <w:rStyle w:val="FootnoteReference"/>
          <w:sz w:val="26"/>
        </w:rPr>
        <w:footnoteRef/>
      </w:r>
      <w:r w:rsidRPr="004C7B28">
        <w:rPr>
          <w:sz w:val="26"/>
        </w:rPr>
        <w:t xml:space="preserve"> </w:t>
      </w:r>
      <w:r w:rsidRPr="004C7B28">
        <w:rPr>
          <w:sz w:val="26"/>
        </w:rPr>
        <w:tab/>
      </w:r>
      <w:r w:rsidRPr="004C7B28">
        <w:rPr>
          <w:sz w:val="26"/>
          <w:szCs w:val="26"/>
        </w:rPr>
        <w:t>T</w:t>
      </w:r>
      <w:r w:rsidRPr="004C7B28">
        <w:rPr>
          <w:sz w:val="26"/>
        </w:rPr>
        <w:t xml:space="preserve">he Complainant filed the Exceptions with the Commission’s Secretary’s Bureau on April 19, 2012, however, the Exceptions </w:t>
      </w:r>
      <w:r w:rsidRPr="004C7B28">
        <w:rPr>
          <w:sz w:val="26"/>
          <w:szCs w:val="26"/>
        </w:rPr>
        <w:t xml:space="preserve">did not include a Certificate of Service.  By letter dated June 19, 2012, the Secretary’s Bureau notified the Parties that the Complainant had timely filed Exceptions, but had failed to serve a copy of the Exceptions on the other Parties to the case.  The letter provided a copy of the Exceptions to all Parties, and June 19, 2012, was then deemed to be the filing date for the Exceptions in order to avoid prejudice to any Party.     </w:t>
      </w:r>
    </w:p>
  </w:footnote>
  <w:footnote w:id="2">
    <w:p w:rsidR="008B3AB1" w:rsidRPr="008B3AB1" w:rsidRDefault="008B3AB1" w:rsidP="008B3AB1">
      <w:pPr>
        <w:pStyle w:val="FootnoteText"/>
        <w:ind w:firstLine="720"/>
        <w:rPr>
          <w:sz w:val="26"/>
        </w:rPr>
      </w:pPr>
      <w:r w:rsidRPr="008B3AB1">
        <w:rPr>
          <w:rStyle w:val="FootnoteReference"/>
          <w:sz w:val="26"/>
        </w:rPr>
        <w:footnoteRef/>
      </w:r>
      <w:r w:rsidRPr="008B3AB1">
        <w:rPr>
          <w:sz w:val="26"/>
        </w:rPr>
        <w:t xml:space="preserve"> </w:t>
      </w:r>
      <w:r w:rsidRPr="008B3AB1">
        <w:rPr>
          <w:sz w:val="26"/>
        </w:rPr>
        <w:tab/>
        <w:t xml:space="preserve">This Formal Complaint was an appeal of the Commission’s Bureau of Consumer Services’ decision on the Complainant’s informal complaint at BCS Case No. 2855236.    </w:t>
      </w:r>
    </w:p>
  </w:footnote>
  <w:footnote w:id="3">
    <w:p w:rsidR="003B70B8" w:rsidRPr="003B70B8" w:rsidRDefault="003B70B8" w:rsidP="003B70B8">
      <w:pPr>
        <w:pStyle w:val="FootnoteText"/>
        <w:tabs>
          <w:tab w:val="left" w:pos="720"/>
          <w:tab w:val="left" w:pos="1440"/>
        </w:tabs>
        <w:rPr>
          <w:sz w:val="26"/>
        </w:rPr>
      </w:pPr>
      <w:r>
        <w:tab/>
      </w:r>
      <w:r w:rsidRPr="003B70B8">
        <w:rPr>
          <w:rStyle w:val="FootnoteReference"/>
          <w:sz w:val="26"/>
        </w:rPr>
        <w:footnoteRef/>
      </w:r>
      <w:r w:rsidRPr="003B70B8">
        <w:rPr>
          <w:sz w:val="26"/>
        </w:rPr>
        <w:t xml:space="preserve"> </w:t>
      </w:r>
      <w:r w:rsidRPr="003B70B8">
        <w:rPr>
          <w:sz w:val="26"/>
        </w:rPr>
        <w:tab/>
        <w:t xml:space="preserve">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3B70B8">
        <w:rPr>
          <w:i/>
          <w:sz w:val="26"/>
        </w:rPr>
        <w:t>pro se</w:t>
      </w:r>
      <w:r w:rsidRPr="003B70B8">
        <w:rPr>
          <w:sz w:val="26"/>
        </w:rPr>
        <w:t xml:space="preserve">, we will accept the Exceptions as filed pursuant to Section 1.2(a) of our Regulations, 52 Pa. Code </w:t>
      </w:r>
    </w:p>
    <w:p w:rsidR="003B70B8" w:rsidRPr="003B70B8" w:rsidRDefault="003B70B8" w:rsidP="003B70B8">
      <w:pPr>
        <w:pStyle w:val="FootnoteText"/>
        <w:tabs>
          <w:tab w:val="left" w:pos="720"/>
          <w:tab w:val="left" w:pos="1440"/>
        </w:tabs>
        <w:rPr>
          <w:sz w:val="26"/>
        </w:rPr>
      </w:pPr>
      <w:r w:rsidRPr="003B70B8">
        <w:rPr>
          <w:sz w:val="26"/>
        </w:rPr>
        <w:t>§ 1.2(a), in order to secure a just, speedy, and inexpensive determination in this proceeding.</w:t>
      </w:r>
      <w:r>
        <w:rPr>
          <w:sz w:val="26"/>
        </w:rPr>
        <w:t xml:space="preserve">  </w:t>
      </w:r>
    </w:p>
    <w:p w:rsidR="003B70B8" w:rsidRPr="003B70B8" w:rsidRDefault="003B70B8" w:rsidP="003B70B8">
      <w:pPr>
        <w:pStyle w:val="FootnoteText"/>
        <w:ind w:firstLine="720"/>
        <w:rPr>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1B7"/>
    <w:rsid w:val="000036E9"/>
    <w:rsid w:val="00004052"/>
    <w:rsid w:val="00004858"/>
    <w:rsid w:val="00004E2C"/>
    <w:rsid w:val="00004F7C"/>
    <w:rsid w:val="00006415"/>
    <w:rsid w:val="00006ECB"/>
    <w:rsid w:val="00006EFA"/>
    <w:rsid w:val="00013322"/>
    <w:rsid w:val="0001578F"/>
    <w:rsid w:val="00016924"/>
    <w:rsid w:val="00016B40"/>
    <w:rsid w:val="00017680"/>
    <w:rsid w:val="0001780A"/>
    <w:rsid w:val="000211D0"/>
    <w:rsid w:val="00021A4A"/>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4F46"/>
    <w:rsid w:val="00034F90"/>
    <w:rsid w:val="000422E7"/>
    <w:rsid w:val="00042CC3"/>
    <w:rsid w:val="000447CE"/>
    <w:rsid w:val="00044CEB"/>
    <w:rsid w:val="00045551"/>
    <w:rsid w:val="00045911"/>
    <w:rsid w:val="00046962"/>
    <w:rsid w:val="00047785"/>
    <w:rsid w:val="000506DB"/>
    <w:rsid w:val="000509B2"/>
    <w:rsid w:val="00050CF6"/>
    <w:rsid w:val="00051324"/>
    <w:rsid w:val="000519B5"/>
    <w:rsid w:val="00052468"/>
    <w:rsid w:val="00052D75"/>
    <w:rsid w:val="00052FFA"/>
    <w:rsid w:val="000550E9"/>
    <w:rsid w:val="00055623"/>
    <w:rsid w:val="00055A3E"/>
    <w:rsid w:val="00056646"/>
    <w:rsid w:val="00057D94"/>
    <w:rsid w:val="0006109C"/>
    <w:rsid w:val="00061888"/>
    <w:rsid w:val="00063D15"/>
    <w:rsid w:val="00063E1C"/>
    <w:rsid w:val="00064136"/>
    <w:rsid w:val="00064894"/>
    <w:rsid w:val="000658EB"/>
    <w:rsid w:val="00065A18"/>
    <w:rsid w:val="00065F0E"/>
    <w:rsid w:val="00066A76"/>
    <w:rsid w:val="00066AE5"/>
    <w:rsid w:val="0007219D"/>
    <w:rsid w:val="000728F9"/>
    <w:rsid w:val="000732CB"/>
    <w:rsid w:val="000740B8"/>
    <w:rsid w:val="00074262"/>
    <w:rsid w:val="00074274"/>
    <w:rsid w:val="000749FD"/>
    <w:rsid w:val="0007550D"/>
    <w:rsid w:val="00075FD6"/>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90183"/>
    <w:rsid w:val="000917D1"/>
    <w:rsid w:val="00092F02"/>
    <w:rsid w:val="00093996"/>
    <w:rsid w:val="00093FE1"/>
    <w:rsid w:val="00094193"/>
    <w:rsid w:val="00094355"/>
    <w:rsid w:val="000950BB"/>
    <w:rsid w:val="00096209"/>
    <w:rsid w:val="000971B5"/>
    <w:rsid w:val="000979D4"/>
    <w:rsid w:val="000A06B5"/>
    <w:rsid w:val="000A0A6B"/>
    <w:rsid w:val="000A0C77"/>
    <w:rsid w:val="000A13F2"/>
    <w:rsid w:val="000A1613"/>
    <w:rsid w:val="000A18F9"/>
    <w:rsid w:val="000A1BE6"/>
    <w:rsid w:val="000A4744"/>
    <w:rsid w:val="000A4F3F"/>
    <w:rsid w:val="000A6F8A"/>
    <w:rsid w:val="000A718D"/>
    <w:rsid w:val="000A7DED"/>
    <w:rsid w:val="000B0210"/>
    <w:rsid w:val="000B12E3"/>
    <w:rsid w:val="000B1971"/>
    <w:rsid w:val="000B1E0D"/>
    <w:rsid w:val="000B1F90"/>
    <w:rsid w:val="000B531C"/>
    <w:rsid w:val="000B599B"/>
    <w:rsid w:val="000B6883"/>
    <w:rsid w:val="000B6C4C"/>
    <w:rsid w:val="000B710E"/>
    <w:rsid w:val="000B75DD"/>
    <w:rsid w:val="000C0E0E"/>
    <w:rsid w:val="000C2070"/>
    <w:rsid w:val="000C213E"/>
    <w:rsid w:val="000C35F6"/>
    <w:rsid w:val="000C459A"/>
    <w:rsid w:val="000C5F40"/>
    <w:rsid w:val="000C69AD"/>
    <w:rsid w:val="000C7089"/>
    <w:rsid w:val="000C7A35"/>
    <w:rsid w:val="000D0D98"/>
    <w:rsid w:val="000D1091"/>
    <w:rsid w:val="000D2A6B"/>
    <w:rsid w:val="000D380B"/>
    <w:rsid w:val="000D383A"/>
    <w:rsid w:val="000D3DCC"/>
    <w:rsid w:val="000D43BE"/>
    <w:rsid w:val="000D476B"/>
    <w:rsid w:val="000D48F9"/>
    <w:rsid w:val="000D520C"/>
    <w:rsid w:val="000D5D86"/>
    <w:rsid w:val="000D6CEF"/>
    <w:rsid w:val="000D74EC"/>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1E0"/>
    <w:rsid w:val="000F0263"/>
    <w:rsid w:val="000F0EA5"/>
    <w:rsid w:val="000F2AEE"/>
    <w:rsid w:val="000F3544"/>
    <w:rsid w:val="000F415F"/>
    <w:rsid w:val="000F45BD"/>
    <w:rsid w:val="000F461C"/>
    <w:rsid w:val="000F46D2"/>
    <w:rsid w:val="000F501F"/>
    <w:rsid w:val="000F50A2"/>
    <w:rsid w:val="000F50C8"/>
    <w:rsid w:val="000F5F90"/>
    <w:rsid w:val="000F7411"/>
    <w:rsid w:val="000F7DAE"/>
    <w:rsid w:val="00100BCA"/>
    <w:rsid w:val="0010174E"/>
    <w:rsid w:val="00101D54"/>
    <w:rsid w:val="00102F7E"/>
    <w:rsid w:val="00104159"/>
    <w:rsid w:val="00105BF5"/>
    <w:rsid w:val="00105E00"/>
    <w:rsid w:val="00105F1D"/>
    <w:rsid w:val="00106B30"/>
    <w:rsid w:val="00107493"/>
    <w:rsid w:val="00107BD9"/>
    <w:rsid w:val="0011210B"/>
    <w:rsid w:val="00112874"/>
    <w:rsid w:val="00115130"/>
    <w:rsid w:val="00115D05"/>
    <w:rsid w:val="00115FB0"/>
    <w:rsid w:val="00116C7B"/>
    <w:rsid w:val="0011729D"/>
    <w:rsid w:val="001172E7"/>
    <w:rsid w:val="00117A81"/>
    <w:rsid w:val="00120481"/>
    <w:rsid w:val="001212C2"/>
    <w:rsid w:val="00121D4A"/>
    <w:rsid w:val="00121DD2"/>
    <w:rsid w:val="00122DEA"/>
    <w:rsid w:val="0012301B"/>
    <w:rsid w:val="00123544"/>
    <w:rsid w:val="001248B9"/>
    <w:rsid w:val="00124CAA"/>
    <w:rsid w:val="00124D07"/>
    <w:rsid w:val="001251FA"/>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DD1"/>
    <w:rsid w:val="00137474"/>
    <w:rsid w:val="00137993"/>
    <w:rsid w:val="00140308"/>
    <w:rsid w:val="00141235"/>
    <w:rsid w:val="0014343B"/>
    <w:rsid w:val="00143548"/>
    <w:rsid w:val="00143873"/>
    <w:rsid w:val="00143B1D"/>
    <w:rsid w:val="00144359"/>
    <w:rsid w:val="00146C68"/>
    <w:rsid w:val="0014737F"/>
    <w:rsid w:val="00150526"/>
    <w:rsid w:val="00150E8C"/>
    <w:rsid w:val="00151710"/>
    <w:rsid w:val="00151C0A"/>
    <w:rsid w:val="00151E19"/>
    <w:rsid w:val="001520DA"/>
    <w:rsid w:val="00152175"/>
    <w:rsid w:val="00153381"/>
    <w:rsid w:val="00153DA6"/>
    <w:rsid w:val="00153E8D"/>
    <w:rsid w:val="00153F8F"/>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6B5"/>
    <w:rsid w:val="00177D81"/>
    <w:rsid w:val="0018006C"/>
    <w:rsid w:val="00180D82"/>
    <w:rsid w:val="00182093"/>
    <w:rsid w:val="00184831"/>
    <w:rsid w:val="00185FB2"/>
    <w:rsid w:val="00186927"/>
    <w:rsid w:val="001869F9"/>
    <w:rsid w:val="00187958"/>
    <w:rsid w:val="0019027A"/>
    <w:rsid w:val="0019028A"/>
    <w:rsid w:val="00191C9B"/>
    <w:rsid w:val="001920B5"/>
    <w:rsid w:val="00192C94"/>
    <w:rsid w:val="0019507A"/>
    <w:rsid w:val="001958F7"/>
    <w:rsid w:val="001960EE"/>
    <w:rsid w:val="001966F5"/>
    <w:rsid w:val="001A0BA6"/>
    <w:rsid w:val="001A1EF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E6E"/>
    <w:rsid w:val="001B2A8A"/>
    <w:rsid w:val="001B4D9F"/>
    <w:rsid w:val="001B4DBE"/>
    <w:rsid w:val="001B52E2"/>
    <w:rsid w:val="001B5DE4"/>
    <w:rsid w:val="001B5ECD"/>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B37"/>
    <w:rsid w:val="001D2F20"/>
    <w:rsid w:val="001D3050"/>
    <w:rsid w:val="001D6158"/>
    <w:rsid w:val="001D62D6"/>
    <w:rsid w:val="001D6915"/>
    <w:rsid w:val="001D6F21"/>
    <w:rsid w:val="001E00F5"/>
    <w:rsid w:val="001E197D"/>
    <w:rsid w:val="001E19B2"/>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56F8"/>
    <w:rsid w:val="00205C93"/>
    <w:rsid w:val="00206D72"/>
    <w:rsid w:val="0020767E"/>
    <w:rsid w:val="00210F6C"/>
    <w:rsid w:val="0021316F"/>
    <w:rsid w:val="002133BD"/>
    <w:rsid w:val="00213844"/>
    <w:rsid w:val="00213CEC"/>
    <w:rsid w:val="0021490C"/>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652"/>
    <w:rsid w:val="002403F6"/>
    <w:rsid w:val="0024045B"/>
    <w:rsid w:val="00240734"/>
    <w:rsid w:val="0024138C"/>
    <w:rsid w:val="00241868"/>
    <w:rsid w:val="00243200"/>
    <w:rsid w:val="002432FA"/>
    <w:rsid w:val="002439CE"/>
    <w:rsid w:val="00245113"/>
    <w:rsid w:val="00245BA0"/>
    <w:rsid w:val="00246B19"/>
    <w:rsid w:val="00246E31"/>
    <w:rsid w:val="00247038"/>
    <w:rsid w:val="00250871"/>
    <w:rsid w:val="00250EEF"/>
    <w:rsid w:val="0025268A"/>
    <w:rsid w:val="00252AD1"/>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4A2"/>
    <w:rsid w:val="00264338"/>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4B3E"/>
    <w:rsid w:val="00274CA0"/>
    <w:rsid w:val="00275369"/>
    <w:rsid w:val="00277406"/>
    <w:rsid w:val="00280E7B"/>
    <w:rsid w:val="00281A01"/>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14E0"/>
    <w:rsid w:val="002A2130"/>
    <w:rsid w:val="002A3932"/>
    <w:rsid w:val="002A4218"/>
    <w:rsid w:val="002A48A3"/>
    <w:rsid w:val="002A5492"/>
    <w:rsid w:val="002A54B9"/>
    <w:rsid w:val="002A609D"/>
    <w:rsid w:val="002A6185"/>
    <w:rsid w:val="002A678C"/>
    <w:rsid w:val="002A6C71"/>
    <w:rsid w:val="002A7B3F"/>
    <w:rsid w:val="002B1787"/>
    <w:rsid w:val="002B389B"/>
    <w:rsid w:val="002B3D1D"/>
    <w:rsid w:val="002B3DF1"/>
    <w:rsid w:val="002B56B3"/>
    <w:rsid w:val="002C0E1C"/>
    <w:rsid w:val="002C15C0"/>
    <w:rsid w:val="002C1776"/>
    <w:rsid w:val="002C2BA6"/>
    <w:rsid w:val="002C3E78"/>
    <w:rsid w:val="002C403A"/>
    <w:rsid w:val="002C4F37"/>
    <w:rsid w:val="002C5120"/>
    <w:rsid w:val="002C519E"/>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E588A"/>
    <w:rsid w:val="002F028F"/>
    <w:rsid w:val="002F0B35"/>
    <w:rsid w:val="002F0D1C"/>
    <w:rsid w:val="002F1C7E"/>
    <w:rsid w:val="002F3676"/>
    <w:rsid w:val="002F5E58"/>
    <w:rsid w:val="002F645C"/>
    <w:rsid w:val="002F6B14"/>
    <w:rsid w:val="002F7734"/>
    <w:rsid w:val="002F7AFB"/>
    <w:rsid w:val="00300758"/>
    <w:rsid w:val="00301D87"/>
    <w:rsid w:val="00302476"/>
    <w:rsid w:val="00303159"/>
    <w:rsid w:val="0030374F"/>
    <w:rsid w:val="003066F3"/>
    <w:rsid w:val="00306F3B"/>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C9"/>
    <w:rsid w:val="003249EC"/>
    <w:rsid w:val="00324D69"/>
    <w:rsid w:val="003257FD"/>
    <w:rsid w:val="0032598F"/>
    <w:rsid w:val="0032606A"/>
    <w:rsid w:val="00326389"/>
    <w:rsid w:val="003279E9"/>
    <w:rsid w:val="00330B22"/>
    <w:rsid w:val="00331602"/>
    <w:rsid w:val="00331847"/>
    <w:rsid w:val="00331885"/>
    <w:rsid w:val="00331985"/>
    <w:rsid w:val="003319DD"/>
    <w:rsid w:val="00332DC9"/>
    <w:rsid w:val="00333DB3"/>
    <w:rsid w:val="0033458B"/>
    <w:rsid w:val="0033524A"/>
    <w:rsid w:val="003356A1"/>
    <w:rsid w:val="00336BF4"/>
    <w:rsid w:val="00337357"/>
    <w:rsid w:val="0033758D"/>
    <w:rsid w:val="00337B04"/>
    <w:rsid w:val="00341DC5"/>
    <w:rsid w:val="003436D0"/>
    <w:rsid w:val="003436EC"/>
    <w:rsid w:val="00343A19"/>
    <w:rsid w:val="00347FE2"/>
    <w:rsid w:val="00350630"/>
    <w:rsid w:val="00350C04"/>
    <w:rsid w:val="00350EB2"/>
    <w:rsid w:val="00351617"/>
    <w:rsid w:val="00351BF4"/>
    <w:rsid w:val="00351E77"/>
    <w:rsid w:val="003526AD"/>
    <w:rsid w:val="00352908"/>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51D"/>
    <w:rsid w:val="00363A0C"/>
    <w:rsid w:val="00363E3B"/>
    <w:rsid w:val="0036420A"/>
    <w:rsid w:val="00364537"/>
    <w:rsid w:val="003647B6"/>
    <w:rsid w:val="0036503E"/>
    <w:rsid w:val="003663E2"/>
    <w:rsid w:val="003668EF"/>
    <w:rsid w:val="003674E8"/>
    <w:rsid w:val="00367C10"/>
    <w:rsid w:val="003715E6"/>
    <w:rsid w:val="00373BDE"/>
    <w:rsid w:val="0037449F"/>
    <w:rsid w:val="003754B9"/>
    <w:rsid w:val="0037610D"/>
    <w:rsid w:val="00377275"/>
    <w:rsid w:val="003773B6"/>
    <w:rsid w:val="0037748F"/>
    <w:rsid w:val="0038179A"/>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3420"/>
    <w:rsid w:val="003A3D81"/>
    <w:rsid w:val="003A3F6B"/>
    <w:rsid w:val="003A4B56"/>
    <w:rsid w:val="003A53FE"/>
    <w:rsid w:val="003A6101"/>
    <w:rsid w:val="003A70D4"/>
    <w:rsid w:val="003A7A08"/>
    <w:rsid w:val="003A7D61"/>
    <w:rsid w:val="003B063B"/>
    <w:rsid w:val="003B14B4"/>
    <w:rsid w:val="003B2D9C"/>
    <w:rsid w:val="003B30B2"/>
    <w:rsid w:val="003B431A"/>
    <w:rsid w:val="003B4495"/>
    <w:rsid w:val="003B4648"/>
    <w:rsid w:val="003B51D4"/>
    <w:rsid w:val="003B5ADE"/>
    <w:rsid w:val="003B5FFD"/>
    <w:rsid w:val="003B6749"/>
    <w:rsid w:val="003B70B8"/>
    <w:rsid w:val="003B7145"/>
    <w:rsid w:val="003B7921"/>
    <w:rsid w:val="003B79E7"/>
    <w:rsid w:val="003B7E65"/>
    <w:rsid w:val="003C066C"/>
    <w:rsid w:val="003C126B"/>
    <w:rsid w:val="003C15E8"/>
    <w:rsid w:val="003C1869"/>
    <w:rsid w:val="003C27F1"/>
    <w:rsid w:val="003C36DD"/>
    <w:rsid w:val="003C3F2C"/>
    <w:rsid w:val="003C4974"/>
    <w:rsid w:val="003C49D4"/>
    <w:rsid w:val="003C55F4"/>
    <w:rsid w:val="003C5846"/>
    <w:rsid w:val="003C5B12"/>
    <w:rsid w:val="003C78C2"/>
    <w:rsid w:val="003C7E10"/>
    <w:rsid w:val="003C7F9D"/>
    <w:rsid w:val="003D00D4"/>
    <w:rsid w:val="003D02B7"/>
    <w:rsid w:val="003D059B"/>
    <w:rsid w:val="003D2E73"/>
    <w:rsid w:val="003D3FDB"/>
    <w:rsid w:val="003D457A"/>
    <w:rsid w:val="003D6980"/>
    <w:rsid w:val="003D7A67"/>
    <w:rsid w:val="003E0094"/>
    <w:rsid w:val="003E0158"/>
    <w:rsid w:val="003E1087"/>
    <w:rsid w:val="003E1582"/>
    <w:rsid w:val="003E2D04"/>
    <w:rsid w:val="003E3489"/>
    <w:rsid w:val="003E3902"/>
    <w:rsid w:val="003E3BF6"/>
    <w:rsid w:val="003E3C1F"/>
    <w:rsid w:val="003E3D43"/>
    <w:rsid w:val="003E4036"/>
    <w:rsid w:val="003E49D2"/>
    <w:rsid w:val="003E5F24"/>
    <w:rsid w:val="003E61EF"/>
    <w:rsid w:val="003E7C58"/>
    <w:rsid w:val="003F0D49"/>
    <w:rsid w:val="003F1A9A"/>
    <w:rsid w:val="003F1D06"/>
    <w:rsid w:val="003F2343"/>
    <w:rsid w:val="003F301C"/>
    <w:rsid w:val="003F3031"/>
    <w:rsid w:val="003F34B2"/>
    <w:rsid w:val="003F3D4C"/>
    <w:rsid w:val="003F4EA6"/>
    <w:rsid w:val="00401266"/>
    <w:rsid w:val="00401A88"/>
    <w:rsid w:val="00402A9C"/>
    <w:rsid w:val="00402CE7"/>
    <w:rsid w:val="00402FB6"/>
    <w:rsid w:val="00403424"/>
    <w:rsid w:val="00404584"/>
    <w:rsid w:val="004047C6"/>
    <w:rsid w:val="00404B93"/>
    <w:rsid w:val="0040664F"/>
    <w:rsid w:val="0040677B"/>
    <w:rsid w:val="00406AF1"/>
    <w:rsid w:val="00407677"/>
    <w:rsid w:val="004076D5"/>
    <w:rsid w:val="00407AFD"/>
    <w:rsid w:val="0041131A"/>
    <w:rsid w:val="00411387"/>
    <w:rsid w:val="00411649"/>
    <w:rsid w:val="00411782"/>
    <w:rsid w:val="00412105"/>
    <w:rsid w:val="004121A0"/>
    <w:rsid w:val="0041460A"/>
    <w:rsid w:val="00414F35"/>
    <w:rsid w:val="004162DA"/>
    <w:rsid w:val="00416468"/>
    <w:rsid w:val="00417BD6"/>
    <w:rsid w:val="00421346"/>
    <w:rsid w:val="00421932"/>
    <w:rsid w:val="00421ABF"/>
    <w:rsid w:val="00422697"/>
    <w:rsid w:val="00423CDB"/>
    <w:rsid w:val="004240CD"/>
    <w:rsid w:val="004240ED"/>
    <w:rsid w:val="00424367"/>
    <w:rsid w:val="0042459E"/>
    <w:rsid w:val="00424786"/>
    <w:rsid w:val="004249BE"/>
    <w:rsid w:val="00425C56"/>
    <w:rsid w:val="00426DFB"/>
    <w:rsid w:val="00431EAD"/>
    <w:rsid w:val="004327CD"/>
    <w:rsid w:val="00433826"/>
    <w:rsid w:val="004339E3"/>
    <w:rsid w:val="0043525E"/>
    <w:rsid w:val="004352B1"/>
    <w:rsid w:val="004358C9"/>
    <w:rsid w:val="004358E7"/>
    <w:rsid w:val="00435BA6"/>
    <w:rsid w:val="00435D68"/>
    <w:rsid w:val="00436CED"/>
    <w:rsid w:val="00437D58"/>
    <w:rsid w:val="00441614"/>
    <w:rsid w:val="0044197C"/>
    <w:rsid w:val="004428D1"/>
    <w:rsid w:val="00442E04"/>
    <w:rsid w:val="00443444"/>
    <w:rsid w:val="00443DD7"/>
    <w:rsid w:val="00444B37"/>
    <w:rsid w:val="00444D21"/>
    <w:rsid w:val="00445513"/>
    <w:rsid w:val="0044597E"/>
    <w:rsid w:val="0044608D"/>
    <w:rsid w:val="00446B41"/>
    <w:rsid w:val="00447015"/>
    <w:rsid w:val="00447A4D"/>
    <w:rsid w:val="00447DEA"/>
    <w:rsid w:val="00450362"/>
    <w:rsid w:val="00450395"/>
    <w:rsid w:val="0045102C"/>
    <w:rsid w:val="00451239"/>
    <w:rsid w:val="00451D76"/>
    <w:rsid w:val="004523B6"/>
    <w:rsid w:val="0045433D"/>
    <w:rsid w:val="00455D63"/>
    <w:rsid w:val="00455F99"/>
    <w:rsid w:val="00456053"/>
    <w:rsid w:val="0045661F"/>
    <w:rsid w:val="00460630"/>
    <w:rsid w:val="00461029"/>
    <w:rsid w:val="00461396"/>
    <w:rsid w:val="00461C2D"/>
    <w:rsid w:val="0046257A"/>
    <w:rsid w:val="00462DA5"/>
    <w:rsid w:val="00464A04"/>
    <w:rsid w:val="00465726"/>
    <w:rsid w:val="00465EF1"/>
    <w:rsid w:val="00466D88"/>
    <w:rsid w:val="00467B47"/>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3798"/>
    <w:rsid w:val="00484210"/>
    <w:rsid w:val="00485478"/>
    <w:rsid w:val="00487AB5"/>
    <w:rsid w:val="00490D01"/>
    <w:rsid w:val="00490D47"/>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3369"/>
    <w:rsid w:val="004A457F"/>
    <w:rsid w:val="004A4D88"/>
    <w:rsid w:val="004A5231"/>
    <w:rsid w:val="004A56DF"/>
    <w:rsid w:val="004A641C"/>
    <w:rsid w:val="004A74B7"/>
    <w:rsid w:val="004A7C3F"/>
    <w:rsid w:val="004B1218"/>
    <w:rsid w:val="004B13E3"/>
    <w:rsid w:val="004B2521"/>
    <w:rsid w:val="004B3847"/>
    <w:rsid w:val="004B5212"/>
    <w:rsid w:val="004B53D5"/>
    <w:rsid w:val="004B5417"/>
    <w:rsid w:val="004B6827"/>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2C91"/>
    <w:rsid w:val="004E2E45"/>
    <w:rsid w:val="004E34A2"/>
    <w:rsid w:val="004E446A"/>
    <w:rsid w:val="004E4BD5"/>
    <w:rsid w:val="004E4E16"/>
    <w:rsid w:val="004E4E92"/>
    <w:rsid w:val="004E5252"/>
    <w:rsid w:val="004E7093"/>
    <w:rsid w:val="004E7884"/>
    <w:rsid w:val="004F0147"/>
    <w:rsid w:val="004F20EE"/>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5E84"/>
    <w:rsid w:val="005060CE"/>
    <w:rsid w:val="00506957"/>
    <w:rsid w:val="005072FD"/>
    <w:rsid w:val="00507D5E"/>
    <w:rsid w:val="00507EF4"/>
    <w:rsid w:val="00510115"/>
    <w:rsid w:val="00510538"/>
    <w:rsid w:val="005107E0"/>
    <w:rsid w:val="00510914"/>
    <w:rsid w:val="005116AE"/>
    <w:rsid w:val="00511F17"/>
    <w:rsid w:val="005134AF"/>
    <w:rsid w:val="005134D7"/>
    <w:rsid w:val="00513681"/>
    <w:rsid w:val="00514742"/>
    <w:rsid w:val="00515A6F"/>
    <w:rsid w:val="005171CB"/>
    <w:rsid w:val="00520348"/>
    <w:rsid w:val="00520858"/>
    <w:rsid w:val="0052085B"/>
    <w:rsid w:val="00520AA0"/>
    <w:rsid w:val="00521B49"/>
    <w:rsid w:val="00522CD1"/>
    <w:rsid w:val="00524BED"/>
    <w:rsid w:val="005252D4"/>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541"/>
    <w:rsid w:val="0053754B"/>
    <w:rsid w:val="00537A00"/>
    <w:rsid w:val="00537A88"/>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7611"/>
    <w:rsid w:val="00557DDC"/>
    <w:rsid w:val="00560C20"/>
    <w:rsid w:val="00560CEE"/>
    <w:rsid w:val="00561C42"/>
    <w:rsid w:val="005621B2"/>
    <w:rsid w:val="005625C9"/>
    <w:rsid w:val="00562A88"/>
    <w:rsid w:val="00562B19"/>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255E"/>
    <w:rsid w:val="00584276"/>
    <w:rsid w:val="00584629"/>
    <w:rsid w:val="005852B1"/>
    <w:rsid w:val="0058540F"/>
    <w:rsid w:val="005861AC"/>
    <w:rsid w:val="005870B1"/>
    <w:rsid w:val="00587D9E"/>
    <w:rsid w:val="00587E5F"/>
    <w:rsid w:val="005904FB"/>
    <w:rsid w:val="00591023"/>
    <w:rsid w:val="005935DB"/>
    <w:rsid w:val="0059436D"/>
    <w:rsid w:val="00594B8F"/>
    <w:rsid w:val="00594E2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BA6"/>
    <w:rsid w:val="005B7D2C"/>
    <w:rsid w:val="005B7DEA"/>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78E1"/>
    <w:rsid w:val="005E0286"/>
    <w:rsid w:val="005E037C"/>
    <w:rsid w:val="005E167A"/>
    <w:rsid w:val="005E1B9D"/>
    <w:rsid w:val="005E23DF"/>
    <w:rsid w:val="005E250D"/>
    <w:rsid w:val="005E2B61"/>
    <w:rsid w:val="005E2B87"/>
    <w:rsid w:val="005E3461"/>
    <w:rsid w:val="005E3725"/>
    <w:rsid w:val="005E45AF"/>
    <w:rsid w:val="005E49CD"/>
    <w:rsid w:val="005E51E1"/>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6075"/>
    <w:rsid w:val="005F637A"/>
    <w:rsid w:val="005F742A"/>
    <w:rsid w:val="00600CD2"/>
    <w:rsid w:val="00600D1E"/>
    <w:rsid w:val="006028DA"/>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63CF"/>
    <w:rsid w:val="00616C9B"/>
    <w:rsid w:val="00622ED8"/>
    <w:rsid w:val="00623E69"/>
    <w:rsid w:val="0062421D"/>
    <w:rsid w:val="006248B5"/>
    <w:rsid w:val="00624CA0"/>
    <w:rsid w:val="00627124"/>
    <w:rsid w:val="00627147"/>
    <w:rsid w:val="00630A8F"/>
    <w:rsid w:val="0063189C"/>
    <w:rsid w:val="00631AE8"/>
    <w:rsid w:val="006333D9"/>
    <w:rsid w:val="006339B2"/>
    <w:rsid w:val="00634240"/>
    <w:rsid w:val="006349C5"/>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47754"/>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70A27"/>
    <w:rsid w:val="00671438"/>
    <w:rsid w:val="006719E1"/>
    <w:rsid w:val="00671AA4"/>
    <w:rsid w:val="00673439"/>
    <w:rsid w:val="00674FC9"/>
    <w:rsid w:val="0067535F"/>
    <w:rsid w:val="00675A9C"/>
    <w:rsid w:val="00677382"/>
    <w:rsid w:val="00680689"/>
    <w:rsid w:val="0068114D"/>
    <w:rsid w:val="006814B0"/>
    <w:rsid w:val="00681BCD"/>
    <w:rsid w:val="00681F82"/>
    <w:rsid w:val="00684638"/>
    <w:rsid w:val="00684B84"/>
    <w:rsid w:val="00685B16"/>
    <w:rsid w:val="006872FF"/>
    <w:rsid w:val="006909A3"/>
    <w:rsid w:val="0069120E"/>
    <w:rsid w:val="0069178F"/>
    <w:rsid w:val="00691A22"/>
    <w:rsid w:val="00691ED8"/>
    <w:rsid w:val="00693378"/>
    <w:rsid w:val="00693AF3"/>
    <w:rsid w:val="0069557A"/>
    <w:rsid w:val="00695E3F"/>
    <w:rsid w:val="00695E4C"/>
    <w:rsid w:val="00696CFE"/>
    <w:rsid w:val="00697928"/>
    <w:rsid w:val="006A1585"/>
    <w:rsid w:val="006A3021"/>
    <w:rsid w:val="006A332F"/>
    <w:rsid w:val="006A3879"/>
    <w:rsid w:val="006A3EAE"/>
    <w:rsid w:val="006A3F88"/>
    <w:rsid w:val="006A520A"/>
    <w:rsid w:val="006B0138"/>
    <w:rsid w:val="006B0B4D"/>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10C7"/>
    <w:rsid w:val="006C17F3"/>
    <w:rsid w:val="006C3593"/>
    <w:rsid w:val="006C44D0"/>
    <w:rsid w:val="006C5595"/>
    <w:rsid w:val="006C5B18"/>
    <w:rsid w:val="006C5EA5"/>
    <w:rsid w:val="006C64DD"/>
    <w:rsid w:val="006C6614"/>
    <w:rsid w:val="006C6740"/>
    <w:rsid w:val="006C6D21"/>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2484"/>
    <w:rsid w:val="0070346B"/>
    <w:rsid w:val="00703FFD"/>
    <w:rsid w:val="00704A18"/>
    <w:rsid w:val="00704DC8"/>
    <w:rsid w:val="00705B2A"/>
    <w:rsid w:val="00705B4B"/>
    <w:rsid w:val="00705C9F"/>
    <w:rsid w:val="00706D1C"/>
    <w:rsid w:val="00707FA3"/>
    <w:rsid w:val="00707FDB"/>
    <w:rsid w:val="00710028"/>
    <w:rsid w:val="0071030E"/>
    <w:rsid w:val="00710F31"/>
    <w:rsid w:val="007116DF"/>
    <w:rsid w:val="00711AD7"/>
    <w:rsid w:val="007121F7"/>
    <w:rsid w:val="00712352"/>
    <w:rsid w:val="0071285C"/>
    <w:rsid w:val="00713464"/>
    <w:rsid w:val="0071373D"/>
    <w:rsid w:val="007162D0"/>
    <w:rsid w:val="0071743D"/>
    <w:rsid w:val="00717625"/>
    <w:rsid w:val="0072067F"/>
    <w:rsid w:val="00720F4C"/>
    <w:rsid w:val="00720F81"/>
    <w:rsid w:val="00721B04"/>
    <w:rsid w:val="007227DF"/>
    <w:rsid w:val="0072298B"/>
    <w:rsid w:val="00723777"/>
    <w:rsid w:val="007260A7"/>
    <w:rsid w:val="00726574"/>
    <w:rsid w:val="007279BD"/>
    <w:rsid w:val="0073059E"/>
    <w:rsid w:val="0073473A"/>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448F"/>
    <w:rsid w:val="00755869"/>
    <w:rsid w:val="00755F14"/>
    <w:rsid w:val="007573A6"/>
    <w:rsid w:val="00757CBE"/>
    <w:rsid w:val="007603D4"/>
    <w:rsid w:val="00760409"/>
    <w:rsid w:val="007605E8"/>
    <w:rsid w:val="00761D16"/>
    <w:rsid w:val="00761EE7"/>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A8"/>
    <w:rsid w:val="007836BE"/>
    <w:rsid w:val="00784B40"/>
    <w:rsid w:val="00784DC1"/>
    <w:rsid w:val="00790638"/>
    <w:rsid w:val="007923ED"/>
    <w:rsid w:val="00793110"/>
    <w:rsid w:val="00794433"/>
    <w:rsid w:val="00795707"/>
    <w:rsid w:val="007957C7"/>
    <w:rsid w:val="0079648F"/>
    <w:rsid w:val="0079657C"/>
    <w:rsid w:val="0079657E"/>
    <w:rsid w:val="00797E29"/>
    <w:rsid w:val="007A083C"/>
    <w:rsid w:val="007A1B99"/>
    <w:rsid w:val="007A26A5"/>
    <w:rsid w:val="007A315F"/>
    <w:rsid w:val="007A488F"/>
    <w:rsid w:val="007A600F"/>
    <w:rsid w:val="007A6202"/>
    <w:rsid w:val="007A6318"/>
    <w:rsid w:val="007A6DBD"/>
    <w:rsid w:val="007A7122"/>
    <w:rsid w:val="007A7178"/>
    <w:rsid w:val="007A72C4"/>
    <w:rsid w:val="007B28EB"/>
    <w:rsid w:val="007B2B9C"/>
    <w:rsid w:val="007B3BCE"/>
    <w:rsid w:val="007B3D0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C8B"/>
    <w:rsid w:val="007D6624"/>
    <w:rsid w:val="007D7503"/>
    <w:rsid w:val="007D7CD2"/>
    <w:rsid w:val="007E12F7"/>
    <w:rsid w:val="007E2C8E"/>
    <w:rsid w:val="007E2D9A"/>
    <w:rsid w:val="007E334D"/>
    <w:rsid w:val="007E385F"/>
    <w:rsid w:val="007E44DC"/>
    <w:rsid w:val="007E494E"/>
    <w:rsid w:val="007E4B27"/>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800510"/>
    <w:rsid w:val="0080083D"/>
    <w:rsid w:val="00800C4D"/>
    <w:rsid w:val="008010F4"/>
    <w:rsid w:val="0080136F"/>
    <w:rsid w:val="008022D6"/>
    <w:rsid w:val="00802791"/>
    <w:rsid w:val="00802F32"/>
    <w:rsid w:val="00804F10"/>
    <w:rsid w:val="008056E0"/>
    <w:rsid w:val="00806E9F"/>
    <w:rsid w:val="008078CF"/>
    <w:rsid w:val="008101E2"/>
    <w:rsid w:val="008111CD"/>
    <w:rsid w:val="008124D3"/>
    <w:rsid w:val="00812945"/>
    <w:rsid w:val="0081351E"/>
    <w:rsid w:val="00813B71"/>
    <w:rsid w:val="00813C34"/>
    <w:rsid w:val="0081568C"/>
    <w:rsid w:val="00815EB1"/>
    <w:rsid w:val="0081664A"/>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147A"/>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6A95"/>
    <w:rsid w:val="00877140"/>
    <w:rsid w:val="00880CEB"/>
    <w:rsid w:val="00882007"/>
    <w:rsid w:val="00882826"/>
    <w:rsid w:val="00882B47"/>
    <w:rsid w:val="00883114"/>
    <w:rsid w:val="008837F0"/>
    <w:rsid w:val="0088405F"/>
    <w:rsid w:val="00885CD7"/>
    <w:rsid w:val="00886795"/>
    <w:rsid w:val="0089055D"/>
    <w:rsid w:val="008905AA"/>
    <w:rsid w:val="0089122E"/>
    <w:rsid w:val="0089243A"/>
    <w:rsid w:val="008928D4"/>
    <w:rsid w:val="008958D5"/>
    <w:rsid w:val="008974C3"/>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72F2"/>
    <w:rsid w:val="008D0F8A"/>
    <w:rsid w:val="008D1B16"/>
    <w:rsid w:val="008D2365"/>
    <w:rsid w:val="008D2D08"/>
    <w:rsid w:val="008D38F3"/>
    <w:rsid w:val="008D3DE5"/>
    <w:rsid w:val="008D3F0E"/>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858"/>
    <w:rsid w:val="008F5EBA"/>
    <w:rsid w:val="008F65D5"/>
    <w:rsid w:val="008F6E06"/>
    <w:rsid w:val="008F774F"/>
    <w:rsid w:val="008F7A43"/>
    <w:rsid w:val="008F7D17"/>
    <w:rsid w:val="00901A48"/>
    <w:rsid w:val="0090209F"/>
    <w:rsid w:val="0090277B"/>
    <w:rsid w:val="00903A51"/>
    <w:rsid w:val="00903CEF"/>
    <w:rsid w:val="00903FDC"/>
    <w:rsid w:val="00904DC3"/>
    <w:rsid w:val="0090609E"/>
    <w:rsid w:val="009063D5"/>
    <w:rsid w:val="009067A2"/>
    <w:rsid w:val="00906897"/>
    <w:rsid w:val="00907B37"/>
    <w:rsid w:val="0091225F"/>
    <w:rsid w:val="009122BF"/>
    <w:rsid w:val="009130AC"/>
    <w:rsid w:val="0091424D"/>
    <w:rsid w:val="00914A95"/>
    <w:rsid w:val="009154B8"/>
    <w:rsid w:val="0091564A"/>
    <w:rsid w:val="00915A0E"/>
    <w:rsid w:val="009161C8"/>
    <w:rsid w:val="0091789A"/>
    <w:rsid w:val="00917EA2"/>
    <w:rsid w:val="00920281"/>
    <w:rsid w:val="009210A6"/>
    <w:rsid w:val="0092196C"/>
    <w:rsid w:val="00921E76"/>
    <w:rsid w:val="0092295B"/>
    <w:rsid w:val="00922C82"/>
    <w:rsid w:val="0092368A"/>
    <w:rsid w:val="00923A3D"/>
    <w:rsid w:val="00924C8A"/>
    <w:rsid w:val="009250E1"/>
    <w:rsid w:val="00925137"/>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1B"/>
    <w:rsid w:val="00934DE1"/>
    <w:rsid w:val="00935991"/>
    <w:rsid w:val="0093650E"/>
    <w:rsid w:val="00936526"/>
    <w:rsid w:val="0093736F"/>
    <w:rsid w:val="00937717"/>
    <w:rsid w:val="0093784D"/>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372"/>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146E"/>
    <w:rsid w:val="009C2850"/>
    <w:rsid w:val="009C2AA3"/>
    <w:rsid w:val="009C2C4E"/>
    <w:rsid w:val="009C2D71"/>
    <w:rsid w:val="009C418A"/>
    <w:rsid w:val="009C461F"/>
    <w:rsid w:val="009C48D1"/>
    <w:rsid w:val="009C56D7"/>
    <w:rsid w:val="009C6456"/>
    <w:rsid w:val="009C67B5"/>
    <w:rsid w:val="009C6E03"/>
    <w:rsid w:val="009C786D"/>
    <w:rsid w:val="009D003E"/>
    <w:rsid w:val="009D09AD"/>
    <w:rsid w:val="009D10EB"/>
    <w:rsid w:val="009D13FE"/>
    <w:rsid w:val="009D1662"/>
    <w:rsid w:val="009D1FA7"/>
    <w:rsid w:val="009D1FFD"/>
    <w:rsid w:val="009D2C3D"/>
    <w:rsid w:val="009D5143"/>
    <w:rsid w:val="009D54C6"/>
    <w:rsid w:val="009D6721"/>
    <w:rsid w:val="009D68C9"/>
    <w:rsid w:val="009D7298"/>
    <w:rsid w:val="009D75BF"/>
    <w:rsid w:val="009D792A"/>
    <w:rsid w:val="009D7CA6"/>
    <w:rsid w:val="009D7D2F"/>
    <w:rsid w:val="009E1586"/>
    <w:rsid w:val="009E19D8"/>
    <w:rsid w:val="009E1AAD"/>
    <w:rsid w:val="009E2295"/>
    <w:rsid w:val="009E2988"/>
    <w:rsid w:val="009E2992"/>
    <w:rsid w:val="009E2FD9"/>
    <w:rsid w:val="009E30FE"/>
    <w:rsid w:val="009E3F5A"/>
    <w:rsid w:val="009E52C6"/>
    <w:rsid w:val="009E6485"/>
    <w:rsid w:val="009E64A7"/>
    <w:rsid w:val="009E6563"/>
    <w:rsid w:val="009E68F3"/>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A3C"/>
    <w:rsid w:val="009F6B59"/>
    <w:rsid w:val="009F7701"/>
    <w:rsid w:val="00A00947"/>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88E"/>
    <w:rsid w:val="00A26B0E"/>
    <w:rsid w:val="00A30563"/>
    <w:rsid w:val="00A319CA"/>
    <w:rsid w:val="00A333A0"/>
    <w:rsid w:val="00A3373F"/>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E87"/>
    <w:rsid w:val="00A50D28"/>
    <w:rsid w:val="00A512C9"/>
    <w:rsid w:val="00A51E29"/>
    <w:rsid w:val="00A540FF"/>
    <w:rsid w:val="00A5412A"/>
    <w:rsid w:val="00A542C4"/>
    <w:rsid w:val="00A547AD"/>
    <w:rsid w:val="00A554D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4F7D"/>
    <w:rsid w:val="00A75E45"/>
    <w:rsid w:val="00A7607E"/>
    <w:rsid w:val="00A76177"/>
    <w:rsid w:val="00A765CE"/>
    <w:rsid w:val="00A77067"/>
    <w:rsid w:val="00A804B6"/>
    <w:rsid w:val="00A807AE"/>
    <w:rsid w:val="00A80864"/>
    <w:rsid w:val="00A81849"/>
    <w:rsid w:val="00A81971"/>
    <w:rsid w:val="00A81CEA"/>
    <w:rsid w:val="00A8210B"/>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0937"/>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4464"/>
    <w:rsid w:val="00AD4BC4"/>
    <w:rsid w:val="00AD6AEF"/>
    <w:rsid w:val="00AD73AA"/>
    <w:rsid w:val="00AD774C"/>
    <w:rsid w:val="00AE0C80"/>
    <w:rsid w:val="00AE1B8E"/>
    <w:rsid w:val="00AE2CE9"/>
    <w:rsid w:val="00AE3362"/>
    <w:rsid w:val="00AE3C30"/>
    <w:rsid w:val="00AE498C"/>
    <w:rsid w:val="00AF055C"/>
    <w:rsid w:val="00AF0B1E"/>
    <w:rsid w:val="00AF1456"/>
    <w:rsid w:val="00AF18FC"/>
    <w:rsid w:val="00AF1A47"/>
    <w:rsid w:val="00AF1C02"/>
    <w:rsid w:val="00AF1F55"/>
    <w:rsid w:val="00AF2FB1"/>
    <w:rsid w:val="00AF3D6C"/>
    <w:rsid w:val="00AF3E1C"/>
    <w:rsid w:val="00AF4548"/>
    <w:rsid w:val="00AF5A92"/>
    <w:rsid w:val="00AF6337"/>
    <w:rsid w:val="00AF63C1"/>
    <w:rsid w:val="00AF659D"/>
    <w:rsid w:val="00AF7405"/>
    <w:rsid w:val="00B00307"/>
    <w:rsid w:val="00B004FE"/>
    <w:rsid w:val="00B01318"/>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472"/>
    <w:rsid w:val="00B1756C"/>
    <w:rsid w:val="00B17CE7"/>
    <w:rsid w:val="00B203D5"/>
    <w:rsid w:val="00B20C2F"/>
    <w:rsid w:val="00B21615"/>
    <w:rsid w:val="00B23CA3"/>
    <w:rsid w:val="00B23ED7"/>
    <w:rsid w:val="00B24058"/>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AAC"/>
    <w:rsid w:val="00B34AF6"/>
    <w:rsid w:val="00B34FA3"/>
    <w:rsid w:val="00B350EB"/>
    <w:rsid w:val="00B36B8C"/>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61B5"/>
    <w:rsid w:val="00B46C5E"/>
    <w:rsid w:val="00B46F04"/>
    <w:rsid w:val="00B47B46"/>
    <w:rsid w:val="00B502F3"/>
    <w:rsid w:val="00B508B0"/>
    <w:rsid w:val="00B51602"/>
    <w:rsid w:val="00B519F0"/>
    <w:rsid w:val="00B51A61"/>
    <w:rsid w:val="00B5436F"/>
    <w:rsid w:val="00B55185"/>
    <w:rsid w:val="00B55491"/>
    <w:rsid w:val="00B559D1"/>
    <w:rsid w:val="00B567EC"/>
    <w:rsid w:val="00B56D64"/>
    <w:rsid w:val="00B57550"/>
    <w:rsid w:val="00B60DD4"/>
    <w:rsid w:val="00B6288F"/>
    <w:rsid w:val="00B62C2E"/>
    <w:rsid w:val="00B634F2"/>
    <w:rsid w:val="00B639F6"/>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63FF"/>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4551"/>
    <w:rsid w:val="00BB457D"/>
    <w:rsid w:val="00BB4E15"/>
    <w:rsid w:val="00BB735C"/>
    <w:rsid w:val="00BB78A0"/>
    <w:rsid w:val="00BC19EE"/>
    <w:rsid w:val="00BC1B7D"/>
    <w:rsid w:val="00BC2C18"/>
    <w:rsid w:val="00BC2FD0"/>
    <w:rsid w:val="00BC3EC5"/>
    <w:rsid w:val="00BC53B1"/>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9D0"/>
    <w:rsid w:val="00BE51CC"/>
    <w:rsid w:val="00BE68A7"/>
    <w:rsid w:val="00BE6EBD"/>
    <w:rsid w:val="00BE7DF3"/>
    <w:rsid w:val="00BE7FFE"/>
    <w:rsid w:val="00BF0C57"/>
    <w:rsid w:val="00BF1126"/>
    <w:rsid w:val="00BF1211"/>
    <w:rsid w:val="00BF1902"/>
    <w:rsid w:val="00BF19B0"/>
    <w:rsid w:val="00BF1AF7"/>
    <w:rsid w:val="00BF2E3C"/>
    <w:rsid w:val="00BF3316"/>
    <w:rsid w:val="00BF3602"/>
    <w:rsid w:val="00BF3D2C"/>
    <w:rsid w:val="00BF4528"/>
    <w:rsid w:val="00BF538A"/>
    <w:rsid w:val="00BF596C"/>
    <w:rsid w:val="00BF5C73"/>
    <w:rsid w:val="00BF5F5D"/>
    <w:rsid w:val="00BF61D4"/>
    <w:rsid w:val="00BF7703"/>
    <w:rsid w:val="00BF7D35"/>
    <w:rsid w:val="00C0031D"/>
    <w:rsid w:val="00C00D8C"/>
    <w:rsid w:val="00C02651"/>
    <w:rsid w:val="00C036FF"/>
    <w:rsid w:val="00C044A8"/>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2285"/>
    <w:rsid w:val="00C22960"/>
    <w:rsid w:val="00C22E74"/>
    <w:rsid w:val="00C2370D"/>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FC"/>
    <w:rsid w:val="00C504C1"/>
    <w:rsid w:val="00C50629"/>
    <w:rsid w:val="00C50646"/>
    <w:rsid w:val="00C50DFB"/>
    <w:rsid w:val="00C52AC4"/>
    <w:rsid w:val="00C53861"/>
    <w:rsid w:val="00C538C3"/>
    <w:rsid w:val="00C55576"/>
    <w:rsid w:val="00C55AB6"/>
    <w:rsid w:val="00C55FF7"/>
    <w:rsid w:val="00C56008"/>
    <w:rsid w:val="00C56968"/>
    <w:rsid w:val="00C57986"/>
    <w:rsid w:val="00C605E8"/>
    <w:rsid w:val="00C62C35"/>
    <w:rsid w:val="00C63286"/>
    <w:rsid w:val="00C639E0"/>
    <w:rsid w:val="00C63AC0"/>
    <w:rsid w:val="00C63EC3"/>
    <w:rsid w:val="00C643A1"/>
    <w:rsid w:val="00C66309"/>
    <w:rsid w:val="00C6772D"/>
    <w:rsid w:val="00C677EA"/>
    <w:rsid w:val="00C723D7"/>
    <w:rsid w:val="00C72EB7"/>
    <w:rsid w:val="00C75A69"/>
    <w:rsid w:val="00C7618D"/>
    <w:rsid w:val="00C7668F"/>
    <w:rsid w:val="00C810C0"/>
    <w:rsid w:val="00C81A9B"/>
    <w:rsid w:val="00C822AA"/>
    <w:rsid w:val="00C82FC6"/>
    <w:rsid w:val="00C83A1D"/>
    <w:rsid w:val="00C83BBA"/>
    <w:rsid w:val="00C84862"/>
    <w:rsid w:val="00C85D6A"/>
    <w:rsid w:val="00C86362"/>
    <w:rsid w:val="00C866DD"/>
    <w:rsid w:val="00C86A0B"/>
    <w:rsid w:val="00C86F58"/>
    <w:rsid w:val="00C90E8D"/>
    <w:rsid w:val="00C91B89"/>
    <w:rsid w:val="00C9240F"/>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D40"/>
    <w:rsid w:val="00CA6E7E"/>
    <w:rsid w:val="00CA7D54"/>
    <w:rsid w:val="00CB1931"/>
    <w:rsid w:val="00CB195A"/>
    <w:rsid w:val="00CB230A"/>
    <w:rsid w:val="00CB242F"/>
    <w:rsid w:val="00CB2561"/>
    <w:rsid w:val="00CB3E7C"/>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EDE"/>
    <w:rsid w:val="00CC6670"/>
    <w:rsid w:val="00CC770E"/>
    <w:rsid w:val="00CC78A3"/>
    <w:rsid w:val="00CC7E55"/>
    <w:rsid w:val="00CD020C"/>
    <w:rsid w:val="00CD1104"/>
    <w:rsid w:val="00CD132C"/>
    <w:rsid w:val="00CD1AD8"/>
    <w:rsid w:val="00CD1E2A"/>
    <w:rsid w:val="00CD2435"/>
    <w:rsid w:val="00CD2A44"/>
    <w:rsid w:val="00CD392F"/>
    <w:rsid w:val="00CD3B9F"/>
    <w:rsid w:val="00CD473E"/>
    <w:rsid w:val="00CD6344"/>
    <w:rsid w:val="00CD65F5"/>
    <w:rsid w:val="00CD65F6"/>
    <w:rsid w:val="00CD6A83"/>
    <w:rsid w:val="00CD7289"/>
    <w:rsid w:val="00CD77FC"/>
    <w:rsid w:val="00CD7AEF"/>
    <w:rsid w:val="00CE0578"/>
    <w:rsid w:val="00CE0CDA"/>
    <w:rsid w:val="00CE0D46"/>
    <w:rsid w:val="00CE0FED"/>
    <w:rsid w:val="00CE1F96"/>
    <w:rsid w:val="00CE2EC9"/>
    <w:rsid w:val="00CE2FAC"/>
    <w:rsid w:val="00CE302A"/>
    <w:rsid w:val="00CE3305"/>
    <w:rsid w:val="00CE3F53"/>
    <w:rsid w:val="00CE421D"/>
    <w:rsid w:val="00CE4DF4"/>
    <w:rsid w:val="00CE5700"/>
    <w:rsid w:val="00CE6812"/>
    <w:rsid w:val="00CE6933"/>
    <w:rsid w:val="00CE6B8E"/>
    <w:rsid w:val="00CE72B2"/>
    <w:rsid w:val="00CE7F2B"/>
    <w:rsid w:val="00CF0233"/>
    <w:rsid w:val="00CF1107"/>
    <w:rsid w:val="00CF222B"/>
    <w:rsid w:val="00CF2FAE"/>
    <w:rsid w:val="00CF347C"/>
    <w:rsid w:val="00CF3944"/>
    <w:rsid w:val="00CF471F"/>
    <w:rsid w:val="00CF55FA"/>
    <w:rsid w:val="00CF5CC6"/>
    <w:rsid w:val="00CF5D6C"/>
    <w:rsid w:val="00CF5E17"/>
    <w:rsid w:val="00CF6217"/>
    <w:rsid w:val="00CF6838"/>
    <w:rsid w:val="00CF689A"/>
    <w:rsid w:val="00CF7CB2"/>
    <w:rsid w:val="00D000A2"/>
    <w:rsid w:val="00D0071E"/>
    <w:rsid w:val="00D00B16"/>
    <w:rsid w:val="00D016BB"/>
    <w:rsid w:val="00D030FB"/>
    <w:rsid w:val="00D04CB7"/>
    <w:rsid w:val="00D0504A"/>
    <w:rsid w:val="00D06921"/>
    <w:rsid w:val="00D07461"/>
    <w:rsid w:val="00D075C4"/>
    <w:rsid w:val="00D1091E"/>
    <w:rsid w:val="00D10BD6"/>
    <w:rsid w:val="00D11684"/>
    <w:rsid w:val="00D11708"/>
    <w:rsid w:val="00D11E52"/>
    <w:rsid w:val="00D123C5"/>
    <w:rsid w:val="00D12DD1"/>
    <w:rsid w:val="00D1300F"/>
    <w:rsid w:val="00D14777"/>
    <w:rsid w:val="00D14999"/>
    <w:rsid w:val="00D153F3"/>
    <w:rsid w:val="00D1569D"/>
    <w:rsid w:val="00D15F3E"/>
    <w:rsid w:val="00D16A25"/>
    <w:rsid w:val="00D17210"/>
    <w:rsid w:val="00D1726C"/>
    <w:rsid w:val="00D205D7"/>
    <w:rsid w:val="00D224FF"/>
    <w:rsid w:val="00D22EA8"/>
    <w:rsid w:val="00D23174"/>
    <w:rsid w:val="00D239C3"/>
    <w:rsid w:val="00D24E72"/>
    <w:rsid w:val="00D25F97"/>
    <w:rsid w:val="00D27B07"/>
    <w:rsid w:val="00D31272"/>
    <w:rsid w:val="00D31C73"/>
    <w:rsid w:val="00D34379"/>
    <w:rsid w:val="00D34E43"/>
    <w:rsid w:val="00D35406"/>
    <w:rsid w:val="00D35718"/>
    <w:rsid w:val="00D36B41"/>
    <w:rsid w:val="00D36BF3"/>
    <w:rsid w:val="00D3789F"/>
    <w:rsid w:val="00D37CBE"/>
    <w:rsid w:val="00D4060B"/>
    <w:rsid w:val="00D407CF"/>
    <w:rsid w:val="00D40D34"/>
    <w:rsid w:val="00D40EAB"/>
    <w:rsid w:val="00D41689"/>
    <w:rsid w:val="00D437DF"/>
    <w:rsid w:val="00D449F2"/>
    <w:rsid w:val="00D457EF"/>
    <w:rsid w:val="00D465E8"/>
    <w:rsid w:val="00D52904"/>
    <w:rsid w:val="00D5368B"/>
    <w:rsid w:val="00D53EFD"/>
    <w:rsid w:val="00D541B5"/>
    <w:rsid w:val="00D54719"/>
    <w:rsid w:val="00D550B6"/>
    <w:rsid w:val="00D554E7"/>
    <w:rsid w:val="00D55F6E"/>
    <w:rsid w:val="00D56922"/>
    <w:rsid w:val="00D56E20"/>
    <w:rsid w:val="00D57058"/>
    <w:rsid w:val="00D575FA"/>
    <w:rsid w:val="00D57EF1"/>
    <w:rsid w:val="00D607A4"/>
    <w:rsid w:val="00D60BE1"/>
    <w:rsid w:val="00D612D4"/>
    <w:rsid w:val="00D620FE"/>
    <w:rsid w:val="00D634BF"/>
    <w:rsid w:val="00D66EE3"/>
    <w:rsid w:val="00D671C8"/>
    <w:rsid w:val="00D73682"/>
    <w:rsid w:val="00D73803"/>
    <w:rsid w:val="00D73DA4"/>
    <w:rsid w:val="00D74328"/>
    <w:rsid w:val="00D752C0"/>
    <w:rsid w:val="00D76068"/>
    <w:rsid w:val="00D7620B"/>
    <w:rsid w:val="00D76269"/>
    <w:rsid w:val="00D76AC7"/>
    <w:rsid w:val="00D76D59"/>
    <w:rsid w:val="00D7723E"/>
    <w:rsid w:val="00D77AF7"/>
    <w:rsid w:val="00D77E53"/>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5CC5"/>
    <w:rsid w:val="00DA64CD"/>
    <w:rsid w:val="00DA669C"/>
    <w:rsid w:val="00DA721B"/>
    <w:rsid w:val="00DA779B"/>
    <w:rsid w:val="00DA78D8"/>
    <w:rsid w:val="00DA7CCD"/>
    <w:rsid w:val="00DB0253"/>
    <w:rsid w:val="00DB058E"/>
    <w:rsid w:val="00DB1A46"/>
    <w:rsid w:val="00DB3070"/>
    <w:rsid w:val="00DB30C9"/>
    <w:rsid w:val="00DB3570"/>
    <w:rsid w:val="00DB4053"/>
    <w:rsid w:val="00DB440F"/>
    <w:rsid w:val="00DB4B5C"/>
    <w:rsid w:val="00DB5701"/>
    <w:rsid w:val="00DB6D0A"/>
    <w:rsid w:val="00DB74B6"/>
    <w:rsid w:val="00DB75DA"/>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3D51"/>
    <w:rsid w:val="00DD4B3F"/>
    <w:rsid w:val="00DD5020"/>
    <w:rsid w:val="00DD561C"/>
    <w:rsid w:val="00DD5C85"/>
    <w:rsid w:val="00DD67CB"/>
    <w:rsid w:val="00DD6A4C"/>
    <w:rsid w:val="00DD7455"/>
    <w:rsid w:val="00DD7728"/>
    <w:rsid w:val="00DD7EF1"/>
    <w:rsid w:val="00DE0CEF"/>
    <w:rsid w:val="00DE1BC8"/>
    <w:rsid w:val="00DE1CDE"/>
    <w:rsid w:val="00DE25E1"/>
    <w:rsid w:val="00DE45A8"/>
    <w:rsid w:val="00DE4B21"/>
    <w:rsid w:val="00DE6304"/>
    <w:rsid w:val="00DE68D3"/>
    <w:rsid w:val="00DE6B1A"/>
    <w:rsid w:val="00DE7190"/>
    <w:rsid w:val="00DF01DB"/>
    <w:rsid w:val="00DF1837"/>
    <w:rsid w:val="00DF28A9"/>
    <w:rsid w:val="00DF2AB9"/>
    <w:rsid w:val="00DF331C"/>
    <w:rsid w:val="00DF3644"/>
    <w:rsid w:val="00DF5C20"/>
    <w:rsid w:val="00DF6699"/>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5A3F"/>
    <w:rsid w:val="00E362C8"/>
    <w:rsid w:val="00E368F5"/>
    <w:rsid w:val="00E36F07"/>
    <w:rsid w:val="00E37CFD"/>
    <w:rsid w:val="00E37FC4"/>
    <w:rsid w:val="00E4010D"/>
    <w:rsid w:val="00E41103"/>
    <w:rsid w:val="00E411C1"/>
    <w:rsid w:val="00E41730"/>
    <w:rsid w:val="00E42936"/>
    <w:rsid w:val="00E43159"/>
    <w:rsid w:val="00E438D0"/>
    <w:rsid w:val="00E44750"/>
    <w:rsid w:val="00E460B9"/>
    <w:rsid w:val="00E46693"/>
    <w:rsid w:val="00E47752"/>
    <w:rsid w:val="00E506C0"/>
    <w:rsid w:val="00E50DCB"/>
    <w:rsid w:val="00E5237F"/>
    <w:rsid w:val="00E52A78"/>
    <w:rsid w:val="00E5418E"/>
    <w:rsid w:val="00E546A3"/>
    <w:rsid w:val="00E56616"/>
    <w:rsid w:val="00E57225"/>
    <w:rsid w:val="00E578EA"/>
    <w:rsid w:val="00E579AD"/>
    <w:rsid w:val="00E579D9"/>
    <w:rsid w:val="00E57ABF"/>
    <w:rsid w:val="00E60A40"/>
    <w:rsid w:val="00E60BD8"/>
    <w:rsid w:val="00E610D6"/>
    <w:rsid w:val="00E61E04"/>
    <w:rsid w:val="00E62545"/>
    <w:rsid w:val="00E634C2"/>
    <w:rsid w:val="00E63739"/>
    <w:rsid w:val="00E66945"/>
    <w:rsid w:val="00E66B54"/>
    <w:rsid w:val="00E676DB"/>
    <w:rsid w:val="00E721AA"/>
    <w:rsid w:val="00E73E2C"/>
    <w:rsid w:val="00E7419E"/>
    <w:rsid w:val="00E7461E"/>
    <w:rsid w:val="00E75779"/>
    <w:rsid w:val="00E7627D"/>
    <w:rsid w:val="00E766C9"/>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68DD"/>
    <w:rsid w:val="00E97F1F"/>
    <w:rsid w:val="00EA10E9"/>
    <w:rsid w:val="00EA18E4"/>
    <w:rsid w:val="00EA1D4E"/>
    <w:rsid w:val="00EA2B54"/>
    <w:rsid w:val="00EA3918"/>
    <w:rsid w:val="00EA456A"/>
    <w:rsid w:val="00EA5A5B"/>
    <w:rsid w:val="00EA6727"/>
    <w:rsid w:val="00EA7647"/>
    <w:rsid w:val="00EA7E01"/>
    <w:rsid w:val="00EB2239"/>
    <w:rsid w:val="00EB2F8D"/>
    <w:rsid w:val="00EB37B7"/>
    <w:rsid w:val="00EB5D44"/>
    <w:rsid w:val="00EB613E"/>
    <w:rsid w:val="00EB66B7"/>
    <w:rsid w:val="00EB6B5B"/>
    <w:rsid w:val="00EB6E71"/>
    <w:rsid w:val="00EB7922"/>
    <w:rsid w:val="00EB7EB7"/>
    <w:rsid w:val="00EC0AEF"/>
    <w:rsid w:val="00EC12F2"/>
    <w:rsid w:val="00EC1FA5"/>
    <w:rsid w:val="00EC4C4C"/>
    <w:rsid w:val="00EC749B"/>
    <w:rsid w:val="00EC77BE"/>
    <w:rsid w:val="00EC7E43"/>
    <w:rsid w:val="00ED03B0"/>
    <w:rsid w:val="00ED0A7D"/>
    <w:rsid w:val="00ED172A"/>
    <w:rsid w:val="00ED198F"/>
    <w:rsid w:val="00ED1F58"/>
    <w:rsid w:val="00ED2760"/>
    <w:rsid w:val="00ED2AED"/>
    <w:rsid w:val="00ED3323"/>
    <w:rsid w:val="00ED58D9"/>
    <w:rsid w:val="00ED6332"/>
    <w:rsid w:val="00ED6AC5"/>
    <w:rsid w:val="00EE0006"/>
    <w:rsid w:val="00EE0D80"/>
    <w:rsid w:val="00EE0DCF"/>
    <w:rsid w:val="00EE1437"/>
    <w:rsid w:val="00EE143C"/>
    <w:rsid w:val="00EE1F93"/>
    <w:rsid w:val="00EE32CC"/>
    <w:rsid w:val="00EE38BF"/>
    <w:rsid w:val="00EE3E8E"/>
    <w:rsid w:val="00EE5252"/>
    <w:rsid w:val="00EE5785"/>
    <w:rsid w:val="00EE5D30"/>
    <w:rsid w:val="00EE60BB"/>
    <w:rsid w:val="00EF0A2D"/>
    <w:rsid w:val="00EF1BE7"/>
    <w:rsid w:val="00EF2487"/>
    <w:rsid w:val="00EF2F13"/>
    <w:rsid w:val="00EF3104"/>
    <w:rsid w:val="00EF3C04"/>
    <w:rsid w:val="00EF427D"/>
    <w:rsid w:val="00EF4D5A"/>
    <w:rsid w:val="00EF5F6B"/>
    <w:rsid w:val="00EF6596"/>
    <w:rsid w:val="00EF69F4"/>
    <w:rsid w:val="00EF6CAD"/>
    <w:rsid w:val="00EF7179"/>
    <w:rsid w:val="00EF770C"/>
    <w:rsid w:val="00F00521"/>
    <w:rsid w:val="00F007BC"/>
    <w:rsid w:val="00F0181A"/>
    <w:rsid w:val="00F01958"/>
    <w:rsid w:val="00F0217F"/>
    <w:rsid w:val="00F03288"/>
    <w:rsid w:val="00F03D4A"/>
    <w:rsid w:val="00F04E84"/>
    <w:rsid w:val="00F058F5"/>
    <w:rsid w:val="00F05C5D"/>
    <w:rsid w:val="00F05C96"/>
    <w:rsid w:val="00F06067"/>
    <w:rsid w:val="00F0607D"/>
    <w:rsid w:val="00F062DA"/>
    <w:rsid w:val="00F06618"/>
    <w:rsid w:val="00F068FF"/>
    <w:rsid w:val="00F07DD9"/>
    <w:rsid w:val="00F10637"/>
    <w:rsid w:val="00F122A0"/>
    <w:rsid w:val="00F145BC"/>
    <w:rsid w:val="00F15EAB"/>
    <w:rsid w:val="00F15EFB"/>
    <w:rsid w:val="00F165C6"/>
    <w:rsid w:val="00F1758F"/>
    <w:rsid w:val="00F2005C"/>
    <w:rsid w:val="00F202F9"/>
    <w:rsid w:val="00F2061A"/>
    <w:rsid w:val="00F233B5"/>
    <w:rsid w:val="00F24B1C"/>
    <w:rsid w:val="00F25338"/>
    <w:rsid w:val="00F25A94"/>
    <w:rsid w:val="00F262DA"/>
    <w:rsid w:val="00F26417"/>
    <w:rsid w:val="00F27645"/>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2138"/>
    <w:rsid w:val="00F42465"/>
    <w:rsid w:val="00F4262F"/>
    <w:rsid w:val="00F42CD1"/>
    <w:rsid w:val="00F4386F"/>
    <w:rsid w:val="00F43F96"/>
    <w:rsid w:val="00F44A7F"/>
    <w:rsid w:val="00F45A7B"/>
    <w:rsid w:val="00F45C80"/>
    <w:rsid w:val="00F461E0"/>
    <w:rsid w:val="00F477A5"/>
    <w:rsid w:val="00F47991"/>
    <w:rsid w:val="00F51CEE"/>
    <w:rsid w:val="00F537FC"/>
    <w:rsid w:val="00F538C6"/>
    <w:rsid w:val="00F54623"/>
    <w:rsid w:val="00F55BBB"/>
    <w:rsid w:val="00F5635E"/>
    <w:rsid w:val="00F600B2"/>
    <w:rsid w:val="00F611F2"/>
    <w:rsid w:val="00F61BCF"/>
    <w:rsid w:val="00F620A3"/>
    <w:rsid w:val="00F62764"/>
    <w:rsid w:val="00F62BE9"/>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80220"/>
    <w:rsid w:val="00F80284"/>
    <w:rsid w:val="00F80526"/>
    <w:rsid w:val="00F80C15"/>
    <w:rsid w:val="00F81505"/>
    <w:rsid w:val="00F82703"/>
    <w:rsid w:val="00F8310C"/>
    <w:rsid w:val="00F8469B"/>
    <w:rsid w:val="00F84D3E"/>
    <w:rsid w:val="00F86CE9"/>
    <w:rsid w:val="00F87062"/>
    <w:rsid w:val="00F87154"/>
    <w:rsid w:val="00F8779D"/>
    <w:rsid w:val="00F878E3"/>
    <w:rsid w:val="00F87A1F"/>
    <w:rsid w:val="00F9163C"/>
    <w:rsid w:val="00F91E33"/>
    <w:rsid w:val="00F92426"/>
    <w:rsid w:val="00F9426F"/>
    <w:rsid w:val="00F9467D"/>
    <w:rsid w:val="00F94B51"/>
    <w:rsid w:val="00F94F57"/>
    <w:rsid w:val="00F95677"/>
    <w:rsid w:val="00F956C8"/>
    <w:rsid w:val="00F95D43"/>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3570"/>
    <w:rsid w:val="00FB3A31"/>
    <w:rsid w:val="00FB3E10"/>
    <w:rsid w:val="00FB436A"/>
    <w:rsid w:val="00FB477C"/>
    <w:rsid w:val="00FB486A"/>
    <w:rsid w:val="00FB4D50"/>
    <w:rsid w:val="00FB5996"/>
    <w:rsid w:val="00FB5E6C"/>
    <w:rsid w:val="00FB5F7F"/>
    <w:rsid w:val="00FB6370"/>
    <w:rsid w:val="00FB7944"/>
    <w:rsid w:val="00FB7D62"/>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2430"/>
    <w:rsid w:val="00FD251A"/>
    <w:rsid w:val="00FD2A32"/>
    <w:rsid w:val="00FD2BE7"/>
    <w:rsid w:val="00FD33B4"/>
    <w:rsid w:val="00FD33F0"/>
    <w:rsid w:val="00FD3C2A"/>
    <w:rsid w:val="00FD47C6"/>
    <w:rsid w:val="00FD4C91"/>
    <w:rsid w:val="00FD4FB7"/>
    <w:rsid w:val="00FD5FDF"/>
    <w:rsid w:val="00FD6A36"/>
    <w:rsid w:val="00FD780C"/>
    <w:rsid w:val="00FD7AF7"/>
    <w:rsid w:val="00FD7CEC"/>
    <w:rsid w:val="00FE0463"/>
    <w:rsid w:val="00FE08AC"/>
    <w:rsid w:val="00FE0BB0"/>
    <w:rsid w:val="00FE12FF"/>
    <w:rsid w:val="00FE19F2"/>
    <w:rsid w:val="00FE365E"/>
    <w:rsid w:val="00FE4664"/>
    <w:rsid w:val="00FE76B5"/>
    <w:rsid w:val="00FE7F2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2758-9931-49EB-96DE-1E64F16B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91</cp:revision>
  <cp:lastPrinted>2012-08-02T17:07:00Z</cp:lastPrinted>
  <dcterms:created xsi:type="dcterms:W3CDTF">2012-07-17T18:24:00Z</dcterms:created>
  <dcterms:modified xsi:type="dcterms:W3CDTF">2012-08-02T17:07:00Z</dcterms:modified>
</cp:coreProperties>
</file>