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EF" w:rsidRDefault="00BE06EF" w:rsidP="00335264">
      <w:pPr>
        <w:jc w:val="center"/>
        <w:rPr>
          <w:b/>
        </w:rPr>
      </w:pPr>
      <w:r>
        <w:rPr>
          <w:b/>
        </w:rPr>
        <w:t>BEFORE THE</w:t>
      </w:r>
    </w:p>
    <w:p w:rsidR="00BE06EF" w:rsidRDefault="00BE06EF" w:rsidP="00335264">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E06EF" w:rsidRDefault="00BE06EF" w:rsidP="00335264">
      <w:pPr>
        <w:jc w:val="center"/>
        <w:rPr>
          <w:b/>
        </w:rPr>
      </w:pPr>
    </w:p>
    <w:p w:rsidR="00BE06EF" w:rsidRDefault="00BE06EF" w:rsidP="00335264">
      <w:pPr>
        <w:jc w:val="center"/>
        <w:rPr>
          <w:b/>
        </w:rPr>
      </w:pPr>
    </w:p>
    <w:p w:rsidR="00BE06EF" w:rsidRDefault="00BE06EF" w:rsidP="00335264">
      <w:pPr>
        <w:jc w:val="center"/>
        <w:rPr>
          <w:b/>
        </w:rPr>
      </w:pPr>
    </w:p>
    <w:p w:rsidR="00BE06EF" w:rsidRDefault="00BE06EF" w:rsidP="00335264">
      <w:r>
        <w:t>PPL Electric Utilities Corporation</w:t>
      </w:r>
      <w:r>
        <w:tab/>
      </w:r>
      <w:r>
        <w:tab/>
      </w:r>
      <w:r>
        <w:tab/>
        <w:t>:</w:t>
      </w:r>
    </w:p>
    <w:p w:rsidR="00BE06EF" w:rsidRDefault="00BE06EF" w:rsidP="00335264">
      <w:r>
        <w:t>Proposed Transmission Service</w:t>
      </w:r>
      <w:r>
        <w:tab/>
      </w:r>
      <w:r>
        <w:tab/>
      </w:r>
      <w:r>
        <w:tab/>
        <w:t>:</w:t>
      </w:r>
    </w:p>
    <w:p w:rsidR="00BE06EF" w:rsidRDefault="00BE06EF" w:rsidP="00335264">
      <w:r>
        <w:t>Charge Reconciliation</w:t>
      </w:r>
      <w:r>
        <w:tab/>
        <w:t xml:space="preserve">for the </w:t>
      </w:r>
      <w:r>
        <w:tab/>
      </w:r>
      <w:r>
        <w:tab/>
      </w:r>
      <w:r>
        <w:tab/>
      </w:r>
      <w:r>
        <w:tab/>
        <w:t>:</w:t>
      </w:r>
      <w:r>
        <w:tab/>
      </w:r>
      <w:r>
        <w:tab/>
        <w:t>M-2012-2302779</w:t>
      </w:r>
    </w:p>
    <w:p w:rsidR="00BE06EF" w:rsidRDefault="00BE06EF" w:rsidP="00335264">
      <w:r>
        <w:t>Period May 1, 2011 to April 30, 2012</w:t>
      </w:r>
      <w:r>
        <w:tab/>
      </w:r>
      <w:r>
        <w:tab/>
        <w:t>:</w:t>
      </w:r>
    </w:p>
    <w:p w:rsidR="00BE06EF" w:rsidRDefault="00BE06EF" w:rsidP="00335264"/>
    <w:p w:rsidR="00BE06EF" w:rsidRDefault="00BE06EF" w:rsidP="00335264"/>
    <w:p w:rsidR="00BE06EF" w:rsidRDefault="00BE06EF" w:rsidP="00335264"/>
    <w:p w:rsidR="00BE06EF" w:rsidRDefault="00BE06EF" w:rsidP="00335264">
      <w:pPr>
        <w:jc w:val="center"/>
        <w:rPr>
          <w:b/>
          <w:u w:val="single"/>
        </w:rPr>
      </w:pPr>
      <w:r>
        <w:rPr>
          <w:b/>
          <w:u w:val="single"/>
        </w:rPr>
        <w:t>RECOMMENDED DECISION</w:t>
      </w:r>
    </w:p>
    <w:p w:rsidR="00BE06EF" w:rsidRDefault="00BE06EF" w:rsidP="00335264">
      <w:pPr>
        <w:jc w:val="center"/>
        <w:rPr>
          <w:b/>
          <w:u w:val="single"/>
        </w:rPr>
      </w:pPr>
    </w:p>
    <w:p w:rsidR="00BE06EF" w:rsidRDefault="00BE06EF" w:rsidP="00335264">
      <w:pPr>
        <w:jc w:val="center"/>
        <w:rPr>
          <w:b/>
          <w:u w:val="single"/>
        </w:rPr>
      </w:pPr>
    </w:p>
    <w:p w:rsidR="00BE06EF" w:rsidRDefault="00BE06EF" w:rsidP="00335264">
      <w:pPr>
        <w:jc w:val="center"/>
      </w:pPr>
      <w:r>
        <w:t>Before</w:t>
      </w:r>
    </w:p>
    <w:p w:rsidR="00BE06EF" w:rsidRDefault="00BE06EF" w:rsidP="00335264">
      <w:pPr>
        <w:jc w:val="center"/>
      </w:pPr>
      <w:r>
        <w:t>Susan D. Colwell</w:t>
      </w:r>
    </w:p>
    <w:p w:rsidR="00BE06EF" w:rsidRDefault="00BE06EF" w:rsidP="00335264">
      <w:pPr>
        <w:jc w:val="center"/>
      </w:pPr>
      <w:r>
        <w:t>Administrative Law Judge</w:t>
      </w:r>
    </w:p>
    <w:p w:rsidR="00BE06EF" w:rsidRDefault="00BE06EF" w:rsidP="00335264">
      <w:pPr>
        <w:jc w:val="center"/>
      </w:pPr>
    </w:p>
    <w:p w:rsidR="00BE06EF" w:rsidRDefault="00BE06EF" w:rsidP="00335264">
      <w:pPr>
        <w:jc w:val="center"/>
      </w:pPr>
    </w:p>
    <w:p w:rsidR="00BE06EF" w:rsidRDefault="00BE06EF" w:rsidP="00335264">
      <w:pPr>
        <w:jc w:val="center"/>
        <w:rPr>
          <w:u w:val="single"/>
        </w:rPr>
      </w:pPr>
      <w:r>
        <w:rPr>
          <w:u w:val="single"/>
        </w:rPr>
        <w:t>HISTORY OF THE PROCEEDING</w:t>
      </w:r>
    </w:p>
    <w:p w:rsidR="00BE06EF" w:rsidRDefault="00BE06EF" w:rsidP="00335264">
      <w:pPr>
        <w:jc w:val="center"/>
        <w:rPr>
          <w:u w:val="single"/>
        </w:rPr>
      </w:pPr>
    </w:p>
    <w:p w:rsidR="00BE06EF" w:rsidRDefault="00BE06EF" w:rsidP="00335264"/>
    <w:p w:rsidR="00BE06EF" w:rsidRDefault="00BE06EF" w:rsidP="00BE06EF">
      <w:pPr>
        <w:spacing w:line="360" w:lineRule="auto"/>
      </w:pPr>
      <w:r>
        <w:tab/>
      </w:r>
      <w:r>
        <w:tab/>
        <w:t xml:space="preserve">On June 28, 2012, a public hearing was held in Harrisburg to review the Transmission Service Charge (TSC) reconciliation for the period May 1, 2011, to April 30, 2012, filed with the Pennsylvania Public Utility Commission by PPL Electric Utilities Corporation (PPL).  The statement was filed pursuant to the provisions of PPL’s Tariff – Electric Pa. P.U.C. No. 201 and Section 1307(e) of the Public Utility Code, 66 Pa. C.S. §§ 1307(e).  </w:t>
      </w:r>
    </w:p>
    <w:p w:rsidR="00BE06EF" w:rsidRDefault="00BE06EF" w:rsidP="00BE06EF">
      <w:pPr>
        <w:spacing w:line="360" w:lineRule="auto"/>
      </w:pPr>
    </w:p>
    <w:p w:rsidR="00BE06EF" w:rsidRDefault="00BE06EF" w:rsidP="00BE06EF">
      <w:pPr>
        <w:spacing w:line="360" w:lineRule="auto"/>
      </w:pPr>
      <w:r>
        <w:tab/>
      </w:r>
      <w:r>
        <w:tab/>
        <w:t xml:space="preserve">The hearing was attended by the following counsel:  </w:t>
      </w:r>
      <w:r w:rsidR="00B855C4">
        <w:t>Anthony D. Kanagy</w:t>
      </w:r>
      <w:r>
        <w:t xml:space="preserve">, Esq. for PPL; and </w:t>
      </w:r>
      <w:r w:rsidR="00B855C4">
        <w:t>Regina L. Matz, Esq., for the Commission's Bureau of Investigation &amp; Enforcement (I&amp;E).</w:t>
      </w:r>
    </w:p>
    <w:p w:rsidR="00BE06EF" w:rsidRDefault="00BE06EF" w:rsidP="00BE06EF">
      <w:pPr>
        <w:spacing w:line="360" w:lineRule="auto"/>
      </w:pPr>
    </w:p>
    <w:p w:rsidR="00BE06EF" w:rsidRDefault="00BE06EF" w:rsidP="00BE06EF">
      <w:pPr>
        <w:spacing w:line="360" w:lineRule="auto"/>
      </w:pPr>
      <w:r>
        <w:tab/>
      </w:r>
      <w:r>
        <w:tab/>
        <w:t>PPL presented one witness, Joseph M. Kleha, who sponso</w:t>
      </w:r>
      <w:r w:rsidR="00B855C4">
        <w:t>red Exhibit No. JMK-1.  I&amp;E introduced I&amp;E</w:t>
      </w:r>
      <w:r>
        <w:t xml:space="preserve"> Exhibit 1.</w:t>
      </w:r>
    </w:p>
    <w:p w:rsidR="00BE06EF" w:rsidRDefault="00BE06EF" w:rsidP="00BE06EF">
      <w:pPr>
        <w:spacing w:line="360" w:lineRule="auto"/>
      </w:pPr>
    </w:p>
    <w:p w:rsidR="00335264" w:rsidRDefault="00BE06EF" w:rsidP="00335264">
      <w:pPr>
        <w:spacing w:line="360" w:lineRule="auto"/>
      </w:pPr>
      <w:r>
        <w:tab/>
      </w:r>
      <w:r>
        <w:tab/>
        <w:t xml:space="preserve">The hearing resulted in a transcript of 11 pages, and the record closed upon </w:t>
      </w:r>
      <w:r w:rsidR="00B855C4">
        <w:t>its receipt on July 23, 2012</w:t>
      </w:r>
      <w:r>
        <w:t>.  The matter is now ready for d</w:t>
      </w:r>
      <w:r w:rsidR="00B855C4">
        <w:t>isposition</w:t>
      </w:r>
      <w:r>
        <w:t>.</w:t>
      </w:r>
    </w:p>
    <w:p w:rsidR="00335264" w:rsidRDefault="00335264" w:rsidP="00335264">
      <w:pPr>
        <w:spacing w:line="360" w:lineRule="auto"/>
      </w:pPr>
    </w:p>
    <w:p w:rsidR="00BE06EF" w:rsidRPr="00335264" w:rsidRDefault="00BE06EF" w:rsidP="00335264">
      <w:pPr>
        <w:spacing w:line="360" w:lineRule="auto"/>
        <w:jc w:val="center"/>
      </w:pPr>
      <w:bookmarkStart w:id="0" w:name="_GoBack"/>
      <w:bookmarkEnd w:id="0"/>
      <w:r>
        <w:rPr>
          <w:u w:val="single"/>
        </w:rPr>
        <w:lastRenderedPageBreak/>
        <w:t>FINDINGS OF FACT</w:t>
      </w:r>
    </w:p>
    <w:p w:rsidR="00BE06EF" w:rsidRDefault="00BE06EF" w:rsidP="00BE06EF">
      <w:pPr>
        <w:spacing w:line="360" w:lineRule="auto"/>
        <w:jc w:val="center"/>
        <w:rPr>
          <w:u w:val="single"/>
        </w:rPr>
      </w:pPr>
    </w:p>
    <w:p w:rsidR="00BE06EF" w:rsidRDefault="00BE06EF" w:rsidP="00BE06EF">
      <w:pPr>
        <w:spacing w:line="360" w:lineRule="auto"/>
      </w:pPr>
      <w:r>
        <w:tab/>
      </w:r>
      <w:r>
        <w:tab/>
        <w:t>1.</w:t>
      </w:r>
      <w:r>
        <w:tab/>
        <w:t xml:space="preserve">A public hearing was held on June </w:t>
      </w:r>
      <w:r w:rsidR="00B855C4">
        <w:t>28</w:t>
      </w:r>
      <w:r>
        <w:t>, 201</w:t>
      </w:r>
      <w:r w:rsidR="00B855C4">
        <w:t>2</w:t>
      </w:r>
      <w:r>
        <w:t>, to review the Transmission Service Charge Reconciliation Report filed by PPL with the Commission.</w:t>
      </w:r>
    </w:p>
    <w:p w:rsidR="00BE06EF" w:rsidRDefault="00BE06EF" w:rsidP="00BE06EF">
      <w:pPr>
        <w:spacing w:line="360" w:lineRule="auto"/>
      </w:pPr>
    </w:p>
    <w:p w:rsidR="00BE06EF" w:rsidRDefault="00BE06EF" w:rsidP="00BE06EF">
      <w:pPr>
        <w:spacing w:line="360" w:lineRule="auto"/>
      </w:pPr>
      <w:r>
        <w:tab/>
      </w:r>
      <w:r>
        <w:tab/>
        <w:t>2.</w:t>
      </w:r>
      <w:r>
        <w:tab/>
        <w:t xml:space="preserve">Joseph M. Kleha appeared on behalf of PPL and sponsored PPL Exhibit JMK-1.  </w:t>
      </w:r>
    </w:p>
    <w:p w:rsidR="00BE06EF" w:rsidRDefault="00BE06EF" w:rsidP="00BE06EF">
      <w:pPr>
        <w:spacing w:line="360" w:lineRule="auto"/>
      </w:pPr>
    </w:p>
    <w:p w:rsidR="00BE06EF" w:rsidRDefault="00BE06EF" w:rsidP="00BE06EF">
      <w:pPr>
        <w:spacing w:line="360" w:lineRule="auto"/>
      </w:pPr>
      <w:r>
        <w:tab/>
      </w:r>
      <w:r>
        <w:tab/>
        <w:t>3.</w:t>
      </w:r>
      <w:r>
        <w:tab/>
      </w:r>
      <w:r w:rsidR="00B855C4">
        <w:t xml:space="preserve">I&amp;E </w:t>
      </w:r>
      <w:r>
        <w:t xml:space="preserve">submitted an exhibit summarizing the results of the PPL TSC reconciliation filing, which is attached hereto as Appendix A.  </w:t>
      </w:r>
      <w:r w:rsidR="00B855C4">
        <w:t>I&amp;E</w:t>
      </w:r>
      <w:r>
        <w:t xml:space="preserve"> Ex. 1.</w:t>
      </w:r>
    </w:p>
    <w:p w:rsidR="00BE06EF" w:rsidRDefault="00BE06EF" w:rsidP="00BE06EF">
      <w:pPr>
        <w:spacing w:line="360" w:lineRule="auto"/>
      </w:pPr>
    </w:p>
    <w:p w:rsidR="00BE06EF" w:rsidRDefault="00BE06EF" w:rsidP="00BE06EF">
      <w:pPr>
        <w:spacing w:line="360" w:lineRule="auto"/>
      </w:pPr>
      <w:r>
        <w:tab/>
      </w:r>
      <w:r>
        <w:tab/>
        <w:t>4.</w:t>
      </w:r>
      <w:r>
        <w:tab/>
        <w:t xml:space="preserve">PPL experienced an </w:t>
      </w:r>
      <w:r w:rsidR="00B855C4">
        <w:t>under</w:t>
      </w:r>
      <w:r w:rsidRPr="00C905E8">
        <w:t>collection</w:t>
      </w:r>
      <w:r>
        <w:t xml:space="preserve"> for the period </w:t>
      </w:r>
      <w:r w:rsidR="0046338E">
        <w:t>May 1, 2011 to April </w:t>
      </w:r>
      <w:r w:rsidR="00B855C4">
        <w:t>30, 2012,</w:t>
      </w:r>
      <w:r>
        <w:t xml:space="preserve"> of $2,</w:t>
      </w:r>
      <w:r w:rsidR="00B855C4">
        <w:t>800,948</w:t>
      </w:r>
      <w:r>
        <w:t xml:space="preserve">.00.  PPL JMK-1; </w:t>
      </w:r>
      <w:r w:rsidR="00B855C4">
        <w:t>I&amp;E</w:t>
      </w:r>
      <w:r>
        <w:t xml:space="preserve"> Ex. 1.</w:t>
      </w:r>
    </w:p>
    <w:p w:rsidR="00BE06EF" w:rsidRDefault="00BE06EF" w:rsidP="00BE06EF">
      <w:pPr>
        <w:spacing w:line="360" w:lineRule="auto"/>
      </w:pPr>
    </w:p>
    <w:p w:rsidR="00BE06EF" w:rsidRDefault="00BE06EF" w:rsidP="00BE06EF">
      <w:pPr>
        <w:spacing w:line="360" w:lineRule="auto"/>
      </w:pPr>
      <w:r>
        <w:tab/>
      </w:r>
      <w:r>
        <w:tab/>
        <w:t>5.</w:t>
      </w:r>
      <w:r>
        <w:tab/>
        <w:t xml:space="preserve">The overcollection amount does not include gross receipts tax.  </w:t>
      </w:r>
      <w:r w:rsidR="00B855C4">
        <w:t>I&amp;E Ex. 1.</w:t>
      </w:r>
    </w:p>
    <w:p w:rsidR="00BE06EF" w:rsidRDefault="00BE06EF" w:rsidP="00BE06EF">
      <w:pPr>
        <w:spacing w:line="360" w:lineRule="auto"/>
      </w:pPr>
    </w:p>
    <w:p w:rsidR="00BE06EF" w:rsidRDefault="00BE06EF" w:rsidP="00BE06EF">
      <w:pPr>
        <w:spacing w:line="360" w:lineRule="auto"/>
        <w:jc w:val="center"/>
        <w:rPr>
          <w:u w:val="single"/>
        </w:rPr>
      </w:pPr>
      <w:r>
        <w:rPr>
          <w:u w:val="single"/>
        </w:rPr>
        <w:t>DISCUSSION</w:t>
      </w:r>
    </w:p>
    <w:p w:rsidR="00BE06EF" w:rsidRDefault="00BE06EF" w:rsidP="00BE06EF">
      <w:pPr>
        <w:spacing w:line="360" w:lineRule="auto"/>
        <w:jc w:val="center"/>
        <w:rPr>
          <w:u w:val="single"/>
        </w:rPr>
      </w:pPr>
    </w:p>
    <w:p w:rsidR="00BE06EF" w:rsidRDefault="00BE06EF" w:rsidP="00BE06EF">
      <w:pPr>
        <w:spacing w:line="360" w:lineRule="auto"/>
      </w:pPr>
      <w:r>
        <w:tab/>
      </w:r>
      <w:r>
        <w:tab/>
        <w:t xml:space="preserve">The Commission held a public hearing on June </w:t>
      </w:r>
      <w:r w:rsidR="00B855C4">
        <w:t>28</w:t>
      </w:r>
      <w:r>
        <w:t>, 201</w:t>
      </w:r>
      <w:r w:rsidR="00B855C4">
        <w:t>2</w:t>
      </w:r>
      <w:r>
        <w:t xml:space="preserve">, in compliance with 66 Pa. C.S. § 1307(e).  The exhibits presented by PPL and </w:t>
      </w:r>
      <w:r w:rsidR="0083549A">
        <w:t>I&amp;E</w:t>
      </w:r>
      <w:r>
        <w:t xml:space="preserve"> were moved into evidence without objection.  Admission of the PPL exhibit is subject to the usual condition that the numbers contained in </w:t>
      </w:r>
      <w:r w:rsidR="00BC51C9">
        <w:t xml:space="preserve">it </w:t>
      </w:r>
      <w:r>
        <w:t xml:space="preserve">remain subject to audit, and that approval of the reconciliation statement does not constitute approval of either the accuracy of the reported figures or the reasonableness of the underlying transactions.  </w:t>
      </w:r>
    </w:p>
    <w:p w:rsidR="00BE06EF" w:rsidRDefault="00BE06EF" w:rsidP="00BE06EF">
      <w:pPr>
        <w:spacing w:line="360" w:lineRule="auto"/>
      </w:pPr>
    </w:p>
    <w:p w:rsidR="00BE06EF" w:rsidRDefault="00BE06EF" w:rsidP="00BE06EF">
      <w:pPr>
        <w:spacing w:line="360" w:lineRule="auto"/>
        <w:jc w:val="center"/>
        <w:rPr>
          <w:u w:val="single"/>
        </w:rPr>
      </w:pPr>
      <w:r>
        <w:rPr>
          <w:u w:val="single"/>
        </w:rPr>
        <w:t>CONCLUSIONS OF LAW</w:t>
      </w:r>
    </w:p>
    <w:p w:rsidR="00BE06EF" w:rsidRDefault="00BE06EF" w:rsidP="00BE06EF">
      <w:pPr>
        <w:spacing w:line="360" w:lineRule="auto"/>
        <w:jc w:val="center"/>
        <w:rPr>
          <w:u w:val="single"/>
        </w:rPr>
      </w:pPr>
    </w:p>
    <w:p w:rsidR="00BE06EF" w:rsidRDefault="00BE06EF" w:rsidP="00BE06EF">
      <w:pPr>
        <w:spacing w:line="360" w:lineRule="auto"/>
      </w:pPr>
      <w:r>
        <w:tab/>
      </w:r>
      <w:r>
        <w:tab/>
        <w:t>1.</w:t>
      </w:r>
      <w:r>
        <w:tab/>
        <w:t>The PPL TSC reconciliation filing, summarized in Appendix A, is deemed to be an adequate filing within the meaning of Section 1307(e) of the Public Utility Code, 66 Pa. Code § 1307(e), subject to such further review and revision as may be found necessary by the Commission.</w:t>
      </w:r>
    </w:p>
    <w:p w:rsidR="00BE06EF" w:rsidRDefault="00BE06EF" w:rsidP="00BE06EF">
      <w:pPr>
        <w:spacing w:line="360" w:lineRule="auto"/>
      </w:pPr>
      <w:r>
        <w:tab/>
      </w:r>
      <w:r>
        <w:tab/>
        <w:t>2.</w:t>
      </w:r>
      <w:r>
        <w:tab/>
        <w:t>Acceptance of the Statement deemed to be adequate is based on the unaudited data reported by the utility and does not constitute a final approval of the accuracy of those figures or of the reasonableness of the underlying transaction.</w:t>
      </w:r>
    </w:p>
    <w:p w:rsidR="00BE06EF" w:rsidRDefault="00BE06EF" w:rsidP="00BE06EF">
      <w:pPr>
        <w:spacing w:line="360" w:lineRule="auto"/>
      </w:pPr>
    </w:p>
    <w:p w:rsidR="00BE06EF" w:rsidRDefault="00BE06EF" w:rsidP="00BE06EF">
      <w:pPr>
        <w:spacing w:line="360" w:lineRule="auto"/>
      </w:pPr>
      <w:r>
        <w:tab/>
      </w:r>
      <w:r>
        <w:tab/>
        <w:t>3.</w:t>
      </w:r>
      <w:r>
        <w:tab/>
        <w:t>The recovery of undercollections or the refund of overcollections for the utility whose filing is deemed to be adequate should be implemented based upon the operation of the automatic adjustment clauses as set forth in its tariff.</w:t>
      </w:r>
    </w:p>
    <w:p w:rsidR="00BE06EF" w:rsidRDefault="00BE06EF" w:rsidP="00BE06EF">
      <w:pPr>
        <w:spacing w:line="360" w:lineRule="auto"/>
      </w:pPr>
    </w:p>
    <w:p w:rsidR="00BE06EF" w:rsidRDefault="00BE06EF" w:rsidP="00BE06EF">
      <w:pPr>
        <w:spacing w:line="360" w:lineRule="auto"/>
        <w:jc w:val="center"/>
        <w:rPr>
          <w:u w:val="single"/>
        </w:rPr>
      </w:pPr>
      <w:r>
        <w:rPr>
          <w:u w:val="single"/>
        </w:rPr>
        <w:t>ORDER</w:t>
      </w:r>
    </w:p>
    <w:p w:rsidR="00BE06EF" w:rsidRDefault="00BE06EF" w:rsidP="00BE06EF">
      <w:pPr>
        <w:spacing w:line="360" w:lineRule="auto"/>
        <w:jc w:val="center"/>
        <w:rPr>
          <w:u w:val="single"/>
        </w:rPr>
      </w:pPr>
    </w:p>
    <w:p w:rsidR="0046338E" w:rsidRDefault="0046338E" w:rsidP="00BE06EF">
      <w:pPr>
        <w:spacing w:line="360" w:lineRule="auto"/>
        <w:jc w:val="center"/>
        <w:rPr>
          <w:u w:val="single"/>
        </w:rPr>
      </w:pPr>
    </w:p>
    <w:p w:rsidR="00BE06EF" w:rsidRDefault="00BE06EF" w:rsidP="00BE06EF">
      <w:pPr>
        <w:spacing w:line="360" w:lineRule="auto"/>
      </w:pPr>
      <w:r>
        <w:tab/>
      </w:r>
      <w:r>
        <w:tab/>
        <w:t>THEREFORE,</w:t>
      </w:r>
    </w:p>
    <w:p w:rsidR="00BE06EF" w:rsidRDefault="00BE06EF" w:rsidP="00BE06EF">
      <w:pPr>
        <w:spacing w:line="360" w:lineRule="auto"/>
      </w:pPr>
    </w:p>
    <w:p w:rsidR="00BE06EF" w:rsidRDefault="00BE06EF" w:rsidP="00BE06EF">
      <w:pPr>
        <w:spacing w:line="360" w:lineRule="auto"/>
      </w:pPr>
      <w:r>
        <w:tab/>
      </w:r>
      <w:r>
        <w:tab/>
        <w:t>IT IS RECOMMENDED:</w:t>
      </w:r>
    </w:p>
    <w:p w:rsidR="00BE06EF" w:rsidRPr="0054068B" w:rsidRDefault="00BE06EF" w:rsidP="00BE06EF">
      <w:pPr>
        <w:spacing w:line="360" w:lineRule="auto"/>
      </w:pPr>
    </w:p>
    <w:p w:rsidR="00BE06EF" w:rsidRDefault="00BE06EF" w:rsidP="00BE06EF">
      <w:pPr>
        <w:spacing w:line="360" w:lineRule="auto"/>
      </w:pPr>
      <w:r>
        <w:tab/>
      </w:r>
      <w:r>
        <w:tab/>
        <w:t>1.</w:t>
      </w:r>
      <w:r>
        <w:tab/>
        <w:t>That the PPL Electric Utilities Corporation Transmission Service Charge Reconciliation for the period May 1, 201</w:t>
      </w:r>
      <w:r w:rsidR="00BC51C9">
        <w:t>1</w:t>
      </w:r>
      <w:r w:rsidR="00B855C4">
        <w:t>, to April 30, 2012</w:t>
      </w:r>
      <w:r>
        <w:t>, as set forth in Appendix A of this Recommended Decision, be, and hereby is, accepted insofar as it is undisputed.</w:t>
      </w:r>
    </w:p>
    <w:p w:rsidR="00BE06EF" w:rsidRDefault="00BE06EF" w:rsidP="00BE06EF">
      <w:pPr>
        <w:spacing w:line="360" w:lineRule="auto"/>
      </w:pPr>
    </w:p>
    <w:p w:rsidR="00BE06EF" w:rsidRDefault="00BE06EF" w:rsidP="00BE06EF">
      <w:pPr>
        <w:spacing w:line="360" w:lineRule="auto"/>
      </w:pPr>
      <w:r>
        <w:tab/>
      </w:r>
      <w:r>
        <w:tab/>
        <w:t>2.</w:t>
      </w:r>
      <w:r>
        <w:tab/>
        <w:t>That acceptance of the undisputed PPL Electric Utilities Corporation Transmission Service Charge Reconciliation is expressly subject to such further review and revision as may be found necessary as a result of a subsequent Commission audit, or of some other proceeding.</w:t>
      </w:r>
    </w:p>
    <w:p w:rsidR="00BE06EF" w:rsidRDefault="00BE06EF" w:rsidP="00BE06EF">
      <w:pPr>
        <w:spacing w:line="360" w:lineRule="auto"/>
        <w:ind w:firstLine="1440"/>
      </w:pPr>
    </w:p>
    <w:p w:rsidR="00BE06EF" w:rsidRDefault="00BE06EF" w:rsidP="00BE06EF">
      <w:pPr>
        <w:spacing w:line="360" w:lineRule="auto"/>
        <w:ind w:firstLine="1440"/>
      </w:pPr>
      <w:r>
        <w:t>3.</w:t>
      </w:r>
      <w:r>
        <w:tab/>
        <w:t>That acceptance of the undisputed PPL Electric Utilities Corporation Transmission Service Charge Reconciliation shall not constitute approval of either the accuracy of the reported figures or the reasonableness of the underlying transactions.</w:t>
      </w:r>
    </w:p>
    <w:p w:rsidR="00BE06EF" w:rsidRDefault="00BE06EF" w:rsidP="00BE06EF">
      <w:pPr>
        <w:spacing w:line="360" w:lineRule="auto"/>
      </w:pPr>
    </w:p>
    <w:p w:rsidR="00BE06EF" w:rsidRDefault="00BE06EF" w:rsidP="00BE06EF">
      <w:pPr>
        <w:spacing w:line="360" w:lineRule="auto"/>
      </w:pPr>
    </w:p>
    <w:p w:rsidR="00BE06EF" w:rsidRDefault="00BE06EF" w:rsidP="00BE06EF">
      <w:r>
        <w:t>Date:</w:t>
      </w:r>
      <w:r>
        <w:tab/>
      </w:r>
      <w:r>
        <w:rPr>
          <w:u w:val="single"/>
        </w:rPr>
        <w:t xml:space="preserve">July </w:t>
      </w:r>
      <w:r w:rsidR="00B855C4">
        <w:rPr>
          <w:u w:val="single"/>
        </w:rPr>
        <w:t>24</w:t>
      </w:r>
      <w:r w:rsidR="00BC51C9">
        <w:rPr>
          <w:u w:val="single"/>
        </w:rPr>
        <w:t>, 2012</w:t>
      </w:r>
      <w:r>
        <w:tab/>
      </w:r>
      <w:r>
        <w:tab/>
      </w:r>
      <w:r>
        <w:tab/>
      </w:r>
      <w:r>
        <w:tab/>
      </w:r>
      <w:r>
        <w:tab/>
        <w:t>_____________________________</w:t>
      </w:r>
    </w:p>
    <w:p w:rsidR="00BE06EF" w:rsidRDefault="00BE06EF" w:rsidP="00BE06EF">
      <w:r>
        <w:tab/>
      </w:r>
      <w:r>
        <w:tab/>
      </w:r>
      <w:r>
        <w:tab/>
      </w:r>
      <w:r>
        <w:tab/>
      </w:r>
      <w:r>
        <w:tab/>
      </w:r>
      <w:r>
        <w:tab/>
      </w:r>
      <w:r>
        <w:tab/>
        <w:t>Susan D. Colwell</w:t>
      </w:r>
    </w:p>
    <w:p w:rsidR="005536AB" w:rsidRDefault="00BE06EF" w:rsidP="00BE06EF">
      <w:pPr>
        <w:sectPr w:rsidR="005536AB" w:rsidSect="00B855C4">
          <w:footerReference w:type="default" r:id="rId7"/>
          <w:pgSz w:w="12240" w:h="15840"/>
          <w:pgMar w:top="1440" w:right="1440" w:bottom="1440" w:left="1440" w:header="720" w:footer="720" w:gutter="0"/>
          <w:cols w:space="720"/>
          <w:titlePg/>
          <w:docGrid w:linePitch="360"/>
        </w:sectPr>
      </w:pPr>
      <w:r>
        <w:tab/>
      </w:r>
      <w:r>
        <w:tab/>
      </w:r>
      <w:r>
        <w:tab/>
      </w:r>
      <w:r>
        <w:tab/>
      </w:r>
      <w:r>
        <w:tab/>
      </w:r>
      <w:r>
        <w:tab/>
      </w:r>
      <w:r>
        <w:tab/>
      </w:r>
      <w:r w:rsidR="003A25C0">
        <w:t>Administrative Law Judge</w:t>
      </w:r>
    </w:p>
    <w:p w:rsidR="005B10FA" w:rsidRDefault="005536AB" w:rsidP="00BE06EF">
      <w:pPr>
        <w:sectPr w:rsidR="005B10FA" w:rsidSect="005536AB">
          <w:footerReference w:type="first" r:id="rId8"/>
          <w:pgSz w:w="12240" w:h="15840"/>
          <w:pgMar w:top="1440" w:right="1440" w:bottom="1440" w:left="1440" w:header="720" w:footer="720" w:gutter="0"/>
          <w:cols w:space="720"/>
          <w:titlePg/>
          <w:docGrid w:linePitch="360"/>
        </w:sectPr>
      </w:pPr>
      <w:r>
        <w:rPr>
          <w:noProof/>
        </w:rPr>
        <w:drawing>
          <wp:inline distT="0" distB="0" distL="0" distR="0">
            <wp:extent cx="5943600" cy="789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894320"/>
                    </a:xfrm>
                    <a:prstGeom prst="rect">
                      <a:avLst/>
                    </a:prstGeom>
                    <a:noFill/>
                    <a:ln>
                      <a:noFill/>
                    </a:ln>
                  </pic:spPr>
                </pic:pic>
              </a:graphicData>
            </a:graphic>
          </wp:inline>
        </w:drawing>
      </w:r>
    </w:p>
    <w:p w:rsidR="00BE06EF" w:rsidRDefault="005B10FA" w:rsidP="00BE06EF">
      <w:r>
        <w:rPr>
          <w:noProof/>
        </w:rPr>
        <w:drawing>
          <wp:inline distT="0" distB="0" distL="0" distR="0" wp14:anchorId="03089D61" wp14:editId="7C8A34C7">
            <wp:extent cx="6675120" cy="804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5120" cy="8046720"/>
                    </a:xfrm>
                    <a:prstGeom prst="rect">
                      <a:avLst/>
                    </a:prstGeom>
                    <a:noFill/>
                    <a:ln>
                      <a:noFill/>
                    </a:ln>
                  </pic:spPr>
                </pic:pic>
              </a:graphicData>
            </a:graphic>
          </wp:inline>
        </w:drawing>
      </w:r>
    </w:p>
    <w:sectPr w:rsidR="00BE06EF" w:rsidSect="00335264">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3C" w:rsidRDefault="00173B3C" w:rsidP="00BE06EF">
      <w:r>
        <w:separator/>
      </w:r>
    </w:p>
  </w:endnote>
  <w:endnote w:type="continuationSeparator" w:id="0">
    <w:p w:rsidR="00173B3C" w:rsidRDefault="00173B3C" w:rsidP="00BE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85411"/>
      <w:docPartObj>
        <w:docPartGallery w:val="Page Numbers (Bottom of Page)"/>
        <w:docPartUnique/>
      </w:docPartObj>
    </w:sdtPr>
    <w:sdtEndPr>
      <w:rPr>
        <w:noProof/>
        <w:sz w:val="20"/>
        <w:szCs w:val="20"/>
      </w:rPr>
    </w:sdtEndPr>
    <w:sdtContent>
      <w:p w:rsidR="00B855C4" w:rsidRPr="0046338E" w:rsidRDefault="00B855C4" w:rsidP="00335264">
        <w:pPr>
          <w:pStyle w:val="Footer"/>
          <w:tabs>
            <w:tab w:val="clear" w:pos="4680"/>
          </w:tabs>
          <w:jc w:val="center"/>
          <w:rPr>
            <w:sz w:val="20"/>
            <w:szCs w:val="20"/>
          </w:rPr>
        </w:pPr>
        <w:r w:rsidRPr="0046338E">
          <w:rPr>
            <w:sz w:val="20"/>
            <w:szCs w:val="20"/>
          </w:rPr>
          <w:fldChar w:fldCharType="begin"/>
        </w:r>
        <w:r w:rsidRPr="0046338E">
          <w:rPr>
            <w:sz w:val="20"/>
            <w:szCs w:val="20"/>
          </w:rPr>
          <w:instrText xml:space="preserve"> PAGE   \* MERGEFORMAT </w:instrText>
        </w:r>
        <w:r w:rsidRPr="0046338E">
          <w:rPr>
            <w:sz w:val="20"/>
            <w:szCs w:val="20"/>
          </w:rPr>
          <w:fldChar w:fldCharType="separate"/>
        </w:r>
        <w:r w:rsidR="00DA295B">
          <w:rPr>
            <w:noProof/>
            <w:sz w:val="20"/>
            <w:szCs w:val="20"/>
          </w:rPr>
          <w:t>3</w:t>
        </w:r>
        <w:r w:rsidRPr="0046338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64" w:rsidRDefault="00335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64" w:rsidRDefault="00335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3C" w:rsidRDefault="00173B3C" w:rsidP="00BE06EF">
      <w:r>
        <w:separator/>
      </w:r>
    </w:p>
  </w:footnote>
  <w:footnote w:type="continuationSeparator" w:id="0">
    <w:p w:rsidR="00173B3C" w:rsidRDefault="00173B3C" w:rsidP="00BE0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E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B3C"/>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5264"/>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25C0"/>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E31"/>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38E"/>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36AB"/>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10FA"/>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DCB"/>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531F"/>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549A"/>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7DB"/>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55C4"/>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1C9"/>
    <w:rsid w:val="00BC60A6"/>
    <w:rsid w:val="00BC62E0"/>
    <w:rsid w:val="00BC6FBF"/>
    <w:rsid w:val="00BD00D9"/>
    <w:rsid w:val="00BD1886"/>
    <w:rsid w:val="00BD23E3"/>
    <w:rsid w:val="00BD40BC"/>
    <w:rsid w:val="00BD6234"/>
    <w:rsid w:val="00BE0437"/>
    <w:rsid w:val="00BE04F6"/>
    <w:rsid w:val="00BE06EF"/>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5A0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343"/>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295B"/>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EF"/>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06EF"/>
    <w:rPr>
      <w:sz w:val="20"/>
      <w:szCs w:val="20"/>
    </w:rPr>
  </w:style>
  <w:style w:type="character" w:customStyle="1" w:styleId="FootnoteTextChar">
    <w:name w:val="Footnote Text Char"/>
    <w:basedOn w:val="DefaultParagraphFont"/>
    <w:link w:val="FootnoteText"/>
    <w:uiPriority w:val="99"/>
    <w:semiHidden/>
    <w:rsid w:val="00BE06EF"/>
    <w:rPr>
      <w:rFonts w:eastAsia="Times New Roman"/>
      <w:sz w:val="20"/>
      <w:szCs w:val="20"/>
    </w:rPr>
  </w:style>
  <w:style w:type="character" w:styleId="FootnoteReference">
    <w:name w:val="footnote reference"/>
    <w:basedOn w:val="DefaultParagraphFont"/>
    <w:uiPriority w:val="99"/>
    <w:semiHidden/>
    <w:unhideWhenUsed/>
    <w:rsid w:val="00BE06EF"/>
    <w:rPr>
      <w:vertAlign w:val="superscript"/>
    </w:rPr>
  </w:style>
  <w:style w:type="paragraph" w:styleId="Header">
    <w:name w:val="header"/>
    <w:basedOn w:val="Normal"/>
    <w:link w:val="HeaderChar"/>
    <w:uiPriority w:val="99"/>
    <w:unhideWhenUsed/>
    <w:rsid w:val="00B855C4"/>
    <w:pPr>
      <w:tabs>
        <w:tab w:val="center" w:pos="4680"/>
        <w:tab w:val="right" w:pos="9360"/>
      </w:tabs>
    </w:pPr>
  </w:style>
  <w:style w:type="character" w:customStyle="1" w:styleId="HeaderChar">
    <w:name w:val="Header Char"/>
    <w:basedOn w:val="DefaultParagraphFont"/>
    <w:link w:val="Header"/>
    <w:uiPriority w:val="99"/>
    <w:rsid w:val="00B855C4"/>
    <w:rPr>
      <w:rFonts w:eastAsia="Times New Roman"/>
    </w:rPr>
  </w:style>
  <w:style w:type="paragraph" w:styleId="Footer">
    <w:name w:val="footer"/>
    <w:basedOn w:val="Normal"/>
    <w:link w:val="FooterChar"/>
    <w:uiPriority w:val="99"/>
    <w:unhideWhenUsed/>
    <w:rsid w:val="00B855C4"/>
    <w:pPr>
      <w:tabs>
        <w:tab w:val="center" w:pos="4680"/>
        <w:tab w:val="right" w:pos="9360"/>
      </w:tabs>
    </w:pPr>
  </w:style>
  <w:style w:type="character" w:customStyle="1" w:styleId="FooterChar">
    <w:name w:val="Footer Char"/>
    <w:basedOn w:val="DefaultParagraphFont"/>
    <w:link w:val="Footer"/>
    <w:uiPriority w:val="99"/>
    <w:rsid w:val="00B855C4"/>
    <w:rPr>
      <w:rFonts w:eastAsia="Times New Roman"/>
    </w:rPr>
  </w:style>
  <w:style w:type="paragraph" w:styleId="BalloonText">
    <w:name w:val="Balloon Text"/>
    <w:basedOn w:val="Normal"/>
    <w:link w:val="BalloonTextChar"/>
    <w:uiPriority w:val="99"/>
    <w:semiHidden/>
    <w:unhideWhenUsed/>
    <w:rsid w:val="003A25C0"/>
    <w:rPr>
      <w:rFonts w:ascii="Tahoma" w:hAnsi="Tahoma" w:cs="Tahoma"/>
      <w:sz w:val="16"/>
      <w:szCs w:val="16"/>
    </w:rPr>
  </w:style>
  <w:style w:type="character" w:customStyle="1" w:styleId="BalloonTextChar">
    <w:name w:val="Balloon Text Char"/>
    <w:basedOn w:val="DefaultParagraphFont"/>
    <w:link w:val="BalloonText"/>
    <w:uiPriority w:val="99"/>
    <w:semiHidden/>
    <w:rsid w:val="003A25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EF"/>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06EF"/>
    <w:rPr>
      <w:sz w:val="20"/>
      <w:szCs w:val="20"/>
    </w:rPr>
  </w:style>
  <w:style w:type="character" w:customStyle="1" w:styleId="FootnoteTextChar">
    <w:name w:val="Footnote Text Char"/>
    <w:basedOn w:val="DefaultParagraphFont"/>
    <w:link w:val="FootnoteText"/>
    <w:uiPriority w:val="99"/>
    <w:semiHidden/>
    <w:rsid w:val="00BE06EF"/>
    <w:rPr>
      <w:rFonts w:eastAsia="Times New Roman"/>
      <w:sz w:val="20"/>
      <w:szCs w:val="20"/>
    </w:rPr>
  </w:style>
  <w:style w:type="character" w:styleId="FootnoteReference">
    <w:name w:val="footnote reference"/>
    <w:basedOn w:val="DefaultParagraphFont"/>
    <w:uiPriority w:val="99"/>
    <w:semiHidden/>
    <w:unhideWhenUsed/>
    <w:rsid w:val="00BE06EF"/>
    <w:rPr>
      <w:vertAlign w:val="superscript"/>
    </w:rPr>
  </w:style>
  <w:style w:type="paragraph" w:styleId="Header">
    <w:name w:val="header"/>
    <w:basedOn w:val="Normal"/>
    <w:link w:val="HeaderChar"/>
    <w:uiPriority w:val="99"/>
    <w:unhideWhenUsed/>
    <w:rsid w:val="00B855C4"/>
    <w:pPr>
      <w:tabs>
        <w:tab w:val="center" w:pos="4680"/>
        <w:tab w:val="right" w:pos="9360"/>
      </w:tabs>
    </w:pPr>
  </w:style>
  <w:style w:type="character" w:customStyle="1" w:styleId="HeaderChar">
    <w:name w:val="Header Char"/>
    <w:basedOn w:val="DefaultParagraphFont"/>
    <w:link w:val="Header"/>
    <w:uiPriority w:val="99"/>
    <w:rsid w:val="00B855C4"/>
    <w:rPr>
      <w:rFonts w:eastAsia="Times New Roman"/>
    </w:rPr>
  </w:style>
  <w:style w:type="paragraph" w:styleId="Footer">
    <w:name w:val="footer"/>
    <w:basedOn w:val="Normal"/>
    <w:link w:val="FooterChar"/>
    <w:uiPriority w:val="99"/>
    <w:unhideWhenUsed/>
    <w:rsid w:val="00B855C4"/>
    <w:pPr>
      <w:tabs>
        <w:tab w:val="center" w:pos="4680"/>
        <w:tab w:val="right" w:pos="9360"/>
      </w:tabs>
    </w:pPr>
  </w:style>
  <w:style w:type="character" w:customStyle="1" w:styleId="FooterChar">
    <w:name w:val="Footer Char"/>
    <w:basedOn w:val="DefaultParagraphFont"/>
    <w:link w:val="Footer"/>
    <w:uiPriority w:val="99"/>
    <w:rsid w:val="00B855C4"/>
    <w:rPr>
      <w:rFonts w:eastAsia="Times New Roman"/>
    </w:rPr>
  </w:style>
  <w:style w:type="paragraph" w:styleId="BalloonText">
    <w:name w:val="Balloon Text"/>
    <w:basedOn w:val="Normal"/>
    <w:link w:val="BalloonTextChar"/>
    <w:uiPriority w:val="99"/>
    <w:semiHidden/>
    <w:unhideWhenUsed/>
    <w:rsid w:val="003A25C0"/>
    <w:rPr>
      <w:rFonts w:ascii="Tahoma" w:hAnsi="Tahoma" w:cs="Tahoma"/>
      <w:sz w:val="16"/>
      <w:szCs w:val="16"/>
    </w:rPr>
  </w:style>
  <w:style w:type="character" w:customStyle="1" w:styleId="BalloonTextChar">
    <w:name w:val="Balloon Text Char"/>
    <w:basedOn w:val="DefaultParagraphFont"/>
    <w:link w:val="BalloonText"/>
    <w:uiPriority w:val="99"/>
    <w:semiHidden/>
    <w:rsid w:val="003A25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2012-08-03T13:51:00Z</cp:lastPrinted>
  <dcterms:created xsi:type="dcterms:W3CDTF">2012-08-03T13:51:00Z</dcterms:created>
  <dcterms:modified xsi:type="dcterms:W3CDTF">2012-08-03T13:52:00Z</dcterms:modified>
</cp:coreProperties>
</file>