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E2" w:rsidRDefault="004B26E2" w:rsidP="004B26E2">
      <w:pPr>
        <w:jc w:val="center"/>
        <w:rPr>
          <w:b/>
        </w:rPr>
      </w:pPr>
      <w:r>
        <w:tab/>
      </w:r>
      <w:r>
        <w:rPr>
          <w:b/>
        </w:rPr>
        <w:t>BEFORE THE</w:t>
      </w:r>
    </w:p>
    <w:p w:rsidR="004B26E2" w:rsidRDefault="004B26E2" w:rsidP="004B26E2">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4B26E2" w:rsidRDefault="004B26E2" w:rsidP="004B26E2"/>
    <w:p w:rsidR="004B26E2" w:rsidRDefault="004B26E2" w:rsidP="004B26E2"/>
    <w:tbl>
      <w:tblPr>
        <w:tblW w:w="0" w:type="auto"/>
        <w:tblLayout w:type="fixed"/>
        <w:tblLook w:val="0000" w:firstRow="0" w:lastRow="0" w:firstColumn="0" w:lastColumn="0" w:noHBand="0" w:noVBand="0"/>
      </w:tblPr>
      <w:tblGrid>
        <w:gridCol w:w="4878"/>
        <w:gridCol w:w="4590"/>
      </w:tblGrid>
      <w:tr w:rsidR="009F64F2" w:rsidRPr="00754C39" w:rsidTr="008175E4">
        <w:tc>
          <w:tcPr>
            <w:tcW w:w="4878" w:type="dxa"/>
          </w:tcPr>
          <w:p w:rsidR="009F64F2" w:rsidRPr="00754C39" w:rsidRDefault="009F64F2" w:rsidP="009F64F2">
            <w:pPr>
              <w:rPr>
                <w:sz w:val="26"/>
                <w:szCs w:val="26"/>
              </w:rPr>
            </w:pPr>
          </w:p>
        </w:tc>
        <w:tc>
          <w:tcPr>
            <w:tcW w:w="4590" w:type="dxa"/>
          </w:tcPr>
          <w:p w:rsidR="009F64F2" w:rsidRPr="00754C39" w:rsidRDefault="009F64F2" w:rsidP="00D64526">
            <w:pPr>
              <w:rPr>
                <w:sz w:val="26"/>
                <w:szCs w:val="26"/>
              </w:rPr>
            </w:pPr>
            <w:r w:rsidRPr="00754C39">
              <w:rPr>
                <w:sz w:val="26"/>
                <w:szCs w:val="26"/>
              </w:rPr>
              <w:t xml:space="preserve">Public Meeting held </w:t>
            </w:r>
            <w:r w:rsidR="00D64526">
              <w:rPr>
                <w:sz w:val="26"/>
                <w:szCs w:val="26"/>
              </w:rPr>
              <w:t>September 22, 2011</w:t>
            </w:r>
          </w:p>
        </w:tc>
      </w:tr>
      <w:tr w:rsidR="009F64F2" w:rsidRPr="00754C39" w:rsidTr="008175E4">
        <w:tc>
          <w:tcPr>
            <w:tcW w:w="4878" w:type="dxa"/>
          </w:tcPr>
          <w:p w:rsidR="009F64F2" w:rsidRPr="00754C39" w:rsidRDefault="009F64F2" w:rsidP="009F64F2">
            <w:pPr>
              <w:rPr>
                <w:sz w:val="26"/>
                <w:szCs w:val="26"/>
              </w:rPr>
            </w:pPr>
          </w:p>
        </w:tc>
        <w:tc>
          <w:tcPr>
            <w:tcW w:w="4590" w:type="dxa"/>
          </w:tcPr>
          <w:p w:rsidR="009F64F2" w:rsidRPr="00754C39" w:rsidRDefault="009F64F2" w:rsidP="009F64F2">
            <w:pPr>
              <w:rPr>
                <w:sz w:val="26"/>
                <w:szCs w:val="26"/>
              </w:rPr>
            </w:pPr>
          </w:p>
        </w:tc>
      </w:tr>
      <w:tr w:rsidR="009F64F2" w:rsidRPr="00754C39" w:rsidTr="008175E4">
        <w:tc>
          <w:tcPr>
            <w:tcW w:w="4878" w:type="dxa"/>
          </w:tcPr>
          <w:p w:rsidR="009F64F2" w:rsidRPr="00754C39" w:rsidRDefault="009F64F2" w:rsidP="009F64F2">
            <w:pPr>
              <w:rPr>
                <w:sz w:val="26"/>
                <w:szCs w:val="26"/>
              </w:rPr>
            </w:pPr>
            <w:r w:rsidRPr="00754C39">
              <w:rPr>
                <w:sz w:val="26"/>
                <w:szCs w:val="26"/>
              </w:rPr>
              <w:t>Commissioners Present:</w:t>
            </w:r>
          </w:p>
        </w:tc>
        <w:tc>
          <w:tcPr>
            <w:tcW w:w="4590" w:type="dxa"/>
          </w:tcPr>
          <w:p w:rsidR="009F64F2" w:rsidRPr="00754C39" w:rsidRDefault="009F64F2" w:rsidP="009F64F2">
            <w:pPr>
              <w:rPr>
                <w:sz w:val="26"/>
                <w:szCs w:val="26"/>
              </w:rPr>
            </w:pPr>
          </w:p>
        </w:tc>
      </w:tr>
      <w:tr w:rsidR="009F64F2" w:rsidRPr="00754C39" w:rsidTr="008175E4">
        <w:trPr>
          <w:trHeight w:val="80"/>
        </w:trPr>
        <w:tc>
          <w:tcPr>
            <w:tcW w:w="4878" w:type="dxa"/>
          </w:tcPr>
          <w:p w:rsidR="009F64F2" w:rsidRPr="00754C39" w:rsidRDefault="009F64F2" w:rsidP="009F64F2">
            <w:pPr>
              <w:rPr>
                <w:sz w:val="26"/>
                <w:szCs w:val="26"/>
              </w:rPr>
            </w:pPr>
          </w:p>
        </w:tc>
        <w:tc>
          <w:tcPr>
            <w:tcW w:w="4590" w:type="dxa"/>
          </w:tcPr>
          <w:p w:rsidR="009F64F2" w:rsidRPr="00754C39" w:rsidRDefault="009F64F2" w:rsidP="009F64F2">
            <w:pPr>
              <w:rPr>
                <w:sz w:val="26"/>
                <w:szCs w:val="26"/>
              </w:rPr>
            </w:pPr>
          </w:p>
        </w:tc>
      </w:tr>
      <w:tr w:rsidR="009F64F2" w:rsidRPr="00D64526" w:rsidTr="009F64F2">
        <w:tc>
          <w:tcPr>
            <w:tcW w:w="9468" w:type="dxa"/>
            <w:gridSpan w:val="2"/>
          </w:tcPr>
          <w:p w:rsidR="009F64F2" w:rsidRPr="00D64526" w:rsidRDefault="00D64526" w:rsidP="00D64526">
            <w:pPr>
              <w:pStyle w:val="p5"/>
              <w:rPr>
                <w:sz w:val="26"/>
                <w:szCs w:val="26"/>
              </w:rPr>
            </w:pPr>
            <w:r w:rsidRPr="00D64526">
              <w:rPr>
                <w:sz w:val="26"/>
                <w:szCs w:val="26"/>
              </w:rPr>
              <w:t>Robert F. Powelson, Chairman</w:t>
            </w:r>
          </w:p>
          <w:p w:rsidR="00D64526" w:rsidRPr="00D64526" w:rsidRDefault="00D64526" w:rsidP="00D64526">
            <w:pPr>
              <w:pStyle w:val="p5"/>
              <w:rPr>
                <w:sz w:val="26"/>
                <w:szCs w:val="26"/>
              </w:rPr>
            </w:pPr>
            <w:r w:rsidRPr="00D64526">
              <w:rPr>
                <w:sz w:val="26"/>
                <w:szCs w:val="26"/>
              </w:rPr>
              <w:t>John F. Coleman, Vice Chairman</w:t>
            </w:r>
          </w:p>
          <w:p w:rsidR="00D64526" w:rsidRPr="00D64526" w:rsidRDefault="00D64526" w:rsidP="00D64526">
            <w:pPr>
              <w:pStyle w:val="p5"/>
              <w:rPr>
                <w:sz w:val="26"/>
                <w:szCs w:val="26"/>
              </w:rPr>
            </w:pPr>
            <w:r w:rsidRPr="00D64526">
              <w:rPr>
                <w:sz w:val="26"/>
                <w:szCs w:val="26"/>
              </w:rPr>
              <w:t>Wayne E. Gardner</w:t>
            </w:r>
          </w:p>
          <w:p w:rsidR="00D64526" w:rsidRPr="00D64526" w:rsidRDefault="00D64526" w:rsidP="00D64526">
            <w:pPr>
              <w:pStyle w:val="p5"/>
              <w:rPr>
                <w:sz w:val="26"/>
                <w:szCs w:val="26"/>
              </w:rPr>
            </w:pPr>
            <w:r w:rsidRPr="00D64526">
              <w:rPr>
                <w:sz w:val="26"/>
                <w:szCs w:val="26"/>
              </w:rPr>
              <w:t>James H. Cawley</w:t>
            </w:r>
          </w:p>
          <w:p w:rsidR="00D64526" w:rsidRPr="00D64526" w:rsidRDefault="00D64526" w:rsidP="00D64526">
            <w:pPr>
              <w:pStyle w:val="p5"/>
              <w:rPr>
                <w:sz w:val="26"/>
                <w:szCs w:val="26"/>
              </w:rPr>
            </w:pPr>
            <w:r w:rsidRPr="00D64526">
              <w:rPr>
                <w:sz w:val="26"/>
                <w:szCs w:val="26"/>
              </w:rPr>
              <w:t xml:space="preserve">Pamela A. Witmer, Statement </w:t>
            </w:r>
          </w:p>
        </w:tc>
      </w:tr>
      <w:tr w:rsidR="009F64F2" w:rsidRPr="00D64526" w:rsidTr="009F64F2">
        <w:tc>
          <w:tcPr>
            <w:tcW w:w="9468" w:type="dxa"/>
            <w:gridSpan w:val="2"/>
          </w:tcPr>
          <w:p w:rsidR="009F64F2" w:rsidRPr="00D64526" w:rsidRDefault="009F64F2" w:rsidP="009F64F2">
            <w:pPr>
              <w:pStyle w:val="p5"/>
              <w:rPr>
                <w:sz w:val="26"/>
                <w:szCs w:val="26"/>
              </w:rPr>
            </w:pPr>
          </w:p>
        </w:tc>
      </w:tr>
      <w:tr w:rsidR="009F64F2" w:rsidRPr="00D64526" w:rsidTr="009F64F2">
        <w:tc>
          <w:tcPr>
            <w:tcW w:w="9468" w:type="dxa"/>
            <w:gridSpan w:val="2"/>
          </w:tcPr>
          <w:p w:rsidR="009F64F2" w:rsidRPr="00D64526" w:rsidRDefault="009F64F2" w:rsidP="009F64F2">
            <w:pPr>
              <w:pStyle w:val="p5"/>
              <w:rPr>
                <w:sz w:val="26"/>
                <w:szCs w:val="26"/>
              </w:rPr>
            </w:pPr>
          </w:p>
        </w:tc>
      </w:tr>
      <w:tr w:rsidR="009F64F2" w:rsidRPr="00D64526" w:rsidTr="008175E4">
        <w:tc>
          <w:tcPr>
            <w:tcW w:w="4878" w:type="dxa"/>
          </w:tcPr>
          <w:p w:rsidR="00D64526" w:rsidRPr="00D64526" w:rsidRDefault="00D64526" w:rsidP="009F64F2">
            <w:pPr>
              <w:rPr>
                <w:sz w:val="26"/>
                <w:szCs w:val="26"/>
              </w:rPr>
            </w:pPr>
            <w:r w:rsidRPr="00D64526">
              <w:rPr>
                <w:sz w:val="26"/>
                <w:szCs w:val="26"/>
              </w:rPr>
              <w:t>Implementation of Act 129</w:t>
            </w:r>
            <w:r w:rsidR="008175E4">
              <w:rPr>
                <w:sz w:val="26"/>
                <w:szCs w:val="26"/>
              </w:rPr>
              <w:t xml:space="preserve"> </w:t>
            </w:r>
            <w:r w:rsidRPr="00D64526">
              <w:rPr>
                <w:sz w:val="26"/>
                <w:szCs w:val="26"/>
              </w:rPr>
              <w:t xml:space="preserve">of </w:t>
            </w:r>
          </w:p>
          <w:p w:rsidR="009F64F2" w:rsidRPr="00D64526" w:rsidRDefault="00D64526" w:rsidP="009F64F2">
            <w:pPr>
              <w:rPr>
                <w:sz w:val="26"/>
                <w:szCs w:val="26"/>
              </w:rPr>
            </w:pPr>
            <w:r w:rsidRPr="00D64526">
              <w:rPr>
                <w:sz w:val="26"/>
                <w:szCs w:val="26"/>
              </w:rPr>
              <w:t xml:space="preserve">October 15, 2008; Default Service </w:t>
            </w:r>
          </w:p>
          <w:p w:rsidR="00D64526" w:rsidRPr="00D64526" w:rsidRDefault="00D64526" w:rsidP="009F64F2">
            <w:pPr>
              <w:rPr>
                <w:sz w:val="26"/>
                <w:szCs w:val="26"/>
              </w:rPr>
            </w:pPr>
            <w:r w:rsidRPr="00D64526">
              <w:rPr>
                <w:sz w:val="26"/>
                <w:szCs w:val="26"/>
              </w:rPr>
              <w:t>And Retail Electric Markets</w:t>
            </w:r>
          </w:p>
        </w:tc>
        <w:tc>
          <w:tcPr>
            <w:tcW w:w="4590" w:type="dxa"/>
            <w:vAlign w:val="center"/>
          </w:tcPr>
          <w:p w:rsidR="009F64F2" w:rsidRPr="00D64526" w:rsidRDefault="009F64F2" w:rsidP="009F64F2">
            <w:pPr>
              <w:ind w:firstLine="1332"/>
              <w:rPr>
                <w:sz w:val="26"/>
                <w:szCs w:val="26"/>
              </w:rPr>
            </w:pPr>
            <w:r w:rsidRPr="00D64526">
              <w:rPr>
                <w:sz w:val="26"/>
                <w:szCs w:val="26"/>
              </w:rPr>
              <w:t>Docket Number:</w:t>
            </w:r>
          </w:p>
          <w:p w:rsidR="009F64F2" w:rsidRPr="00D64526" w:rsidRDefault="00D64526" w:rsidP="009F64F2">
            <w:pPr>
              <w:ind w:firstLine="1332"/>
              <w:rPr>
                <w:sz w:val="26"/>
                <w:szCs w:val="26"/>
              </w:rPr>
            </w:pPr>
            <w:r w:rsidRPr="00D64526">
              <w:rPr>
                <w:sz w:val="26"/>
                <w:szCs w:val="26"/>
              </w:rPr>
              <w:t>L-2009-2095604</w:t>
            </w:r>
          </w:p>
        </w:tc>
      </w:tr>
    </w:tbl>
    <w:p w:rsidR="004B26E2" w:rsidRPr="00D64526" w:rsidRDefault="004B26E2" w:rsidP="004B26E2"/>
    <w:p w:rsidR="00560082" w:rsidRPr="00D64526" w:rsidRDefault="00560082" w:rsidP="00560082"/>
    <w:p w:rsidR="00061AA0" w:rsidRPr="00D64526" w:rsidRDefault="00061AA0" w:rsidP="004B26E2">
      <w:pPr>
        <w:spacing w:line="360" w:lineRule="auto"/>
      </w:pPr>
    </w:p>
    <w:p w:rsidR="00061AA0" w:rsidRPr="00D64526" w:rsidRDefault="00061AA0" w:rsidP="00061AA0">
      <w:pPr>
        <w:jc w:val="center"/>
        <w:rPr>
          <w:sz w:val="22"/>
          <w:szCs w:val="22"/>
        </w:rPr>
      </w:pPr>
      <w:r w:rsidRPr="00D64526">
        <w:rPr>
          <w:b/>
          <w:bCs/>
          <w:u w:val="single"/>
        </w:rPr>
        <w:t xml:space="preserve">ERRATA NOTICE </w:t>
      </w:r>
    </w:p>
    <w:p w:rsidR="00061AA0" w:rsidRPr="00D64526" w:rsidRDefault="00061AA0" w:rsidP="00061AA0">
      <w:pPr>
        <w:ind w:firstLine="1440"/>
        <w:jc w:val="center"/>
        <w:rPr>
          <w:sz w:val="22"/>
          <w:szCs w:val="22"/>
        </w:rPr>
      </w:pPr>
    </w:p>
    <w:p w:rsidR="00061AA0" w:rsidRPr="00D64526" w:rsidRDefault="00061AA0" w:rsidP="00061AA0">
      <w:pPr>
        <w:ind w:firstLine="1440"/>
        <w:jc w:val="center"/>
        <w:rPr>
          <w:sz w:val="22"/>
          <w:szCs w:val="22"/>
        </w:rPr>
      </w:pPr>
    </w:p>
    <w:p w:rsidR="00F922A0" w:rsidRPr="00D64526" w:rsidRDefault="00061AA0" w:rsidP="00E85D5D">
      <w:pPr>
        <w:spacing w:line="360" w:lineRule="auto"/>
        <w:ind w:firstLine="1440"/>
        <w:jc w:val="both"/>
      </w:pPr>
      <w:r w:rsidRPr="00D64526">
        <w:t xml:space="preserve">This is to advise all parties of record that </w:t>
      </w:r>
      <w:r w:rsidR="00180DB7" w:rsidRPr="00D64526">
        <w:t>the Order</w:t>
      </w:r>
      <w:r w:rsidRPr="00D64526">
        <w:t xml:space="preserve"> </w:t>
      </w:r>
      <w:r w:rsidR="00693018" w:rsidRPr="00D64526">
        <w:t xml:space="preserve">entered on </w:t>
      </w:r>
      <w:r w:rsidR="00D64526" w:rsidRPr="00D64526">
        <w:t>October 4, 2011</w:t>
      </w:r>
      <w:r w:rsidR="00180DB7" w:rsidRPr="00D64526">
        <w:t>,</w:t>
      </w:r>
      <w:r w:rsidRPr="00D64526">
        <w:t xml:space="preserve"> in the above-captioned proceeding contain</w:t>
      </w:r>
      <w:r w:rsidR="00D64526" w:rsidRPr="00D64526">
        <w:t>ed</w:t>
      </w:r>
      <w:r w:rsidR="00F922A0" w:rsidRPr="00D64526">
        <w:t xml:space="preserve"> </w:t>
      </w:r>
      <w:r w:rsidR="00D64526" w:rsidRPr="00D64526">
        <w:t xml:space="preserve">an </w:t>
      </w:r>
      <w:r w:rsidRPr="00D64526">
        <w:t>erro</w:t>
      </w:r>
      <w:r w:rsidR="00FA0973" w:rsidRPr="00D64526">
        <w:t>r</w:t>
      </w:r>
      <w:r w:rsidR="00F922A0" w:rsidRPr="00D64526">
        <w:t xml:space="preserve"> </w:t>
      </w:r>
      <w:r w:rsidR="00D64526" w:rsidRPr="00D64526">
        <w:t>o</w:t>
      </w:r>
      <w:r w:rsidR="00F922A0" w:rsidRPr="00D64526">
        <w:t>n P</w:t>
      </w:r>
      <w:r w:rsidR="00AD3111" w:rsidRPr="00D64526">
        <w:t>age 1</w:t>
      </w:r>
      <w:r w:rsidR="00D64526" w:rsidRPr="00D64526">
        <w:t xml:space="preserve"> </w:t>
      </w:r>
      <w:r w:rsidR="009F64F2" w:rsidRPr="00D64526">
        <w:t xml:space="preserve">concerning the </w:t>
      </w:r>
      <w:r w:rsidR="00D64526" w:rsidRPr="00D64526">
        <w:t>list of Commissioners</w:t>
      </w:r>
      <w:r w:rsidR="009F64F2" w:rsidRPr="00D64526">
        <w:t>.</w:t>
      </w:r>
    </w:p>
    <w:p w:rsidR="00F922A0" w:rsidRPr="00D64526" w:rsidRDefault="00F922A0" w:rsidP="00E85D5D">
      <w:pPr>
        <w:spacing w:line="360" w:lineRule="auto"/>
        <w:ind w:firstLine="1440"/>
        <w:jc w:val="both"/>
      </w:pPr>
    </w:p>
    <w:p w:rsidR="00061AA0" w:rsidRDefault="00560082" w:rsidP="00E85D5D">
      <w:pPr>
        <w:spacing w:line="360" w:lineRule="auto"/>
        <w:ind w:firstLine="1440"/>
        <w:jc w:val="both"/>
      </w:pPr>
      <w:r w:rsidRPr="00D64526">
        <w:t xml:space="preserve">The </w:t>
      </w:r>
      <w:r w:rsidR="00D64526" w:rsidRPr="00D64526">
        <w:t>list of sitting Commissioners incorrectly included former Commissioner Tyrone J. Christy who had departed the Commission on June 30, 2011 and inadvertently exc</w:t>
      </w:r>
      <w:r w:rsidR="008175E4">
        <w:t>l</w:t>
      </w:r>
      <w:r w:rsidR="00D64526" w:rsidRPr="00D64526">
        <w:t>uded Commissioner James H. Cawley who is an active Commissioner</w:t>
      </w:r>
      <w:r w:rsidR="001942B8">
        <w:t xml:space="preserve"> and voted on this matter</w:t>
      </w:r>
      <w:bookmarkStart w:id="0" w:name="_GoBack"/>
      <w:bookmarkEnd w:id="0"/>
      <w:r w:rsidR="00D64526" w:rsidRPr="00D64526">
        <w:t>.</w:t>
      </w:r>
      <w:r w:rsidRPr="00D64526">
        <w:t xml:space="preserve">  </w:t>
      </w:r>
      <w:r w:rsidR="00A253F8" w:rsidRPr="00D64526">
        <w:t>Please find the corrected page attached</w:t>
      </w:r>
      <w:r w:rsidR="00D67425" w:rsidRPr="00D64526">
        <w:t xml:space="preserve"> for your records</w:t>
      </w:r>
      <w:r w:rsidR="00A253F8" w:rsidRPr="00D64526">
        <w:t>.</w:t>
      </w:r>
      <w:r w:rsidR="00061AA0">
        <w:t xml:space="preserve">  </w:t>
      </w:r>
    </w:p>
    <w:p w:rsidR="00813ED3" w:rsidRDefault="00813ED3" w:rsidP="00E85D5D">
      <w:pPr>
        <w:spacing w:line="360" w:lineRule="auto"/>
        <w:ind w:firstLine="1440"/>
        <w:jc w:val="both"/>
      </w:pPr>
    </w:p>
    <w:p w:rsidR="008175E4" w:rsidRPr="00DE0D05" w:rsidRDefault="00541786" w:rsidP="008175E4">
      <w:pPr>
        <w:pStyle w:val="Title"/>
        <w:rPr>
          <w:sz w:val="26"/>
          <w:szCs w:val="26"/>
        </w:rPr>
      </w:pPr>
      <w:r>
        <w:br w:type="page"/>
      </w:r>
      <w:r w:rsidR="008175E4">
        <w:rPr>
          <w:sz w:val="26"/>
          <w:szCs w:val="26"/>
        </w:rPr>
        <w:lastRenderedPageBreak/>
        <w:t>P</w:t>
      </w:r>
      <w:r w:rsidR="008175E4" w:rsidRPr="00DE0D05">
        <w:rPr>
          <w:sz w:val="26"/>
          <w:szCs w:val="26"/>
        </w:rPr>
        <w:t>ENNSYLVANIA</w:t>
      </w:r>
    </w:p>
    <w:p w:rsidR="008175E4" w:rsidRPr="00DE0D05" w:rsidRDefault="008175E4" w:rsidP="008175E4">
      <w:pPr>
        <w:pStyle w:val="Title"/>
        <w:rPr>
          <w:sz w:val="26"/>
          <w:szCs w:val="26"/>
        </w:rPr>
      </w:pPr>
      <w:r w:rsidRPr="00DE0D05">
        <w:rPr>
          <w:sz w:val="26"/>
          <w:szCs w:val="26"/>
        </w:rPr>
        <w:t>PUBLIC UTILITY COMMISSION</w:t>
      </w:r>
    </w:p>
    <w:p w:rsidR="008175E4" w:rsidRPr="00DE0D05" w:rsidRDefault="008175E4" w:rsidP="008175E4">
      <w:pPr>
        <w:jc w:val="center"/>
        <w:rPr>
          <w:b/>
          <w:sz w:val="26"/>
          <w:szCs w:val="26"/>
        </w:rPr>
      </w:pPr>
      <w:smartTag w:uri="urn:schemas-microsoft-com:office:smarttags" w:element="place">
        <w:smartTag w:uri="urn:schemas-microsoft-com:office:smarttags" w:element="City">
          <w:r w:rsidRPr="00DE0D05">
            <w:rPr>
              <w:b/>
              <w:sz w:val="26"/>
              <w:szCs w:val="26"/>
            </w:rPr>
            <w:t>Harrisburg</w:t>
          </w:r>
        </w:smartTag>
        <w:r w:rsidRPr="00DE0D05">
          <w:rPr>
            <w:b/>
            <w:sz w:val="26"/>
            <w:szCs w:val="26"/>
          </w:rPr>
          <w:t xml:space="preserve">, </w:t>
        </w:r>
        <w:smartTag w:uri="urn:schemas-microsoft-com:office:smarttags" w:element="State">
          <w:r w:rsidRPr="00DE0D05">
            <w:rPr>
              <w:b/>
              <w:sz w:val="26"/>
              <w:szCs w:val="26"/>
            </w:rPr>
            <w:t>PA</w:t>
          </w:r>
        </w:smartTag>
        <w:r w:rsidRPr="00DE0D05">
          <w:rPr>
            <w:b/>
            <w:sz w:val="26"/>
            <w:szCs w:val="26"/>
          </w:rPr>
          <w:t xml:space="preserve"> </w:t>
        </w:r>
        <w:smartTag w:uri="urn:schemas-microsoft-com:office:smarttags" w:element="PostalCode">
          <w:r w:rsidRPr="00DE0D05">
            <w:rPr>
              <w:b/>
              <w:sz w:val="26"/>
              <w:szCs w:val="26"/>
            </w:rPr>
            <w:t>17105-3265</w:t>
          </w:r>
        </w:smartTag>
      </w:smartTag>
    </w:p>
    <w:p w:rsidR="008175E4" w:rsidRPr="00DE0D05" w:rsidRDefault="008175E4" w:rsidP="008175E4">
      <w:pPr>
        <w:jc w:val="center"/>
        <w:rPr>
          <w:b/>
          <w:sz w:val="26"/>
          <w:szCs w:val="26"/>
        </w:rPr>
      </w:pPr>
    </w:p>
    <w:p w:rsidR="008175E4" w:rsidRPr="00DE0D05" w:rsidRDefault="008175E4" w:rsidP="008175E4">
      <w:pPr>
        <w:ind w:left="3600" w:firstLine="720"/>
        <w:jc w:val="center"/>
        <w:rPr>
          <w:sz w:val="26"/>
          <w:szCs w:val="26"/>
        </w:rPr>
      </w:pPr>
      <w:r>
        <w:rPr>
          <w:sz w:val="26"/>
          <w:szCs w:val="26"/>
        </w:rPr>
        <w:t>Public Meeting held September 22, 2011</w:t>
      </w:r>
    </w:p>
    <w:p w:rsidR="008175E4" w:rsidRPr="00DE0D05" w:rsidRDefault="008175E4" w:rsidP="008175E4">
      <w:pPr>
        <w:rPr>
          <w:sz w:val="26"/>
          <w:szCs w:val="26"/>
        </w:rPr>
      </w:pPr>
      <w:r w:rsidRPr="00DE0D05">
        <w:rPr>
          <w:sz w:val="26"/>
          <w:szCs w:val="26"/>
        </w:rPr>
        <w:t>Commissioners Present:</w:t>
      </w:r>
    </w:p>
    <w:p w:rsidR="008175E4" w:rsidRPr="00DE0D05" w:rsidRDefault="008175E4" w:rsidP="008175E4">
      <w:pPr>
        <w:rPr>
          <w:sz w:val="26"/>
          <w:szCs w:val="26"/>
        </w:rPr>
      </w:pPr>
    </w:p>
    <w:p w:rsidR="008175E4" w:rsidRPr="00DE0D05" w:rsidRDefault="008175E4" w:rsidP="008175E4">
      <w:pPr>
        <w:ind w:firstLine="450"/>
        <w:rPr>
          <w:sz w:val="26"/>
          <w:szCs w:val="26"/>
        </w:rPr>
      </w:pPr>
      <w:r w:rsidRPr="00DE0D05">
        <w:rPr>
          <w:sz w:val="26"/>
          <w:szCs w:val="26"/>
        </w:rPr>
        <w:t>Robert F. Powelson, Chairman</w:t>
      </w:r>
    </w:p>
    <w:p w:rsidR="008175E4" w:rsidRPr="00DE0D05" w:rsidRDefault="008175E4" w:rsidP="008175E4">
      <w:pPr>
        <w:ind w:firstLine="450"/>
        <w:rPr>
          <w:sz w:val="26"/>
          <w:szCs w:val="26"/>
        </w:rPr>
      </w:pPr>
      <w:r w:rsidRPr="00DE0D05">
        <w:rPr>
          <w:sz w:val="26"/>
          <w:szCs w:val="26"/>
        </w:rPr>
        <w:t>John F. Coleman, Jr., Vice Chairman</w:t>
      </w:r>
    </w:p>
    <w:p w:rsidR="008175E4" w:rsidRDefault="008175E4" w:rsidP="008175E4">
      <w:pPr>
        <w:ind w:firstLine="450"/>
        <w:rPr>
          <w:sz w:val="26"/>
          <w:szCs w:val="26"/>
        </w:rPr>
      </w:pPr>
      <w:r w:rsidRPr="00DE0D05">
        <w:rPr>
          <w:sz w:val="26"/>
          <w:szCs w:val="26"/>
        </w:rPr>
        <w:t>Wayne E. Gardner</w:t>
      </w:r>
    </w:p>
    <w:p w:rsidR="008175E4" w:rsidRPr="00DE0D05" w:rsidRDefault="008175E4" w:rsidP="008175E4">
      <w:pPr>
        <w:ind w:firstLine="450"/>
        <w:rPr>
          <w:sz w:val="26"/>
          <w:szCs w:val="26"/>
        </w:rPr>
      </w:pPr>
      <w:r>
        <w:rPr>
          <w:sz w:val="26"/>
          <w:szCs w:val="26"/>
        </w:rPr>
        <w:t>James H. Cawley</w:t>
      </w:r>
    </w:p>
    <w:p w:rsidR="008175E4" w:rsidRPr="00DE0D05" w:rsidRDefault="008175E4" w:rsidP="008175E4">
      <w:pPr>
        <w:ind w:firstLine="450"/>
        <w:rPr>
          <w:sz w:val="26"/>
          <w:szCs w:val="26"/>
        </w:rPr>
      </w:pPr>
      <w:r>
        <w:rPr>
          <w:sz w:val="26"/>
          <w:szCs w:val="26"/>
        </w:rPr>
        <w:t>Pamela A. Witmer, Statement</w:t>
      </w:r>
    </w:p>
    <w:p w:rsidR="008175E4" w:rsidRPr="00DE0D05" w:rsidRDefault="008175E4" w:rsidP="008175E4">
      <w:pPr>
        <w:rPr>
          <w:sz w:val="26"/>
          <w:szCs w:val="26"/>
        </w:rPr>
      </w:pPr>
    </w:p>
    <w:p w:rsidR="008175E4" w:rsidRPr="00DE0D05" w:rsidRDefault="008175E4" w:rsidP="008175E4">
      <w:pPr>
        <w:rPr>
          <w:sz w:val="26"/>
          <w:szCs w:val="26"/>
        </w:rPr>
      </w:pPr>
      <w:r w:rsidRPr="00DE0D05">
        <w:rPr>
          <w:sz w:val="26"/>
          <w:szCs w:val="26"/>
        </w:rPr>
        <w:t xml:space="preserve">Implementation of Act 129 of </w:t>
      </w:r>
      <w:r w:rsidRPr="00DE0D05">
        <w:rPr>
          <w:sz w:val="26"/>
          <w:szCs w:val="26"/>
        </w:rPr>
        <w:tab/>
      </w:r>
      <w:r w:rsidRPr="00DE0D05">
        <w:rPr>
          <w:sz w:val="26"/>
          <w:szCs w:val="26"/>
        </w:rPr>
        <w:tab/>
      </w:r>
    </w:p>
    <w:p w:rsidR="008175E4" w:rsidRPr="00DE0D05" w:rsidRDefault="008175E4" w:rsidP="008175E4">
      <w:pPr>
        <w:rPr>
          <w:sz w:val="26"/>
          <w:szCs w:val="26"/>
        </w:rPr>
      </w:pPr>
      <w:r w:rsidRPr="00DE0D05">
        <w:rPr>
          <w:sz w:val="26"/>
          <w:szCs w:val="26"/>
        </w:rPr>
        <w:t>October 15, 2008; Default Service</w:t>
      </w:r>
      <w:r w:rsidRPr="00DE0D05">
        <w:rPr>
          <w:sz w:val="26"/>
          <w:szCs w:val="26"/>
        </w:rPr>
        <w:tab/>
      </w:r>
      <w:r w:rsidRPr="00DE0D05">
        <w:rPr>
          <w:sz w:val="26"/>
          <w:szCs w:val="26"/>
        </w:rPr>
        <w:tab/>
      </w:r>
      <w:r w:rsidRPr="00DE0D05">
        <w:rPr>
          <w:sz w:val="26"/>
          <w:szCs w:val="26"/>
        </w:rPr>
        <w:tab/>
        <w:t xml:space="preserve">Docket No. </w:t>
      </w:r>
      <w:r w:rsidRPr="00DE0D05">
        <w:rPr>
          <w:sz w:val="26"/>
          <w:szCs w:val="26"/>
        </w:rPr>
        <w:tab/>
        <w:t>L-2009-2095604</w:t>
      </w:r>
    </w:p>
    <w:p w:rsidR="008175E4" w:rsidRPr="00DE0D05" w:rsidRDefault="008175E4" w:rsidP="008175E4">
      <w:pPr>
        <w:rPr>
          <w:sz w:val="26"/>
          <w:szCs w:val="26"/>
        </w:rPr>
      </w:pPr>
      <w:r>
        <w:rPr>
          <w:sz w:val="26"/>
          <w:szCs w:val="26"/>
        </w:rPr>
        <w:t>And Retail Electric Markets</w:t>
      </w:r>
      <w:r>
        <w:rPr>
          <w:sz w:val="26"/>
          <w:szCs w:val="26"/>
        </w:rPr>
        <w:tab/>
      </w:r>
      <w:r>
        <w:rPr>
          <w:sz w:val="26"/>
          <w:szCs w:val="26"/>
        </w:rPr>
        <w:tab/>
      </w:r>
    </w:p>
    <w:p w:rsidR="008175E4" w:rsidRPr="00DE0D05" w:rsidRDefault="008175E4" w:rsidP="008175E4">
      <w:pPr>
        <w:pStyle w:val="Heading1"/>
        <w:rPr>
          <w:sz w:val="26"/>
          <w:szCs w:val="26"/>
        </w:rPr>
      </w:pPr>
    </w:p>
    <w:p w:rsidR="008175E4" w:rsidRPr="00DE0D05" w:rsidRDefault="008175E4" w:rsidP="008175E4"/>
    <w:p w:rsidR="008175E4" w:rsidRPr="00DE0D05" w:rsidRDefault="008175E4" w:rsidP="008175E4">
      <w:pPr>
        <w:pStyle w:val="Heading1"/>
        <w:rPr>
          <w:sz w:val="26"/>
          <w:szCs w:val="26"/>
        </w:rPr>
      </w:pPr>
      <w:r>
        <w:rPr>
          <w:sz w:val="26"/>
          <w:szCs w:val="26"/>
        </w:rPr>
        <w:t xml:space="preserve">FINAL </w:t>
      </w:r>
      <w:r w:rsidRPr="00DE0D05">
        <w:rPr>
          <w:sz w:val="26"/>
          <w:szCs w:val="26"/>
        </w:rPr>
        <w:t>RULEMAKING ORDER</w:t>
      </w:r>
    </w:p>
    <w:p w:rsidR="008175E4" w:rsidRPr="00DE0D05" w:rsidRDefault="008175E4" w:rsidP="008175E4">
      <w:pPr>
        <w:jc w:val="center"/>
        <w:rPr>
          <w:b/>
          <w:sz w:val="26"/>
          <w:szCs w:val="26"/>
        </w:rPr>
      </w:pPr>
    </w:p>
    <w:p w:rsidR="008175E4" w:rsidRPr="00DE0D05" w:rsidRDefault="008175E4" w:rsidP="008175E4">
      <w:pPr>
        <w:jc w:val="center"/>
        <w:rPr>
          <w:b/>
          <w:sz w:val="26"/>
          <w:szCs w:val="26"/>
        </w:rPr>
      </w:pPr>
    </w:p>
    <w:p w:rsidR="008175E4" w:rsidRDefault="008175E4" w:rsidP="008175E4">
      <w:pPr>
        <w:spacing w:line="360" w:lineRule="auto"/>
        <w:rPr>
          <w:b/>
          <w:sz w:val="26"/>
          <w:szCs w:val="26"/>
        </w:rPr>
      </w:pPr>
      <w:r w:rsidRPr="00DE0D05">
        <w:rPr>
          <w:b/>
          <w:sz w:val="26"/>
          <w:szCs w:val="26"/>
        </w:rPr>
        <w:t>BY THE COMMISSION:</w:t>
      </w:r>
    </w:p>
    <w:p w:rsidR="008175E4" w:rsidRPr="00DE0D05" w:rsidRDefault="008175E4" w:rsidP="008175E4">
      <w:pPr>
        <w:spacing w:line="360" w:lineRule="auto"/>
        <w:rPr>
          <w:b/>
          <w:sz w:val="26"/>
          <w:szCs w:val="26"/>
        </w:rPr>
      </w:pPr>
    </w:p>
    <w:p w:rsidR="008175E4" w:rsidRPr="00DE0D05" w:rsidRDefault="008175E4" w:rsidP="008175E4">
      <w:pPr>
        <w:spacing w:line="360" w:lineRule="auto"/>
        <w:rPr>
          <w:sz w:val="26"/>
          <w:szCs w:val="26"/>
        </w:rPr>
      </w:pPr>
      <w:r w:rsidRPr="00DE0D05">
        <w:rPr>
          <w:sz w:val="26"/>
          <w:szCs w:val="26"/>
        </w:rPr>
        <w:tab/>
        <w:t xml:space="preserve">By this Order, the Commission issues </w:t>
      </w:r>
      <w:r>
        <w:rPr>
          <w:sz w:val="26"/>
          <w:szCs w:val="26"/>
        </w:rPr>
        <w:t>F</w:t>
      </w:r>
      <w:r w:rsidRPr="00DE0D05">
        <w:rPr>
          <w:sz w:val="26"/>
          <w:szCs w:val="26"/>
        </w:rPr>
        <w:t xml:space="preserve">inal </w:t>
      </w:r>
      <w:r>
        <w:rPr>
          <w:sz w:val="26"/>
          <w:szCs w:val="26"/>
        </w:rPr>
        <w:t>R</w:t>
      </w:r>
      <w:r w:rsidRPr="00DE0D05">
        <w:rPr>
          <w:sz w:val="26"/>
          <w:szCs w:val="26"/>
        </w:rPr>
        <w:t>egulations amending its existing regulations at 52 Pa.</w:t>
      </w:r>
      <w:r>
        <w:rPr>
          <w:sz w:val="26"/>
          <w:szCs w:val="26"/>
        </w:rPr>
        <w:t xml:space="preserve"> </w:t>
      </w:r>
      <w:r w:rsidRPr="00DE0D05">
        <w:rPr>
          <w:sz w:val="26"/>
          <w:szCs w:val="26"/>
        </w:rPr>
        <w:t>Code §§ 54.18</w:t>
      </w:r>
      <w:r>
        <w:rPr>
          <w:sz w:val="26"/>
          <w:szCs w:val="26"/>
        </w:rPr>
        <w:t>1</w:t>
      </w:r>
      <w:r w:rsidRPr="00DE0D05">
        <w:rPr>
          <w:sz w:val="26"/>
          <w:szCs w:val="26"/>
        </w:rPr>
        <w:t xml:space="preserve"> through 54.18</w:t>
      </w:r>
      <w:r>
        <w:rPr>
          <w:sz w:val="26"/>
          <w:szCs w:val="26"/>
        </w:rPr>
        <w:t>8</w:t>
      </w:r>
      <w:r w:rsidRPr="00DE0D05">
        <w:rPr>
          <w:sz w:val="26"/>
          <w:szCs w:val="26"/>
        </w:rPr>
        <w:t xml:space="preserve"> to be consistent with the requirements of Act 129</w:t>
      </w:r>
      <w:r>
        <w:rPr>
          <w:sz w:val="26"/>
          <w:szCs w:val="26"/>
        </w:rPr>
        <w:t xml:space="preserve"> which, </w:t>
      </w:r>
      <w:r w:rsidRPr="002520D2">
        <w:rPr>
          <w:i/>
          <w:sz w:val="26"/>
          <w:szCs w:val="26"/>
        </w:rPr>
        <w:t>inter alia</w:t>
      </w:r>
      <w:r>
        <w:rPr>
          <w:sz w:val="26"/>
          <w:szCs w:val="26"/>
        </w:rPr>
        <w:t>, made substantial changes to the statutory standards for acquisition of  electric generation supply for default service customers</w:t>
      </w:r>
      <w:r w:rsidRPr="00DE0D05">
        <w:rPr>
          <w:sz w:val="26"/>
          <w:szCs w:val="26"/>
        </w:rPr>
        <w:t xml:space="preserve">.  </w:t>
      </w:r>
      <w:r>
        <w:rPr>
          <w:sz w:val="26"/>
          <w:szCs w:val="26"/>
        </w:rPr>
        <w:t>In this Order, t</w:t>
      </w:r>
      <w:r w:rsidRPr="00DE0D05">
        <w:rPr>
          <w:sz w:val="26"/>
          <w:szCs w:val="26"/>
        </w:rPr>
        <w:t xml:space="preserve">he Commission </w:t>
      </w:r>
      <w:r>
        <w:rPr>
          <w:sz w:val="26"/>
          <w:szCs w:val="26"/>
        </w:rPr>
        <w:t xml:space="preserve">also provides guidance </w:t>
      </w:r>
      <w:r w:rsidRPr="00DE0D05">
        <w:rPr>
          <w:sz w:val="26"/>
          <w:szCs w:val="26"/>
        </w:rPr>
        <w:t xml:space="preserve">on </w:t>
      </w:r>
      <w:r>
        <w:rPr>
          <w:sz w:val="26"/>
          <w:szCs w:val="26"/>
        </w:rPr>
        <w:t xml:space="preserve">the </w:t>
      </w:r>
      <w:r w:rsidRPr="00DE0D05">
        <w:rPr>
          <w:sz w:val="26"/>
          <w:szCs w:val="26"/>
        </w:rPr>
        <w:t xml:space="preserve">default service </w:t>
      </w:r>
      <w:r>
        <w:rPr>
          <w:sz w:val="26"/>
          <w:szCs w:val="26"/>
        </w:rPr>
        <w:t xml:space="preserve">process and procedure </w:t>
      </w:r>
      <w:r w:rsidRPr="00DE0D05">
        <w:rPr>
          <w:sz w:val="26"/>
          <w:szCs w:val="26"/>
        </w:rPr>
        <w:t xml:space="preserve">based on input received in response to </w:t>
      </w:r>
      <w:r>
        <w:rPr>
          <w:sz w:val="26"/>
          <w:szCs w:val="26"/>
        </w:rPr>
        <w:t>sixteen</w:t>
      </w:r>
      <w:r w:rsidRPr="00DE0D05">
        <w:rPr>
          <w:sz w:val="26"/>
          <w:szCs w:val="26"/>
        </w:rPr>
        <w:t xml:space="preserve"> questions posed in its Order entered January 19, 2010.</w:t>
      </w:r>
    </w:p>
    <w:p w:rsidR="008175E4" w:rsidRPr="00DE0D05" w:rsidRDefault="008175E4" w:rsidP="008175E4">
      <w:pPr>
        <w:spacing w:line="360" w:lineRule="auto"/>
        <w:rPr>
          <w:b/>
          <w:sz w:val="26"/>
          <w:szCs w:val="26"/>
        </w:rPr>
      </w:pPr>
    </w:p>
    <w:p w:rsidR="008175E4" w:rsidRPr="00DE0D05" w:rsidRDefault="008175E4" w:rsidP="008175E4">
      <w:pPr>
        <w:pStyle w:val="BodyTextIndent2"/>
        <w:ind w:firstLine="0"/>
        <w:rPr>
          <w:b/>
          <w:szCs w:val="26"/>
        </w:rPr>
      </w:pPr>
      <w:r w:rsidRPr="00DE0D05">
        <w:rPr>
          <w:b/>
          <w:szCs w:val="26"/>
        </w:rPr>
        <w:t>Procedural History</w:t>
      </w:r>
    </w:p>
    <w:p w:rsidR="0012411F" w:rsidRPr="008175E4" w:rsidRDefault="008175E4" w:rsidP="008175E4">
      <w:pPr>
        <w:spacing w:line="360" w:lineRule="auto"/>
        <w:ind w:firstLine="720"/>
        <w:rPr>
          <w:sz w:val="26"/>
          <w:szCs w:val="26"/>
        </w:rPr>
      </w:pPr>
      <w:r w:rsidRPr="008175E4">
        <w:rPr>
          <w:sz w:val="26"/>
          <w:szCs w:val="26"/>
        </w:rPr>
        <w:t>On October 15, 2008, Governor Edward Rendell signed House Bill 2200, Act 129, into law.  The Act became effective on November 14, 2008.  Act 129 has several key elements and goals, including:  Commission establishment of an energy efficiency and conservation program, mandated reductions by Electric Distribution Companies (EDCs)</w:t>
      </w:r>
    </w:p>
    <w:sectPr w:rsidR="0012411F" w:rsidRPr="008175E4" w:rsidSect="00CE0C5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360" w:left="1440" w:header="720" w:footer="288" w:gutter="0"/>
      <w:paperSrc w:first="15"/>
      <w:pgNumType w:start="2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6D6" w:rsidRDefault="00CD46D6">
      <w:r>
        <w:separator/>
      </w:r>
    </w:p>
  </w:endnote>
  <w:endnote w:type="continuationSeparator" w:id="0">
    <w:p w:rsidR="00CD46D6" w:rsidRDefault="00CD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D3" w:rsidRDefault="000804B4" w:rsidP="004C67EF">
    <w:pPr>
      <w:pStyle w:val="Footer"/>
      <w:framePr w:wrap="around" w:vAnchor="text" w:hAnchor="margin" w:xAlign="center" w:y="1"/>
      <w:rPr>
        <w:rStyle w:val="PageNumber"/>
      </w:rPr>
    </w:pPr>
    <w:r>
      <w:rPr>
        <w:rStyle w:val="PageNumber"/>
      </w:rPr>
      <w:fldChar w:fldCharType="begin"/>
    </w:r>
    <w:r w:rsidR="00813ED3">
      <w:rPr>
        <w:rStyle w:val="PageNumber"/>
      </w:rPr>
      <w:instrText xml:space="preserve">PAGE  </w:instrText>
    </w:r>
    <w:r>
      <w:rPr>
        <w:rStyle w:val="PageNumber"/>
      </w:rPr>
      <w:fldChar w:fldCharType="separate"/>
    </w:r>
    <w:r w:rsidR="00813ED3">
      <w:rPr>
        <w:rStyle w:val="PageNumber"/>
        <w:noProof/>
      </w:rPr>
      <w:t>12</w:t>
    </w:r>
    <w:r>
      <w:rPr>
        <w:rStyle w:val="PageNumber"/>
      </w:rPr>
      <w:fldChar w:fldCharType="end"/>
    </w:r>
  </w:p>
  <w:p w:rsidR="00813ED3" w:rsidRDefault="00813E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867" w:rsidRDefault="007118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D3" w:rsidRPr="00DC42AE" w:rsidRDefault="00813ED3" w:rsidP="004C67EF">
    <w:pPr>
      <w:pStyle w:val="Footer"/>
      <w:framePr w:wrap="around" w:vAnchor="text" w:hAnchor="margin" w:xAlign="center" w:y="1"/>
      <w:rPr>
        <w:rStyle w:val="PageNumber"/>
        <w:sz w:val="20"/>
        <w:szCs w:val="20"/>
      </w:rPr>
    </w:pPr>
  </w:p>
  <w:p w:rsidR="00813ED3" w:rsidRDefault="00813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6D6" w:rsidRDefault="00CD46D6">
      <w:r>
        <w:separator/>
      </w:r>
    </w:p>
  </w:footnote>
  <w:footnote w:type="continuationSeparator" w:id="0">
    <w:p w:rsidR="00CD46D6" w:rsidRDefault="00CD4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867" w:rsidRDefault="007118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867" w:rsidRDefault="007118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867" w:rsidRDefault="007118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E2"/>
    <w:rsid w:val="0000235B"/>
    <w:rsid w:val="00002894"/>
    <w:rsid w:val="00002A15"/>
    <w:rsid w:val="000102F5"/>
    <w:rsid w:val="000109B4"/>
    <w:rsid w:val="00010D5E"/>
    <w:rsid w:val="00010E8E"/>
    <w:rsid w:val="000133BF"/>
    <w:rsid w:val="00013DB9"/>
    <w:rsid w:val="00022F41"/>
    <w:rsid w:val="0002403B"/>
    <w:rsid w:val="000249D3"/>
    <w:rsid w:val="00030135"/>
    <w:rsid w:val="00031517"/>
    <w:rsid w:val="00031AB1"/>
    <w:rsid w:val="0003703E"/>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6498"/>
    <w:rsid w:val="000804B4"/>
    <w:rsid w:val="00080770"/>
    <w:rsid w:val="00082AE5"/>
    <w:rsid w:val="000836E8"/>
    <w:rsid w:val="00084DC8"/>
    <w:rsid w:val="00086381"/>
    <w:rsid w:val="00086D28"/>
    <w:rsid w:val="000911D0"/>
    <w:rsid w:val="00091425"/>
    <w:rsid w:val="000929AD"/>
    <w:rsid w:val="0009326C"/>
    <w:rsid w:val="00094EB8"/>
    <w:rsid w:val="00096002"/>
    <w:rsid w:val="000963E1"/>
    <w:rsid w:val="000B41FF"/>
    <w:rsid w:val="000B6CCA"/>
    <w:rsid w:val="000C222E"/>
    <w:rsid w:val="000C3C3C"/>
    <w:rsid w:val="000C3FC8"/>
    <w:rsid w:val="000D1895"/>
    <w:rsid w:val="000D4246"/>
    <w:rsid w:val="000D4BF7"/>
    <w:rsid w:val="000D5396"/>
    <w:rsid w:val="000D5D9B"/>
    <w:rsid w:val="000E3E11"/>
    <w:rsid w:val="000F127E"/>
    <w:rsid w:val="000F1898"/>
    <w:rsid w:val="000F19D8"/>
    <w:rsid w:val="000F7144"/>
    <w:rsid w:val="00103367"/>
    <w:rsid w:val="001042CF"/>
    <w:rsid w:val="001078A7"/>
    <w:rsid w:val="001112A4"/>
    <w:rsid w:val="001168D3"/>
    <w:rsid w:val="0011699F"/>
    <w:rsid w:val="00120AA6"/>
    <w:rsid w:val="00120B3D"/>
    <w:rsid w:val="0012139C"/>
    <w:rsid w:val="0012411F"/>
    <w:rsid w:val="0013586B"/>
    <w:rsid w:val="00137061"/>
    <w:rsid w:val="00141564"/>
    <w:rsid w:val="0014205C"/>
    <w:rsid w:val="00143209"/>
    <w:rsid w:val="00146731"/>
    <w:rsid w:val="00146CF5"/>
    <w:rsid w:val="00150480"/>
    <w:rsid w:val="001519A2"/>
    <w:rsid w:val="00152EA1"/>
    <w:rsid w:val="00153032"/>
    <w:rsid w:val="001536B0"/>
    <w:rsid w:val="00155810"/>
    <w:rsid w:val="00157374"/>
    <w:rsid w:val="001603AA"/>
    <w:rsid w:val="001627F3"/>
    <w:rsid w:val="00164C05"/>
    <w:rsid w:val="00165F09"/>
    <w:rsid w:val="00167C84"/>
    <w:rsid w:val="00171372"/>
    <w:rsid w:val="00180DB7"/>
    <w:rsid w:val="00181657"/>
    <w:rsid w:val="0018284E"/>
    <w:rsid w:val="00183D08"/>
    <w:rsid w:val="001860C5"/>
    <w:rsid w:val="0019169D"/>
    <w:rsid w:val="001942B8"/>
    <w:rsid w:val="001979F8"/>
    <w:rsid w:val="001A10FE"/>
    <w:rsid w:val="001A57BB"/>
    <w:rsid w:val="001B38EC"/>
    <w:rsid w:val="001B449A"/>
    <w:rsid w:val="001B4624"/>
    <w:rsid w:val="001B464F"/>
    <w:rsid w:val="001B54EB"/>
    <w:rsid w:val="001B5EE2"/>
    <w:rsid w:val="001C3F56"/>
    <w:rsid w:val="001C47C9"/>
    <w:rsid w:val="001C532C"/>
    <w:rsid w:val="001C7BD3"/>
    <w:rsid w:val="001D21B3"/>
    <w:rsid w:val="001D24AE"/>
    <w:rsid w:val="001D27B5"/>
    <w:rsid w:val="001D50CB"/>
    <w:rsid w:val="001D675D"/>
    <w:rsid w:val="001E2338"/>
    <w:rsid w:val="001E3BB5"/>
    <w:rsid w:val="001E6BE6"/>
    <w:rsid w:val="001E7E8D"/>
    <w:rsid w:val="001E7FB2"/>
    <w:rsid w:val="001F212D"/>
    <w:rsid w:val="001F25FF"/>
    <w:rsid w:val="001F2730"/>
    <w:rsid w:val="0020235D"/>
    <w:rsid w:val="00204634"/>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2477"/>
    <w:rsid w:val="00267645"/>
    <w:rsid w:val="00272A64"/>
    <w:rsid w:val="00273FEB"/>
    <w:rsid w:val="0027541F"/>
    <w:rsid w:val="0028156E"/>
    <w:rsid w:val="002824A3"/>
    <w:rsid w:val="00282E4F"/>
    <w:rsid w:val="002A1E10"/>
    <w:rsid w:val="002A635E"/>
    <w:rsid w:val="002A7E88"/>
    <w:rsid w:val="002B1224"/>
    <w:rsid w:val="002B2655"/>
    <w:rsid w:val="002B3F52"/>
    <w:rsid w:val="002C2009"/>
    <w:rsid w:val="002C237E"/>
    <w:rsid w:val="002C2E35"/>
    <w:rsid w:val="002C2FE7"/>
    <w:rsid w:val="002C5E53"/>
    <w:rsid w:val="002C7B9A"/>
    <w:rsid w:val="002D15C1"/>
    <w:rsid w:val="002D2B16"/>
    <w:rsid w:val="002D3523"/>
    <w:rsid w:val="002E1FCE"/>
    <w:rsid w:val="002E4C19"/>
    <w:rsid w:val="002E575A"/>
    <w:rsid w:val="002E581E"/>
    <w:rsid w:val="002E75FB"/>
    <w:rsid w:val="002F28A8"/>
    <w:rsid w:val="002F3212"/>
    <w:rsid w:val="002F327E"/>
    <w:rsid w:val="002F3F95"/>
    <w:rsid w:val="002F48FC"/>
    <w:rsid w:val="002F543E"/>
    <w:rsid w:val="002F6885"/>
    <w:rsid w:val="002F70C7"/>
    <w:rsid w:val="0030142A"/>
    <w:rsid w:val="003039A9"/>
    <w:rsid w:val="00304FB0"/>
    <w:rsid w:val="00305E53"/>
    <w:rsid w:val="003067F3"/>
    <w:rsid w:val="003105B1"/>
    <w:rsid w:val="00321962"/>
    <w:rsid w:val="00326B12"/>
    <w:rsid w:val="00330533"/>
    <w:rsid w:val="00331A15"/>
    <w:rsid w:val="0033257B"/>
    <w:rsid w:val="0033391A"/>
    <w:rsid w:val="003343CF"/>
    <w:rsid w:val="003402A3"/>
    <w:rsid w:val="00341287"/>
    <w:rsid w:val="00343CA9"/>
    <w:rsid w:val="00345283"/>
    <w:rsid w:val="0035200F"/>
    <w:rsid w:val="0035364D"/>
    <w:rsid w:val="00353AB6"/>
    <w:rsid w:val="00355BF1"/>
    <w:rsid w:val="00357E43"/>
    <w:rsid w:val="00360912"/>
    <w:rsid w:val="00361D2D"/>
    <w:rsid w:val="0036730D"/>
    <w:rsid w:val="003675ED"/>
    <w:rsid w:val="00370C54"/>
    <w:rsid w:val="00371351"/>
    <w:rsid w:val="003731E2"/>
    <w:rsid w:val="003750FB"/>
    <w:rsid w:val="00375C32"/>
    <w:rsid w:val="00376C83"/>
    <w:rsid w:val="0038467C"/>
    <w:rsid w:val="003858B9"/>
    <w:rsid w:val="0039516D"/>
    <w:rsid w:val="00395BCC"/>
    <w:rsid w:val="003A07DE"/>
    <w:rsid w:val="003A2EB1"/>
    <w:rsid w:val="003A4014"/>
    <w:rsid w:val="003A5C02"/>
    <w:rsid w:val="003B3B28"/>
    <w:rsid w:val="003B5D10"/>
    <w:rsid w:val="003C726A"/>
    <w:rsid w:val="003D0209"/>
    <w:rsid w:val="003D1100"/>
    <w:rsid w:val="003D1E21"/>
    <w:rsid w:val="003D50A1"/>
    <w:rsid w:val="003D54D9"/>
    <w:rsid w:val="003E228E"/>
    <w:rsid w:val="003E568A"/>
    <w:rsid w:val="003F3BF1"/>
    <w:rsid w:val="003F58EC"/>
    <w:rsid w:val="003F6AA0"/>
    <w:rsid w:val="003F6B74"/>
    <w:rsid w:val="003F7F3B"/>
    <w:rsid w:val="00402A59"/>
    <w:rsid w:val="00402C56"/>
    <w:rsid w:val="0040411D"/>
    <w:rsid w:val="0040413E"/>
    <w:rsid w:val="004053AE"/>
    <w:rsid w:val="004110EA"/>
    <w:rsid w:val="004120B4"/>
    <w:rsid w:val="004126B4"/>
    <w:rsid w:val="00413047"/>
    <w:rsid w:val="004144D8"/>
    <w:rsid w:val="00415143"/>
    <w:rsid w:val="00416A78"/>
    <w:rsid w:val="00423957"/>
    <w:rsid w:val="0042440E"/>
    <w:rsid w:val="00430900"/>
    <w:rsid w:val="00432143"/>
    <w:rsid w:val="00443A69"/>
    <w:rsid w:val="00444CD4"/>
    <w:rsid w:val="00444FC6"/>
    <w:rsid w:val="00445444"/>
    <w:rsid w:val="00445D3A"/>
    <w:rsid w:val="00445DEF"/>
    <w:rsid w:val="00446535"/>
    <w:rsid w:val="00446824"/>
    <w:rsid w:val="00455056"/>
    <w:rsid w:val="00460D9B"/>
    <w:rsid w:val="004646B2"/>
    <w:rsid w:val="00466E96"/>
    <w:rsid w:val="00467538"/>
    <w:rsid w:val="004704B1"/>
    <w:rsid w:val="00477293"/>
    <w:rsid w:val="00481BAB"/>
    <w:rsid w:val="0048216C"/>
    <w:rsid w:val="00485A2D"/>
    <w:rsid w:val="004943AE"/>
    <w:rsid w:val="0049549A"/>
    <w:rsid w:val="0049553A"/>
    <w:rsid w:val="00496970"/>
    <w:rsid w:val="00497287"/>
    <w:rsid w:val="004A083C"/>
    <w:rsid w:val="004B26E2"/>
    <w:rsid w:val="004B4893"/>
    <w:rsid w:val="004B7AFE"/>
    <w:rsid w:val="004C1464"/>
    <w:rsid w:val="004C1BA2"/>
    <w:rsid w:val="004C1C78"/>
    <w:rsid w:val="004C329C"/>
    <w:rsid w:val="004C3ABE"/>
    <w:rsid w:val="004C67EF"/>
    <w:rsid w:val="004D1B72"/>
    <w:rsid w:val="004E74A8"/>
    <w:rsid w:val="004E77CE"/>
    <w:rsid w:val="004F0156"/>
    <w:rsid w:val="004F0656"/>
    <w:rsid w:val="004F5CBF"/>
    <w:rsid w:val="0050179C"/>
    <w:rsid w:val="00504BF8"/>
    <w:rsid w:val="005129F6"/>
    <w:rsid w:val="00515B82"/>
    <w:rsid w:val="00515ED8"/>
    <w:rsid w:val="00516D51"/>
    <w:rsid w:val="005175A0"/>
    <w:rsid w:val="00520548"/>
    <w:rsid w:val="00520E3F"/>
    <w:rsid w:val="005217E9"/>
    <w:rsid w:val="00523AF6"/>
    <w:rsid w:val="00523DAB"/>
    <w:rsid w:val="00527A05"/>
    <w:rsid w:val="00532420"/>
    <w:rsid w:val="00534572"/>
    <w:rsid w:val="00541393"/>
    <w:rsid w:val="00541786"/>
    <w:rsid w:val="00542A68"/>
    <w:rsid w:val="00544424"/>
    <w:rsid w:val="00550EBD"/>
    <w:rsid w:val="00555080"/>
    <w:rsid w:val="00555A03"/>
    <w:rsid w:val="00556BBF"/>
    <w:rsid w:val="00556F82"/>
    <w:rsid w:val="0055724C"/>
    <w:rsid w:val="00560082"/>
    <w:rsid w:val="005605A3"/>
    <w:rsid w:val="005617D6"/>
    <w:rsid w:val="005633CC"/>
    <w:rsid w:val="005654A9"/>
    <w:rsid w:val="00565C9D"/>
    <w:rsid w:val="005670F8"/>
    <w:rsid w:val="00567869"/>
    <w:rsid w:val="00567F83"/>
    <w:rsid w:val="00575D69"/>
    <w:rsid w:val="00576762"/>
    <w:rsid w:val="00583955"/>
    <w:rsid w:val="005857CA"/>
    <w:rsid w:val="0058602B"/>
    <w:rsid w:val="00590EFE"/>
    <w:rsid w:val="00591AC4"/>
    <w:rsid w:val="00592D27"/>
    <w:rsid w:val="00594F80"/>
    <w:rsid w:val="00595241"/>
    <w:rsid w:val="00595652"/>
    <w:rsid w:val="005974E2"/>
    <w:rsid w:val="005979AA"/>
    <w:rsid w:val="005A40F3"/>
    <w:rsid w:val="005A4F4A"/>
    <w:rsid w:val="005B099E"/>
    <w:rsid w:val="005B473C"/>
    <w:rsid w:val="005B6426"/>
    <w:rsid w:val="005C0DD8"/>
    <w:rsid w:val="005C11AF"/>
    <w:rsid w:val="005C24F5"/>
    <w:rsid w:val="005C2C3A"/>
    <w:rsid w:val="005C5EF8"/>
    <w:rsid w:val="005C73FB"/>
    <w:rsid w:val="005D4DD7"/>
    <w:rsid w:val="005D5D9F"/>
    <w:rsid w:val="005E4BBD"/>
    <w:rsid w:val="005E7E24"/>
    <w:rsid w:val="006014E0"/>
    <w:rsid w:val="006058D9"/>
    <w:rsid w:val="00607178"/>
    <w:rsid w:val="0061209D"/>
    <w:rsid w:val="00614655"/>
    <w:rsid w:val="00623FB1"/>
    <w:rsid w:val="00635FBF"/>
    <w:rsid w:val="006362EF"/>
    <w:rsid w:val="006518F3"/>
    <w:rsid w:val="00652035"/>
    <w:rsid w:val="0065438C"/>
    <w:rsid w:val="00655B7E"/>
    <w:rsid w:val="00657436"/>
    <w:rsid w:val="00660DD1"/>
    <w:rsid w:val="0066183C"/>
    <w:rsid w:val="00661EF7"/>
    <w:rsid w:val="0066493C"/>
    <w:rsid w:val="00673B73"/>
    <w:rsid w:val="00673F87"/>
    <w:rsid w:val="006756B5"/>
    <w:rsid w:val="0068078E"/>
    <w:rsid w:val="006817FB"/>
    <w:rsid w:val="0068604F"/>
    <w:rsid w:val="006860B1"/>
    <w:rsid w:val="006872BB"/>
    <w:rsid w:val="00693018"/>
    <w:rsid w:val="0069582F"/>
    <w:rsid w:val="006A1437"/>
    <w:rsid w:val="006A1ED2"/>
    <w:rsid w:val="006A2AD4"/>
    <w:rsid w:val="006A2FD3"/>
    <w:rsid w:val="006A5AAE"/>
    <w:rsid w:val="006A5E15"/>
    <w:rsid w:val="006B03AB"/>
    <w:rsid w:val="006B0AF7"/>
    <w:rsid w:val="006B10F8"/>
    <w:rsid w:val="006C00D6"/>
    <w:rsid w:val="006C202B"/>
    <w:rsid w:val="006C23A1"/>
    <w:rsid w:val="006C43B6"/>
    <w:rsid w:val="006C6AA9"/>
    <w:rsid w:val="006D0180"/>
    <w:rsid w:val="006E2957"/>
    <w:rsid w:val="006E2C03"/>
    <w:rsid w:val="006E672A"/>
    <w:rsid w:val="006F0D47"/>
    <w:rsid w:val="006F4DF0"/>
    <w:rsid w:val="006F5F77"/>
    <w:rsid w:val="006F5FAB"/>
    <w:rsid w:val="006F788B"/>
    <w:rsid w:val="007003E2"/>
    <w:rsid w:val="0070686E"/>
    <w:rsid w:val="00706EF5"/>
    <w:rsid w:val="00710D67"/>
    <w:rsid w:val="00711867"/>
    <w:rsid w:val="00711FBB"/>
    <w:rsid w:val="007129A9"/>
    <w:rsid w:val="007151B2"/>
    <w:rsid w:val="0072527E"/>
    <w:rsid w:val="0072529C"/>
    <w:rsid w:val="007263B9"/>
    <w:rsid w:val="00730F25"/>
    <w:rsid w:val="00731BC3"/>
    <w:rsid w:val="007335DD"/>
    <w:rsid w:val="00735958"/>
    <w:rsid w:val="00735ED6"/>
    <w:rsid w:val="00736503"/>
    <w:rsid w:val="00743D70"/>
    <w:rsid w:val="007461AC"/>
    <w:rsid w:val="007462DE"/>
    <w:rsid w:val="00752524"/>
    <w:rsid w:val="0075260C"/>
    <w:rsid w:val="0075673A"/>
    <w:rsid w:val="00760C92"/>
    <w:rsid w:val="0076669A"/>
    <w:rsid w:val="00767539"/>
    <w:rsid w:val="007761D4"/>
    <w:rsid w:val="00782D74"/>
    <w:rsid w:val="007856C4"/>
    <w:rsid w:val="0078798D"/>
    <w:rsid w:val="00790184"/>
    <w:rsid w:val="00790950"/>
    <w:rsid w:val="00790CEE"/>
    <w:rsid w:val="00791D0E"/>
    <w:rsid w:val="007A3F27"/>
    <w:rsid w:val="007A6373"/>
    <w:rsid w:val="007B1083"/>
    <w:rsid w:val="007B165B"/>
    <w:rsid w:val="007B194F"/>
    <w:rsid w:val="007B1A75"/>
    <w:rsid w:val="007B2141"/>
    <w:rsid w:val="007B32EE"/>
    <w:rsid w:val="007C00F5"/>
    <w:rsid w:val="007C0461"/>
    <w:rsid w:val="007D430C"/>
    <w:rsid w:val="007D6AA4"/>
    <w:rsid w:val="007D6DE6"/>
    <w:rsid w:val="007E1015"/>
    <w:rsid w:val="007F25D8"/>
    <w:rsid w:val="007F312D"/>
    <w:rsid w:val="007F553A"/>
    <w:rsid w:val="007F590B"/>
    <w:rsid w:val="007F710C"/>
    <w:rsid w:val="007F73A6"/>
    <w:rsid w:val="007F78EC"/>
    <w:rsid w:val="008025A3"/>
    <w:rsid w:val="00803DE2"/>
    <w:rsid w:val="0081274B"/>
    <w:rsid w:val="008139D7"/>
    <w:rsid w:val="00813D9D"/>
    <w:rsid w:val="00813ED3"/>
    <w:rsid w:val="00816557"/>
    <w:rsid w:val="0081696C"/>
    <w:rsid w:val="008175E4"/>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78A4"/>
    <w:rsid w:val="00851492"/>
    <w:rsid w:val="008519BB"/>
    <w:rsid w:val="008556AE"/>
    <w:rsid w:val="0086518F"/>
    <w:rsid w:val="00871810"/>
    <w:rsid w:val="008721B3"/>
    <w:rsid w:val="00876E00"/>
    <w:rsid w:val="00880988"/>
    <w:rsid w:val="00881843"/>
    <w:rsid w:val="0088541D"/>
    <w:rsid w:val="0088583B"/>
    <w:rsid w:val="00890589"/>
    <w:rsid w:val="008934D9"/>
    <w:rsid w:val="00893605"/>
    <w:rsid w:val="0089405E"/>
    <w:rsid w:val="008A10CD"/>
    <w:rsid w:val="008A272D"/>
    <w:rsid w:val="008A7917"/>
    <w:rsid w:val="008A7DB4"/>
    <w:rsid w:val="008C21C2"/>
    <w:rsid w:val="008C49C6"/>
    <w:rsid w:val="008C524A"/>
    <w:rsid w:val="008D4C79"/>
    <w:rsid w:val="008D6AB0"/>
    <w:rsid w:val="008D7F94"/>
    <w:rsid w:val="008E0980"/>
    <w:rsid w:val="008E2B68"/>
    <w:rsid w:val="008E5F06"/>
    <w:rsid w:val="008F3DA5"/>
    <w:rsid w:val="0090265A"/>
    <w:rsid w:val="009068D4"/>
    <w:rsid w:val="00910695"/>
    <w:rsid w:val="0091162B"/>
    <w:rsid w:val="00912FF4"/>
    <w:rsid w:val="00916885"/>
    <w:rsid w:val="00917EFD"/>
    <w:rsid w:val="00920AA3"/>
    <w:rsid w:val="0092185B"/>
    <w:rsid w:val="00922F35"/>
    <w:rsid w:val="00923A3F"/>
    <w:rsid w:val="00926CCB"/>
    <w:rsid w:val="00927C12"/>
    <w:rsid w:val="00937EE4"/>
    <w:rsid w:val="00940BF1"/>
    <w:rsid w:val="0094141C"/>
    <w:rsid w:val="00941A97"/>
    <w:rsid w:val="00946280"/>
    <w:rsid w:val="00950999"/>
    <w:rsid w:val="00954C64"/>
    <w:rsid w:val="0096435A"/>
    <w:rsid w:val="00964940"/>
    <w:rsid w:val="0096565E"/>
    <w:rsid w:val="00965869"/>
    <w:rsid w:val="009659A8"/>
    <w:rsid w:val="00967588"/>
    <w:rsid w:val="00967FB6"/>
    <w:rsid w:val="009700A1"/>
    <w:rsid w:val="009735B7"/>
    <w:rsid w:val="009757E7"/>
    <w:rsid w:val="00984610"/>
    <w:rsid w:val="00990EE0"/>
    <w:rsid w:val="009A157D"/>
    <w:rsid w:val="009A43C4"/>
    <w:rsid w:val="009B2075"/>
    <w:rsid w:val="009B5F4C"/>
    <w:rsid w:val="009B62A9"/>
    <w:rsid w:val="009B713A"/>
    <w:rsid w:val="009C1258"/>
    <w:rsid w:val="009C19F0"/>
    <w:rsid w:val="009C2124"/>
    <w:rsid w:val="009C5480"/>
    <w:rsid w:val="009C74EE"/>
    <w:rsid w:val="009D1322"/>
    <w:rsid w:val="009D3A7C"/>
    <w:rsid w:val="009F17E9"/>
    <w:rsid w:val="009F40EE"/>
    <w:rsid w:val="009F44D4"/>
    <w:rsid w:val="009F512D"/>
    <w:rsid w:val="009F6261"/>
    <w:rsid w:val="009F64F2"/>
    <w:rsid w:val="009F67BE"/>
    <w:rsid w:val="00A02975"/>
    <w:rsid w:val="00A045EF"/>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5E3B"/>
    <w:rsid w:val="00AA6206"/>
    <w:rsid w:val="00AA6C1A"/>
    <w:rsid w:val="00AB0DB8"/>
    <w:rsid w:val="00AB33B3"/>
    <w:rsid w:val="00AD3111"/>
    <w:rsid w:val="00AD5DC7"/>
    <w:rsid w:val="00AD5DE0"/>
    <w:rsid w:val="00AE3992"/>
    <w:rsid w:val="00AE3C18"/>
    <w:rsid w:val="00AE6470"/>
    <w:rsid w:val="00AF014A"/>
    <w:rsid w:val="00AF02A6"/>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59F7"/>
    <w:rsid w:val="00B36174"/>
    <w:rsid w:val="00B36797"/>
    <w:rsid w:val="00B37938"/>
    <w:rsid w:val="00B40964"/>
    <w:rsid w:val="00B4379B"/>
    <w:rsid w:val="00B449A6"/>
    <w:rsid w:val="00B44B21"/>
    <w:rsid w:val="00B47364"/>
    <w:rsid w:val="00B4761C"/>
    <w:rsid w:val="00B52DF0"/>
    <w:rsid w:val="00B5362F"/>
    <w:rsid w:val="00B536AA"/>
    <w:rsid w:val="00B72F77"/>
    <w:rsid w:val="00B82854"/>
    <w:rsid w:val="00B83B4C"/>
    <w:rsid w:val="00B8481F"/>
    <w:rsid w:val="00B8596E"/>
    <w:rsid w:val="00B86426"/>
    <w:rsid w:val="00B932A3"/>
    <w:rsid w:val="00B9368B"/>
    <w:rsid w:val="00B9635F"/>
    <w:rsid w:val="00B97C53"/>
    <w:rsid w:val="00BA336D"/>
    <w:rsid w:val="00BA60E2"/>
    <w:rsid w:val="00BB20ED"/>
    <w:rsid w:val="00BB2292"/>
    <w:rsid w:val="00BB2C94"/>
    <w:rsid w:val="00BB3122"/>
    <w:rsid w:val="00BB4DE1"/>
    <w:rsid w:val="00BC364B"/>
    <w:rsid w:val="00BC3F88"/>
    <w:rsid w:val="00BC411D"/>
    <w:rsid w:val="00BC637B"/>
    <w:rsid w:val="00BD0301"/>
    <w:rsid w:val="00BD4834"/>
    <w:rsid w:val="00BD483F"/>
    <w:rsid w:val="00BE3526"/>
    <w:rsid w:val="00BE4E4D"/>
    <w:rsid w:val="00BE7164"/>
    <w:rsid w:val="00BE74A5"/>
    <w:rsid w:val="00BF105E"/>
    <w:rsid w:val="00BF272B"/>
    <w:rsid w:val="00BF31BF"/>
    <w:rsid w:val="00BF49DE"/>
    <w:rsid w:val="00BF5637"/>
    <w:rsid w:val="00BF6C16"/>
    <w:rsid w:val="00C00B93"/>
    <w:rsid w:val="00C045F4"/>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8014C"/>
    <w:rsid w:val="00C84495"/>
    <w:rsid w:val="00C85212"/>
    <w:rsid w:val="00C85EDF"/>
    <w:rsid w:val="00C860E6"/>
    <w:rsid w:val="00C863B8"/>
    <w:rsid w:val="00C91287"/>
    <w:rsid w:val="00C947A2"/>
    <w:rsid w:val="00C958B5"/>
    <w:rsid w:val="00CA03EF"/>
    <w:rsid w:val="00CA32F8"/>
    <w:rsid w:val="00CA4E0A"/>
    <w:rsid w:val="00CA5E04"/>
    <w:rsid w:val="00CA7E2A"/>
    <w:rsid w:val="00CB1766"/>
    <w:rsid w:val="00CB1B44"/>
    <w:rsid w:val="00CB34C5"/>
    <w:rsid w:val="00CC0E9C"/>
    <w:rsid w:val="00CC4ED9"/>
    <w:rsid w:val="00CC58D1"/>
    <w:rsid w:val="00CC6DD6"/>
    <w:rsid w:val="00CC70AF"/>
    <w:rsid w:val="00CD46D6"/>
    <w:rsid w:val="00CD5349"/>
    <w:rsid w:val="00CE0C52"/>
    <w:rsid w:val="00CE2ABC"/>
    <w:rsid w:val="00CE43A3"/>
    <w:rsid w:val="00CE4908"/>
    <w:rsid w:val="00CE767B"/>
    <w:rsid w:val="00CE7A3C"/>
    <w:rsid w:val="00D04611"/>
    <w:rsid w:val="00D05CBD"/>
    <w:rsid w:val="00D13380"/>
    <w:rsid w:val="00D139C8"/>
    <w:rsid w:val="00D14F2F"/>
    <w:rsid w:val="00D1519F"/>
    <w:rsid w:val="00D157DD"/>
    <w:rsid w:val="00D16568"/>
    <w:rsid w:val="00D245F1"/>
    <w:rsid w:val="00D31261"/>
    <w:rsid w:val="00D36F95"/>
    <w:rsid w:val="00D40BC8"/>
    <w:rsid w:val="00D44A31"/>
    <w:rsid w:val="00D458A3"/>
    <w:rsid w:val="00D47E63"/>
    <w:rsid w:val="00D510DE"/>
    <w:rsid w:val="00D56F36"/>
    <w:rsid w:val="00D617B8"/>
    <w:rsid w:val="00D6203F"/>
    <w:rsid w:val="00D63E28"/>
    <w:rsid w:val="00D64526"/>
    <w:rsid w:val="00D6591C"/>
    <w:rsid w:val="00D67425"/>
    <w:rsid w:val="00D67B68"/>
    <w:rsid w:val="00D71BA5"/>
    <w:rsid w:val="00D72AE5"/>
    <w:rsid w:val="00D75D0C"/>
    <w:rsid w:val="00D76A1B"/>
    <w:rsid w:val="00D80DC1"/>
    <w:rsid w:val="00D81047"/>
    <w:rsid w:val="00D92034"/>
    <w:rsid w:val="00D95341"/>
    <w:rsid w:val="00DA2B91"/>
    <w:rsid w:val="00DA555C"/>
    <w:rsid w:val="00DB2F7E"/>
    <w:rsid w:val="00DC1098"/>
    <w:rsid w:val="00DC1298"/>
    <w:rsid w:val="00DC1694"/>
    <w:rsid w:val="00DC33BC"/>
    <w:rsid w:val="00DC42AE"/>
    <w:rsid w:val="00DC56A8"/>
    <w:rsid w:val="00DC5F30"/>
    <w:rsid w:val="00DD6508"/>
    <w:rsid w:val="00DF3659"/>
    <w:rsid w:val="00DF3CC4"/>
    <w:rsid w:val="00DF5886"/>
    <w:rsid w:val="00DF69C7"/>
    <w:rsid w:val="00E03D9C"/>
    <w:rsid w:val="00E12EA0"/>
    <w:rsid w:val="00E14EEC"/>
    <w:rsid w:val="00E16DBE"/>
    <w:rsid w:val="00E21287"/>
    <w:rsid w:val="00E2233E"/>
    <w:rsid w:val="00E2305D"/>
    <w:rsid w:val="00E254A3"/>
    <w:rsid w:val="00E267CD"/>
    <w:rsid w:val="00E310CB"/>
    <w:rsid w:val="00E3530D"/>
    <w:rsid w:val="00E35715"/>
    <w:rsid w:val="00E36601"/>
    <w:rsid w:val="00E376A1"/>
    <w:rsid w:val="00E411BC"/>
    <w:rsid w:val="00E5265F"/>
    <w:rsid w:val="00E55125"/>
    <w:rsid w:val="00E55F95"/>
    <w:rsid w:val="00E57FCD"/>
    <w:rsid w:val="00E602D8"/>
    <w:rsid w:val="00E60D8A"/>
    <w:rsid w:val="00E61AFA"/>
    <w:rsid w:val="00E7008C"/>
    <w:rsid w:val="00E714CA"/>
    <w:rsid w:val="00E74050"/>
    <w:rsid w:val="00E77644"/>
    <w:rsid w:val="00E77FC8"/>
    <w:rsid w:val="00E85259"/>
    <w:rsid w:val="00E85D5D"/>
    <w:rsid w:val="00E91511"/>
    <w:rsid w:val="00E92162"/>
    <w:rsid w:val="00E929A9"/>
    <w:rsid w:val="00E946BD"/>
    <w:rsid w:val="00EA0250"/>
    <w:rsid w:val="00EA24FD"/>
    <w:rsid w:val="00EA3748"/>
    <w:rsid w:val="00EA3A37"/>
    <w:rsid w:val="00EA599F"/>
    <w:rsid w:val="00EA5F83"/>
    <w:rsid w:val="00EB1B09"/>
    <w:rsid w:val="00EB4DFC"/>
    <w:rsid w:val="00EC0E6A"/>
    <w:rsid w:val="00ED1E60"/>
    <w:rsid w:val="00ED2D81"/>
    <w:rsid w:val="00ED4475"/>
    <w:rsid w:val="00ED4675"/>
    <w:rsid w:val="00ED577C"/>
    <w:rsid w:val="00EE27B3"/>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F08"/>
    <w:rsid w:val="00F15164"/>
    <w:rsid w:val="00F17D0D"/>
    <w:rsid w:val="00F21A75"/>
    <w:rsid w:val="00F22408"/>
    <w:rsid w:val="00F22B79"/>
    <w:rsid w:val="00F23B90"/>
    <w:rsid w:val="00F26DE9"/>
    <w:rsid w:val="00F30794"/>
    <w:rsid w:val="00F325C0"/>
    <w:rsid w:val="00F33F26"/>
    <w:rsid w:val="00F34DAF"/>
    <w:rsid w:val="00F414C3"/>
    <w:rsid w:val="00F460BE"/>
    <w:rsid w:val="00F46D8D"/>
    <w:rsid w:val="00F52175"/>
    <w:rsid w:val="00F54FD5"/>
    <w:rsid w:val="00F57963"/>
    <w:rsid w:val="00F624B5"/>
    <w:rsid w:val="00F67FA5"/>
    <w:rsid w:val="00F70698"/>
    <w:rsid w:val="00F71114"/>
    <w:rsid w:val="00F71F9F"/>
    <w:rsid w:val="00F778C2"/>
    <w:rsid w:val="00F80AFC"/>
    <w:rsid w:val="00F81510"/>
    <w:rsid w:val="00F81A18"/>
    <w:rsid w:val="00F8256B"/>
    <w:rsid w:val="00F830BE"/>
    <w:rsid w:val="00F846A4"/>
    <w:rsid w:val="00F84DAC"/>
    <w:rsid w:val="00F85A60"/>
    <w:rsid w:val="00F91B7E"/>
    <w:rsid w:val="00F922A0"/>
    <w:rsid w:val="00F95B59"/>
    <w:rsid w:val="00F97D93"/>
    <w:rsid w:val="00FA0973"/>
    <w:rsid w:val="00FA348B"/>
    <w:rsid w:val="00FA44F4"/>
    <w:rsid w:val="00FB1E31"/>
    <w:rsid w:val="00FC1647"/>
    <w:rsid w:val="00FC329C"/>
    <w:rsid w:val="00FC3E7B"/>
    <w:rsid w:val="00FD1DDC"/>
    <w:rsid w:val="00FD2AE4"/>
    <w:rsid w:val="00FD2F14"/>
    <w:rsid w:val="00FE0074"/>
    <w:rsid w:val="00FE212F"/>
    <w:rsid w:val="00FE2E4D"/>
    <w:rsid w:val="00FE353D"/>
    <w:rsid w:val="00FE64D3"/>
    <w:rsid w:val="00FE6ADD"/>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paragraph" w:styleId="Heading1">
    <w:name w:val="heading 1"/>
    <w:basedOn w:val="Normal"/>
    <w:next w:val="Normal"/>
    <w:link w:val="Heading1Char"/>
    <w:qFormat/>
    <w:rsid w:val="008175E4"/>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character" w:customStyle="1" w:styleId="Heading1Char">
    <w:name w:val="Heading 1 Char"/>
    <w:basedOn w:val="DefaultParagraphFont"/>
    <w:link w:val="Heading1"/>
    <w:rsid w:val="008175E4"/>
    <w:rPr>
      <w:b/>
      <w:sz w:val="24"/>
    </w:rPr>
  </w:style>
  <w:style w:type="paragraph" w:styleId="Title">
    <w:name w:val="Title"/>
    <w:basedOn w:val="Normal"/>
    <w:link w:val="TitleChar"/>
    <w:qFormat/>
    <w:rsid w:val="008175E4"/>
    <w:pPr>
      <w:jc w:val="center"/>
    </w:pPr>
    <w:rPr>
      <w:b/>
      <w:szCs w:val="20"/>
    </w:rPr>
  </w:style>
  <w:style w:type="character" w:customStyle="1" w:styleId="TitleChar">
    <w:name w:val="Title Char"/>
    <w:basedOn w:val="DefaultParagraphFont"/>
    <w:link w:val="Title"/>
    <w:rsid w:val="008175E4"/>
    <w:rPr>
      <w:b/>
      <w:sz w:val="24"/>
    </w:rPr>
  </w:style>
  <w:style w:type="paragraph" w:styleId="BodyTextIndent2">
    <w:name w:val="Body Text Indent 2"/>
    <w:basedOn w:val="Normal"/>
    <w:link w:val="BodyTextIndent2Char"/>
    <w:rsid w:val="008175E4"/>
    <w:pPr>
      <w:spacing w:line="360" w:lineRule="auto"/>
      <w:ind w:firstLine="720"/>
    </w:pPr>
    <w:rPr>
      <w:sz w:val="26"/>
      <w:szCs w:val="20"/>
    </w:rPr>
  </w:style>
  <w:style w:type="character" w:customStyle="1" w:styleId="BodyTextIndent2Char">
    <w:name w:val="Body Text Indent 2 Char"/>
    <w:basedOn w:val="DefaultParagraphFont"/>
    <w:link w:val="BodyTextIndent2"/>
    <w:rsid w:val="008175E4"/>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paragraph" w:styleId="Heading1">
    <w:name w:val="heading 1"/>
    <w:basedOn w:val="Normal"/>
    <w:next w:val="Normal"/>
    <w:link w:val="Heading1Char"/>
    <w:qFormat/>
    <w:rsid w:val="008175E4"/>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character" w:customStyle="1" w:styleId="Heading1Char">
    <w:name w:val="Heading 1 Char"/>
    <w:basedOn w:val="DefaultParagraphFont"/>
    <w:link w:val="Heading1"/>
    <w:rsid w:val="008175E4"/>
    <w:rPr>
      <w:b/>
      <w:sz w:val="24"/>
    </w:rPr>
  </w:style>
  <w:style w:type="paragraph" w:styleId="Title">
    <w:name w:val="Title"/>
    <w:basedOn w:val="Normal"/>
    <w:link w:val="TitleChar"/>
    <w:qFormat/>
    <w:rsid w:val="008175E4"/>
    <w:pPr>
      <w:jc w:val="center"/>
    </w:pPr>
    <w:rPr>
      <w:b/>
      <w:szCs w:val="20"/>
    </w:rPr>
  </w:style>
  <w:style w:type="character" w:customStyle="1" w:styleId="TitleChar">
    <w:name w:val="Title Char"/>
    <w:basedOn w:val="DefaultParagraphFont"/>
    <w:link w:val="Title"/>
    <w:rsid w:val="008175E4"/>
    <w:rPr>
      <w:b/>
      <w:sz w:val="24"/>
    </w:rPr>
  </w:style>
  <w:style w:type="paragraph" w:styleId="BodyTextIndent2">
    <w:name w:val="Body Text Indent 2"/>
    <w:basedOn w:val="Normal"/>
    <w:link w:val="BodyTextIndent2Char"/>
    <w:rsid w:val="008175E4"/>
    <w:pPr>
      <w:spacing w:line="360" w:lineRule="auto"/>
      <w:ind w:firstLine="720"/>
    </w:pPr>
    <w:rPr>
      <w:sz w:val="26"/>
      <w:szCs w:val="20"/>
    </w:rPr>
  </w:style>
  <w:style w:type="character" w:customStyle="1" w:styleId="BodyTextIndent2Char">
    <w:name w:val="Body Text Indent 2 Char"/>
    <w:basedOn w:val="DefaultParagraphFont"/>
    <w:link w:val="BodyTextIndent2"/>
    <w:rsid w:val="008175E4"/>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6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lwhitcomb</cp:lastModifiedBy>
  <cp:revision>4</cp:revision>
  <cp:lastPrinted>2010-01-05T13:43:00Z</cp:lastPrinted>
  <dcterms:created xsi:type="dcterms:W3CDTF">2012-08-16T14:17:00Z</dcterms:created>
  <dcterms:modified xsi:type="dcterms:W3CDTF">2012-08-16T17:43:00Z</dcterms:modified>
</cp:coreProperties>
</file>