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E" w:rsidRPr="005C755B" w:rsidRDefault="001B39BE" w:rsidP="001B39BE">
      <w:pPr>
        <w:jc w:val="center"/>
        <w:rPr>
          <w:b/>
        </w:rPr>
      </w:pPr>
      <w:r w:rsidRPr="005C755B">
        <w:rPr>
          <w:b/>
        </w:rPr>
        <w:t xml:space="preserve">BEFORE THE </w:t>
      </w:r>
    </w:p>
    <w:p w:rsidR="001B39BE" w:rsidRPr="005C755B" w:rsidRDefault="001B39BE" w:rsidP="001B39BE">
      <w:pPr>
        <w:jc w:val="center"/>
        <w:rPr>
          <w:b/>
        </w:rPr>
      </w:pPr>
      <w:r w:rsidRPr="005C755B">
        <w:rPr>
          <w:b/>
        </w:rPr>
        <w:t>PENNSYLVANIA PUBLIC UTILITY COMMISSION</w:t>
      </w:r>
    </w:p>
    <w:p w:rsidR="001B39BE" w:rsidRPr="00A12BD8" w:rsidRDefault="001B39BE" w:rsidP="00E040DC"/>
    <w:p w:rsidR="001B39BE" w:rsidRDefault="001B39BE" w:rsidP="001B39BE"/>
    <w:p w:rsidR="00A12BD8" w:rsidRPr="00A12BD8" w:rsidRDefault="00A12BD8" w:rsidP="001B39BE"/>
    <w:p w:rsidR="001B39BE" w:rsidRPr="00794B08" w:rsidRDefault="00A12BD8" w:rsidP="001B39BE">
      <w:r w:rsidRPr="00794B08">
        <w:t>J3 Energy Group, Inc.</w:t>
      </w:r>
      <w:r w:rsidRPr="00794B08">
        <w:tab/>
      </w:r>
      <w:r w:rsidRPr="00794B08">
        <w:tab/>
      </w:r>
      <w:r w:rsidRPr="00794B08">
        <w:tab/>
      </w:r>
      <w:r>
        <w:tab/>
      </w:r>
      <w:r>
        <w:tab/>
      </w:r>
      <w:r w:rsidRPr="00794B08">
        <w:t>:</w:t>
      </w:r>
    </w:p>
    <w:p w:rsidR="001B39BE" w:rsidRPr="00794B08" w:rsidRDefault="00A12BD8" w:rsidP="001B39BE">
      <w:r w:rsidRPr="00794B08">
        <w:tab/>
      </w:r>
      <w:r w:rsidRPr="00794B08">
        <w:tab/>
      </w:r>
      <w:r w:rsidRPr="00794B08">
        <w:tab/>
      </w:r>
      <w:r w:rsidRPr="00794B08">
        <w:tab/>
      </w:r>
      <w:r w:rsidRPr="00794B08">
        <w:tab/>
      </w:r>
      <w:r w:rsidRPr="00794B08">
        <w:tab/>
      </w:r>
      <w:r>
        <w:tab/>
      </w:r>
      <w:r w:rsidRPr="00794B08">
        <w:t>:</w:t>
      </w:r>
    </w:p>
    <w:p w:rsidR="001B39BE" w:rsidRPr="00794B08" w:rsidRDefault="00A12BD8" w:rsidP="00A12BD8">
      <w:pPr>
        <w:tabs>
          <w:tab w:val="left" w:pos="720"/>
        </w:tabs>
      </w:pPr>
      <w:r>
        <w:tab/>
        <w:t>v.</w:t>
      </w:r>
      <w:r w:rsidRPr="00794B08">
        <w:tab/>
      </w:r>
      <w:r w:rsidRPr="00794B08">
        <w:tab/>
      </w:r>
      <w:r w:rsidRPr="00794B08">
        <w:tab/>
      </w:r>
      <w:r w:rsidRPr="00794B08">
        <w:tab/>
      </w:r>
      <w:r>
        <w:tab/>
      </w:r>
      <w:r>
        <w:tab/>
      </w:r>
      <w:r w:rsidRPr="00794B08">
        <w:t>:</w:t>
      </w:r>
      <w:r w:rsidRPr="00794B08">
        <w:tab/>
      </w:r>
      <w:r w:rsidR="00AB1BB1">
        <w:tab/>
      </w:r>
      <w:r w:rsidRPr="00794B08">
        <w:t>C-2011-2219920</w:t>
      </w:r>
    </w:p>
    <w:p w:rsidR="001B39BE" w:rsidRPr="00794B08" w:rsidRDefault="00A12BD8" w:rsidP="001B39BE">
      <w:r w:rsidRPr="00794B08">
        <w:tab/>
      </w:r>
      <w:r w:rsidRPr="00794B08">
        <w:tab/>
      </w:r>
      <w:r w:rsidRPr="00794B08">
        <w:tab/>
      </w:r>
      <w:r w:rsidRPr="00794B08">
        <w:tab/>
      </w:r>
      <w:r w:rsidRPr="00794B08">
        <w:tab/>
      </w:r>
      <w:r w:rsidRPr="00794B08">
        <w:tab/>
      </w:r>
      <w:r>
        <w:tab/>
      </w:r>
      <w:r w:rsidRPr="00794B08">
        <w:t>:</w:t>
      </w:r>
    </w:p>
    <w:p w:rsidR="001B39BE" w:rsidRPr="00794B08" w:rsidRDefault="00A12BD8" w:rsidP="001B39BE">
      <w:r w:rsidRPr="00794B08">
        <w:t>West Penn Power Company</w:t>
      </w:r>
      <w:r w:rsidRPr="00794B08">
        <w:tab/>
      </w:r>
      <w:r>
        <w:tab/>
      </w:r>
      <w:r>
        <w:tab/>
      </w:r>
      <w:r>
        <w:tab/>
      </w:r>
      <w:r w:rsidRPr="00794B08">
        <w:t>:</w:t>
      </w:r>
    </w:p>
    <w:p w:rsidR="007074AB" w:rsidRDefault="007074AB" w:rsidP="00A12BD8"/>
    <w:p w:rsidR="00DD744E" w:rsidRPr="00794B08" w:rsidRDefault="00DD744E" w:rsidP="00A12BD8"/>
    <w:p w:rsidR="00CA6A60" w:rsidRDefault="00CA6A60" w:rsidP="00A12BD8"/>
    <w:p w:rsidR="00374637" w:rsidRDefault="00DD744E" w:rsidP="00A12BD8">
      <w:pPr>
        <w:jc w:val="center"/>
        <w:rPr>
          <w:rFonts w:eastAsia="Calibri"/>
          <w:b/>
          <w:u w:val="single"/>
          <w:lang w:bidi="ar-SA"/>
        </w:rPr>
      </w:pPr>
      <w:r w:rsidRPr="00DD744E">
        <w:rPr>
          <w:rFonts w:eastAsia="Calibri"/>
          <w:b/>
          <w:u w:val="single"/>
          <w:lang w:bidi="ar-SA"/>
        </w:rPr>
        <w:t>I</w:t>
      </w:r>
      <w:r w:rsidR="003F6DDF">
        <w:rPr>
          <w:rFonts w:eastAsia="Calibri"/>
          <w:b/>
          <w:u w:val="single"/>
          <w:lang w:bidi="ar-SA"/>
        </w:rPr>
        <w:t>NITIAL DECISION</w:t>
      </w:r>
    </w:p>
    <w:p w:rsidR="00944792" w:rsidRDefault="00944792" w:rsidP="00A12BD8">
      <w:pPr>
        <w:jc w:val="center"/>
        <w:rPr>
          <w:rFonts w:eastAsia="Calibri"/>
          <w:b/>
          <w:u w:val="single"/>
          <w:lang w:bidi="ar-SA"/>
        </w:rPr>
      </w:pPr>
    </w:p>
    <w:p w:rsidR="00A12BD8" w:rsidRDefault="00A12BD8" w:rsidP="00A12BD8">
      <w:pPr>
        <w:jc w:val="center"/>
        <w:rPr>
          <w:rFonts w:eastAsia="Calibri"/>
          <w:b/>
          <w:u w:val="single"/>
          <w:lang w:bidi="ar-SA"/>
        </w:rPr>
      </w:pPr>
      <w:r>
        <w:rPr>
          <w:rFonts w:eastAsia="Calibri"/>
          <w:b/>
          <w:u w:val="single"/>
          <w:lang w:bidi="ar-SA"/>
        </w:rPr>
        <w:t>NON-PROPRIETARY</w:t>
      </w:r>
    </w:p>
    <w:p w:rsidR="00A12BD8" w:rsidRDefault="00A12BD8" w:rsidP="00A12BD8">
      <w:pPr>
        <w:jc w:val="center"/>
        <w:rPr>
          <w:rFonts w:eastAsia="Calibri"/>
          <w:lang w:bidi="ar-SA"/>
        </w:rPr>
      </w:pPr>
    </w:p>
    <w:p w:rsidR="00A12BD8" w:rsidRPr="00A12BD8" w:rsidRDefault="00A12BD8" w:rsidP="00A12BD8">
      <w:pPr>
        <w:jc w:val="center"/>
        <w:rPr>
          <w:rFonts w:eastAsia="Calibri"/>
          <w:lang w:bidi="ar-SA"/>
        </w:rPr>
      </w:pPr>
    </w:p>
    <w:p w:rsidR="00DD744E" w:rsidRDefault="00DD744E" w:rsidP="00A12BD8">
      <w:pPr>
        <w:jc w:val="center"/>
        <w:rPr>
          <w:rFonts w:eastAsia="Calibri"/>
          <w:lang w:bidi="ar-SA"/>
        </w:rPr>
      </w:pPr>
      <w:r>
        <w:rPr>
          <w:rFonts w:eastAsia="Calibri"/>
          <w:lang w:bidi="ar-SA"/>
        </w:rPr>
        <w:t>Before</w:t>
      </w:r>
    </w:p>
    <w:p w:rsidR="00DD744E" w:rsidRDefault="00DD744E" w:rsidP="00A12BD8">
      <w:pPr>
        <w:jc w:val="center"/>
        <w:rPr>
          <w:rFonts w:eastAsia="Calibri"/>
          <w:lang w:bidi="ar-SA"/>
        </w:rPr>
      </w:pPr>
      <w:r>
        <w:rPr>
          <w:rFonts w:eastAsia="Calibri"/>
          <w:lang w:bidi="ar-SA"/>
        </w:rPr>
        <w:t>Elizabeth H. Barnes</w:t>
      </w:r>
    </w:p>
    <w:p w:rsidR="00DD744E" w:rsidRDefault="00DD744E" w:rsidP="00A12BD8">
      <w:pPr>
        <w:jc w:val="center"/>
        <w:rPr>
          <w:rFonts w:eastAsia="Calibri"/>
          <w:lang w:bidi="ar-SA"/>
        </w:rPr>
      </w:pPr>
      <w:r>
        <w:rPr>
          <w:rFonts w:eastAsia="Calibri"/>
          <w:lang w:bidi="ar-SA"/>
        </w:rPr>
        <w:t>Administrative Law Judge</w:t>
      </w:r>
    </w:p>
    <w:p w:rsidR="00DD744E" w:rsidRDefault="00DD744E" w:rsidP="00A12BD8">
      <w:pPr>
        <w:rPr>
          <w:rFonts w:eastAsia="Calibri"/>
          <w:lang w:bidi="ar-SA"/>
        </w:rPr>
      </w:pPr>
    </w:p>
    <w:p w:rsidR="00A12BD8" w:rsidRDefault="00A12BD8" w:rsidP="00A12BD8">
      <w:pPr>
        <w:rPr>
          <w:rFonts w:eastAsia="Calibri"/>
          <w:lang w:bidi="ar-SA"/>
        </w:rPr>
      </w:pPr>
    </w:p>
    <w:p w:rsidR="00374637" w:rsidRDefault="00DD744E" w:rsidP="00A12BD8">
      <w:pPr>
        <w:jc w:val="center"/>
        <w:rPr>
          <w:rFonts w:eastAsia="Calibri"/>
          <w:u w:val="single"/>
          <w:lang w:bidi="ar-SA"/>
        </w:rPr>
      </w:pPr>
      <w:r w:rsidRPr="00DD744E">
        <w:rPr>
          <w:rFonts w:eastAsia="Calibri"/>
          <w:u w:val="single"/>
          <w:lang w:bidi="ar-SA"/>
        </w:rPr>
        <w:t>HISTORY OF THE PROCEEDING</w:t>
      </w:r>
    </w:p>
    <w:p w:rsidR="00DD744E" w:rsidRDefault="00DD744E" w:rsidP="00A12BD8">
      <w:pPr>
        <w:rPr>
          <w:rFonts w:eastAsia="Calibri"/>
          <w:lang w:bidi="ar-SA"/>
        </w:rPr>
      </w:pPr>
    </w:p>
    <w:p w:rsidR="00A12BD8" w:rsidRPr="00DD744E" w:rsidRDefault="00A12BD8" w:rsidP="00A12BD8">
      <w:pPr>
        <w:rPr>
          <w:rFonts w:eastAsia="Calibri"/>
          <w:lang w:bidi="ar-SA"/>
        </w:rPr>
      </w:pPr>
    </w:p>
    <w:p w:rsidR="00CA6A60" w:rsidRDefault="00374637" w:rsidP="003F6DDF">
      <w:pPr>
        <w:spacing w:line="360" w:lineRule="auto"/>
        <w:rPr>
          <w:rFonts w:eastAsia="Calibri"/>
          <w:lang w:bidi="ar-SA"/>
        </w:rPr>
      </w:pPr>
      <w:r>
        <w:rPr>
          <w:rFonts w:eastAsia="Calibri"/>
          <w:lang w:bidi="ar-SA"/>
        </w:rPr>
        <w:tab/>
      </w:r>
      <w:r w:rsidR="006135D6">
        <w:rPr>
          <w:rFonts w:eastAsia="Calibri"/>
          <w:lang w:bidi="ar-SA"/>
        </w:rPr>
        <w:tab/>
      </w:r>
      <w:r w:rsidR="00DD744E">
        <w:rPr>
          <w:rFonts w:eastAsia="Calibri"/>
          <w:lang w:bidi="ar-SA"/>
        </w:rPr>
        <w:t xml:space="preserve">This case stems from West Penn Power Company (“West Penn”) seeking to purchase through a competitive bidding process, solar photovoltaic alternative energy credits (“SPAECs”) on December 3, 2010.  </w:t>
      </w:r>
      <w:r w:rsidR="00CA6A60">
        <w:rPr>
          <w:rFonts w:eastAsia="Calibri"/>
          <w:lang w:bidi="ar-SA"/>
        </w:rPr>
        <w:t>On January 10, 2011, J3 Energy Group, Inc. (J3) filed a formal complaint contending that West Penn Power Company (West Penn) had incorrectly evaluated the bid that J3 had submitted to supply SPAECs in response to a competitive Request for Proposals (RFP) issued by West Penn.  J3’s bid had not been selected in the RFP process.</w:t>
      </w:r>
    </w:p>
    <w:p w:rsidR="00CA6A60" w:rsidRDefault="00CA6A60" w:rsidP="003F6DDF">
      <w:pPr>
        <w:spacing w:line="360" w:lineRule="auto"/>
        <w:rPr>
          <w:rFonts w:eastAsia="Calibri"/>
          <w:lang w:bidi="ar-SA"/>
        </w:rPr>
      </w:pPr>
    </w:p>
    <w:p w:rsidR="00944792" w:rsidRDefault="00CA6A60" w:rsidP="003F6DDF">
      <w:pPr>
        <w:spacing w:line="360" w:lineRule="auto"/>
        <w:rPr>
          <w:rFonts w:eastAsia="Calibri"/>
          <w:lang w:bidi="ar-SA"/>
        </w:rPr>
        <w:sectPr w:rsidR="00944792" w:rsidSect="00A12BD8">
          <w:pgSz w:w="12240" w:h="15840" w:code="1"/>
          <w:pgMar w:top="1440" w:right="1440" w:bottom="1440" w:left="1440" w:header="720" w:footer="720" w:gutter="0"/>
          <w:cols w:space="720"/>
          <w:docGrid w:linePitch="360"/>
        </w:sectPr>
      </w:pPr>
      <w:r>
        <w:rPr>
          <w:rFonts w:eastAsia="Calibri"/>
          <w:lang w:bidi="ar-SA"/>
        </w:rPr>
        <w:tab/>
      </w:r>
      <w:r w:rsidR="006135D6">
        <w:rPr>
          <w:rFonts w:eastAsia="Calibri"/>
          <w:lang w:bidi="ar-SA"/>
        </w:rPr>
        <w:tab/>
      </w:r>
      <w:r>
        <w:rPr>
          <w:rFonts w:eastAsia="Calibri"/>
          <w:lang w:bidi="ar-SA"/>
        </w:rPr>
        <w:t xml:space="preserve">West Penn answered the </w:t>
      </w:r>
      <w:r w:rsidR="00B27103">
        <w:rPr>
          <w:rFonts w:eastAsia="Calibri"/>
          <w:lang w:bidi="ar-SA"/>
        </w:rPr>
        <w:t>c</w:t>
      </w:r>
      <w:r>
        <w:rPr>
          <w:rFonts w:eastAsia="Calibri"/>
          <w:lang w:bidi="ar-SA"/>
        </w:rPr>
        <w:t xml:space="preserve">omplaint on February 2, 2011, and stated that its evaluation of J3’s SPAEC bid proposal was correct.  West Penn stated that it followed its default service procurement process for SPAECs, as approved by the Commission Order entered </w:t>
      </w:r>
    </w:p>
    <w:p w:rsidR="00AF30B5" w:rsidRDefault="00CA6A60" w:rsidP="003F6DDF">
      <w:pPr>
        <w:spacing w:line="360" w:lineRule="auto"/>
        <w:rPr>
          <w:rFonts w:eastAsia="Calibri"/>
          <w:lang w:bidi="ar-SA"/>
        </w:rPr>
      </w:pPr>
      <w:r>
        <w:rPr>
          <w:rFonts w:eastAsia="Calibri"/>
          <w:lang w:bidi="ar-SA"/>
        </w:rPr>
        <w:lastRenderedPageBreak/>
        <w:t>September 8, 2010, at Docket No. P-00072342</w:t>
      </w:r>
      <w:r w:rsidR="00E243D6">
        <w:rPr>
          <w:rStyle w:val="FootnoteReference"/>
          <w:rFonts w:eastAsia="Calibri"/>
          <w:lang w:bidi="ar-SA"/>
        </w:rPr>
        <w:footnoteReference w:id="1"/>
      </w:r>
      <w:r>
        <w:rPr>
          <w:rFonts w:eastAsia="Calibri"/>
          <w:lang w:bidi="ar-SA"/>
        </w:rPr>
        <w:t xml:space="preserve">, and that West Penn’s competitive bid solicitation was further conducted pursuant to Commission regulations at 52 Pa. Code </w:t>
      </w:r>
      <w:r w:rsidR="005A67D0">
        <w:rPr>
          <w:rFonts w:eastAsia="Calibri"/>
          <w:lang w:bidi="ar-SA"/>
        </w:rPr>
        <w:t>§</w:t>
      </w:r>
      <w:r w:rsidR="00AF30B5">
        <w:rPr>
          <w:rFonts w:eastAsia="Calibri"/>
          <w:lang w:bidi="ar-SA"/>
        </w:rPr>
        <w:t xml:space="preserve"> 54.186.</w:t>
      </w:r>
    </w:p>
    <w:p w:rsidR="00AF30B5" w:rsidRDefault="00AF30B5" w:rsidP="003F6DDF">
      <w:pPr>
        <w:spacing w:line="360" w:lineRule="auto"/>
        <w:rPr>
          <w:rFonts w:eastAsia="Calibri"/>
          <w:lang w:bidi="ar-SA"/>
        </w:rPr>
      </w:pPr>
    </w:p>
    <w:p w:rsidR="00F64138" w:rsidRPr="00106DD5" w:rsidRDefault="00AF30B5" w:rsidP="003F6DDF">
      <w:pPr>
        <w:spacing w:line="360" w:lineRule="auto"/>
      </w:pPr>
      <w:r>
        <w:rPr>
          <w:rFonts w:eastAsia="Calibri"/>
          <w:lang w:bidi="ar-SA"/>
        </w:rPr>
        <w:tab/>
      </w:r>
      <w:r w:rsidR="006135D6">
        <w:rPr>
          <w:rFonts w:eastAsia="Calibri"/>
          <w:lang w:bidi="ar-SA"/>
        </w:rPr>
        <w:tab/>
      </w:r>
      <w:r>
        <w:rPr>
          <w:rFonts w:eastAsia="Calibri"/>
          <w:lang w:bidi="ar-SA"/>
        </w:rPr>
        <w:t>A Prehearing Conference was held in the above-captioned matter on August</w:t>
      </w:r>
      <w:r w:rsidR="006E3E4F">
        <w:rPr>
          <w:rFonts w:eastAsia="Calibri"/>
          <w:lang w:bidi="ar-SA"/>
        </w:rPr>
        <w:t xml:space="preserve"> </w:t>
      </w:r>
      <w:r>
        <w:rPr>
          <w:rFonts w:eastAsia="Calibri"/>
          <w:lang w:bidi="ar-SA"/>
        </w:rPr>
        <w:t>8,</w:t>
      </w:r>
      <w:r w:rsidR="006E3E4F">
        <w:rPr>
          <w:rFonts w:eastAsia="Calibri"/>
          <w:lang w:bidi="ar-SA"/>
        </w:rPr>
        <w:t xml:space="preserve"> </w:t>
      </w:r>
      <w:r>
        <w:rPr>
          <w:rFonts w:eastAsia="Calibri"/>
          <w:lang w:bidi="ar-SA"/>
        </w:rPr>
        <w:t xml:space="preserve">2011.  On August 9, 2011, a Scheduling Order was issued setting forth the procedural schedule for the case, and setting a hearing date of October 17, 2011.  Thereafter, </w:t>
      </w:r>
      <w:r w:rsidR="0048350D">
        <w:rPr>
          <w:rFonts w:eastAsia="Calibri"/>
          <w:lang w:bidi="ar-SA"/>
        </w:rPr>
        <w:t>the Administrative Law Judge (ALJ)</w:t>
      </w:r>
      <w:r>
        <w:rPr>
          <w:rFonts w:eastAsia="Calibri"/>
          <w:lang w:bidi="ar-SA"/>
        </w:rPr>
        <w:t xml:space="preserve"> was notified on or about September 16, 2011, that the parties had reached a settlement and they requested the scheduling order be modified such that testimony would no longer be due October 7, 2011.  </w:t>
      </w:r>
      <w:r w:rsidR="00E66E83">
        <w:rPr>
          <w:rFonts w:eastAsia="Calibri"/>
          <w:lang w:bidi="ar-SA"/>
        </w:rPr>
        <w:t>T</w:t>
      </w:r>
      <w:r>
        <w:rPr>
          <w:rFonts w:eastAsia="Calibri"/>
          <w:lang w:bidi="ar-SA"/>
        </w:rPr>
        <w:t>he parties requested until October</w:t>
      </w:r>
      <w:r w:rsidR="00252F8B">
        <w:rPr>
          <w:rFonts w:eastAsia="Calibri"/>
          <w:lang w:bidi="ar-SA"/>
        </w:rPr>
        <w:t> 17</w:t>
      </w:r>
      <w:r>
        <w:rPr>
          <w:rFonts w:eastAsia="Calibri"/>
          <w:lang w:bidi="ar-SA"/>
        </w:rPr>
        <w:t>,</w:t>
      </w:r>
      <w:r w:rsidR="00252F8B">
        <w:rPr>
          <w:rFonts w:eastAsia="Calibri"/>
          <w:lang w:bidi="ar-SA"/>
        </w:rPr>
        <w:t> </w:t>
      </w:r>
      <w:r>
        <w:rPr>
          <w:rFonts w:eastAsia="Calibri"/>
          <w:lang w:bidi="ar-SA"/>
        </w:rPr>
        <w:t xml:space="preserve">2011, to submit a joint petition for settlement.  This was ordered in an Amended Scheduling Order dated September 23, 2011.  However, as the oral agreement was never reduced to writing, a second Prehearing Conference was held on October 17, 2011.  A Second Amended Scheduling Order and Order Granting the Motion to Compel filed by the West Penn Power Company against J3 Energy Group, Inc. was issued on October 17, addressing discovery issues and setting a deadline for an anticipated Motion for Summary Judgment </w:t>
      </w:r>
      <w:r w:rsidR="00E66E83">
        <w:rPr>
          <w:rFonts w:eastAsia="Calibri"/>
          <w:lang w:bidi="ar-SA"/>
        </w:rPr>
        <w:t>of</w:t>
      </w:r>
      <w:r>
        <w:rPr>
          <w:rFonts w:eastAsia="Calibri"/>
          <w:lang w:bidi="ar-SA"/>
        </w:rPr>
        <w:t xml:space="preserve"> November 15, 2011.  The Order further established other procedural deadlines, inclu</w:t>
      </w:r>
      <w:r w:rsidR="00E66E83">
        <w:rPr>
          <w:rFonts w:eastAsia="Calibri"/>
          <w:lang w:bidi="ar-SA"/>
        </w:rPr>
        <w:t>ding an evidentiary hearing on</w:t>
      </w:r>
      <w:r>
        <w:rPr>
          <w:rFonts w:eastAsia="Calibri"/>
          <w:lang w:bidi="ar-SA"/>
        </w:rPr>
        <w:t xml:space="preserve"> January 5, 2012</w:t>
      </w:r>
      <w:r w:rsidR="00F64138" w:rsidRPr="00106DD5">
        <w:t>.</w:t>
      </w:r>
      <w:r w:rsidR="00F64138" w:rsidRPr="00106DD5">
        <w:rPr>
          <w:rStyle w:val="FootnoteReference"/>
        </w:rPr>
        <w:footnoteReference w:id="2"/>
      </w:r>
    </w:p>
    <w:p w:rsidR="00AF30B5" w:rsidRDefault="00AF30B5" w:rsidP="003F6DDF">
      <w:pPr>
        <w:spacing w:line="360" w:lineRule="auto"/>
        <w:rPr>
          <w:rFonts w:eastAsia="Calibri"/>
          <w:lang w:bidi="ar-SA"/>
        </w:rPr>
      </w:pPr>
    </w:p>
    <w:p w:rsidR="006D4912" w:rsidRDefault="00AF30B5" w:rsidP="00252F8B">
      <w:pPr>
        <w:spacing w:line="360" w:lineRule="auto"/>
        <w:rPr>
          <w:rFonts w:eastAsia="Calibri"/>
          <w:lang w:bidi="ar-SA"/>
        </w:rPr>
      </w:pPr>
      <w:r>
        <w:rPr>
          <w:rFonts w:eastAsia="Calibri"/>
          <w:lang w:bidi="ar-SA"/>
        </w:rPr>
        <w:tab/>
      </w:r>
      <w:r w:rsidR="006135D6">
        <w:rPr>
          <w:rFonts w:eastAsia="Calibri"/>
          <w:lang w:bidi="ar-SA"/>
        </w:rPr>
        <w:tab/>
      </w:r>
      <w:r>
        <w:rPr>
          <w:rFonts w:eastAsia="Calibri"/>
          <w:lang w:bidi="ar-SA"/>
        </w:rPr>
        <w:t xml:space="preserve">J3 filed a Motion for Summary Judgment on November 15, 2011, </w:t>
      </w:r>
      <w:r w:rsidR="00E66E83">
        <w:rPr>
          <w:rFonts w:eastAsia="Calibri"/>
          <w:lang w:bidi="ar-SA"/>
        </w:rPr>
        <w:t xml:space="preserve">and </w:t>
      </w:r>
      <w:r>
        <w:rPr>
          <w:rFonts w:eastAsia="Calibri"/>
          <w:lang w:bidi="ar-SA"/>
        </w:rPr>
        <w:t>on December 5, 2011, West Penn filed an Answer and Cross-Motion for Summary Judgment</w:t>
      </w:r>
      <w:r w:rsidR="00E66E83">
        <w:rPr>
          <w:rFonts w:eastAsia="Calibri"/>
          <w:lang w:bidi="ar-SA"/>
        </w:rPr>
        <w:t>.  T</w:t>
      </w:r>
      <w:r>
        <w:rPr>
          <w:rFonts w:eastAsia="Calibri"/>
          <w:lang w:bidi="ar-SA"/>
        </w:rPr>
        <w:t>he parties requested a further amendment to the procedural schedule.  On December 8, 2011, a Third Amended Scheduling Order was issued giving J3 until December 22, 2011 to file an answer to the cross-motion for summary judgment, and establishing a new deadline for direct testimony of January 24, 2012</w:t>
      </w:r>
      <w:r w:rsidR="006D4912">
        <w:rPr>
          <w:rFonts w:eastAsia="Calibri"/>
          <w:lang w:bidi="ar-SA"/>
        </w:rPr>
        <w:t>, which was later suspended pending a determination regarding the cross motions for summary judgment</w:t>
      </w:r>
      <w:r>
        <w:rPr>
          <w:rFonts w:eastAsia="Calibri"/>
          <w:lang w:bidi="ar-SA"/>
        </w:rPr>
        <w:t>.</w:t>
      </w:r>
    </w:p>
    <w:p w:rsidR="006D4912" w:rsidRDefault="006D4912" w:rsidP="003F6DDF">
      <w:pPr>
        <w:spacing w:line="360" w:lineRule="auto"/>
        <w:rPr>
          <w:rFonts w:eastAsia="Calibri"/>
          <w:lang w:bidi="ar-SA"/>
        </w:rPr>
      </w:pPr>
    </w:p>
    <w:p w:rsidR="00F447E9" w:rsidRDefault="006D4912" w:rsidP="003F6DDF">
      <w:pPr>
        <w:spacing w:line="360" w:lineRule="auto"/>
        <w:rPr>
          <w:rFonts w:eastAsia="Calibri"/>
          <w:lang w:bidi="ar-SA"/>
        </w:rPr>
      </w:pPr>
      <w:r>
        <w:rPr>
          <w:rFonts w:eastAsia="Calibri"/>
          <w:lang w:bidi="ar-SA"/>
        </w:rPr>
        <w:tab/>
      </w:r>
      <w:r w:rsidR="006135D6">
        <w:rPr>
          <w:rFonts w:eastAsia="Calibri"/>
          <w:lang w:bidi="ar-SA"/>
        </w:rPr>
        <w:tab/>
      </w:r>
      <w:r w:rsidR="00DD744E">
        <w:rPr>
          <w:rFonts w:eastAsia="Calibri"/>
          <w:lang w:bidi="ar-SA"/>
        </w:rPr>
        <w:t>On February 1, 2012, the ALJ issued an Order Denying Cross Motions for Summary Judgment determining there were genuine issues of facts to be determined concerning the parties’ different views on the procurement process and in a subsequent Order dated</w:t>
      </w:r>
      <w:r w:rsidR="006E3E4F">
        <w:rPr>
          <w:rFonts w:eastAsia="Calibri"/>
          <w:lang w:bidi="ar-SA"/>
        </w:rPr>
        <w:t xml:space="preserve"> </w:t>
      </w:r>
      <w:r w:rsidR="00DD744E">
        <w:rPr>
          <w:rFonts w:eastAsia="Calibri"/>
          <w:lang w:bidi="ar-SA"/>
        </w:rPr>
        <w:t>March</w:t>
      </w:r>
      <w:r w:rsidR="008905AE">
        <w:rPr>
          <w:rFonts w:eastAsia="Calibri"/>
          <w:lang w:bidi="ar-SA"/>
        </w:rPr>
        <w:t xml:space="preserve"> </w:t>
      </w:r>
      <w:r w:rsidR="00DD744E">
        <w:rPr>
          <w:rFonts w:eastAsia="Calibri"/>
          <w:lang w:bidi="ar-SA"/>
        </w:rPr>
        <w:t>1,</w:t>
      </w:r>
      <w:r w:rsidR="008905AE">
        <w:rPr>
          <w:rFonts w:eastAsia="Calibri"/>
          <w:lang w:bidi="ar-SA"/>
        </w:rPr>
        <w:t xml:space="preserve"> </w:t>
      </w:r>
      <w:proofErr w:type="gramStart"/>
      <w:r w:rsidR="00DD744E">
        <w:rPr>
          <w:rFonts w:eastAsia="Calibri"/>
          <w:lang w:bidi="ar-SA"/>
        </w:rPr>
        <w:t>2012,</w:t>
      </w:r>
      <w:proofErr w:type="gramEnd"/>
      <w:r w:rsidR="00DD744E">
        <w:rPr>
          <w:rFonts w:eastAsia="Calibri"/>
          <w:lang w:bidi="ar-SA"/>
        </w:rPr>
        <w:t xml:space="preserve"> a procedural schedule was issued setting hearing dates of May 1</w:t>
      </w:r>
      <w:r w:rsidR="006E3E4F">
        <w:rPr>
          <w:rFonts w:eastAsia="Calibri"/>
          <w:lang w:bidi="ar-SA"/>
        </w:rPr>
        <w:t xml:space="preserve"> and </w:t>
      </w:r>
      <w:r w:rsidR="00DD744E">
        <w:rPr>
          <w:rFonts w:eastAsia="Calibri"/>
          <w:lang w:bidi="ar-SA"/>
        </w:rPr>
        <w:t>2, 2012.  J3 subpoenaed</w:t>
      </w:r>
      <w:r w:rsidR="00F447E9">
        <w:rPr>
          <w:rFonts w:eastAsia="Calibri"/>
          <w:lang w:bidi="ar-SA"/>
        </w:rPr>
        <w:t xml:space="preserve"> Paul Diskin, Bureau Director, Bureau of Technical Utility Services </w:t>
      </w:r>
      <w:r>
        <w:rPr>
          <w:rFonts w:eastAsia="Calibri"/>
          <w:lang w:bidi="ar-SA"/>
        </w:rPr>
        <w:t xml:space="preserve">(TUS) </w:t>
      </w:r>
      <w:r w:rsidR="00F447E9">
        <w:rPr>
          <w:rFonts w:eastAsia="Calibri"/>
          <w:lang w:bidi="ar-SA"/>
        </w:rPr>
        <w:t>on March</w:t>
      </w:r>
      <w:r w:rsidR="00252F8B">
        <w:rPr>
          <w:rFonts w:eastAsia="Calibri"/>
          <w:lang w:bidi="ar-SA"/>
        </w:rPr>
        <w:t> </w:t>
      </w:r>
      <w:r w:rsidR="00F447E9">
        <w:rPr>
          <w:rFonts w:eastAsia="Calibri"/>
          <w:lang w:bidi="ar-SA"/>
        </w:rPr>
        <w:t>1, 2012.</w:t>
      </w:r>
    </w:p>
    <w:p w:rsidR="00F447E9" w:rsidRDefault="00F447E9" w:rsidP="003F6DDF">
      <w:pPr>
        <w:spacing w:line="360" w:lineRule="auto"/>
        <w:rPr>
          <w:rFonts w:eastAsia="Calibri"/>
          <w:lang w:bidi="ar-SA"/>
        </w:rPr>
      </w:pPr>
    </w:p>
    <w:p w:rsidR="00F447E9" w:rsidRDefault="00F447E9" w:rsidP="003F6DDF">
      <w:pPr>
        <w:spacing w:line="360" w:lineRule="auto"/>
        <w:rPr>
          <w:rFonts w:eastAsia="Calibri"/>
          <w:lang w:bidi="ar-SA"/>
        </w:rPr>
      </w:pPr>
      <w:r>
        <w:rPr>
          <w:rFonts w:eastAsia="Calibri"/>
          <w:lang w:bidi="ar-SA"/>
        </w:rPr>
        <w:tab/>
      </w:r>
      <w:r w:rsidR="006135D6">
        <w:rPr>
          <w:rFonts w:eastAsia="Calibri"/>
          <w:lang w:bidi="ar-SA"/>
        </w:rPr>
        <w:tab/>
      </w:r>
      <w:r>
        <w:rPr>
          <w:rFonts w:eastAsia="Calibri"/>
          <w:lang w:bidi="ar-SA"/>
        </w:rPr>
        <w:t>A hearing was held at the Commission’s Harrisburg offices on Tuesday, May</w:t>
      </w:r>
      <w:r w:rsidR="006E3E4F">
        <w:rPr>
          <w:rFonts w:eastAsia="Calibri"/>
          <w:lang w:bidi="ar-SA"/>
        </w:rPr>
        <w:t xml:space="preserve"> </w:t>
      </w:r>
      <w:r w:rsidR="00252F8B">
        <w:rPr>
          <w:rFonts w:eastAsia="Calibri"/>
          <w:lang w:bidi="ar-SA"/>
        </w:rPr>
        <w:t>1,</w:t>
      </w:r>
      <w:r w:rsidR="006E3E4F">
        <w:rPr>
          <w:rFonts w:eastAsia="Calibri"/>
          <w:lang w:bidi="ar-SA"/>
        </w:rPr>
        <w:t xml:space="preserve"> </w:t>
      </w:r>
      <w:r>
        <w:rPr>
          <w:rFonts w:eastAsia="Calibri"/>
          <w:lang w:bidi="ar-SA"/>
        </w:rPr>
        <w:t xml:space="preserve">2012, resulting in a transcript of 216 pages, some of which were classified as proprietary as including information covered by the Protective Orders. </w:t>
      </w:r>
    </w:p>
    <w:p w:rsidR="00BA0F36" w:rsidRDefault="00BA0F36" w:rsidP="003F6DDF">
      <w:pPr>
        <w:spacing w:line="360" w:lineRule="auto"/>
        <w:rPr>
          <w:rFonts w:eastAsia="Calibri"/>
          <w:lang w:bidi="ar-SA"/>
        </w:rPr>
      </w:pPr>
    </w:p>
    <w:p w:rsidR="00E243D6" w:rsidRDefault="001C4A32" w:rsidP="00252F8B">
      <w:pPr>
        <w:spacing w:line="360" w:lineRule="auto"/>
        <w:rPr>
          <w:rFonts w:eastAsia="Calibri"/>
          <w:lang w:bidi="ar-SA"/>
        </w:rPr>
      </w:pPr>
      <w:r>
        <w:rPr>
          <w:rFonts w:eastAsia="Calibri"/>
          <w:lang w:bidi="ar-SA"/>
        </w:rPr>
        <w:tab/>
      </w:r>
      <w:r w:rsidR="006135D6">
        <w:rPr>
          <w:rFonts w:eastAsia="Calibri"/>
          <w:lang w:bidi="ar-SA"/>
        </w:rPr>
        <w:tab/>
      </w:r>
      <w:r w:rsidR="006E3E4F">
        <w:rPr>
          <w:rFonts w:eastAsia="Calibri"/>
          <w:lang w:bidi="ar-SA"/>
        </w:rPr>
        <w:t>J3 presented</w:t>
      </w:r>
      <w:r w:rsidR="006D4912">
        <w:rPr>
          <w:rFonts w:eastAsia="Calibri"/>
          <w:lang w:bidi="ar-SA"/>
        </w:rPr>
        <w:t xml:space="preserve"> the written direct and written rebuttal testimony of Stephen C. Russial, President and Owner of J3.</w:t>
      </w:r>
      <w:r w:rsidR="006D4912">
        <w:rPr>
          <w:rStyle w:val="FootnoteReference"/>
          <w:rFonts w:eastAsia="Calibri"/>
          <w:lang w:bidi="ar-SA"/>
        </w:rPr>
        <w:footnoteReference w:id="3"/>
      </w:r>
      <w:r w:rsidR="00BA0F36">
        <w:rPr>
          <w:rFonts w:eastAsia="Calibri"/>
          <w:lang w:bidi="ar-SA"/>
        </w:rPr>
        <w:t xml:space="preserve">  Mr. Russial answered questions upon cross examination by West Penn’s counsel. </w:t>
      </w:r>
    </w:p>
    <w:p w:rsidR="00BA0F36" w:rsidRDefault="00BA0F36" w:rsidP="003F6DDF">
      <w:pPr>
        <w:spacing w:line="360" w:lineRule="auto"/>
        <w:rPr>
          <w:rFonts w:eastAsia="Calibri"/>
          <w:lang w:bidi="ar-SA"/>
        </w:rPr>
      </w:pPr>
    </w:p>
    <w:p w:rsidR="00F64138" w:rsidRDefault="00BA0F36" w:rsidP="003F6DDF">
      <w:pPr>
        <w:spacing w:line="360" w:lineRule="auto"/>
        <w:ind w:firstLine="720"/>
      </w:pPr>
      <w:r>
        <w:rPr>
          <w:rFonts w:eastAsia="Calibri"/>
          <w:lang w:bidi="ar-SA"/>
        </w:rPr>
        <w:tab/>
        <w:t>J3 also presented the written direct and written rebuttal testimony of Curtis W. McBride, an independent consultant who consults on procurement matters for TechSource, Inc., of Los Alamos, New Mexico.  Mr. McBride’s written testimony was entered into the record without cross examination.  Mr. McBride also offered oral surrebuttal testimony at the May</w:t>
      </w:r>
      <w:r w:rsidR="006E3E4F">
        <w:rPr>
          <w:rFonts w:eastAsia="Calibri"/>
          <w:lang w:bidi="ar-SA"/>
        </w:rPr>
        <w:t xml:space="preserve"> </w:t>
      </w:r>
      <w:r>
        <w:rPr>
          <w:rFonts w:eastAsia="Calibri"/>
          <w:lang w:bidi="ar-SA"/>
        </w:rPr>
        <w:t>1,</w:t>
      </w:r>
      <w:r w:rsidR="006E3E4F">
        <w:rPr>
          <w:rFonts w:eastAsia="Calibri"/>
          <w:lang w:bidi="ar-SA"/>
        </w:rPr>
        <w:t xml:space="preserve"> </w:t>
      </w:r>
      <w:r>
        <w:rPr>
          <w:rFonts w:eastAsia="Calibri"/>
          <w:lang w:bidi="ar-SA"/>
        </w:rPr>
        <w:t>2012 hearing.</w:t>
      </w:r>
      <w:r w:rsidR="00F64138" w:rsidRPr="00F64138">
        <w:t xml:space="preserve"> </w:t>
      </w:r>
      <w:r w:rsidR="00F64138" w:rsidRPr="00106DD5">
        <w:rPr>
          <w:rStyle w:val="FootnoteReference"/>
        </w:rPr>
        <w:footnoteReference w:id="4"/>
      </w:r>
    </w:p>
    <w:p w:rsidR="006135D6" w:rsidRPr="00106DD5" w:rsidRDefault="006135D6" w:rsidP="003F6DDF">
      <w:pPr>
        <w:spacing w:line="360" w:lineRule="auto"/>
        <w:ind w:firstLine="720"/>
      </w:pPr>
    </w:p>
    <w:p w:rsidR="00F64138" w:rsidRPr="00106DD5" w:rsidRDefault="006135D6" w:rsidP="003F6DDF">
      <w:pPr>
        <w:spacing w:line="360" w:lineRule="auto"/>
        <w:ind w:firstLine="720"/>
      </w:pPr>
      <w:r>
        <w:rPr>
          <w:rFonts w:eastAsia="Calibri"/>
          <w:lang w:bidi="ar-SA"/>
        </w:rPr>
        <w:tab/>
      </w:r>
      <w:r w:rsidR="00F64138" w:rsidRPr="00106DD5">
        <w:t>West Penn presented written direct and</w:t>
      </w:r>
      <w:r w:rsidR="00F64138">
        <w:t xml:space="preserve"> written</w:t>
      </w:r>
      <w:r w:rsidR="00F64138" w:rsidRPr="00106DD5">
        <w:t xml:space="preserve"> rebuttal testimony of Frank Mossburg, Managing Director of Boston Pacific Company, Inc., which was the </w:t>
      </w:r>
      <w:r w:rsidR="00E9706C">
        <w:t>Independent Project Manager (</w:t>
      </w:r>
      <w:r w:rsidR="00F64138">
        <w:t>IPM</w:t>
      </w:r>
      <w:r w:rsidR="00E9706C">
        <w:t>)</w:t>
      </w:r>
      <w:r w:rsidR="00F64138" w:rsidRPr="00106DD5">
        <w:t xml:space="preserve"> for West Penn’s procurement for solar </w:t>
      </w:r>
      <w:r w:rsidR="00E9706C">
        <w:t>renewable energy credits (</w:t>
      </w:r>
      <w:r w:rsidR="00F64138" w:rsidRPr="00106DD5">
        <w:t>RECs</w:t>
      </w:r>
      <w:r w:rsidR="00E9706C">
        <w:t>)</w:t>
      </w:r>
      <w:r w:rsidR="00F64138" w:rsidRPr="00106DD5">
        <w:t xml:space="preserve"> held December 3, 2011.</w:t>
      </w:r>
      <w:r w:rsidR="00F64138" w:rsidRPr="00106DD5">
        <w:rPr>
          <w:rStyle w:val="FootnoteReference"/>
        </w:rPr>
        <w:footnoteReference w:id="5"/>
      </w:r>
      <w:r w:rsidR="00F64138" w:rsidRPr="00106DD5">
        <w:t xml:space="preserve"> </w:t>
      </w:r>
      <w:r w:rsidR="00F64138">
        <w:t xml:space="preserve"> Mr. Mossburg’s written direct testimony was identified and admitted as West Penn Statement No. 2, and Mr. Mossburg’s written rebuttal testimony was identified and admitted as West Penn Statement No. 2-R.  </w:t>
      </w:r>
      <w:r w:rsidR="00F64138" w:rsidRPr="00106DD5">
        <w:t>Mr.</w:t>
      </w:r>
      <w:r w:rsidR="000929EF">
        <w:t> </w:t>
      </w:r>
      <w:r w:rsidR="00F64138" w:rsidRPr="00106DD5">
        <w:t>Mossburg answered questions upon cross examination by J3’s counsel.</w:t>
      </w:r>
    </w:p>
    <w:p w:rsidR="006135D6" w:rsidRDefault="006135D6" w:rsidP="003F6DDF">
      <w:pPr>
        <w:spacing w:line="360" w:lineRule="auto"/>
        <w:ind w:firstLine="720"/>
      </w:pPr>
    </w:p>
    <w:p w:rsidR="00F64138" w:rsidRPr="00106DD5" w:rsidRDefault="006135D6" w:rsidP="003F6DDF">
      <w:pPr>
        <w:spacing w:line="360" w:lineRule="auto"/>
        <w:ind w:firstLine="720"/>
      </w:pPr>
      <w:r>
        <w:tab/>
      </w:r>
      <w:r w:rsidR="00F64138" w:rsidRPr="00106DD5">
        <w:t xml:space="preserve">West Penn also presented written direct and </w:t>
      </w:r>
      <w:r w:rsidR="00F64138">
        <w:t xml:space="preserve">written </w:t>
      </w:r>
      <w:r w:rsidR="00F64138" w:rsidRPr="00106DD5">
        <w:t>rebuttal testimony</w:t>
      </w:r>
      <w:r w:rsidR="00F64138" w:rsidRPr="00106DD5">
        <w:rPr>
          <w:rStyle w:val="FootnoteReference"/>
        </w:rPr>
        <w:footnoteReference w:id="6"/>
      </w:r>
      <w:r w:rsidR="00F64138" w:rsidRPr="00106DD5">
        <w:t xml:space="preserve"> of Robert</w:t>
      </w:r>
      <w:r w:rsidR="00E040DC">
        <w:t> </w:t>
      </w:r>
      <w:r w:rsidR="00F64138" w:rsidRPr="00106DD5">
        <w:t>B.</w:t>
      </w:r>
      <w:r w:rsidR="00E040DC">
        <w:t xml:space="preserve"> </w:t>
      </w:r>
      <w:proofErr w:type="spellStart"/>
      <w:r w:rsidR="00F64138" w:rsidRPr="00106DD5">
        <w:t>Reeping</w:t>
      </w:r>
      <w:proofErr w:type="spellEnd"/>
      <w:r w:rsidR="00F64138" w:rsidRPr="00106DD5">
        <w:t>,</w:t>
      </w:r>
      <w:r w:rsidR="00E040DC">
        <w:t xml:space="preserve"> </w:t>
      </w:r>
      <w:r w:rsidR="00F64138" w:rsidRPr="00106DD5">
        <w:t>Manager of Regulated Commodity Sourcing for Allegheny Energy Service Corporation a subsidiary of FirstEnergy Corp.</w:t>
      </w:r>
      <w:r w:rsidR="00F64138" w:rsidRPr="00106DD5">
        <w:rPr>
          <w:rStyle w:val="FootnoteReference"/>
        </w:rPr>
        <w:footnoteReference w:id="7"/>
      </w:r>
      <w:r w:rsidR="00F64138" w:rsidRPr="00106DD5">
        <w:t xml:space="preserve"> </w:t>
      </w:r>
      <w:r w:rsidR="00E040DC">
        <w:t xml:space="preserve"> </w:t>
      </w:r>
      <w:r w:rsidR="00F64138">
        <w:t xml:space="preserve">Mr. Reeping’s written direct testimony was identified and admitted as West Penn Statement No. 1, and Mr. Reeping’s written rebuttal testimony was identified and admitted as West Penn Statement No. 1-R. </w:t>
      </w:r>
      <w:r w:rsidR="00F64138" w:rsidRPr="00106DD5">
        <w:t xml:space="preserve"> Mr. Reeping answered questions upon cross examination by J3’s counsel.</w:t>
      </w:r>
    </w:p>
    <w:p w:rsidR="000864A2" w:rsidRDefault="000864A2" w:rsidP="003F6DDF">
      <w:pPr>
        <w:spacing w:line="360" w:lineRule="auto"/>
        <w:ind w:firstLine="720"/>
      </w:pPr>
    </w:p>
    <w:p w:rsidR="00F64138" w:rsidRDefault="006135D6" w:rsidP="003F6DDF">
      <w:pPr>
        <w:spacing w:line="360" w:lineRule="auto"/>
        <w:ind w:firstLine="720"/>
      </w:pPr>
      <w:r>
        <w:tab/>
      </w:r>
      <w:r w:rsidR="00F64138" w:rsidRPr="00106DD5">
        <w:t>Mr. Diskin of the Commission Staff appeared at the May 1, 2012</w:t>
      </w:r>
      <w:r w:rsidR="00F64138">
        <w:t>,</w:t>
      </w:r>
      <w:r w:rsidR="00F64138" w:rsidRPr="00106DD5">
        <w:t xml:space="preserve"> hearing pursuant to subpoena and answered questions upon examination by J3 and by West Penn.  Mr.</w:t>
      </w:r>
      <w:r w:rsidR="000929EF">
        <w:t> </w:t>
      </w:r>
      <w:r w:rsidR="00F64138" w:rsidRPr="00106DD5">
        <w:t>Diskin was represented by counsel from the Commission’s Law Bureau.</w:t>
      </w:r>
    </w:p>
    <w:p w:rsidR="006135D6" w:rsidRDefault="006135D6" w:rsidP="003F6DDF">
      <w:pPr>
        <w:spacing w:line="360" w:lineRule="auto"/>
        <w:ind w:firstLine="720"/>
      </w:pPr>
    </w:p>
    <w:p w:rsidR="006135D6" w:rsidRPr="00106DD5" w:rsidRDefault="006135D6" w:rsidP="003F6DDF">
      <w:pPr>
        <w:spacing w:line="360" w:lineRule="auto"/>
        <w:ind w:firstLine="720"/>
      </w:pPr>
      <w:r>
        <w:tab/>
        <w:t>After the hearing, main briefs were filed on May 22, 2012 and reply briefs were filed on June 6, 2012.  The record closed on June 6, 2012.</w:t>
      </w:r>
    </w:p>
    <w:p w:rsidR="00F64138" w:rsidRPr="00106DD5" w:rsidRDefault="00F64138" w:rsidP="00F64138">
      <w:pPr>
        <w:spacing w:line="360" w:lineRule="auto"/>
        <w:jc w:val="both"/>
      </w:pPr>
    </w:p>
    <w:p w:rsidR="00BA0F36" w:rsidRDefault="000864A2" w:rsidP="000864A2">
      <w:pPr>
        <w:spacing w:line="360" w:lineRule="auto"/>
        <w:jc w:val="center"/>
        <w:rPr>
          <w:rFonts w:eastAsia="Calibri"/>
          <w:u w:val="single"/>
          <w:lang w:bidi="ar-SA"/>
        </w:rPr>
      </w:pPr>
      <w:r>
        <w:rPr>
          <w:rFonts w:eastAsia="Calibri"/>
          <w:u w:val="single"/>
          <w:lang w:bidi="ar-SA"/>
        </w:rPr>
        <w:t>FINDINGS OF FACT</w:t>
      </w:r>
    </w:p>
    <w:p w:rsidR="00511D1F" w:rsidRDefault="00511D1F" w:rsidP="000864A2">
      <w:pPr>
        <w:spacing w:line="360" w:lineRule="auto"/>
        <w:jc w:val="center"/>
        <w:rPr>
          <w:rFonts w:eastAsia="Calibri"/>
          <w:u w:val="single"/>
          <w:lang w:bidi="ar-SA"/>
        </w:rPr>
      </w:pPr>
    </w:p>
    <w:p w:rsidR="000864A2" w:rsidRDefault="00D22D7E" w:rsidP="00D22D7E">
      <w:pPr>
        <w:spacing w:line="360" w:lineRule="auto"/>
        <w:rPr>
          <w:rFonts w:eastAsia="Calibri"/>
          <w:lang w:bidi="ar-SA"/>
        </w:rPr>
      </w:pPr>
      <w:r>
        <w:rPr>
          <w:rFonts w:eastAsia="Calibri"/>
          <w:lang w:bidi="ar-SA"/>
        </w:rPr>
        <w:tab/>
      </w:r>
      <w:r w:rsidR="00C03A68">
        <w:rPr>
          <w:rFonts w:eastAsia="Calibri"/>
          <w:lang w:bidi="ar-SA"/>
        </w:rPr>
        <w:tab/>
      </w:r>
      <w:r>
        <w:rPr>
          <w:rFonts w:eastAsia="Calibri"/>
          <w:lang w:bidi="ar-SA"/>
        </w:rPr>
        <w:t>1.</w:t>
      </w:r>
      <w:r>
        <w:rPr>
          <w:rFonts w:eastAsia="Calibri"/>
          <w:lang w:bidi="ar-SA"/>
        </w:rPr>
        <w:tab/>
        <w:t>Complainant in this proceeding is J3 Energy Group, Inc., a supplier of solar photovoltaic alternative energy credits.</w:t>
      </w:r>
    </w:p>
    <w:p w:rsidR="00D22D7E" w:rsidRDefault="00D22D7E" w:rsidP="00D22D7E">
      <w:pPr>
        <w:spacing w:line="360" w:lineRule="auto"/>
        <w:rPr>
          <w:rFonts w:eastAsia="Calibri"/>
          <w:lang w:bidi="ar-SA"/>
        </w:rPr>
      </w:pPr>
    </w:p>
    <w:p w:rsidR="00D22D7E" w:rsidRDefault="00D22D7E" w:rsidP="00D22D7E">
      <w:pPr>
        <w:spacing w:line="360" w:lineRule="auto"/>
        <w:rPr>
          <w:rFonts w:eastAsia="Calibri"/>
          <w:lang w:bidi="ar-SA"/>
        </w:rPr>
      </w:pPr>
      <w:r>
        <w:rPr>
          <w:rFonts w:eastAsia="Calibri"/>
          <w:lang w:bidi="ar-SA"/>
        </w:rPr>
        <w:tab/>
      </w:r>
      <w:r w:rsidR="00C03A68">
        <w:rPr>
          <w:rFonts w:eastAsia="Calibri"/>
          <w:lang w:bidi="ar-SA"/>
        </w:rPr>
        <w:tab/>
      </w:r>
      <w:r>
        <w:rPr>
          <w:rFonts w:eastAsia="Calibri"/>
          <w:lang w:bidi="ar-SA"/>
        </w:rPr>
        <w:t>2.</w:t>
      </w:r>
      <w:r>
        <w:rPr>
          <w:rFonts w:eastAsia="Calibri"/>
          <w:lang w:bidi="ar-SA"/>
        </w:rPr>
        <w:tab/>
        <w:t>Respondent is West Penn Power Company, an electric distribution company operating in the Commonwealth of Pennsylvania.</w:t>
      </w:r>
    </w:p>
    <w:p w:rsidR="00D22D7E" w:rsidRDefault="00D22D7E" w:rsidP="00D22D7E">
      <w:pPr>
        <w:spacing w:line="360" w:lineRule="auto"/>
        <w:rPr>
          <w:rFonts w:eastAsia="Calibri"/>
          <w:lang w:bidi="ar-SA"/>
        </w:rPr>
      </w:pPr>
    </w:p>
    <w:p w:rsidR="00E67F44" w:rsidRDefault="00D22D7E" w:rsidP="00E67F44">
      <w:pPr>
        <w:tabs>
          <w:tab w:val="left" w:pos="720"/>
        </w:tabs>
        <w:spacing w:line="360" w:lineRule="auto"/>
      </w:pPr>
      <w:r>
        <w:rPr>
          <w:rFonts w:eastAsia="Calibri"/>
          <w:lang w:bidi="ar-SA"/>
        </w:rPr>
        <w:tab/>
      </w:r>
      <w:r w:rsidR="00C03A68">
        <w:rPr>
          <w:rFonts w:eastAsia="Calibri"/>
          <w:lang w:bidi="ar-SA"/>
        </w:rPr>
        <w:tab/>
      </w:r>
      <w:r>
        <w:rPr>
          <w:rFonts w:eastAsia="Calibri"/>
          <w:lang w:bidi="ar-SA"/>
        </w:rPr>
        <w:t>3.</w:t>
      </w:r>
      <w:r>
        <w:rPr>
          <w:rFonts w:eastAsia="Calibri"/>
          <w:lang w:bidi="ar-SA"/>
        </w:rPr>
        <w:tab/>
      </w:r>
      <w:r w:rsidR="00E67F44">
        <w:rPr>
          <w:rFonts w:eastAsia="Calibri"/>
          <w:lang w:bidi="ar-SA"/>
        </w:rPr>
        <w:t xml:space="preserve">On </w:t>
      </w:r>
      <w:r w:rsidR="00E67F44" w:rsidRPr="00106DD5">
        <w:t xml:space="preserve">July 29, 2010, </w:t>
      </w:r>
      <w:r w:rsidR="00E67F44">
        <w:t xml:space="preserve">West Penn filed a </w:t>
      </w:r>
      <w:r w:rsidR="00E67F44" w:rsidRPr="00106DD5">
        <w:t>Petition for modification of its Default Service Program request</w:t>
      </w:r>
      <w:r w:rsidR="00E67F44">
        <w:t>ing</w:t>
      </w:r>
      <w:r w:rsidR="00E67F44" w:rsidRPr="00106DD5">
        <w:t xml:space="preserve"> Commission approval of West Penn’s proposed RFP documents</w:t>
      </w:r>
      <w:r w:rsidR="00E67F44">
        <w:t xml:space="preserve"> including i</w:t>
      </w:r>
      <w:r w:rsidR="00E67F44" w:rsidRPr="00106DD5">
        <w:t>ts “Request for Proposal Rules” and it sought approval of its “Bid Form Spreadsheet”</w:t>
      </w:r>
      <w:r w:rsidR="005D38C2">
        <w:t xml:space="preserve"> (bid form).</w:t>
      </w:r>
      <w:r w:rsidR="00E67F44" w:rsidRPr="00106DD5">
        <w:rPr>
          <w:rStyle w:val="FootnoteReference"/>
        </w:rPr>
        <w:footnoteReference w:id="8"/>
      </w:r>
      <w:r w:rsidR="00E67F44" w:rsidRPr="00106DD5">
        <w:t xml:space="preserve">  </w:t>
      </w:r>
    </w:p>
    <w:p w:rsidR="000929EF" w:rsidRDefault="000929EF" w:rsidP="00E67F44">
      <w:pPr>
        <w:tabs>
          <w:tab w:val="left" w:pos="720"/>
        </w:tabs>
        <w:spacing w:line="360" w:lineRule="auto"/>
      </w:pPr>
    </w:p>
    <w:p w:rsidR="00E67F44" w:rsidRPr="00106DD5" w:rsidRDefault="00E67F44" w:rsidP="00E67F44">
      <w:pPr>
        <w:tabs>
          <w:tab w:val="left" w:pos="720"/>
        </w:tabs>
        <w:spacing w:line="360" w:lineRule="auto"/>
      </w:pPr>
      <w:r>
        <w:tab/>
      </w:r>
      <w:r w:rsidR="00C03A68">
        <w:tab/>
      </w:r>
      <w:r>
        <w:t>4.</w:t>
      </w:r>
      <w:r>
        <w:tab/>
      </w:r>
      <w:r w:rsidRPr="00106DD5">
        <w:t>West Penn’s July 29, 2010 Petition was served on all parties to West Penn’s original default service proceeding at Docket No. P-00072342</w:t>
      </w:r>
      <w:r>
        <w:t>, and the Petition was unopposed.</w:t>
      </w:r>
    </w:p>
    <w:p w:rsidR="00E67F44" w:rsidRDefault="00E67F44" w:rsidP="00E67F44">
      <w:pPr>
        <w:tabs>
          <w:tab w:val="left" w:pos="720"/>
        </w:tabs>
        <w:spacing w:line="360" w:lineRule="auto"/>
      </w:pPr>
    </w:p>
    <w:p w:rsidR="00E67F44" w:rsidRDefault="00E67F44" w:rsidP="00E67F44">
      <w:pPr>
        <w:tabs>
          <w:tab w:val="left" w:pos="720"/>
        </w:tabs>
        <w:spacing w:line="360" w:lineRule="auto"/>
      </w:pPr>
      <w:r>
        <w:tab/>
      </w:r>
      <w:r w:rsidR="00C03A68">
        <w:tab/>
      </w:r>
      <w:r>
        <w:t>5.</w:t>
      </w:r>
      <w:r>
        <w:tab/>
        <w:t xml:space="preserve">The </w:t>
      </w:r>
      <w:r w:rsidRPr="00106DD5">
        <w:t xml:space="preserve">Commission approved West Penn’s July 29, 2010 Petition </w:t>
      </w:r>
      <w:r>
        <w:t xml:space="preserve">in its entirety </w:t>
      </w:r>
      <w:r w:rsidRPr="00106DD5">
        <w:t xml:space="preserve">by Opinion and Order entered September 8, 2010, at Docket P-00072342.  </w:t>
      </w:r>
    </w:p>
    <w:p w:rsidR="00E67F44" w:rsidRPr="00E040DC" w:rsidRDefault="00E67F44" w:rsidP="00E67F44">
      <w:pPr>
        <w:pStyle w:val="BodyText2"/>
        <w:tabs>
          <w:tab w:val="left" w:pos="-720"/>
          <w:tab w:val="left" w:pos="720"/>
        </w:tabs>
        <w:suppressAutoHyphens/>
        <w:spacing w:line="360" w:lineRule="auto"/>
        <w:jc w:val="left"/>
        <w:rPr>
          <w:rFonts w:ascii="Times New Roman" w:hAnsi="Times New Roman"/>
        </w:rPr>
      </w:pPr>
    </w:p>
    <w:p w:rsidR="002F138F" w:rsidRDefault="005D38C2" w:rsidP="002F138F">
      <w:pPr>
        <w:tabs>
          <w:tab w:val="left" w:pos="720"/>
        </w:tabs>
        <w:spacing w:line="360" w:lineRule="auto"/>
      </w:pPr>
      <w:r>
        <w:rPr>
          <w:rFonts w:eastAsia="Calibri"/>
          <w:lang w:bidi="ar-SA"/>
        </w:rPr>
        <w:tab/>
      </w:r>
      <w:r w:rsidR="00C03A68">
        <w:rPr>
          <w:rFonts w:eastAsia="Calibri"/>
          <w:lang w:bidi="ar-SA"/>
        </w:rPr>
        <w:tab/>
      </w:r>
      <w:r>
        <w:rPr>
          <w:rFonts w:eastAsia="Calibri"/>
          <w:lang w:bidi="ar-SA"/>
        </w:rPr>
        <w:t>6.</w:t>
      </w:r>
      <w:r>
        <w:rPr>
          <w:rFonts w:eastAsia="Calibri"/>
          <w:lang w:bidi="ar-SA"/>
        </w:rPr>
        <w:tab/>
      </w:r>
      <w:r w:rsidR="002F138F">
        <w:rPr>
          <w:rFonts w:eastAsia="Calibri"/>
          <w:lang w:bidi="ar-SA"/>
        </w:rPr>
        <w:t>W</w:t>
      </w:r>
      <w:r w:rsidR="002F138F">
        <w:t>est Penn</w:t>
      </w:r>
      <w:r w:rsidR="002F138F" w:rsidRPr="00A75379">
        <w:t>, in consultation with the Commission,</w:t>
      </w:r>
      <w:r w:rsidR="002F138F" w:rsidRPr="00A75379">
        <w:rPr>
          <w:rStyle w:val="FootnoteReference"/>
        </w:rPr>
        <w:footnoteReference w:id="9"/>
      </w:r>
      <w:r w:rsidR="002F138F" w:rsidRPr="00A75379">
        <w:t xml:space="preserve"> hired Boston Pacific Company, Inc.</w:t>
      </w:r>
      <w:r w:rsidR="002F138F">
        <w:t xml:space="preserve"> </w:t>
      </w:r>
      <w:r w:rsidR="0071225F">
        <w:t xml:space="preserve">(Boston Pacific) </w:t>
      </w:r>
      <w:r w:rsidR="002F138F">
        <w:t>in September, 2010</w:t>
      </w:r>
      <w:r w:rsidR="002F138F" w:rsidRPr="00A75379">
        <w:t xml:space="preserve"> as the </w:t>
      </w:r>
      <w:r w:rsidR="002F138F">
        <w:t>Independent Project Manager (IPM)</w:t>
      </w:r>
      <w:r w:rsidR="002F138F" w:rsidRPr="00A75379">
        <w:t xml:space="preserve"> for the RFPs, both Tier I (non solar) and </w:t>
      </w:r>
      <w:r w:rsidR="002F138F">
        <w:t>s</w:t>
      </w:r>
      <w:r w:rsidR="002F138F" w:rsidRPr="00A75379">
        <w:t>olar</w:t>
      </w:r>
      <w:r w:rsidR="002F138F" w:rsidRPr="00106DD5">
        <w:t>.</w:t>
      </w:r>
      <w:r w:rsidR="002F138F" w:rsidRPr="00106DD5">
        <w:rPr>
          <w:rStyle w:val="FootnoteReference"/>
        </w:rPr>
        <w:footnoteReference w:id="10"/>
      </w:r>
      <w:r w:rsidR="002F138F" w:rsidRPr="00106DD5">
        <w:t xml:space="preserve">  </w:t>
      </w:r>
    </w:p>
    <w:p w:rsidR="002F138F" w:rsidRDefault="002F138F" w:rsidP="002F138F">
      <w:pPr>
        <w:tabs>
          <w:tab w:val="left" w:pos="720"/>
        </w:tabs>
        <w:spacing w:line="360" w:lineRule="auto"/>
      </w:pPr>
    </w:p>
    <w:p w:rsidR="002F138F" w:rsidRPr="00106DD5" w:rsidRDefault="002F138F" w:rsidP="002F138F">
      <w:pPr>
        <w:tabs>
          <w:tab w:val="left" w:pos="720"/>
        </w:tabs>
        <w:spacing w:line="360" w:lineRule="auto"/>
      </w:pPr>
      <w:r>
        <w:tab/>
      </w:r>
      <w:r w:rsidR="00C03A68">
        <w:tab/>
      </w:r>
      <w:r>
        <w:t>7.</w:t>
      </w:r>
      <w:r>
        <w:tab/>
      </w:r>
      <w:r w:rsidRPr="00106DD5">
        <w:t xml:space="preserve">Boston Pacific’s scope of work included RFP document review, </w:t>
      </w:r>
      <w:r>
        <w:t>protection from</w:t>
      </w:r>
      <w:r w:rsidRPr="00106DD5">
        <w:t xml:space="preserve"> public disclosure of data, pre-bid review with the </w:t>
      </w:r>
      <w:r>
        <w:t>C</w:t>
      </w:r>
      <w:r w:rsidRPr="00106DD5">
        <w:t>ommission, on</w:t>
      </w:r>
      <w:r>
        <w:t>-</w:t>
      </w:r>
      <w:r w:rsidRPr="00106DD5">
        <w:t>site bid day monitoring, and evaluation of the RFP and the bid results.</w:t>
      </w:r>
      <w:r w:rsidRPr="00106DD5">
        <w:rPr>
          <w:rStyle w:val="FootnoteReference"/>
        </w:rPr>
        <w:footnoteReference w:id="11"/>
      </w:r>
    </w:p>
    <w:p w:rsidR="002F138F" w:rsidRDefault="002F138F" w:rsidP="002F138F">
      <w:pPr>
        <w:tabs>
          <w:tab w:val="left" w:pos="720"/>
        </w:tabs>
        <w:spacing w:line="360" w:lineRule="auto"/>
      </w:pPr>
    </w:p>
    <w:p w:rsidR="002F138F" w:rsidRDefault="002F138F" w:rsidP="002F138F">
      <w:pPr>
        <w:tabs>
          <w:tab w:val="left" w:pos="720"/>
        </w:tabs>
        <w:spacing w:line="360" w:lineRule="auto"/>
      </w:pPr>
      <w:r>
        <w:tab/>
      </w:r>
      <w:r w:rsidR="00C03A68">
        <w:tab/>
      </w:r>
      <w:r w:rsidR="00490E99">
        <w:t>8</w:t>
      </w:r>
      <w:r>
        <w:t>.</w:t>
      </w:r>
      <w:r>
        <w:tab/>
        <w:t>Both parties argue the language contained in the RFP and bid forms is clear and unambiguous, yet both parties have differing interpretations of the same language regarding whether each completed bid form for 1 tranche with an “all or nothing” designation means that it is a separate bid, or whether the “all or nothing” designation means the bid form for 1 tranche is just a part of the total bid.</w:t>
      </w:r>
    </w:p>
    <w:p w:rsidR="002F138F" w:rsidRDefault="002F138F" w:rsidP="002F138F">
      <w:pPr>
        <w:tabs>
          <w:tab w:val="left" w:pos="720"/>
        </w:tabs>
        <w:spacing w:line="360" w:lineRule="auto"/>
      </w:pPr>
    </w:p>
    <w:p w:rsidR="002F138F" w:rsidRDefault="002F138F" w:rsidP="002F138F">
      <w:pPr>
        <w:tabs>
          <w:tab w:val="left" w:pos="720"/>
        </w:tabs>
        <w:spacing w:line="360" w:lineRule="auto"/>
      </w:pPr>
      <w:r>
        <w:tab/>
      </w:r>
      <w:r w:rsidR="00C03A68">
        <w:tab/>
      </w:r>
      <w:r w:rsidR="00490E99">
        <w:t>9</w:t>
      </w:r>
      <w:r>
        <w:t>.</w:t>
      </w:r>
      <w:r>
        <w:tab/>
      </w:r>
      <w:r w:rsidRPr="00106DD5">
        <w:t>The theory behind the “all or nothing” designation was meant to accommodate bidders that may plan to build a solar installation based on winnings in West Penn’s RFP, but who may be unable to construct their installation if they won less than their total offered quantities.</w:t>
      </w:r>
      <w:r w:rsidRPr="00106DD5">
        <w:rPr>
          <w:rStyle w:val="FootnoteReference"/>
        </w:rPr>
        <w:footnoteReference w:id="12"/>
      </w:r>
    </w:p>
    <w:p w:rsidR="00CD7310" w:rsidRDefault="00CD7310" w:rsidP="00D22D7E">
      <w:pPr>
        <w:spacing w:line="360" w:lineRule="auto"/>
        <w:rPr>
          <w:rFonts w:eastAsia="Calibri"/>
          <w:lang w:bidi="ar-SA"/>
        </w:rPr>
      </w:pPr>
    </w:p>
    <w:p w:rsidR="00007E29" w:rsidRDefault="00D22D7E" w:rsidP="00D22D7E">
      <w:pPr>
        <w:spacing w:line="360" w:lineRule="auto"/>
      </w:pPr>
      <w:r>
        <w:rPr>
          <w:rFonts w:eastAsia="Calibri"/>
          <w:lang w:bidi="ar-SA"/>
        </w:rPr>
        <w:tab/>
      </w:r>
      <w:r w:rsidR="00C03A68">
        <w:rPr>
          <w:rFonts w:eastAsia="Calibri"/>
          <w:lang w:bidi="ar-SA"/>
        </w:rPr>
        <w:tab/>
      </w:r>
      <w:r w:rsidR="001B4246">
        <w:rPr>
          <w:rFonts w:eastAsia="Calibri"/>
          <w:lang w:bidi="ar-SA"/>
        </w:rPr>
        <w:t>1</w:t>
      </w:r>
      <w:r w:rsidR="00490E99">
        <w:rPr>
          <w:rFonts w:eastAsia="Calibri"/>
          <w:lang w:bidi="ar-SA"/>
        </w:rPr>
        <w:t>0</w:t>
      </w:r>
      <w:r>
        <w:rPr>
          <w:rFonts w:eastAsia="Calibri"/>
          <w:lang w:bidi="ar-SA"/>
        </w:rPr>
        <w:t>.</w:t>
      </w:r>
      <w:r>
        <w:rPr>
          <w:rFonts w:eastAsia="Calibri"/>
          <w:lang w:bidi="ar-SA"/>
        </w:rPr>
        <w:tab/>
      </w:r>
      <w:r w:rsidR="00007E29" w:rsidRPr="00106DD5">
        <w:t xml:space="preserve">In preparation for </w:t>
      </w:r>
      <w:r w:rsidR="00007E29">
        <w:t>the</w:t>
      </w:r>
      <w:r w:rsidR="00007E29" w:rsidRPr="00106DD5">
        <w:t xml:space="preserve"> RFP </w:t>
      </w:r>
      <w:r w:rsidR="00007E29">
        <w:t xml:space="preserve">Boston Pacific and </w:t>
      </w:r>
      <w:r w:rsidR="00007E29" w:rsidRPr="00106DD5">
        <w:t xml:space="preserve">West Penn conducted a webinar and posted questions and answers on </w:t>
      </w:r>
      <w:r w:rsidR="00007E29">
        <w:t>West Penn’s</w:t>
      </w:r>
      <w:r w:rsidR="00007E29" w:rsidRPr="00106DD5">
        <w:t xml:space="preserve"> </w:t>
      </w:r>
      <w:r w:rsidR="00007E29">
        <w:t xml:space="preserve">public </w:t>
      </w:r>
      <w:r w:rsidR="00007E29" w:rsidRPr="00106DD5">
        <w:t xml:space="preserve">website.  </w:t>
      </w:r>
    </w:p>
    <w:p w:rsidR="00007E29" w:rsidRDefault="00007E29" w:rsidP="00D22D7E">
      <w:pPr>
        <w:spacing w:line="360" w:lineRule="auto"/>
      </w:pPr>
    </w:p>
    <w:p w:rsidR="00007E29" w:rsidRDefault="00007E29" w:rsidP="00D22D7E">
      <w:pPr>
        <w:spacing w:line="360" w:lineRule="auto"/>
      </w:pPr>
      <w:r>
        <w:tab/>
      </w:r>
      <w:r w:rsidR="00C03A68">
        <w:tab/>
      </w:r>
      <w:r w:rsidR="001B4246">
        <w:t>1</w:t>
      </w:r>
      <w:r w:rsidR="00490E99">
        <w:t>1</w:t>
      </w:r>
      <w:r>
        <w:t>.</w:t>
      </w:r>
      <w:r>
        <w:tab/>
      </w:r>
      <w:r w:rsidRPr="00106DD5">
        <w:t xml:space="preserve">Bidders were encouraged to ask questions </w:t>
      </w:r>
      <w:r>
        <w:t>about</w:t>
      </w:r>
      <w:r w:rsidRPr="00106DD5">
        <w:t xml:space="preserve"> the RFP process and the questions and the answers were posted on the website.  </w:t>
      </w:r>
    </w:p>
    <w:p w:rsidR="00007E29" w:rsidRDefault="00007E29" w:rsidP="00D22D7E">
      <w:pPr>
        <w:spacing w:line="360" w:lineRule="auto"/>
      </w:pPr>
    </w:p>
    <w:p w:rsidR="00007E29" w:rsidRDefault="00007E29" w:rsidP="00D22D7E">
      <w:pPr>
        <w:spacing w:line="360" w:lineRule="auto"/>
      </w:pPr>
      <w:r>
        <w:tab/>
      </w:r>
      <w:r w:rsidR="00C03A68">
        <w:tab/>
      </w:r>
      <w:r w:rsidR="001B4246">
        <w:t>1</w:t>
      </w:r>
      <w:r w:rsidR="00490E99">
        <w:t>2</w:t>
      </w:r>
      <w:r>
        <w:t>.</w:t>
      </w:r>
      <w:r>
        <w:tab/>
      </w:r>
      <w:r w:rsidRPr="00106DD5">
        <w:t>J3 had a</w:t>
      </w:r>
      <w:r w:rsidR="0071225F">
        <w:t>n</w:t>
      </w:r>
      <w:r w:rsidRPr="00106DD5">
        <w:t xml:space="preserve"> opportunity to submit questions about the RFP Process</w:t>
      </w:r>
      <w:r w:rsidR="005D38C2">
        <w:t>;</w:t>
      </w:r>
      <w:r>
        <w:t xml:space="preserve"> however, </w:t>
      </w:r>
      <w:r w:rsidRPr="00106DD5">
        <w:t xml:space="preserve">J3 did not avail itself of the opportunity to ask questions or </w:t>
      </w:r>
      <w:r>
        <w:t xml:space="preserve">to </w:t>
      </w:r>
      <w:r w:rsidRPr="00106DD5">
        <w:t>seek clarification of the RFP</w:t>
      </w:r>
      <w:r>
        <w:t xml:space="preserve"> terminology of “all or nothing” or “up to.”</w:t>
      </w:r>
      <w:r>
        <w:rPr>
          <w:rStyle w:val="FootnoteReference"/>
        </w:rPr>
        <w:footnoteReference w:id="13"/>
      </w:r>
      <w:r w:rsidRPr="00106DD5">
        <w:t xml:space="preserve"> </w:t>
      </w:r>
      <w:r>
        <w:t xml:space="preserve">  </w:t>
      </w:r>
    </w:p>
    <w:p w:rsidR="00007E29" w:rsidRDefault="00007E29" w:rsidP="00D22D7E">
      <w:pPr>
        <w:spacing w:line="360" w:lineRule="auto"/>
      </w:pPr>
    </w:p>
    <w:p w:rsidR="002F138F" w:rsidRDefault="00007E29" w:rsidP="00D22D7E">
      <w:pPr>
        <w:spacing w:line="360" w:lineRule="auto"/>
      </w:pPr>
      <w:r>
        <w:tab/>
      </w:r>
      <w:r w:rsidR="00C03A68">
        <w:tab/>
      </w:r>
      <w:r w:rsidR="00C80976">
        <w:t>1</w:t>
      </w:r>
      <w:r w:rsidR="00490E99">
        <w:t>3</w:t>
      </w:r>
      <w:r>
        <w:t>.</w:t>
      </w:r>
      <w:r>
        <w:tab/>
      </w:r>
      <w:r w:rsidR="002F138F">
        <w:t xml:space="preserve">J3 submitted four bid-form spreadsheets for the 10-year terms of June 1, 2011 to May 31, 2021.  On each of its four bid-form spreadsheets J3 designated that it was bidding for one tranche as “all or nothing.”  </w:t>
      </w:r>
    </w:p>
    <w:p w:rsidR="002F138F" w:rsidRDefault="002F138F" w:rsidP="00D22D7E">
      <w:pPr>
        <w:spacing w:line="360" w:lineRule="auto"/>
      </w:pPr>
    </w:p>
    <w:p w:rsidR="00D22D7E" w:rsidRDefault="002F138F" w:rsidP="00D22D7E">
      <w:pPr>
        <w:spacing w:line="360" w:lineRule="auto"/>
      </w:pPr>
      <w:r>
        <w:tab/>
      </w:r>
      <w:r w:rsidR="00C03A68">
        <w:tab/>
      </w:r>
      <w:r>
        <w:t>1</w:t>
      </w:r>
      <w:r w:rsidR="00490E99">
        <w:t>4</w:t>
      </w:r>
      <w:r>
        <w:t>.</w:t>
      </w:r>
      <w:r>
        <w:tab/>
      </w:r>
      <w:r w:rsidR="00007E29">
        <w:t>Only a</w:t>
      </w:r>
      <w:r w:rsidR="00007E29" w:rsidRPr="00106DD5">
        <w:t>fte</w:t>
      </w:r>
      <w:r w:rsidR="00007E29">
        <w:t>r the RFP awards were public did</w:t>
      </w:r>
      <w:r w:rsidR="00007E29" w:rsidRPr="00106DD5">
        <w:t xml:space="preserve"> J3</w:t>
      </w:r>
      <w:r w:rsidR="00007E29">
        <w:t xml:space="preserve"> use the public question process to</w:t>
      </w:r>
      <w:r w:rsidR="00007E29" w:rsidRPr="00106DD5">
        <w:t xml:space="preserve"> inquire about the </w:t>
      </w:r>
      <w:r w:rsidR="00007E29">
        <w:t>RFP</w:t>
      </w:r>
      <w:r w:rsidR="00007E29" w:rsidRPr="00106DD5">
        <w:t xml:space="preserve"> evaluation methodology.</w:t>
      </w:r>
    </w:p>
    <w:p w:rsidR="00007E29" w:rsidRDefault="00007E29" w:rsidP="00D22D7E">
      <w:pPr>
        <w:spacing w:line="360" w:lineRule="auto"/>
      </w:pPr>
    </w:p>
    <w:p w:rsidR="00007E29" w:rsidRDefault="00007E29" w:rsidP="00007E29">
      <w:pPr>
        <w:tabs>
          <w:tab w:val="left" w:pos="720"/>
        </w:tabs>
        <w:spacing w:line="360" w:lineRule="auto"/>
      </w:pPr>
      <w:r>
        <w:tab/>
      </w:r>
      <w:r w:rsidR="00C03A68">
        <w:tab/>
      </w:r>
      <w:r w:rsidR="00C80976">
        <w:t>1</w:t>
      </w:r>
      <w:r w:rsidR="00490E99">
        <w:t>5</w:t>
      </w:r>
      <w:r>
        <w:t>.</w:t>
      </w:r>
      <w:r>
        <w:tab/>
        <w:t>S</w:t>
      </w:r>
      <w:r w:rsidRPr="00106DD5">
        <w:t>uppliers competed for two distinct contracts: (a) a 10-year, 5-month contract for delivery of 200 SPAECs per year beginning January 1, 2011 and continuing through May</w:t>
      </w:r>
      <w:r w:rsidR="00D1742B">
        <w:t xml:space="preserve"> </w:t>
      </w:r>
      <w:r w:rsidRPr="00106DD5">
        <w:t>31,</w:t>
      </w:r>
      <w:r w:rsidR="00D1742B">
        <w:t xml:space="preserve"> </w:t>
      </w:r>
      <w:r w:rsidRPr="00106DD5">
        <w:t>2012, and (b) a 10-year contract for 800 SPAECs per year beginning June 1, 2011 and ending May 31, 2021.  The ten-year contract was further broken into four “blocks” or “tranches” of 200 SPAECs each.</w:t>
      </w:r>
      <w:r w:rsidRPr="00106DD5">
        <w:rPr>
          <w:rStyle w:val="FootnoteReference"/>
        </w:rPr>
        <w:footnoteReference w:id="14"/>
      </w:r>
    </w:p>
    <w:p w:rsidR="00007E29" w:rsidRDefault="00007E29" w:rsidP="00503E96">
      <w:pPr>
        <w:tabs>
          <w:tab w:val="left" w:pos="720"/>
        </w:tabs>
        <w:spacing w:line="360" w:lineRule="auto"/>
      </w:pPr>
    </w:p>
    <w:p w:rsidR="00CD7310" w:rsidRDefault="00CD7310" w:rsidP="00503E96">
      <w:pPr>
        <w:tabs>
          <w:tab w:val="left" w:pos="720"/>
        </w:tabs>
        <w:spacing w:line="360" w:lineRule="auto"/>
      </w:pPr>
      <w:r>
        <w:tab/>
      </w:r>
      <w:r w:rsidR="00C03A68">
        <w:tab/>
      </w:r>
      <w:r>
        <w:t>1</w:t>
      </w:r>
      <w:r w:rsidR="00490E99">
        <w:t>6</w:t>
      </w:r>
      <w:r>
        <w:t>.</w:t>
      </w:r>
      <w:r>
        <w:tab/>
        <w:t>Boston Pacific gave the Commission a final report regarding its evaluation on December 8, 2012.</w:t>
      </w:r>
    </w:p>
    <w:p w:rsidR="00CD7310" w:rsidRDefault="00CD7310" w:rsidP="00503E96">
      <w:pPr>
        <w:tabs>
          <w:tab w:val="left" w:pos="720"/>
        </w:tabs>
        <w:spacing w:line="360" w:lineRule="auto"/>
      </w:pPr>
    </w:p>
    <w:p w:rsidR="00237B7B" w:rsidRPr="00B13091" w:rsidRDefault="00063836" w:rsidP="00503E96">
      <w:pPr>
        <w:tabs>
          <w:tab w:val="left" w:pos="720"/>
        </w:tabs>
        <w:spacing w:line="360" w:lineRule="auto"/>
        <w:rPr>
          <w:b/>
        </w:rPr>
      </w:pPr>
      <w:r>
        <w:rPr>
          <w:b/>
        </w:rPr>
        <w:t>[</w:t>
      </w:r>
      <w:r w:rsidR="00237B7B" w:rsidRPr="00B13091">
        <w:rPr>
          <w:b/>
        </w:rPr>
        <w:t>BEGIN PROPRIETARY</w:t>
      </w:r>
      <w:r>
        <w:rPr>
          <w:b/>
        </w:rPr>
        <w:t>]</w:t>
      </w:r>
      <w:r w:rsidR="00237B7B" w:rsidRPr="00B13091">
        <w:rPr>
          <w:b/>
        </w:rPr>
        <w:t xml:space="preserve"> </w:t>
      </w:r>
    </w:p>
    <w:p w:rsidR="00C737FF" w:rsidRDefault="008905AE" w:rsidP="00503E96">
      <w:pPr>
        <w:tabs>
          <w:tab w:val="left" w:pos="2160"/>
          <w:tab w:val="left" w:pos="8640"/>
        </w:tabs>
        <w:spacing w:line="360" w:lineRule="auto"/>
        <w:ind w:firstLine="1440"/>
      </w:pPr>
      <w:proofErr w:type="gramStart"/>
      <w:r>
        <w:t>1</w:t>
      </w:r>
      <w:r w:rsidR="00490E99">
        <w:t>7</w:t>
      </w:r>
      <w:r w:rsidR="00503E96">
        <w:t>.</w:t>
      </w:r>
      <w:r w:rsidR="005C3A4F">
        <w:tab/>
      </w:r>
      <w:r w:rsidR="00503E96">
        <w:t>…</w:t>
      </w:r>
      <w:r w:rsidR="00503E96">
        <w:tab/>
      </w:r>
      <w:r w:rsidR="00503E96">
        <w:tab/>
      </w:r>
      <w:r w:rsidR="00503E96">
        <w:tab/>
      </w:r>
      <w:r w:rsidR="00503E96">
        <w:tab/>
        <w:t>….</w:t>
      </w:r>
      <w:proofErr w:type="gramEnd"/>
      <w:r w:rsidR="00FB5E7C" w:rsidRPr="00664ED3">
        <w:rPr>
          <w:rStyle w:val="FootnoteReference"/>
        </w:rPr>
        <w:footnoteReference w:id="15"/>
      </w:r>
    </w:p>
    <w:p w:rsidR="00490E99" w:rsidRPr="00B13091" w:rsidRDefault="00490E99" w:rsidP="00490E99">
      <w:pPr>
        <w:tabs>
          <w:tab w:val="left" w:pos="720"/>
        </w:tabs>
        <w:spacing w:line="360" w:lineRule="auto"/>
        <w:rPr>
          <w:b/>
        </w:rPr>
      </w:pPr>
      <w:r>
        <w:rPr>
          <w:b/>
        </w:rPr>
        <w:t>[</w:t>
      </w:r>
      <w:r w:rsidRPr="00B13091">
        <w:rPr>
          <w:b/>
        </w:rPr>
        <w:t>END PROPRIETARY</w:t>
      </w:r>
      <w:r>
        <w:rPr>
          <w:b/>
        </w:rPr>
        <w:t>]</w:t>
      </w:r>
    </w:p>
    <w:p w:rsidR="005C3A4F" w:rsidRDefault="005C3A4F" w:rsidP="00503E96">
      <w:pPr>
        <w:tabs>
          <w:tab w:val="left" w:pos="8640"/>
        </w:tabs>
        <w:spacing w:line="360" w:lineRule="auto"/>
      </w:pPr>
    </w:p>
    <w:p w:rsidR="00063836" w:rsidRPr="00664ED3" w:rsidRDefault="00503E96" w:rsidP="00503E96">
      <w:pPr>
        <w:tabs>
          <w:tab w:val="left" w:pos="2160"/>
          <w:tab w:val="left" w:pos="8640"/>
        </w:tabs>
        <w:spacing w:line="360" w:lineRule="auto"/>
        <w:ind w:firstLine="1440"/>
      </w:pPr>
      <w:r>
        <w:t>1</w:t>
      </w:r>
      <w:r w:rsidR="00490E99">
        <w:t>8</w:t>
      </w:r>
      <w:r>
        <w:t>.</w:t>
      </w:r>
      <w:r>
        <w:tab/>
      </w:r>
      <w:r w:rsidR="00490E99">
        <w:t>On December 10, 2010, the Commission issued a Secretarial Letter to West Penn stating the RFP results from the December 3, 2010 procurement were approved.</w:t>
      </w:r>
      <w:r w:rsidR="00FB5E7C" w:rsidRPr="00664ED3">
        <w:rPr>
          <w:rStyle w:val="FootnoteReference"/>
        </w:rPr>
        <w:footnoteReference w:id="16"/>
      </w:r>
    </w:p>
    <w:p w:rsidR="00063836" w:rsidRPr="005C3A4F" w:rsidRDefault="00063836" w:rsidP="00503E96">
      <w:pPr>
        <w:tabs>
          <w:tab w:val="left" w:pos="720"/>
        </w:tabs>
        <w:spacing w:line="360" w:lineRule="auto"/>
      </w:pPr>
    </w:p>
    <w:p w:rsidR="00CD7310" w:rsidRDefault="00C03A68" w:rsidP="00503E96">
      <w:pPr>
        <w:tabs>
          <w:tab w:val="left" w:pos="720"/>
        </w:tabs>
        <w:spacing w:line="360" w:lineRule="auto"/>
        <w:rPr>
          <w:rFonts w:eastAsia="Calibri"/>
          <w:lang w:bidi="ar-SA"/>
        </w:rPr>
      </w:pPr>
      <w:r>
        <w:tab/>
      </w:r>
      <w:r>
        <w:tab/>
      </w:r>
      <w:r w:rsidR="00490E99">
        <w:t>19</w:t>
      </w:r>
      <w:r w:rsidR="00CD7310">
        <w:t>.</w:t>
      </w:r>
      <w:r w:rsidR="00CD7310">
        <w:tab/>
      </w:r>
      <w:r w:rsidR="00CD7310">
        <w:rPr>
          <w:rFonts w:eastAsia="Calibri"/>
          <w:lang w:bidi="ar-SA"/>
        </w:rPr>
        <w:t>On January 10, 2011, Complainant filed a formal complaint in which it asserted that West Penn had incorrectly evaluated the bid that J3 had submitted to supply SPAECs in response to a competitive Request for Proposals issued by West Penn.</w:t>
      </w:r>
    </w:p>
    <w:p w:rsidR="00CD7310" w:rsidRDefault="00CD7310" w:rsidP="00CD7310">
      <w:pPr>
        <w:tabs>
          <w:tab w:val="left" w:pos="720"/>
        </w:tabs>
        <w:spacing w:line="360" w:lineRule="auto"/>
        <w:rPr>
          <w:rFonts w:eastAsia="Calibri"/>
          <w:lang w:bidi="ar-SA"/>
        </w:rPr>
      </w:pPr>
    </w:p>
    <w:p w:rsidR="00CD7310" w:rsidRDefault="00CD7310" w:rsidP="00CD7310">
      <w:pPr>
        <w:tabs>
          <w:tab w:val="left" w:pos="720"/>
        </w:tabs>
        <w:spacing w:line="360" w:lineRule="auto"/>
        <w:rPr>
          <w:rFonts w:eastAsia="Calibri"/>
          <w:lang w:bidi="ar-SA"/>
        </w:rPr>
      </w:pPr>
      <w:r>
        <w:rPr>
          <w:rFonts w:eastAsia="Calibri"/>
          <w:lang w:bidi="ar-SA"/>
        </w:rPr>
        <w:tab/>
      </w:r>
      <w:r w:rsidR="00C03A68">
        <w:rPr>
          <w:rFonts w:eastAsia="Calibri"/>
          <w:lang w:bidi="ar-SA"/>
        </w:rPr>
        <w:tab/>
      </w:r>
      <w:r w:rsidR="001B4246">
        <w:rPr>
          <w:rFonts w:eastAsia="Calibri"/>
          <w:lang w:bidi="ar-SA"/>
        </w:rPr>
        <w:t>2</w:t>
      </w:r>
      <w:r w:rsidR="00490E99">
        <w:rPr>
          <w:rFonts w:eastAsia="Calibri"/>
          <w:lang w:bidi="ar-SA"/>
        </w:rPr>
        <w:t>0</w:t>
      </w:r>
      <w:r>
        <w:rPr>
          <w:rFonts w:eastAsia="Calibri"/>
          <w:lang w:bidi="ar-SA"/>
        </w:rPr>
        <w:t>.</w:t>
      </w:r>
      <w:r>
        <w:rPr>
          <w:rFonts w:eastAsia="Calibri"/>
          <w:lang w:bidi="ar-SA"/>
        </w:rPr>
        <w:tab/>
        <w:t>In reliance on the Commission’s approval of the procurement results, West Penn announced the RFP winners and executed agreements with the winning Tier I and Solar bidders and delivery continues to the present time.</w:t>
      </w:r>
      <w:r>
        <w:rPr>
          <w:rStyle w:val="FootnoteReference"/>
          <w:rFonts w:eastAsia="Calibri"/>
          <w:lang w:bidi="ar-SA"/>
        </w:rPr>
        <w:footnoteReference w:id="17"/>
      </w:r>
    </w:p>
    <w:p w:rsidR="00C65257" w:rsidRDefault="00C65257" w:rsidP="00CD7310">
      <w:pPr>
        <w:spacing w:line="360" w:lineRule="auto"/>
        <w:rPr>
          <w:rFonts w:eastAsia="Calibri"/>
          <w:lang w:bidi="ar-SA"/>
        </w:rPr>
      </w:pPr>
      <w:r>
        <w:rPr>
          <w:rFonts w:eastAsia="Calibri"/>
          <w:lang w:bidi="ar-SA"/>
        </w:rPr>
        <w:br w:type="page"/>
      </w:r>
    </w:p>
    <w:p w:rsidR="008F1BD4" w:rsidRPr="00C65257" w:rsidRDefault="00772C95" w:rsidP="008F1BD4">
      <w:pPr>
        <w:spacing w:line="360" w:lineRule="auto"/>
        <w:jc w:val="center"/>
        <w:rPr>
          <w:rFonts w:eastAsia="Calibri"/>
          <w:lang w:bidi="ar-SA"/>
        </w:rPr>
      </w:pPr>
      <w:r w:rsidRPr="008F1BD4">
        <w:rPr>
          <w:rFonts w:eastAsia="Calibri"/>
          <w:u w:val="single"/>
          <w:lang w:bidi="ar-SA"/>
        </w:rPr>
        <w:t>R</w:t>
      </w:r>
      <w:r w:rsidR="008F1BD4">
        <w:rPr>
          <w:rFonts w:eastAsia="Calibri"/>
          <w:u w:val="single"/>
          <w:lang w:bidi="ar-SA"/>
        </w:rPr>
        <w:t>EGULATIONS AND CASE</w:t>
      </w:r>
      <w:r w:rsidR="009811C9">
        <w:rPr>
          <w:rFonts w:eastAsia="Calibri"/>
          <w:u w:val="single"/>
          <w:lang w:bidi="ar-SA"/>
        </w:rPr>
        <w:t xml:space="preserve"> </w:t>
      </w:r>
      <w:r w:rsidR="008F1BD4">
        <w:rPr>
          <w:rFonts w:eastAsia="Calibri"/>
          <w:u w:val="single"/>
          <w:lang w:bidi="ar-SA"/>
        </w:rPr>
        <w:t>LAW</w:t>
      </w:r>
    </w:p>
    <w:p w:rsidR="00772C95" w:rsidRPr="00C65257" w:rsidRDefault="00772C95" w:rsidP="008F1BD4">
      <w:pPr>
        <w:spacing w:line="360" w:lineRule="auto"/>
        <w:jc w:val="center"/>
        <w:rPr>
          <w:bCs/>
        </w:rPr>
      </w:pPr>
    </w:p>
    <w:p w:rsidR="00772C95" w:rsidRDefault="00772C95" w:rsidP="005A67D0">
      <w:pPr>
        <w:spacing w:line="360" w:lineRule="auto"/>
        <w:rPr>
          <w:bCs/>
        </w:rPr>
      </w:pPr>
      <w:r>
        <w:rPr>
          <w:bCs/>
        </w:rPr>
        <w:tab/>
      </w:r>
      <w:r w:rsidR="00E5766C">
        <w:rPr>
          <w:bCs/>
        </w:rPr>
        <w:tab/>
      </w:r>
      <w:r>
        <w:rPr>
          <w:bCs/>
        </w:rPr>
        <w:t xml:space="preserve">Complainant has averred in its Complaint that </w:t>
      </w:r>
      <w:r w:rsidR="00ED2141">
        <w:rPr>
          <w:bCs/>
        </w:rPr>
        <w:t xml:space="preserve">West Penn’s evaluation of J3’s bids under the RFP was not consistent with the RFP and violated the competitive procurement standards for alternative energy credits established by 52 Pa. Code </w:t>
      </w:r>
      <w:r w:rsidR="00490E99">
        <w:rPr>
          <w:bCs/>
        </w:rPr>
        <w:t xml:space="preserve">§ </w:t>
      </w:r>
      <w:r w:rsidR="00ED2141">
        <w:rPr>
          <w:bCs/>
        </w:rPr>
        <w:t xml:space="preserve">75.67(b) (relating to alternative energy cost-recovery) </w:t>
      </w:r>
      <w:r>
        <w:rPr>
          <w:bCs/>
        </w:rPr>
        <w:t>which provides as follows</w:t>
      </w:r>
      <w:r w:rsidR="00BB183B">
        <w:rPr>
          <w:bCs/>
        </w:rPr>
        <w:t xml:space="preserve">:  </w:t>
      </w:r>
    </w:p>
    <w:p w:rsidR="00C65257" w:rsidRDefault="00C65257" w:rsidP="005A67D0">
      <w:pPr>
        <w:spacing w:line="360" w:lineRule="auto"/>
        <w:rPr>
          <w:bCs/>
        </w:rPr>
      </w:pPr>
    </w:p>
    <w:p w:rsidR="00772C95" w:rsidRDefault="00772C95" w:rsidP="00FE6B5E">
      <w:pPr>
        <w:ind w:left="720" w:right="720"/>
        <w:rPr>
          <w:bCs/>
        </w:rPr>
      </w:pPr>
      <w:r>
        <w:rPr>
          <w:bCs/>
        </w:rPr>
        <w:tab/>
        <w:t>(b)</w:t>
      </w:r>
      <w:r>
        <w:rPr>
          <w:bCs/>
        </w:rPr>
        <w:tab/>
        <w:t>A default service provider shall demonstrate compliance with the requirements of § 75.61 and the default service provisions of Chapter 54 (relating to electricity generation customer choice) by identifying a competitive procurement process for acquiring alternative energy credits in default service implementation plans filed with the Commission.</w:t>
      </w:r>
    </w:p>
    <w:p w:rsidR="00772C95" w:rsidRDefault="00772C95" w:rsidP="00FE0A8C">
      <w:pPr>
        <w:ind w:left="720" w:right="720"/>
        <w:rPr>
          <w:bCs/>
        </w:rPr>
      </w:pPr>
    </w:p>
    <w:p w:rsidR="00772C95" w:rsidRDefault="00772C95" w:rsidP="005A67D0">
      <w:pPr>
        <w:spacing w:line="360" w:lineRule="auto"/>
        <w:ind w:right="720"/>
        <w:rPr>
          <w:bCs/>
        </w:rPr>
      </w:pPr>
      <w:proofErr w:type="gramStart"/>
      <w:r>
        <w:rPr>
          <w:bCs/>
        </w:rPr>
        <w:t>52 Pa.</w:t>
      </w:r>
      <w:r w:rsidR="00E9706C">
        <w:rPr>
          <w:bCs/>
        </w:rPr>
        <w:t xml:space="preserve"> </w:t>
      </w:r>
      <w:r>
        <w:rPr>
          <w:bCs/>
        </w:rPr>
        <w:t>Code § 75.67(b).</w:t>
      </w:r>
      <w:proofErr w:type="gramEnd"/>
    </w:p>
    <w:p w:rsidR="00772C95" w:rsidRDefault="00772C95" w:rsidP="005A67D0">
      <w:pPr>
        <w:spacing w:line="360" w:lineRule="auto"/>
        <w:rPr>
          <w:bCs/>
        </w:rPr>
      </w:pPr>
    </w:p>
    <w:p w:rsidR="00611E28" w:rsidRDefault="00772C95" w:rsidP="005A67D0">
      <w:pPr>
        <w:spacing w:line="360" w:lineRule="auto"/>
        <w:rPr>
          <w:bCs/>
        </w:rPr>
      </w:pPr>
      <w:r>
        <w:rPr>
          <w:bCs/>
        </w:rPr>
        <w:tab/>
      </w:r>
      <w:r w:rsidR="00E5766C">
        <w:rPr>
          <w:bCs/>
        </w:rPr>
        <w:tab/>
      </w:r>
      <w:r>
        <w:rPr>
          <w:bCs/>
        </w:rPr>
        <w:t xml:space="preserve">Section 75.67(c) provides that a competitive procurement process for alternative energy and alternative energy credits shall comply with the standards for competitive procurement processes identified in the default service provisions in Chapter 54. </w:t>
      </w:r>
    </w:p>
    <w:p w:rsidR="00611E28" w:rsidRDefault="00611E28" w:rsidP="005A67D0">
      <w:pPr>
        <w:spacing w:line="360" w:lineRule="auto"/>
        <w:rPr>
          <w:bCs/>
        </w:rPr>
      </w:pPr>
    </w:p>
    <w:p w:rsidR="00611E28" w:rsidRDefault="00611E28" w:rsidP="005A67D0">
      <w:pPr>
        <w:spacing w:line="360" w:lineRule="auto"/>
        <w:rPr>
          <w:bCs/>
        </w:rPr>
      </w:pPr>
      <w:r>
        <w:rPr>
          <w:bCs/>
        </w:rPr>
        <w:tab/>
      </w:r>
      <w:r w:rsidR="00E5766C">
        <w:rPr>
          <w:bCs/>
        </w:rPr>
        <w:tab/>
      </w:r>
      <w:r w:rsidR="00772C95">
        <w:rPr>
          <w:bCs/>
        </w:rPr>
        <w:t>Section 54.186(c)</w:t>
      </w:r>
      <w:r>
        <w:rPr>
          <w:bCs/>
        </w:rPr>
        <w:t xml:space="preserve"> </w:t>
      </w:r>
      <w:r w:rsidR="00772C95">
        <w:rPr>
          <w:bCs/>
        </w:rPr>
        <w:t xml:space="preserve">(relating to default service procurement and implementation plans) provides </w:t>
      </w:r>
      <w:r>
        <w:rPr>
          <w:bCs/>
        </w:rPr>
        <w:t>in pertinent part as follows</w:t>
      </w:r>
      <w:r w:rsidR="00BB183B">
        <w:rPr>
          <w:bCs/>
        </w:rPr>
        <w:t>:</w:t>
      </w:r>
    </w:p>
    <w:p w:rsidR="00C65257" w:rsidRDefault="00C65257" w:rsidP="00C65257">
      <w:pPr>
        <w:rPr>
          <w:bCs/>
        </w:rPr>
      </w:pPr>
    </w:p>
    <w:p w:rsidR="00611E28" w:rsidRDefault="00611E28" w:rsidP="00F2712C">
      <w:pPr>
        <w:ind w:left="720" w:right="720"/>
        <w:rPr>
          <w:bCs/>
        </w:rPr>
      </w:pPr>
      <w:r>
        <w:rPr>
          <w:bCs/>
        </w:rPr>
        <w:t>(3)  A competitive bid solicitation process used as part of the implementation plan will be subject to monitoring by the Commission or an independent third party evaluator selected by the DSP in consultation with the Commission.  A third party evaluator shall operate at the direction of the Commission.  Commission staff and a third party evaluator involved in monitoring the procurement process shall have full access to all information pertaining to the competitive procurement process, either remotely or where the process is administered.  A third party evaluator retained for purposes of monitoring the competitive procurement process shall be subject to confidentiality agreements identified in § 54.185(d)(6) (relating to default service programs and periods of service).</w:t>
      </w:r>
    </w:p>
    <w:p w:rsidR="00611E28" w:rsidRDefault="00611E28" w:rsidP="00F2712C">
      <w:pPr>
        <w:ind w:left="720" w:right="720"/>
        <w:rPr>
          <w:bCs/>
        </w:rPr>
      </w:pPr>
    </w:p>
    <w:p w:rsidR="004939CE" w:rsidRDefault="00611E28" w:rsidP="00F2712C">
      <w:pPr>
        <w:ind w:left="720" w:right="720"/>
        <w:rPr>
          <w:bCs/>
        </w:rPr>
      </w:pPr>
      <w:r>
        <w:rPr>
          <w:bCs/>
        </w:rPr>
        <w:t xml:space="preserve">(4)  The DSP or third party evaluator shall </w:t>
      </w:r>
      <w:r w:rsidR="004939CE">
        <w:rPr>
          <w:bCs/>
        </w:rPr>
        <w:t>review and select winning bids procured through a competitive bid solicitation process in a nondiscriminatory manner based on the price determinative bid evaluation criteria set forth consistent with paragraph (1)(iv).</w:t>
      </w:r>
    </w:p>
    <w:p w:rsidR="00611E28" w:rsidRDefault="00611E28" w:rsidP="00F2712C">
      <w:pPr>
        <w:rPr>
          <w:bCs/>
        </w:rPr>
      </w:pPr>
    </w:p>
    <w:p w:rsidR="00772C95" w:rsidRDefault="00772C95" w:rsidP="005A67D0">
      <w:pPr>
        <w:spacing w:line="360" w:lineRule="auto"/>
        <w:rPr>
          <w:bCs/>
        </w:rPr>
      </w:pPr>
      <w:r>
        <w:rPr>
          <w:bCs/>
        </w:rPr>
        <w:t>52 Pa. Code § 54.186(c)</w:t>
      </w:r>
      <w:r w:rsidR="00611E28">
        <w:rPr>
          <w:bCs/>
        </w:rPr>
        <w:t xml:space="preserve">(3) and </w:t>
      </w:r>
      <w:r>
        <w:rPr>
          <w:bCs/>
        </w:rPr>
        <w:t>(4).</w:t>
      </w:r>
    </w:p>
    <w:p w:rsidR="00772C95" w:rsidRDefault="00772C95" w:rsidP="005A67D0">
      <w:pPr>
        <w:spacing w:line="360" w:lineRule="auto"/>
        <w:rPr>
          <w:bCs/>
        </w:rPr>
      </w:pPr>
      <w:r>
        <w:rPr>
          <w:bCs/>
        </w:rPr>
        <w:tab/>
      </w:r>
      <w:r w:rsidR="00E5766C">
        <w:rPr>
          <w:bCs/>
        </w:rPr>
        <w:tab/>
      </w:r>
      <w:r>
        <w:rPr>
          <w:bCs/>
        </w:rPr>
        <w:t xml:space="preserve">In interpreting an administrative regulation, as in interpreting a statute, the plain language of the regulation is paramount.  </w:t>
      </w:r>
      <w:r>
        <w:rPr>
          <w:bCs/>
          <w:i/>
        </w:rPr>
        <w:t>Schappel v. Motorists Mutual Insurance Company</w:t>
      </w:r>
      <w:r>
        <w:rPr>
          <w:bCs/>
        </w:rPr>
        <w:t xml:space="preserve">, 934 A.2d 1184, 1187 (Pa. 2007).  The principles of statutory construction apply to regulatory provisions as well as statutory provisions.  </w:t>
      </w:r>
      <w:r>
        <w:rPr>
          <w:bCs/>
          <w:i/>
        </w:rPr>
        <w:t xml:space="preserve">Pennsylvania State Police, Bureau of Liquor Control Enforcement v. Benny Enterprises, Inc. </w:t>
      </w:r>
      <w:r w:rsidRPr="00124B4B">
        <w:rPr>
          <w:bCs/>
        </w:rPr>
        <w:t>669 A.2d 1018, 1021 (Pa.Cmwlth. 1996), appeal denied 681 A.2d 1344 (Pa. 1996).</w:t>
      </w:r>
    </w:p>
    <w:p w:rsidR="004220A2" w:rsidRDefault="004220A2" w:rsidP="005A67D0">
      <w:pPr>
        <w:spacing w:line="360" w:lineRule="auto"/>
        <w:rPr>
          <w:bCs/>
        </w:rPr>
      </w:pPr>
    </w:p>
    <w:p w:rsidR="00DA6BB3" w:rsidRPr="00DA6BB3" w:rsidRDefault="00DA6BB3" w:rsidP="005A67D0">
      <w:pPr>
        <w:spacing w:line="360" w:lineRule="auto"/>
        <w:rPr>
          <w:bCs/>
        </w:rPr>
      </w:pPr>
      <w:r>
        <w:rPr>
          <w:bCs/>
        </w:rPr>
        <w:tab/>
      </w:r>
      <w:r w:rsidR="00E5766C">
        <w:rPr>
          <w:bCs/>
        </w:rPr>
        <w:tab/>
      </w:r>
      <w:r>
        <w:rPr>
          <w:bCs/>
        </w:rPr>
        <w:t xml:space="preserve">The burden of proof in the instant case is upon J3, which must establish by a preponderance of evidence which is substantial and legally credible that Respondent violated the Commission’s regulations.  </w:t>
      </w:r>
      <w:r>
        <w:rPr>
          <w:bCs/>
          <w:i/>
        </w:rPr>
        <w:t xml:space="preserve">Samuel J. Lansberry, Inc. v. Pa. PUC, </w:t>
      </w:r>
      <w:r>
        <w:rPr>
          <w:bCs/>
        </w:rPr>
        <w:t xml:space="preserve">134 Pa.Cmwlth. 218; 221-222, 578 A.2d 602 (1990), app. denied, 529 Pa. 654, 602 A.2d 863 (1992).  </w:t>
      </w:r>
    </w:p>
    <w:p w:rsidR="00772C95" w:rsidRDefault="00772C95" w:rsidP="005A67D0">
      <w:pPr>
        <w:spacing w:line="360" w:lineRule="auto"/>
        <w:rPr>
          <w:bCs/>
        </w:rPr>
      </w:pPr>
    </w:p>
    <w:p w:rsidR="00A85255" w:rsidRDefault="008F1BD4" w:rsidP="008F1BD4">
      <w:pPr>
        <w:spacing w:line="360" w:lineRule="auto"/>
        <w:jc w:val="center"/>
        <w:rPr>
          <w:bCs/>
          <w:u w:val="single"/>
        </w:rPr>
      </w:pPr>
      <w:r w:rsidRPr="008F1BD4">
        <w:rPr>
          <w:bCs/>
          <w:u w:val="single"/>
        </w:rPr>
        <w:t>ISSUES</w:t>
      </w:r>
    </w:p>
    <w:p w:rsidR="007F6E3D" w:rsidRPr="008F1BD4" w:rsidRDefault="007F6E3D" w:rsidP="008F1BD4">
      <w:pPr>
        <w:spacing w:line="360" w:lineRule="auto"/>
        <w:jc w:val="center"/>
        <w:rPr>
          <w:bCs/>
          <w:u w:val="single"/>
        </w:rPr>
      </w:pPr>
    </w:p>
    <w:p w:rsidR="004939CE" w:rsidRDefault="00772C95" w:rsidP="004939CE">
      <w:pPr>
        <w:spacing w:line="360" w:lineRule="auto"/>
        <w:rPr>
          <w:bCs/>
        </w:rPr>
      </w:pPr>
      <w:r>
        <w:rPr>
          <w:bCs/>
        </w:rPr>
        <w:tab/>
      </w:r>
      <w:r w:rsidR="00A67D3E">
        <w:rPr>
          <w:bCs/>
        </w:rPr>
        <w:tab/>
      </w:r>
      <w:r w:rsidR="00A85255">
        <w:rPr>
          <w:bCs/>
        </w:rPr>
        <w:t>T</w:t>
      </w:r>
      <w:r>
        <w:rPr>
          <w:bCs/>
        </w:rPr>
        <w:t xml:space="preserve">he </w:t>
      </w:r>
      <w:r w:rsidR="00A67D3E">
        <w:rPr>
          <w:bCs/>
        </w:rPr>
        <w:t xml:space="preserve">first </w:t>
      </w:r>
      <w:r>
        <w:rPr>
          <w:bCs/>
        </w:rPr>
        <w:t xml:space="preserve">issue is whether </w:t>
      </w:r>
      <w:r w:rsidR="004939CE">
        <w:rPr>
          <w:rFonts w:eastAsia="Calibri"/>
          <w:lang w:bidi="ar-SA"/>
        </w:rPr>
        <w:t xml:space="preserve">Respondent </w:t>
      </w:r>
      <w:r w:rsidR="004939CE">
        <w:rPr>
          <w:bCs/>
        </w:rPr>
        <w:t>reviewed and selected winning bids procured through a competitive bid solicitation process in a nondiscriminatory manner based on the price determinative bid evaluation criteria set forth consistent with Commission regulations.</w:t>
      </w:r>
      <w:r w:rsidR="00DA6BB3">
        <w:rPr>
          <w:bCs/>
        </w:rPr>
        <w:t xml:space="preserve">  If not, a second issue is then whether J3 was erroneously deprived of selection.</w:t>
      </w:r>
    </w:p>
    <w:p w:rsidR="00A67D3E" w:rsidRDefault="00A67D3E" w:rsidP="00A67D3E">
      <w:pPr>
        <w:spacing w:line="360" w:lineRule="auto"/>
      </w:pPr>
    </w:p>
    <w:p w:rsidR="00511D1F" w:rsidRDefault="00A67D3E" w:rsidP="00D16177">
      <w:pPr>
        <w:spacing w:line="360" w:lineRule="auto"/>
      </w:pPr>
      <w:r>
        <w:tab/>
      </w:r>
      <w:r>
        <w:tab/>
      </w:r>
      <w:r w:rsidR="00511D1F">
        <w:t xml:space="preserve">A </w:t>
      </w:r>
      <w:r w:rsidR="00D16177">
        <w:t>third</w:t>
      </w:r>
      <w:r w:rsidR="00511D1F">
        <w:t xml:space="preserve"> issue is whether J3’s bids should have been evaluated separately rather than aggregated.  A sub-issue of this is whether the “all or nothing” designation on each bid form applied to just the bid for one tranche or rather four bids in the aggregate.  There further remains in dispute what is meant by the term, “bid” in the RFP.  J3 argues that based on the RFP rules, each bid form spreadsheet submitted with a Part 2 proposal is an individual </w:t>
      </w:r>
      <w:r w:rsidR="00490E99">
        <w:t>b</w:t>
      </w:r>
      <w:r w:rsidR="00511D1F">
        <w:t xml:space="preserve">id.  Hence, bidders could submit one to five bid form spreadsheets for the available </w:t>
      </w:r>
      <w:r w:rsidR="00490E99">
        <w:t>t</w:t>
      </w:r>
      <w:r w:rsidR="00511D1F">
        <w:t xml:space="preserve">ranches amounting to one to five individual bids.  West Penn, however, argues that the controlling language is the “all or nothing” or “up-to” designation on the individual bid forms.  If the bidder wanted to submit </w:t>
      </w:r>
      <w:r w:rsidR="001863D6">
        <w:t>four (</w:t>
      </w:r>
      <w:r w:rsidR="00511D1F">
        <w:t>4</w:t>
      </w:r>
      <w:r w:rsidR="001863D6">
        <w:t>)</w:t>
      </w:r>
      <w:r w:rsidR="00511D1F">
        <w:t xml:space="preserve"> separate bids, then it should have designated “up to” instead of “all or nothing” on its bid form. </w:t>
      </w:r>
    </w:p>
    <w:p w:rsidR="001B4246" w:rsidRDefault="001B4246" w:rsidP="00511D1F">
      <w:pPr>
        <w:autoSpaceDE w:val="0"/>
        <w:autoSpaceDN w:val="0"/>
        <w:adjustRightInd w:val="0"/>
        <w:spacing w:line="360" w:lineRule="auto"/>
      </w:pPr>
    </w:p>
    <w:p w:rsidR="001B4246" w:rsidRDefault="001B4246" w:rsidP="00511D1F">
      <w:pPr>
        <w:autoSpaceDE w:val="0"/>
        <w:autoSpaceDN w:val="0"/>
        <w:adjustRightInd w:val="0"/>
        <w:spacing w:line="360" w:lineRule="auto"/>
      </w:pPr>
      <w:r>
        <w:tab/>
      </w:r>
      <w:r w:rsidR="00E5766C">
        <w:tab/>
      </w:r>
      <w:r>
        <w:t>The final issue is whether West Penn properly relied upon the Commission’s approval of the procurement process and evaluation report.</w:t>
      </w:r>
    </w:p>
    <w:p w:rsidR="00511D1F" w:rsidRDefault="00511D1F" w:rsidP="00F2712C">
      <w:pPr>
        <w:spacing w:line="360" w:lineRule="auto"/>
        <w:jc w:val="both"/>
      </w:pPr>
    </w:p>
    <w:p w:rsidR="004220A2" w:rsidRPr="00C737FF" w:rsidRDefault="008F1BD4" w:rsidP="00074D17">
      <w:pPr>
        <w:pStyle w:val="BodyText2"/>
        <w:tabs>
          <w:tab w:val="left" w:pos="-720"/>
        </w:tabs>
        <w:suppressAutoHyphens/>
        <w:spacing w:line="360" w:lineRule="auto"/>
        <w:jc w:val="center"/>
        <w:rPr>
          <w:rFonts w:ascii="Times New Roman" w:hAnsi="Times New Roman"/>
          <w:u w:val="single"/>
        </w:rPr>
      </w:pPr>
      <w:r w:rsidRPr="00C737FF">
        <w:rPr>
          <w:rFonts w:ascii="Times New Roman" w:hAnsi="Times New Roman"/>
          <w:u w:val="single"/>
        </w:rPr>
        <w:t>DISCUSSION</w:t>
      </w:r>
    </w:p>
    <w:p w:rsidR="008F1BD4" w:rsidRPr="00C737FF" w:rsidRDefault="008F1BD4" w:rsidP="00F2712C">
      <w:pPr>
        <w:pStyle w:val="BodyText2"/>
        <w:tabs>
          <w:tab w:val="left" w:pos="-720"/>
          <w:tab w:val="left" w:pos="720"/>
        </w:tabs>
        <w:suppressAutoHyphens/>
        <w:spacing w:line="360" w:lineRule="auto"/>
        <w:jc w:val="center"/>
        <w:rPr>
          <w:rFonts w:ascii="Times New Roman" w:hAnsi="Times New Roman"/>
          <w:u w:val="single"/>
        </w:rPr>
      </w:pPr>
    </w:p>
    <w:p w:rsidR="005D38C2" w:rsidRDefault="008F1BD4" w:rsidP="005D38C2">
      <w:pPr>
        <w:spacing w:line="360" w:lineRule="auto"/>
        <w:rPr>
          <w:rFonts w:eastAsia="Calibri"/>
          <w:lang w:bidi="ar-SA"/>
        </w:rPr>
      </w:pPr>
      <w:r>
        <w:tab/>
      </w:r>
      <w:r w:rsidR="00E5766C">
        <w:tab/>
      </w:r>
      <w:r w:rsidR="005D38C2">
        <w:rPr>
          <w:rFonts w:eastAsia="Calibri"/>
          <w:lang w:bidi="ar-SA"/>
        </w:rPr>
        <w:t xml:space="preserve">J3 requests that the Commission direct West Penn </w:t>
      </w:r>
      <w:r w:rsidR="005D38C2" w:rsidRPr="00BF5A0F">
        <w:rPr>
          <w:rFonts w:eastAsia="Calibri"/>
          <w:lang w:bidi="ar-SA"/>
        </w:rPr>
        <w:t xml:space="preserve">to award J3 the </w:t>
      </w:r>
      <w:r w:rsidR="005D38C2">
        <w:rPr>
          <w:rFonts w:eastAsia="Calibri"/>
          <w:lang w:bidi="ar-SA"/>
        </w:rPr>
        <w:t>two tranches that J3 should have been awarded had West Penn properly conducted its evaluation of the bids on December 3, 2010.  J3 avers in its Complaint that West Penn did not follow its own language in its RFP in evaluation of the bids, and there was serious error in the evaluation of J3’s four separately priced bids submitted against West Penn’s RFP for SPAECs in that West Penn aggregated the price of the bids for evaluation purposes rather than treating them as the single bids that were proposed.  The fact that West Penn aggregated J3’s submission into a single price offer for price evaluation purposes is not in dispute in this matter.  Instead, the dispute centers on whether West Penn’s action was allowed by the RFP rules.  J3 argues the facts which are not in dispute clearly establish that it was not; thus, West Penn violated Commission regulations at 52</w:t>
      </w:r>
      <w:r w:rsidR="001863D6">
        <w:rPr>
          <w:rFonts w:eastAsia="Calibri"/>
          <w:lang w:bidi="ar-SA"/>
        </w:rPr>
        <w:t> </w:t>
      </w:r>
      <w:r w:rsidR="005D38C2">
        <w:rPr>
          <w:rFonts w:eastAsia="Calibri"/>
          <w:lang w:bidi="ar-SA"/>
        </w:rPr>
        <w:t>Pa.</w:t>
      </w:r>
      <w:r w:rsidR="009811C9">
        <w:rPr>
          <w:rFonts w:eastAsia="Calibri"/>
          <w:lang w:bidi="ar-SA"/>
        </w:rPr>
        <w:t xml:space="preserve"> </w:t>
      </w:r>
      <w:r w:rsidR="005D38C2">
        <w:rPr>
          <w:rFonts w:eastAsia="Calibri"/>
          <w:lang w:bidi="ar-SA"/>
        </w:rPr>
        <w:t xml:space="preserve">Code § 75.67(b) and 52 Pa. Code § 54.186, as well as the Commission’s Order dated September 8, 2010 at Docket No. </w:t>
      </w:r>
      <w:proofErr w:type="gramStart"/>
      <w:r w:rsidR="005D38C2">
        <w:rPr>
          <w:rFonts w:eastAsia="Calibri"/>
          <w:lang w:bidi="ar-SA"/>
        </w:rPr>
        <w:t>P-00072342.</w:t>
      </w:r>
      <w:proofErr w:type="gramEnd"/>
    </w:p>
    <w:p w:rsidR="005D38C2" w:rsidRDefault="005D38C2" w:rsidP="005D38C2">
      <w:pPr>
        <w:spacing w:line="360" w:lineRule="auto"/>
        <w:rPr>
          <w:rFonts w:eastAsia="Calibri"/>
          <w:lang w:bidi="ar-SA"/>
        </w:rPr>
      </w:pPr>
    </w:p>
    <w:p w:rsidR="005D38C2" w:rsidRDefault="005D38C2" w:rsidP="005D38C2">
      <w:pPr>
        <w:spacing w:line="360" w:lineRule="auto"/>
        <w:rPr>
          <w:rFonts w:eastAsia="Calibri"/>
          <w:lang w:bidi="ar-SA"/>
        </w:rPr>
      </w:pPr>
      <w:r>
        <w:rPr>
          <w:rFonts w:eastAsia="Calibri"/>
          <w:lang w:bidi="ar-SA"/>
        </w:rPr>
        <w:tab/>
      </w:r>
      <w:r w:rsidR="00E5766C">
        <w:rPr>
          <w:rFonts w:eastAsia="Calibri"/>
          <w:lang w:bidi="ar-SA"/>
        </w:rPr>
        <w:tab/>
      </w:r>
      <w:r>
        <w:rPr>
          <w:rFonts w:eastAsia="Calibri"/>
          <w:lang w:bidi="ar-SA"/>
        </w:rPr>
        <w:t>J3 contends West Penn copied the Met-Ed/Penelec RFP, combined it with their own bidding structure, and misinterpreted its own RFP while applying it to the bids received on December 3, 2010.</w:t>
      </w:r>
      <w:r w:rsidR="001863D6">
        <w:rPr>
          <w:rFonts w:eastAsia="Calibri"/>
          <w:lang w:bidi="ar-SA"/>
        </w:rPr>
        <w:t xml:space="preserve"> </w:t>
      </w:r>
      <w:r>
        <w:rPr>
          <w:rFonts w:eastAsia="Calibri"/>
          <w:lang w:bidi="ar-SA"/>
        </w:rPr>
        <w:t xml:space="preserve"> J3 argues that the RFP did not provide the evaluators discretion to change the rules during the bid evaluation process - at least not without providing the bidders notice and an opportunity to adjust their bids accordingly.  J3 claims that prospective bidders had only the RFP and supplemental guidance in the form of a pre-bid webinar and questions and answers that were posted by West Penn on its RFP webpage.  To the extent that West Penn’s intentions did not align with the RFP words and guidance, it was incumbent on West Penn to amend the RFP and provide the bidders an opportunity to conform their bids to the revised </w:t>
      </w:r>
      <w:r w:rsidRPr="00EC2A83">
        <w:rPr>
          <w:rFonts w:eastAsia="Calibri"/>
          <w:lang w:bidi="ar-SA"/>
        </w:rPr>
        <w:t>rules.</w:t>
      </w:r>
      <w:r w:rsidRPr="00EC2A83">
        <w:rPr>
          <w:rFonts w:eastAsia="Calibri"/>
          <w:b/>
          <w:lang w:bidi="ar-SA"/>
        </w:rPr>
        <w:t xml:space="preserve">  </w:t>
      </w:r>
      <w:r>
        <w:rPr>
          <w:rFonts w:eastAsia="Calibri"/>
          <w:lang w:bidi="ar-SA"/>
        </w:rPr>
        <w:t xml:space="preserve">J3 contends that had the stated RFP rules been properly followed, the only conclusion that can be reached is that J3’s two lowest-priced bids should have been selected resulting in a lower total cost to West Penn and the default service ratepayers. </w:t>
      </w:r>
    </w:p>
    <w:p w:rsidR="005D38C2" w:rsidRDefault="005D38C2" w:rsidP="005D38C2">
      <w:pPr>
        <w:spacing w:line="360" w:lineRule="auto"/>
        <w:rPr>
          <w:rFonts w:eastAsia="Calibri"/>
          <w:lang w:bidi="ar-SA"/>
        </w:rPr>
      </w:pPr>
    </w:p>
    <w:p w:rsidR="005D38C2" w:rsidRDefault="005D38C2" w:rsidP="005D38C2">
      <w:pPr>
        <w:spacing w:line="360" w:lineRule="auto"/>
        <w:rPr>
          <w:rFonts w:eastAsia="Calibri"/>
          <w:lang w:bidi="ar-SA"/>
        </w:rPr>
      </w:pPr>
      <w:r>
        <w:rPr>
          <w:rFonts w:eastAsia="Calibri"/>
          <w:lang w:bidi="ar-SA"/>
        </w:rPr>
        <w:tab/>
      </w:r>
      <w:r w:rsidR="00E5766C">
        <w:rPr>
          <w:rFonts w:eastAsia="Calibri"/>
          <w:lang w:bidi="ar-SA"/>
        </w:rPr>
        <w:tab/>
      </w:r>
      <w:r>
        <w:rPr>
          <w:rFonts w:eastAsia="Calibri"/>
          <w:lang w:bidi="ar-SA"/>
        </w:rPr>
        <w:t>West Penn contends that the procurement was carefully conducted according to approved Commission procedures, was carefully monitored by West Penn representatives, by an independent third party evaluator (Boston Pacific), and by Commission staff, and inasmuch as the bid results were approved by the Commission, J3’s Motion for Summary Judgment should be denied.  Further, West Penn claims the RFP was clear and unambiguous in its language regarding competitive bidding terms as well as in answering questions by prospective bidders, and that J3 made a mistake in interpreting the written language’s meaning.  West Penn claims that J3 further failed to seek clarification before the evaluation took place.</w:t>
      </w:r>
    </w:p>
    <w:p w:rsidR="005D38C2" w:rsidRDefault="005D38C2" w:rsidP="005D38C2">
      <w:pPr>
        <w:spacing w:line="360" w:lineRule="auto"/>
        <w:rPr>
          <w:rFonts w:eastAsia="Calibri"/>
          <w:lang w:bidi="ar-SA"/>
        </w:rPr>
      </w:pPr>
    </w:p>
    <w:p w:rsidR="005D38C2" w:rsidRDefault="005D38C2" w:rsidP="005D38C2">
      <w:pPr>
        <w:spacing w:line="360" w:lineRule="auto"/>
        <w:rPr>
          <w:rFonts w:eastAsia="Calibri"/>
          <w:lang w:bidi="ar-SA"/>
        </w:rPr>
      </w:pPr>
      <w:r>
        <w:rPr>
          <w:rFonts w:eastAsia="Calibri"/>
          <w:lang w:bidi="ar-SA"/>
        </w:rPr>
        <w:tab/>
      </w:r>
      <w:r w:rsidR="00E5766C">
        <w:rPr>
          <w:rFonts w:eastAsia="Calibri"/>
          <w:lang w:bidi="ar-SA"/>
        </w:rPr>
        <w:tab/>
      </w:r>
      <w:r>
        <w:rPr>
          <w:rFonts w:eastAsia="Calibri"/>
          <w:lang w:bidi="ar-SA"/>
        </w:rPr>
        <w:t xml:space="preserve">It is undisputed that Commission staff was present at the evaluation, and had the benefit of a written recommendation report by Boston Pacific before it approved the bid results in this case.  On December 10, 2010, via Secretarial Letter, the Commission approved the bid results at Docket No. P-000712342.  Specifically, the Commission held that the procurement was held in conformance with West Penn’s RFP rules relating to the procurement of SPAECs and Tier I Non-Solar Alternative </w:t>
      </w:r>
      <w:r w:rsidR="009811C9">
        <w:rPr>
          <w:rFonts w:eastAsia="Calibri"/>
          <w:lang w:bidi="ar-SA"/>
        </w:rPr>
        <w:t>E</w:t>
      </w:r>
      <w:r>
        <w:rPr>
          <w:rFonts w:eastAsia="Calibri"/>
          <w:lang w:bidi="ar-SA"/>
        </w:rPr>
        <w:t>nergy Credits (Tier I AECs) approved by the Commission in its Order entered September 8, 2010 at Docket No. P-00072342.  The Commission further stated in pertinent part:</w:t>
      </w:r>
    </w:p>
    <w:p w:rsidR="001863D6" w:rsidRDefault="001863D6" w:rsidP="001863D6">
      <w:pPr>
        <w:rPr>
          <w:rFonts w:eastAsia="Calibri"/>
          <w:lang w:bidi="ar-SA"/>
        </w:rPr>
      </w:pPr>
    </w:p>
    <w:p w:rsidR="005D38C2" w:rsidRDefault="005D38C2" w:rsidP="00AE6519">
      <w:pPr>
        <w:ind w:left="1440" w:right="720"/>
        <w:rPr>
          <w:rFonts w:eastAsia="Calibri"/>
          <w:lang w:bidi="ar-SA"/>
        </w:rPr>
      </w:pPr>
      <w:r>
        <w:rPr>
          <w:rFonts w:eastAsia="Calibri"/>
          <w:lang w:bidi="ar-SA"/>
        </w:rPr>
        <w:t>Further investigation does not appear to be warranted at this time, since this procurement appears to have been conducted in accordance with the RFP process and rules, filed pursuant to the Commission’s Opinion and Orders.</w:t>
      </w:r>
    </w:p>
    <w:p w:rsidR="005D38C2" w:rsidRDefault="005D38C2" w:rsidP="001863D6">
      <w:pPr>
        <w:spacing w:line="360" w:lineRule="auto"/>
        <w:rPr>
          <w:rFonts w:eastAsia="Calibri"/>
          <w:lang w:bidi="ar-SA"/>
        </w:rPr>
      </w:pPr>
    </w:p>
    <w:p w:rsidR="005D38C2" w:rsidRDefault="005D38C2" w:rsidP="005D38C2">
      <w:pPr>
        <w:spacing w:line="360" w:lineRule="auto"/>
        <w:rPr>
          <w:rFonts w:eastAsia="Calibri"/>
          <w:lang w:bidi="ar-SA"/>
        </w:rPr>
      </w:pPr>
      <w:r>
        <w:rPr>
          <w:rFonts w:eastAsia="Calibri"/>
          <w:lang w:bidi="ar-SA"/>
        </w:rPr>
        <w:tab/>
      </w:r>
      <w:r w:rsidR="00E5766C">
        <w:rPr>
          <w:rFonts w:eastAsia="Calibri"/>
          <w:lang w:bidi="ar-SA"/>
        </w:rPr>
        <w:tab/>
      </w:r>
      <w:r>
        <w:rPr>
          <w:rFonts w:eastAsia="Calibri"/>
          <w:lang w:bidi="ar-SA"/>
        </w:rPr>
        <w:t xml:space="preserve">West Penn argues that its RFP language is clear and unambiguous that prospective bidders had the choice to submit their bids as “up-to” bids or as “all or nothing” bids.  West Penn contends J3 submitted bid form spreadsheets for 4 of the 5 tranches available for bid under the RFP.  J3 marked on each of the bid forms spreadsheets its election of </w:t>
      </w:r>
      <w:r w:rsidR="00C80976">
        <w:rPr>
          <w:rFonts w:eastAsia="Calibri"/>
          <w:lang w:bidi="ar-SA"/>
        </w:rPr>
        <w:t>“</w:t>
      </w:r>
      <w:r>
        <w:rPr>
          <w:rFonts w:eastAsia="Calibri"/>
          <w:lang w:bidi="ar-SA"/>
        </w:rPr>
        <w:t>all-or-nothing.</w:t>
      </w:r>
      <w:r w:rsidR="00C80976">
        <w:rPr>
          <w:rFonts w:eastAsia="Calibri"/>
          <w:lang w:bidi="ar-SA"/>
        </w:rPr>
        <w:t>”</w:t>
      </w:r>
      <w:r>
        <w:rPr>
          <w:rFonts w:eastAsia="Calibri"/>
          <w:lang w:bidi="ar-SA"/>
        </w:rPr>
        <w:t xml:space="preserve">  Each of the four bid forms states the quantity 1 tranche.  J3 contends it was clear by this bid submittal that by “all or nothing” it meant it wanted each individual bid form spreadsheet to be evaluated independently and not in aggregate with its other bid forms.  Therefore, J3 believes West Penn misevaluated its bid when the bid form spreadsheets were aggregated.  West Penn contends it properly aggregated the 4 separate bids into one bid because that was the indication from the bidder.  If J3 had wanted a separate evaluation, then it should have indicated “up-to” instead of “all or nothing.”  West Penn further contends that “all or nothing” offers mean the DSP must take the entire supply offered or take nothing which is how all bids from all bidders who made the “all or nothing” designation on their bid form spreadsheets were evaluated.  West Penn also argues that any bidders who designated “up-to” were considered to have offered </w:t>
      </w:r>
      <w:r w:rsidR="008C3592">
        <w:rPr>
          <w:rFonts w:eastAsia="Calibri"/>
          <w:lang w:bidi="ar-SA"/>
        </w:rPr>
        <w:t>to</w:t>
      </w:r>
      <w:r>
        <w:rPr>
          <w:rFonts w:eastAsia="Calibri"/>
          <w:lang w:bidi="ar-SA"/>
        </w:rPr>
        <w:t xml:space="preserve"> supply any quantity of tranches up to the number of tranches specified on that bid form spreadsheet.</w:t>
      </w:r>
    </w:p>
    <w:p w:rsidR="005D38C2" w:rsidRDefault="005D38C2" w:rsidP="005D38C2">
      <w:pPr>
        <w:spacing w:line="360" w:lineRule="auto"/>
        <w:rPr>
          <w:rFonts w:eastAsia="Calibri"/>
          <w:lang w:bidi="ar-SA"/>
        </w:rPr>
      </w:pPr>
    </w:p>
    <w:p w:rsidR="005D38C2" w:rsidRDefault="005D38C2" w:rsidP="005D38C2">
      <w:pPr>
        <w:spacing w:line="360" w:lineRule="auto"/>
        <w:rPr>
          <w:rFonts w:eastAsia="Calibri"/>
          <w:lang w:bidi="ar-SA"/>
        </w:rPr>
      </w:pPr>
      <w:r>
        <w:rPr>
          <w:rFonts w:eastAsia="Calibri"/>
          <w:lang w:bidi="ar-SA"/>
        </w:rPr>
        <w:tab/>
      </w:r>
      <w:r w:rsidR="00E5766C">
        <w:rPr>
          <w:rFonts w:eastAsia="Calibri"/>
          <w:lang w:bidi="ar-SA"/>
        </w:rPr>
        <w:tab/>
      </w:r>
      <w:r>
        <w:rPr>
          <w:rFonts w:eastAsia="Calibri"/>
          <w:lang w:bidi="ar-SA"/>
        </w:rPr>
        <w:t>West Penn argues that on bid day, in accordance with its normal bid day practices, it contacted all bidders to confirm that West Penn had received the faxed bid form spreadsheets from each bidder.  West Penn argues that if J3 had any questions regarding its offer, this was an opportunity to ask a question of West Penn, Boston Pacific or the Commission’s staff representative since all calls were made from the bid room on a speaker phone and J3 did not seek any clarification.</w:t>
      </w:r>
    </w:p>
    <w:p w:rsidR="005D38C2" w:rsidRDefault="005D38C2" w:rsidP="005D38C2">
      <w:pPr>
        <w:spacing w:line="360" w:lineRule="auto"/>
        <w:rPr>
          <w:rFonts w:eastAsia="Calibri"/>
          <w:lang w:bidi="ar-SA"/>
        </w:rPr>
      </w:pPr>
    </w:p>
    <w:p w:rsidR="005D38C2" w:rsidRDefault="005D38C2" w:rsidP="005D38C2">
      <w:pPr>
        <w:spacing w:line="360" w:lineRule="auto"/>
        <w:rPr>
          <w:rFonts w:eastAsia="Calibri"/>
          <w:lang w:bidi="ar-SA"/>
        </w:rPr>
      </w:pPr>
      <w:r>
        <w:rPr>
          <w:rFonts w:eastAsia="Calibri"/>
          <w:lang w:bidi="ar-SA"/>
        </w:rPr>
        <w:tab/>
      </w:r>
      <w:r w:rsidR="00E5766C">
        <w:rPr>
          <w:rFonts w:eastAsia="Calibri"/>
          <w:lang w:bidi="ar-SA"/>
        </w:rPr>
        <w:tab/>
      </w:r>
      <w:r>
        <w:rPr>
          <w:rFonts w:eastAsia="Calibri"/>
          <w:lang w:bidi="ar-SA"/>
        </w:rPr>
        <w:t>Both parties thought that the language of the RFP and subsequent written questions and answers regarding the competitive bidding process between prospective bidders and Respondent were clear and unambiguous.  However, the parties have differing views on the interpretation of the same language regarding what is meant by a “bid” versus “bids”, and what is meant by an “all or nothing” versus an “up-to” bid.</w:t>
      </w:r>
    </w:p>
    <w:p w:rsidR="005D38C2" w:rsidRDefault="005D38C2" w:rsidP="005D38C2">
      <w:pPr>
        <w:spacing w:line="360" w:lineRule="auto"/>
        <w:rPr>
          <w:rFonts w:eastAsia="Calibri"/>
          <w:lang w:bidi="ar-SA"/>
        </w:rPr>
      </w:pPr>
    </w:p>
    <w:p w:rsidR="00112E41" w:rsidRPr="00C737FF" w:rsidRDefault="00804094" w:rsidP="00112E41">
      <w:pPr>
        <w:spacing w:line="360" w:lineRule="auto"/>
        <w:rPr>
          <w:rFonts w:eastAsia="Calibri"/>
          <w:b/>
          <w:u w:val="single"/>
          <w:lang w:bidi="ar-SA"/>
        </w:rPr>
      </w:pPr>
      <w:r w:rsidRPr="00C737FF">
        <w:rPr>
          <w:rFonts w:eastAsia="Calibri"/>
          <w:b/>
          <w:u w:val="single"/>
          <w:lang w:bidi="ar-SA"/>
        </w:rPr>
        <w:t>Disposition</w:t>
      </w:r>
    </w:p>
    <w:p w:rsidR="00112E41" w:rsidRPr="00C737FF" w:rsidRDefault="00112E41" w:rsidP="00112E41">
      <w:pPr>
        <w:spacing w:line="360" w:lineRule="auto"/>
        <w:rPr>
          <w:rFonts w:eastAsia="Calibri"/>
          <w:b/>
          <w:u w:val="single"/>
          <w:lang w:bidi="ar-SA"/>
        </w:rPr>
      </w:pPr>
    </w:p>
    <w:p w:rsidR="00024B51" w:rsidRDefault="00024B51" w:rsidP="00112E41">
      <w:pPr>
        <w:spacing w:line="360" w:lineRule="auto"/>
        <w:rPr>
          <w:u w:val="single"/>
        </w:rPr>
      </w:pPr>
      <w:r w:rsidRPr="00AE6519">
        <w:rPr>
          <w:u w:val="single"/>
        </w:rPr>
        <w:t>“All or Nothing” and “Up To” Designations</w:t>
      </w:r>
    </w:p>
    <w:p w:rsidR="00AE6519" w:rsidRPr="00AE6519" w:rsidRDefault="00AE6519" w:rsidP="00112E41">
      <w:pPr>
        <w:spacing w:line="360" w:lineRule="auto"/>
        <w:rPr>
          <w:u w:val="single"/>
        </w:rPr>
      </w:pPr>
    </w:p>
    <w:p w:rsidR="00024B51" w:rsidRPr="00C737FF" w:rsidRDefault="00024B51" w:rsidP="00024B51">
      <w:pPr>
        <w:pStyle w:val="BodyText2"/>
        <w:spacing w:line="360" w:lineRule="auto"/>
        <w:jc w:val="left"/>
        <w:rPr>
          <w:rFonts w:ascii="Times New Roman" w:hAnsi="Times New Roman"/>
          <w:szCs w:val="24"/>
        </w:rPr>
      </w:pPr>
      <w:r w:rsidRPr="00C737FF">
        <w:rPr>
          <w:rFonts w:ascii="Times New Roman" w:hAnsi="Times New Roman"/>
          <w:b/>
          <w:szCs w:val="24"/>
        </w:rPr>
        <w:tab/>
      </w:r>
      <w:r w:rsidR="00E5766C" w:rsidRPr="00C737FF">
        <w:rPr>
          <w:rFonts w:ascii="Times New Roman" w:hAnsi="Times New Roman"/>
          <w:b/>
          <w:szCs w:val="24"/>
        </w:rPr>
        <w:tab/>
      </w:r>
      <w:r w:rsidR="002F138F" w:rsidRPr="00C737FF">
        <w:rPr>
          <w:rFonts w:ascii="Times New Roman" w:hAnsi="Times New Roman"/>
          <w:szCs w:val="24"/>
        </w:rPr>
        <w:t xml:space="preserve">J3 submitted four bid-form spreadsheets for the 10-year term of June 1, 2011 to May 31, 2021.  On each of its four bid-form spreadsheets J3 designated that it was bidding for one tranche as “all or nothing.”  </w:t>
      </w:r>
      <w:r w:rsidRPr="00C737FF">
        <w:rPr>
          <w:rFonts w:ascii="Times New Roman" w:hAnsi="Times New Roman"/>
          <w:szCs w:val="24"/>
        </w:rPr>
        <w:t>The testimonies of West Penn’s Mr. Reeping, of Boston Pacific’s Mr. Mossburg and of the Commission’s Mr. Diskin are persuasive and consistent that such an “all or nothing” submission by J3 made little sense and contradicted the RFP rules.</w:t>
      </w:r>
    </w:p>
    <w:p w:rsidR="00024B51" w:rsidRPr="00C737FF" w:rsidRDefault="00024B51" w:rsidP="00024B51">
      <w:pPr>
        <w:pStyle w:val="BodyText2"/>
        <w:spacing w:line="360" w:lineRule="auto"/>
        <w:jc w:val="left"/>
        <w:rPr>
          <w:rFonts w:ascii="Times New Roman" w:hAnsi="Times New Roman"/>
          <w:szCs w:val="24"/>
        </w:rPr>
      </w:pPr>
    </w:p>
    <w:p w:rsidR="00024B51" w:rsidRPr="00C737FF" w:rsidRDefault="00024B51" w:rsidP="00024B51">
      <w:pPr>
        <w:pStyle w:val="BodyText2"/>
        <w:spacing w:line="360" w:lineRule="auto"/>
        <w:jc w:val="left"/>
        <w:rPr>
          <w:rFonts w:ascii="Times New Roman" w:hAnsi="Times New Roman"/>
          <w:szCs w:val="24"/>
        </w:rPr>
      </w:pPr>
      <w:r w:rsidRPr="00C737FF">
        <w:rPr>
          <w:rFonts w:ascii="Times New Roman" w:hAnsi="Times New Roman"/>
          <w:szCs w:val="24"/>
        </w:rPr>
        <w:tab/>
      </w:r>
      <w:r w:rsidR="00E5766C" w:rsidRPr="00C737FF">
        <w:rPr>
          <w:rFonts w:ascii="Times New Roman" w:hAnsi="Times New Roman"/>
          <w:szCs w:val="24"/>
        </w:rPr>
        <w:tab/>
      </w:r>
      <w:r w:rsidR="00971890" w:rsidRPr="00C737FF">
        <w:rPr>
          <w:rFonts w:ascii="Times New Roman" w:hAnsi="Times New Roman"/>
          <w:szCs w:val="24"/>
        </w:rPr>
        <w:t xml:space="preserve">The </w:t>
      </w:r>
      <w:r w:rsidRPr="00C737FF">
        <w:rPr>
          <w:rFonts w:ascii="Times New Roman" w:hAnsi="Times New Roman"/>
          <w:szCs w:val="24"/>
        </w:rPr>
        <w:t>RFP rules expressly stated that a bidder could not bid on less than a full tranche.  J3’s Mr. Russial stated on cross examination:  “The RFP is clear that each bid was going to be an offer for a certain volume for a full 10-year or 10-year plus 5-month period.”</w:t>
      </w:r>
      <w:r w:rsidRPr="00C737FF">
        <w:rPr>
          <w:rStyle w:val="FootnoteReference"/>
          <w:rFonts w:ascii="Times New Roman" w:hAnsi="Times New Roman"/>
          <w:szCs w:val="24"/>
        </w:rPr>
        <w:footnoteReference w:id="18"/>
      </w:r>
      <w:r w:rsidRPr="00C737FF">
        <w:rPr>
          <w:rFonts w:ascii="Times New Roman" w:hAnsi="Times New Roman"/>
          <w:szCs w:val="24"/>
        </w:rPr>
        <w:t xml:space="preserve">  Thus, it made little or no sense for a bidder to designate a bid sheet for a single tranche as “all or nothing” because the RFP rules clearly provide that nothing less than a full tranche would be awarded.  That is, even though the tranche on the bid-form spreadsheet was segregated by reporting year (6/1/2011 to 5/31/2012, then 6/1/2012 to 5/31/2013, and so on to 6/1/2020 to 5/31/2021) to allow for a different price per SPAEC for each reporting year in the 10-year tranche, nothing less than the full 10-year tranche would be awarded.  The RFP rules prohibited awarding single years out of the 10-year tranche. </w:t>
      </w:r>
    </w:p>
    <w:p w:rsidR="00024B51" w:rsidRPr="00C737FF" w:rsidRDefault="00024B51" w:rsidP="00024B51">
      <w:pPr>
        <w:pStyle w:val="BodyText2"/>
        <w:spacing w:line="360" w:lineRule="auto"/>
        <w:rPr>
          <w:rFonts w:ascii="Times New Roman" w:hAnsi="Times New Roman"/>
          <w:szCs w:val="24"/>
        </w:rPr>
      </w:pPr>
    </w:p>
    <w:p w:rsidR="00024B51" w:rsidRPr="00C737FF" w:rsidRDefault="00024B51" w:rsidP="00024B51">
      <w:pPr>
        <w:pStyle w:val="BodyText2"/>
        <w:spacing w:line="360" w:lineRule="auto"/>
        <w:jc w:val="left"/>
        <w:rPr>
          <w:rFonts w:ascii="Times New Roman" w:hAnsi="Times New Roman"/>
          <w:szCs w:val="24"/>
        </w:rPr>
      </w:pPr>
      <w:r w:rsidRPr="00C737FF">
        <w:rPr>
          <w:rFonts w:ascii="Times New Roman" w:hAnsi="Times New Roman"/>
          <w:szCs w:val="24"/>
        </w:rPr>
        <w:tab/>
      </w:r>
      <w:r w:rsidR="00E5766C" w:rsidRPr="00C737FF">
        <w:rPr>
          <w:rFonts w:ascii="Times New Roman" w:hAnsi="Times New Roman"/>
          <w:szCs w:val="24"/>
        </w:rPr>
        <w:tab/>
      </w:r>
      <w:r w:rsidR="00804094" w:rsidRPr="00C737FF">
        <w:rPr>
          <w:rFonts w:ascii="Times New Roman" w:hAnsi="Times New Roman"/>
          <w:szCs w:val="24"/>
        </w:rPr>
        <w:t xml:space="preserve">I find </w:t>
      </w:r>
      <w:r w:rsidRPr="00C737FF">
        <w:rPr>
          <w:rFonts w:ascii="Times New Roman" w:hAnsi="Times New Roman"/>
          <w:szCs w:val="24"/>
        </w:rPr>
        <w:t>J3 mistakenly interpreted Section 7. 10 of the RFP Rules</w:t>
      </w:r>
      <w:r w:rsidR="002F138F" w:rsidRPr="00C737FF">
        <w:rPr>
          <w:rFonts w:ascii="Times New Roman" w:hAnsi="Times New Roman"/>
          <w:szCs w:val="24"/>
        </w:rPr>
        <w:t xml:space="preserve"> </w:t>
      </w:r>
      <w:r w:rsidRPr="00C737FF">
        <w:rPr>
          <w:rFonts w:ascii="Times New Roman" w:hAnsi="Times New Roman"/>
          <w:szCs w:val="24"/>
        </w:rPr>
        <w:t>which provides:</w:t>
      </w:r>
    </w:p>
    <w:p w:rsidR="00024B51" w:rsidRDefault="00024B51" w:rsidP="00F0311E">
      <w:pPr>
        <w:ind w:left="720" w:right="720"/>
        <w:jc w:val="both"/>
      </w:pPr>
      <w:r>
        <w:tab/>
      </w:r>
    </w:p>
    <w:p w:rsidR="00024B51" w:rsidRPr="002E6218" w:rsidRDefault="00024B51" w:rsidP="00024B51">
      <w:pPr>
        <w:ind w:left="720" w:right="720" w:firstLine="720"/>
        <w:jc w:val="both"/>
        <w:rPr>
          <w:i/>
        </w:rPr>
      </w:pPr>
      <w:r w:rsidRPr="002E6218">
        <w:rPr>
          <w:i/>
        </w:rPr>
        <w:t>Recognizing that the magnitude of SPAEC sales to the Company may affect financing or other commercial considerations for Qualified Bidders, All-or-Nothing Bids will be allowed, such that Qualified Bidders will not be b</w:t>
      </w:r>
      <w:r>
        <w:rPr>
          <w:i/>
        </w:rPr>
        <w:t>o</w:t>
      </w:r>
      <w:r w:rsidRPr="002E6218">
        <w:rPr>
          <w:i/>
        </w:rPr>
        <w:t>und to supply SPAECs in quantities other than those Bid.  Unless indicated as an All-or-Nothing Bid, Bids will be considered an offer to supply any quantity up to and including the number of Tranches specified in the Bid (an “</w:t>
      </w:r>
      <w:r>
        <w:rPr>
          <w:i/>
        </w:rPr>
        <w:t>Up-to</w:t>
      </w:r>
      <w:r w:rsidRPr="002E6218">
        <w:rPr>
          <w:i/>
        </w:rPr>
        <w:t xml:space="preserve"> Bid”).</w:t>
      </w:r>
    </w:p>
    <w:p w:rsidR="00024B51" w:rsidRDefault="00024B51" w:rsidP="00024B51">
      <w:pPr>
        <w:spacing w:line="480" w:lineRule="auto"/>
        <w:ind w:left="720" w:hanging="720"/>
        <w:jc w:val="both"/>
      </w:pPr>
    </w:p>
    <w:p w:rsidR="00024B51" w:rsidRDefault="00E5766C" w:rsidP="00490E99">
      <w:pPr>
        <w:spacing w:line="360" w:lineRule="auto"/>
        <w:ind w:firstLine="720"/>
      </w:pPr>
      <w:r>
        <w:tab/>
      </w:r>
      <w:r w:rsidR="00024B51">
        <w:t xml:space="preserve">First, the second sentence starts out with the phrase “(u)nless indicated as an All or nothing Bid” which signifies that there is a special purpose for the “all-or-nothing” designation as part of the evaluation process.  The special purpose was to allow bidders to designate their offers so that the bidders’ offers would not be disaggregated into separate offers or awarded in amounts less than </w:t>
      </w:r>
      <w:r w:rsidR="009811C9">
        <w:t xml:space="preserve">what </w:t>
      </w:r>
      <w:r w:rsidR="00024B51">
        <w:t xml:space="preserve">was designated under the “all-or-nothing” offer type.  Since the RFP and subsequent FAQs made it clear that an award could not be made for anything less than a tranche then it </w:t>
      </w:r>
      <w:r w:rsidR="00804094">
        <w:t>did not make sense</w:t>
      </w:r>
      <w:r w:rsidR="00024B51">
        <w:t xml:space="preserve"> to mark the offer as “all or nothing” unless J3 wanted all its similarly marked offers considered together</w:t>
      </w:r>
      <w:r w:rsidR="00804094">
        <w:t xml:space="preserve">. </w:t>
      </w:r>
      <w:r w:rsidR="00024B51">
        <w:t xml:space="preserve"> </w:t>
      </w:r>
      <w:r w:rsidR="00804094">
        <w:t>T</w:t>
      </w:r>
      <w:r w:rsidR="00024B51">
        <w:t xml:space="preserve">he only logical offer type to mark for a single offer is the “up to” designation.  </w:t>
      </w:r>
      <w:r w:rsidR="00804094">
        <w:t>T</w:t>
      </w:r>
      <w:r w:rsidR="00024B51">
        <w:t>he RFP and subsequent FAQs made it clear that an award could not be made for any less than a tranche, and if J3 did not want its offers to have special</w:t>
      </w:r>
      <w:r w:rsidR="00490E99">
        <w:t xml:space="preserve"> </w:t>
      </w:r>
      <w:r w:rsidR="00024B51">
        <w:t>consideration using the “all or nothing” designation and evaluated independently, then the offer type should have been correctly marked by J3 as an “up to” offer on each of J3’s bid-form spreadsheets.</w:t>
      </w:r>
      <w:r w:rsidR="00024B51">
        <w:rPr>
          <w:rStyle w:val="FootnoteReference"/>
        </w:rPr>
        <w:footnoteReference w:id="19"/>
      </w:r>
    </w:p>
    <w:p w:rsidR="00024B51" w:rsidRDefault="00024B51" w:rsidP="00024B51">
      <w:pPr>
        <w:spacing w:line="360" w:lineRule="auto"/>
        <w:ind w:firstLine="720"/>
      </w:pPr>
    </w:p>
    <w:p w:rsidR="00024B51" w:rsidRDefault="00E5766C" w:rsidP="00024B51">
      <w:pPr>
        <w:spacing w:line="360" w:lineRule="auto"/>
        <w:ind w:firstLine="720"/>
      </w:pPr>
      <w:r>
        <w:tab/>
      </w:r>
      <w:r w:rsidR="00024B51">
        <w:t>Mr. Russial testified that he thought the “up to” versus “all or nothing” terminology did not apply to an offer for a single tranche.  He stated:  “But for a single tranche bid as we submitted – we submitted four single tranche bids – the flag really made no difference.  It had no relevance, because, by definition, in the RFP, a bidder was only going to be awarded a single tranche.”</w:t>
      </w:r>
      <w:r w:rsidR="00024B51">
        <w:rPr>
          <w:rStyle w:val="FootnoteReference"/>
        </w:rPr>
        <w:footnoteReference w:id="20"/>
      </w:r>
      <w:r w:rsidR="00024B51">
        <w:t xml:space="preserve">  </w:t>
      </w:r>
    </w:p>
    <w:p w:rsidR="00024B51" w:rsidRDefault="00024B51" w:rsidP="00024B51">
      <w:pPr>
        <w:spacing w:line="360" w:lineRule="auto"/>
        <w:ind w:firstLine="720"/>
      </w:pPr>
    </w:p>
    <w:p w:rsidR="00024B51" w:rsidRPr="003938A0" w:rsidRDefault="00E5766C" w:rsidP="00024B51">
      <w:pPr>
        <w:spacing w:line="360" w:lineRule="auto"/>
        <w:ind w:firstLine="720"/>
      </w:pPr>
      <w:r>
        <w:tab/>
      </w:r>
      <w:r w:rsidR="00971890">
        <w:t>This</w:t>
      </w:r>
      <w:r w:rsidR="00024B51" w:rsidRPr="003938A0">
        <w:t xml:space="preserve"> testimony </w:t>
      </w:r>
      <w:r w:rsidR="00971890">
        <w:t>indicates</w:t>
      </w:r>
      <w:r w:rsidR="00024B51" w:rsidRPr="003938A0">
        <w:t xml:space="preserve"> that J3 simply misinterpreted the RFP terminology and made an assumption </w:t>
      </w:r>
      <w:r w:rsidR="00024B51">
        <w:t>that “all or nothing” had different meanings depending on the number of tranches offered on each bid-form spreadsheet.</w:t>
      </w:r>
      <w:r w:rsidR="00024B51" w:rsidRPr="003938A0">
        <w:t xml:space="preserve"> </w:t>
      </w:r>
      <w:r w:rsidR="00024B51">
        <w:t xml:space="preserve"> The RFP </w:t>
      </w:r>
      <w:r w:rsidR="009811C9">
        <w:t>r</w:t>
      </w:r>
      <w:r w:rsidR="00024B51">
        <w:t>ules make no distinction for the use of the designation “all or nothing” on single tranche offers versus multiple tranche offers.  In both single tranche and multiple tranche bid sheets, “all or nothing” meant that</w:t>
      </w:r>
      <w:r w:rsidR="008C3592">
        <w:t xml:space="preserve"> </w:t>
      </w:r>
      <w:r w:rsidR="00024B51">
        <w:t xml:space="preserve">either all the blocks offered would be accepted or none would be accepted. </w:t>
      </w:r>
      <w:r w:rsidR="00804094">
        <w:t xml:space="preserve"> W</w:t>
      </w:r>
      <w:r w:rsidR="00024B51" w:rsidRPr="003938A0">
        <w:t>hen an RFP participant entered the “</w:t>
      </w:r>
      <w:r w:rsidR="00024B51">
        <w:t>all or nothing</w:t>
      </w:r>
      <w:r w:rsidR="00024B51" w:rsidRPr="003938A0">
        <w:t>” or “</w:t>
      </w:r>
      <w:r w:rsidR="00024B51">
        <w:t>up to</w:t>
      </w:r>
      <w:r w:rsidR="00024B51" w:rsidRPr="003938A0">
        <w:t>” designation in</w:t>
      </w:r>
      <w:r w:rsidR="00024B51">
        <w:t xml:space="preserve"> the “</w:t>
      </w:r>
      <w:r w:rsidR="00024B51" w:rsidRPr="003938A0">
        <w:t>Offer Type”</w:t>
      </w:r>
      <w:r w:rsidR="00024B51">
        <w:t xml:space="preserve"> box o</w:t>
      </w:r>
      <w:r w:rsidR="00024B51" w:rsidRPr="003938A0">
        <w:t>n the bid</w:t>
      </w:r>
      <w:r w:rsidR="00C92C22">
        <w:t xml:space="preserve"> </w:t>
      </w:r>
      <w:r w:rsidR="00024B51" w:rsidRPr="003938A0">
        <w:t>form spread</w:t>
      </w:r>
      <w:r w:rsidR="00024B51">
        <w:t xml:space="preserve"> </w:t>
      </w:r>
      <w:r w:rsidR="00024B51" w:rsidRPr="003938A0">
        <w:t xml:space="preserve">sheet, a reminder automatically popped up that restated either “You have selected All-or-Nothing Bid” </w:t>
      </w:r>
      <w:r w:rsidR="00024B51">
        <w:t>or “You have selected Up-To Bid” depending on which designation the supplier made.</w:t>
      </w:r>
      <w:r w:rsidR="00024B51">
        <w:rPr>
          <w:rStyle w:val="FootnoteReference"/>
        </w:rPr>
        <w:footnoteReference w:id="21"/>
      </w:r>
      <w:r w:rsidR="00024B51">
        <w:t xml:space="preserve">  The pop-up occurred in J3’s single tranche bid sheet submissions.  </w:t>
      </w:r>
    </w:p>
    <w:p w:rsidR="00024B51" w:rsidRPr="00C737FF" w:rsidRDefault="00024B51" w:rsidP="00024B51">
      <w:pPr>
        <w:pStyle w:val="BodyText2"/>
        <w:spacing w:line="360" w:lineRule="auto"/>
        <w:ind w:firstLine="720"/>
        <w:jc w:val="left"/>
        <w:rPr>
          <w:rFonts w:ascii="Times New Roman" w:hAnsi="Times New Roman"/>
        </w:rPr>
      </w:pPr>
    </w:p>
    <w:p w:rsidR="009C7420" w:rsidRDefault="00E5766C" w:rsidP="00024B51">
      <w:pPr>
        <w:pStyle w:val="BodyText2"/>
        <w:spacing w:line="360" w:lineRule="auto"/>
        <w:ind w:firstLine="720"/>
        <w:jc w:val="left"/>
        <w:rPr>
          <w:rFonts w:ascii="Times New Roman" w:hAnsi="Times New Roman"/>
        </w:rPr>
        <w:sectPr w:rsidR="009C7420" w:rsidSect="00A12BD8">
          <w:footerReference w:type="default" r:id="rId9"/>
          <w:pgSz w:w="12240" w:h="15840" w:code="1"/>
          <w:pgMar w:top="1440" w:right="1440" w:bottom="1440" w:left="1440" w:header="720" w:footer="720" w:gutter="0"/>
          <w:cols w:space="720"/>
          <w:docGrid w:linePitch="360"/>
        </w:sectPr>
      </w:pPr>
      <w:r w:rsidRPr="00C737FF">
        <w:rPr>
          <w:rFonts w:ascii="Times New Roman" w:hAnsi="Times New Roman"/>
        </w:rPr>
        <w:tab/>
      </w:r>
      <w:r w:rsidR="008C3592" w:rsidRPr="00C737FF">
        <w:rPr>
          <w:rFonts w:ascii="Times New Roman" w:hAnsi="Times New Roman"/>
        </w:rPr>
        <w:t xml:space="preserve">I am persuaded by the testimony of </w:t>
      </w:r>
      <w:r w:rsidR="00024B51" w:rsidRPr="00C737FF">
        <w:rPr>
          <w:rFonts w:ascii="Times New Roman" w:hAnsi="Times New Roman"/>
        </w:rPr>
        <w:t xml:space="preserve">Boston Pacific’s </w:t>
      </w:r>
      <w:r w:rsidR="008C3592" w:rsidRPr="00C737FF">
        <w:rPr>
          <w:rFonts w:ascii="Times New Roman" w:hAnsi="Times New Roman"/>
        </w:rPr>
        <w:t xml:space="preserve">witness, </w:t>
      </w:r>
      <w:r w:rsidR="00024B51" w:rsidRPr="00C737FF">
        <w:rPr>
          <w:rFonts w:ascii="Times New Roman" w:hAnsi="Times New Roman"/>
        </w:rPr>
        <w:t>Mr. Mossburg</w:t>
      </w:r>
      <w:r w:rsidR="008C3592" w:rsidRPr="00C737FF">
        <w:rPr>
          <w:rFonts w:ascii="Times New Roman" w:hAnsi="Times New Roman"/>
        </w:rPr>
        <w:t>, who</w:t>
      </w:r>
      <w:r w:rsidR="00024B51" w:rsidRPr="00C737FF">
        <w:rPr>
          <w:rFonts w:ascii="Times New Roman" w:hAnsi="Times New Roman"/>
        </w:rPr>
        <w:t xml:space="preserve"> considered the possible rationale behind J3’s bidding strategy in preparing Boston Pacific’s recommendation to the Commission.  He considered</w:t>
      </w:r>
      <w:r w:rsidR="008C3592" w:rsidRPr="00C737FF">
        <w:rPr>
          <w:rFonts w:ascii="Times New Roman" w:hAnsi="Times New Roman"/>
        </w:rPr>
        <w:t xml:space="preserve"> </w:t>
      </w:r>
      <w:r w:rsidR="00024B51" w:rsidRPr="00C737FF">
        <w:rPr>
          <w:rFonts w:ascii="Times New Roman" w:hAnsi="Times New Roman"/>
        </w:rPr>
        <w:t xml:space="preserve">why </w:t>
      </w:r>
      <w:r w:rsidR="008C3592" w:rsidRPr="00C737FF">
        <w:rPr>
          <w:rFonts w:ascii="Times New Roman" w:hAnsi="Times New Roman"/>
        </w:rPr>
        <w:t xml:space="preserve">a bidder </w:t>
      </w:r>
      <w:r w:rsidR="00024B51" w:rsidRPr="00C737FF">
        <w:rPr>
          <w:rFonts w:ascii="Times New Roman" w:hAnsi="Times New Roman"/>
        </w:rPr>
        <w:t xml:space="preserve">would </w:t>
      </w:r>
      <w:r w:rsidR="008C3592" w:rsidRPr="00C737FF">
        <w:rPr>
          <w:rFonts w:ascii="Times New Roman" w:hAnsi="Times New Roman"/>
        </w:rPr>
        <w:t>of</w:t>
      </w:r>
      <w:r w:rsidR="00024B51" w:rsidRPr="00C737FF">
        <w:rPr>
          <w:rFonts w:ascii="Times New Roman" w:hAnsi="Times New Roman"/>
        </w:rPr>
        <w:t>fer a single block as an “all or nothing” offer when no less than a single block could be awarded</w:t>
      </w:r>
      <w:r w:rsidR="008C3592" w:rsidRPr="00C737FF">
        <w:rPr>
          <w:rFonts w:ascii="Times New Roman" w:hAnsi="Times New Roman"/>
        </w:rPr>
        <w:t>.</w:t>
      </w:r>
      <w:r w:rsidR="00024B51" w:rsidRPr="00C737FF">
        <w:rPr>
          <w:rFonts w:ascii="Times New Roman" w:hAnsi="Times New Roman"/>
        </w:rPr>
        <w:t xml:space="preserve">  Mr. Mossburg testified that </w:t>
      </w:r>
      <w:r w:rsidR="008C3592" w:rsidRPr="00C737FF">
        <w:rPr>
          <w:rFonts w:ascii="Times New Roman" w:hAnsi="Times New Roman"/>
        </w:rPr>
        <w:t xml:space="preserve">he interpreted </w:t>
      </w:r>
      <w:r w:rsidR="00024B51" w:rsidRPr="00C737FF">
        <w:rPr>
          <w:rFonts w:ascii="Times New Roman" w:hAnsi="Times New Roman"/>
        </w:rPr>
        <w:t>that a bidder would be concerned with winning less than a single tranche.  Mr. Mossburg stated that while winning less than a single t</w:t>
      </w:r>
      <w:r w:rsidR="00C07803">
        <w:rPr>
          <w:rFonts w:ascii="Times New Roman" w:hAnsi="Times New Roman"/>
        </w:rPr>
        <w:t>ranche might be a reasonable</w:t>
      </w:r>
    </w:p>
    <w:p w:rsidR="00024B51" w:rsidRPr="00C737FF" w:rsidRDefault="00024B51" w:rsidP="009C7420">
      <w:pPr>
        <w:pStyle w:val="BodyText2"/>
        <w:spacing w:line="360" w:lineRule="auto"/>
        <w:jc w:val="left"/>
        <w:rPr>
          <w:rFonts w:ascii="Times New Roman" w:hAnsi="Times New Roman"/>
        </w:rPr>
      </w:pPr>
      <w:proofErr w:type="gramStart"/>
      <w:r w:rsidRPr="00C737FF">
        <w:rPr>
          <w:rFonts w:ascii="Times New Roman" w:hAnsi="Times New Roman"/>
        </w:rPr>
        <w:t>concern</w:t>
      </w:r>
      <w:proofErr w:type="gramEnd"/>
      <w:r w:rsidRPr="00C737FF">
        <w:rPr>
          <w:rFonts w:ascii="Times New Roman" w:hAnsi="Times New Roman"/>
        </w:rPr>
        <w:t>, it was not reasonable in West Penn’s RFP because West Penn had made it clear that it would only award full tranches.  West Penn had made this point clear in its RFP and in its publicly posted answers to questions.  The response appears in FAQ question number 29.</w:t>
      </w:r>
    </w:p>
    <w:p w:rsidR="00024B51" w:rsidRPr="00805974" w:rsidRDefault="00024B51" w:rsidP="00024B51">
      <w:pPr>
        <w:spacing w:line="480" w:lineRule="auto"/>
        <w:ind w:left="1440" w:hanging="720"/>
      </w:pPr>
    </w:p>
    <w:p w:rsidR="00024B51" w:rsidRDefault="00024B51" w:rsidP="009C7420">
      <w:pPr>
        <w:ind w:left="1440"/>
        <w:rPr>
          <w:b/>
          <w:i/>
        </w:rPr>
      </w:pPr>
      <w:r w:rsidRPr="009C7420">
        <w:rPr>
          <w:b/>
          <w:i/>
        </w:rPr>
        <w:t xml:space="preserve">“Q29: </w:t>
      </w:r>
      <w:r w:rsidRPr="009C7420">
        <w:rPr>
          <w:b/>
          <w:i/>
        </w:rPr>
        <w:tab/>
        <w:t>But within an "up-to" block, could you be award</w:t>
      </w:r>
      <w:r w:rsidR="009C7420">
        <w:rPr>
          <w:b/>
          <w:i/>
        </w:rPr>
        <w:t xml:space="preserve">ed something less than the full </w:t>
      </w:r>
      <w:r w:rsidRPr="009C7420">
        <w:rPr>
          <w:b/>
          <w:i/>
        </w:rPr>
        <w:t xml:space="preserve">block? </w:t>
      </w:r>
    </w:p>
    <w:p w:rsidR="009C7420" w:rsidRPr="009C7420" w:rsidRDefault="009C7420" w:rsidP="009C7420">
      <w:pPr>
        <w:ind w:left="1440"/>
        <w:rPr>
          <w:b/>
          <w:i/>
        </w:rPr>
      </w:pPr>
    </w:p>
    <w:p w:rsidR="00024B51" w:rsidRPr="009C7420" w:rsidRDefault="00024B51" w:rsidP="009C7420">
      <w:pPr>
        <w:spacing w:line="480" w:lineRule="auto"/>
        <w:ind w:left="1440"/>
        <w:rPr>
          <w:sz w:val="20"/>
          <w:szCs w:val="20"/>
        </w:rPr>
      </w:pPr>
      <w:r w:rsidRPr="009C7420">
        <w:rPr>
          <w:b/>
          <w:i/>
        </w:rPr>
        <w:t xml:space="preserve">A29: </w:t>
      </w:r>
      <w:r w:rsidRPr="009C7420">
        <w:rPr>
          <w:b/>
          <w:i/>
        </w:rPr>
        <w:tab/>
        <w:t>No, only full blocks will be awarded.”</w:t>
      </w:r>
    </w:p>
    <w:p w:rsidR="00024B51" w:rsidRPr="00537955" w:rsidRDefault="00024B51" w:rsidP="00024B51">
      <w:pPr>
        <w:spacing w:line="360" w:lineRule="auto"/>
      </w:pPr>
    </w:p>
    <w:p w:rsidR="009C7420" w:rsidRDefault="00E5766C" w:rsidP="00C92C22">
      <w:pPr>
        <w:spacing w:line="360" w:lineRule="auto"/>
        <w:ind w:firstLine="720"/>
      </w:pPr>
      <w:r>
        <w:tab/>
      </w:r>
      <w:r w:rsidR="00024B51">
        <w:t xml:space="preserve">Thus, </w:t>
      </w:r>
      <w:r w:rsidR="008C3592">
        <w:t xml:space="preserve">although </w:t>
      </w:r>
      <w:r w:rsidR="00024B51" w:rsidRPr="00537955">
        <w:t xml:space="preserve">it </w:t>
      </w:r>
      <w:r w:rsidR="008C3592">
        <w:t xml:space="preserve">does not make </w:t>
      </w:r>
      <w:r w:rsidR="00024B51" w:rsidRPr="00537955">
        <w:t xml:space="preserve">sense for </w:t>
      </w:r>
      <w:r w:rsidR="008C3592">
        <w:t xml:space="preserve">J3 to have offered four tranches with an “all or nothing” designation at different individual prices, it also does not make sense for it to </w:t>
      </w:r>
      <w:r w:rsidR="009C7420">
        <w:t xml:space="preserve">have </w:t>
      </w:r>
      <w:r w:rsidR="009C7420" w:rsidRPr="00537955">
        <w:t>designated</w:t>
      </w:r>
      <w:r w:rsidR="00024B51">
        <w:t xml:space="preserve"> its</w:t>
      </w:r>
      <w:r w:rsidR="00024B51" w:rsidRPr="00537955">
        <w:t xml:space="preserve"> </w:t>
      </w:r>
      <w:r w:rsidR="00024B51">
        <w:t>offer</w:t>
      </w:r>
      <w:r w:rsidR="00024B51" w:rsidRPr="00537955">
        <w:t xml:space="preserve"> as “</w:t>
      </w:r>
      <w:r w:rsidR="00024B51">
        <w:t>a</w:t>
      </w:r>
      <w:r w:rsidR="00024B51" w:rsidRPr="00537955">
        <w:t xml:space="preserve">ll or </w:t>
      </w:r>
      <w:r w:rsidR="00024B51">
        <w:t>n</w:t>
      </w:r>
      <w:r w:rsidR="00024B51" w:rsidRPr="00537955">
        <w:t xml:space="preserve">othing” in the fear of winning less than a full </w:t>
      </w:r>
      <w:r w:rsidR="00024B51">
        <w:t>tranche</w:t>
      </w:r>
      <w:r w:rsidR="00804094">
        <w:t>.</w:t>
      </w:r>
      <w:r w:rsidR="00024B51" w:rsidRPr="00537955">
        <w:t xml:space="preserve">  </w:t>
      </w:r>
    </w:p>
    <w:p w:rsidR="00112E41" w:rsidRDefault="00024B51" w:rsidP="009C7420">
      <w:pPr>
        <w:spacing w:line="360" w:lineRule="auto"/>
      </w:pPr>
      <w:r>
        <w:t>Mr. Mossburg considered that t</w:t>
      </w:r>
      <w:r w:rsidRPr="00537955">
        <w:t>he varied prices within an “</w:t>
      </w:r>
      <w:r>
        <w:t>a</w:t>
      </w:r>
      <w:r w:rsidRPr="00537955">
        <w:t>ll o</w:t>
      </w:r>
      <w:r>
        <w:t>r</w:t>
      </w:r>
      <w:r w:rsidRPr="00537955">
        <w:t xml:space="preserve"> </w:t>
      </w:r>
      <w:r>
        <w:t>n</w:t>
      </w:r>
      <w:r w:rsidRPr="00537955">
        <w:t xml:space="preserve">othing” </w:t>
      </w:r>
      <w:r>
        <w:t>offer</w:t>
      </w:r>
      <w:r w:rsidRPr="00537955">
        <w:t xml:space="preserve"> might reflect other factors</w:t>
      </w:r>
      <w:r>
        <w:t xml:space="preserve"> known only to the bidder, </w:t>
      </w:r>
      <w:r w:rsidRPr="00537955">
        <w:t xml:space="preserve">such as </w:t>
      </w:r>
      <w:r>
        <w:t>the bidder’s</w:t>
      </w:r>
      <w:r w:rsidRPr="00537955">
        <w:t xml:space="preserve"> business structure</w:t>
      </w:r>
      <w:r>
        <w:t>.</w:t>
      </w:r>
      <w:r w:rsidRPr="00537955">
        <w:t xml:space="preserve">  </w:t>
      </w:r>
      <w:r w:rsidR="008C3592">
        <w:t>Although Mr.</w:t>
      </w:r>
      <w:r w:rsidR="009C7420">
        <w:t> </w:t>
      </w:r>
      <w:r w:rsidR="008C3592">
        <w:t xml:space="preserve">Mossburg considered contacting J3 for clarification of the bid forms, ultimately, he did not because the evaluators decided they </w:t>
      </w:r>
      <w:r w:rsidR="00804094">
        <w:t>should not</w:t>
      </w:r>
      <w:r w:rsidRPr="00537955">
        <w:t xml:space="preserve"> delve into</w:t>
      </w:r>
      <w:r>
        <w:t xml:space="preserve"> </w:t>
      </w:r>
      <w:r w:rsidR="00804094">
        <w:t xml:space="preserve">the </w:t>
      </w:r>
      <w:r>
        <w:t>bidder’s</w:t>
      </w:r>
      <w:r w:rsidRPr="00537955">
        <w:t xml:space="preserve"> possible motives, </w:t>
      </w:r>
      <w:r>
        <w:t xml:space="preserve">but </w:t>
      </w:r>
      <w:r w:rsidR="00804094">
        <w:t>rather</w:t>
      </w:r>
      <w:r>
        <w:t xml:space="preserve"> should</w:t>
      </w:r>
      <w:r w:rsidRPr="00537955">
        <w:t xml:space="preserve"> respect the “</w:t>
      </w:r>
      <w:r>
        <w:t>a</w:t>
      </w:r>
      <w:r w:rsidRPr="00537955">
        <w:t xml:space="preserve">ll or </w:t>
      </w:r>
      <w:r>
        <w:t>n</w:t>
      </w:r>
      <w:r w:rsidRPr="00537955">
        <w:t xml:space="preserve">othing” designation of all the bidders who chose it and to treat them identically under the RFP rules. </w:t>
      </w:r>
      <w:r>
        <w:rPr>
          <w:rStyle w:val="FootnoteReference"/>
        </w:rPr>
        <w:footnoteReference w:id="22"/>
      </w:r>
      <w:r w:rsidR="00804094">
        <w:t xml:space="preserve">  </w:t>
      </w:r>
    </w:p>
    <w:p w:rsidR="00112E41" w:rsidRDefault="00112E41" w:rsidP="00C92C22">
      <w:pPr>
        <w:spacing w:line="360" w:lineRule="auto"/>
        <w:ind w:firstLine="720"/>
      </w:pPr>
    </w:p>
    <w:p w:rsidR="00024B51" w:rsidRDefault="00E5766C" w:rsidP="00C92C22">
      <w:pPr>
        <w:spacing w:line="360" w:lineRule="auto"/>
        <w:ind w:firstLine="720"/>
      </w:pPr>
      <w:r>
        <w:tab/>
      </w:r>
      <w:r w:rsidR="00804094">
        <w:t>I find no violation of any regulation by this decision of the evaluators to not contact and question J3’s intent by its “all or nothing” designation on the four separate bid form spreadsheets.  I am unaware of any legal requirement that the evaluators discuss bids and seek clarification of bids with the bidders prior to making their evaluations.</w:t>
      </w:r>
    </w:p>
    <w:p w:rsidR="00024B51" w:rsidRPr="00F85C3B" w:rsidRDefault="00024B51" w:rsidP="00024B51">
      <w:pPr>
        <w:spacing w:line="360" w:lineRule="auto"/>
        <w:ind w:left="2160" w:hanging="720"/>
        <w:rPr>
          <w:b/>
        </w:rPr>
      </w:pPr>
    </w:p>
    <w:p w:rsidR="00C737FF" w:rsidRDefault="00E5766C" w:rsidP="00C737FF">
      <w:pPr>
        <w:spacing w:line="360" w:lineRule="auto"/>
        <w:ind w:firstLine="720"/>
      </w:pPr>
      <w:r>
        <w:tab/>
      </w:r>
      <w:r w:rsidR="00804094">
        <w:t>I am further persuaded by the testimony of t</w:t>
      </w:r>
      <w:r w:rsidR="00024B51" w:rsidRPr="00024B51">
        <w:t xml:space="preserve">he Commission’s representative in the West Penn procurement, Mr. Diskin, </w:t>
      </w:r>
      <w:r w:rsidR="00804094">
        <w:t xml:space="preserve">who </w:t>
      </w:r>
      <w:r w:rsidR="00024B51" w:rsidRPr="00024B51">
        <w:t>agreed with West Penn and Boston Pacific that J3’s bid</w:t>
      </w:r>
      <w:r w:rsidR="00C92C22">
        <w:t xml:space="preserve"> form spreadsheets</w:t>
      </w:r>
      <w:r w:rsidR="00024B51" w:rsidRPr="00024B51">
        <w:t xml:space="preserve"> had been correctly interpreted</w:t>
      </w:r>
      <w:r w:rsidR="009811C9" w:rsidRPr="00024B51">
        <w:t xml:space="preserve">.  </w:t>
      </w:r>
      <w:r w:rsidR="009811C9">
        <w:t>[</w:t>
      </w:r>
      <w:r w:rsidR="009811C9" w:rsidRPr="00237B7B">
        <w:rPr>
          <w:b/>
        </w:rPr>
        <w:t>BEGIN PROPRIETARY</w:t>
      </w:r>
      <w:r w:rsidR="009811C9">
        <w:rPr>
          <w:b/>
        </w:rPr>
        <w:t>]</w:t>
      </w:r>
      <w:r w:rsidR="009811C9">
        <w:t xml:space="preserve"> …</w:t>
      </w:r>
    </w:p>
    <w:p w:rsidR="00C737FF" w:rsidRDefault="00C737FF" w:rsidP="00D5783B">
      <w:pPr>
        <w:spacing w:line="360" w:lineRule="auto"/>
      </w:pPr>
    </w:p>
    <w:p w:rsidR="00C737FF" w:rsidRPr="00D1652F" w:rsidRDefault="00D5783B" w:rsidP="00D5783B">
      <w:pPr>
        <w:tabs>
          <w:tab w:val="left" w:pos="2880"/>
        </w:tabs>
        <w:spacing w:line="360" w:lineRule="auto"/>
      </w:pPr>
      <w:r w:rsidRPr="00D1652F">
        <w:tab/>
        <w:t>….</w:t>
      </w:r>
    </w:p>
    <w:p w:rsidR="00C737FF" w:rsidRPr="00D1652F" w:rsidRDefault="00D5783B" w:rsidP="00E5518F">
      <w:pPr>
        <w:tabs>
          <w:tab w:val="left" w:pos="9000"/>
        </w:tabs>
        <w:ind w:firstLine="1440"/>
      </w:pPr>
      <w:r w:rsidRPr="00D1652F">
        <w:t>…</w:t>
      </w:r>
      <w:r w:rsidRPr="00D1652F">
        <w:tab/>
        <w:t>:</w:t>
      </w:r>
      <w:r w:rsidR="00F87DF1" w:rsidRPr="00D1652F">
        <w:rPr>
          <w:rStyle w:val="FootnoteReference"/>
        </w:rPr>
        <w:footnoteReference w:id="23"/>
      </w:r>
    </w:p>
    <w:p w:rsidR="00E5518F" w:rsidRPr="00D1652F" w:rsidRDefault="00E5518F" w:rsidP="00E5518F">
      <w:pPr>
        <w:tabs>
          <w:tab w:val="left" w:pos="2160"/>
        </w:tabs>
        <w:spacing w:line="480" w:lineRule="auto"/>
        <w:ind w:firstLine="720"/>
      </w:pPr>
    </w:p>
    <w:p w:rsidR="00C737FF" w:rsidRPr="00D1652F" w:rsidRDefault="00D5783B" w:rsidP="00E5518F">
      <w:pPr>
        <w:tabs>
          <w:tab w:val="left" w:pos="2160"/>
        </w:tabs>
        <w:ind w:firstLine="720"/>
      </w:pPr>
      <w:r w:rsidRPr="00D1652F">
        <w:tab/>
        <w:t>…</w:t>
      </w:r>
    </w:p>
    <w:p w:rsidR="00C737FF" w:rsidRPr="00D1652F" w:rsidRDefault="00D5783B" w:rsidP="00E5518F">
      <w:pPr>
        <w:tabs>
          <w:tab w:val="left" w:pos="2160"/>
        </w:tabs>
        <w:ind w:firstLine="720"/>
      </w:pPr>
      <w:r w:rsidRPr="00D1652F">
        <w:tab/>
      </w:r>
    </w:p>
    <w:p w:rsidR="00C737FF" w:rsidRPr="00D1652F" w:rsidRDefault="00D5783B" w:rsidP="00E5518F">
      <w:pPr>
        <w:tabs>
          <w:tab w:val="left" w:pos="2160"/>
          <w:tab w:val="left" w:pos="8820"/>
        </w:tabs>
        <w:ind w:firstLine="720"/>
      </w:pPr>
      <w:r w:rsidRPr="00D1652F">
        <w:tab/>
      </w:r>
      <w:r w:rsidRPr="00D1652F">
        <w:tab/>
      </w:r>
      <w:r w:rsidR="00E5518F" w:rsidRPr="00D1652F">
        <w:t xml:space="preserve">  </w:t>
      </w:r>
      <w:r w:rsidRPr="00D1652F">
        <w:t>…</w:t>
      </w:r>
      <w:r w:rsidR="00E5518F" w:rsidRPr="00D1652F">
        <w:t>?</w:t>
      </w:r>
    </w:p>
    <w:p w:rsidR="00C737FF" w:rsidRPr="00D1652F" w:rsidRDefault="00D5783B" w:rsidP="00E5518F">
      <w:pPr>
        <w:ind w:firstLine="720"/>
      </w:pPr>
      <w:r w:rsidRPr="00D1652F">
        <w:tab/>
      </w:r>
    </w:p>
    <w:p w:rsidR="00C737FF" w:rsidRPr="00D1652F" w:rsidRDefault="00E5518F" w:rsidP="00E5518F">
      <w:pPr>
        <w:tabs>
          <w:tab w:val="left" w:pos="2160"/>
          <w:tab w:val="left" w:pos="9270"/>
        </w:tabs>
        <w:ind w:firstLine="1440"/>
      </w:pPr>
      <w:r w:rsidRPr="00D1652F">
        <w:tab/>
        <w:t>…</w:t>
      </w:r>
      <w:r w:rsidRPr="00D1652F">
        <w:tab/>
      </w:r>
    </w:p>
    <w:p w:rsidR="00E5518F" w:rsidRPr="00D1652F" w:rsidRDefault="00E5518F" w:rsidP="00E5518F">
      <w:pPr>
        <w:tabs>
          <w:tab w:val="left" w:pos="2160"/>
          <w:tab w:val="left" w:pos="9270"/>
        </w:tabs>
        <w:ind w:firstLine="2160"/>
      </w:pPr>
    </w:p>
    <w:p w:rsidR="00E5518F" w:rsidRPr="00D1652F" w:rsidRDefault="00E5518F" w:rsidP="00E5518F">
      <w:pPr>
        <w:tabs>
          <w:tab w:val="left" w:pos="2160"/>
          <w:tab w:val="left" w:pos="9270"/>
        </w:tabs>
        <w:ind w:firstLine="2160"/>
      </w:pPr>
    </w:p>
    <w:p w:rsidR="00E5518F" w:rsidRPr="00D1652F" w:rsidRDefault="00E5518F" w:rsidP="00E5518F">
      <w:pPr>
        <w:tabs>
          <w:tab w:val="left" w:pos="2160"/>
          <w:tab w:val="left" w:pos="9270"/>
        </w:tabs>
        <w:ind w:firstLine="2160"/>
      </w:pPr>
    </w:p>
    <w:p w:rsidR="00E5518F" w:rsidRPr="00D1652F" w:rsidRDefault="00E5518F" w:rsidP="00E5518F">
      <w:pPr>
        <w:tabs>
          <w:tab w:val="left" w:pos="2160"/>
          <w:tab w:val="left" w:pos="9270"/>
        </w:tabs>
        <w:ind w:firstLine="1440"/>
      </w:pPr>
      <w:r w:rsidRPr="00D1652F">
        <w:tab/>
        <w:t>….</w:t>
      </w:r>
    </w:p>
    <w:p w:rsidR="006D1487" w:rsidRPr="00D1652F" w:rsidRDefault="006D1487" w:rsidP="00E5518F">
      <w:pPr>
        <w:tabs>
          <w:tab w:val="left" w:pos="2160"/>
          <w:tab w:val="left" w:pos="9270"/>
        </w:tabs>
        <w:ind w:firstLine="1440"/>
      </w:pPr>
    </w:p>
    <w:p w:rsidR="006D1487" w:rsidRPr="00D1652F" w:rsidRDefault="006D1487" w:rsidP="006D1487">
      <w:pPr>
        <w:tabs>
          <w:tab w:val="left" w:pos="2160"/>
          <w:tab w:val="left" w:pos="5490"/>
          <w:tab w:val="left" w:pos="5760"/>
          <w:tab w:val="left" w:pos="9270"/>
        </w:tabs>
        <w:ind w:firstLine="1440"/>
      </w:pPr>
      <w:r w:rsidRPr="00D1652F">
        <w:tab/>
        <w:t>…</w:t>
      </w:r>
      <w:r w:rsidRPr="00D1652F">
        <w:tab/>
      </w:r>
      <w:r w:rsidRPr="00D1652F">
        <w:tab/>
        <w:t>…?</w:t>
      </w:r>
    </w:p>
    <w:p w:rsidR="006D1487" w:rsidRPr="00D1652F" w:rsidRDefault="006D1487" w:rsidP="006D1487">
      <w:pPr>
        <w:tabs>
          <w:tab w:val="left" w:pos="2160"/>
          <w:tab w:val="left" w:pos="5490"/>
          <w:tab w:val="left" w:pos="5760"/>
          <w:tab w:val="left" w:pos="9270"/>
        </w:tabs>
        <w:ind w:firstLine="1440"/>
      </w:pPr>
    </w:p>
    <w:p w:rsidR="006D1487" w:rsidRPr="00D1652F" w:rsidRDefault="006D1487" w:rsidP="006D1487">
      <w:pPr>
        <w:tabs>
          <w:tab w:val="left" w:pos="2160"/>
          <w:tab w:val="left" w:pos="5490"/>
          <w:tab w:val="left" w:pos="5760"/>
          <w:tab w:val="left" w:pos="9270"/>
        </w:tabs>
        <w:ind w:firstLine="1440"/>
      </w:pPr>
    </w:p>
    <w:p w:rsidR="006D1487" w:rsidRPr="00D1652F" w:rsidRDefault="006D1487" w:rsidP="006D1487">
      <w:pPr>
        <w:tabs>
          <w:tab w:val="left" w:pos="2160"/>
          <w:tab w:val="left" w:pos="5490"/>
          <w:tab w:val="left" w:pos="5760"/>
          <w:tab w:val="left" w:pos="9270"/>
        </w:tabs>
        <w:ind w:firstLine="1440"/>
      </w:pPr>
      <w:r w:rsidRPr="00D1652F">
        <w:tab/>
        <w:t>…</w:t>
      </w:r>
      <w:r w:rsidRPr="00D1652F">
        <w:tab/>
        <w:t xml:space="preserve">   ….</w:t>
      </w:r>
    </w:p>
    <w:p w:rsidR="006D1487" w:rsidRPr="00D1652F" w:rsidRDefault="006D1487" w:rsidP="006D1487">
      <w:pPr>
        <w:tabs>
          <w:tab w:val="left" w:pos="2160"/>
          <w:tab w:val="left" w:pos="5490"/>
          <w:tab w:val="left" w:pos="5760"/>
          <w:tab w:val="left" w:pos="9270"/>
        </w:tabs>
        <w:ind w:firstLine="1440"/>
      </w:pPr>
    </w:p>
    <w:p w:rsidR="006D1487" w:rsidRPr="00D1652F" w:rsidRDefault="006D1487" w:rsidP="006D1487">
      <w:pPr>
        <w:tabs>
          <w:tab w:val="left" w:pos="2160"/>
          <w:tab w:val="left" w:pos="5490"/>
          <w:tab w:val="left" w:pos="5760"/>
          <w:tab w:val="left" w:pos="9270"/>
        </w:tabs>
        <w:ind w:firstLine="1440"/>
      </w:pPr>
    </w:p>
    <w:p w:rsidR="006D1487" w:rsidRPr="00D1652F" w:rsidRDefault="006D1487" w:rsidP="006D1487">
      <w:pPr>
        <w:tabs>
          <w:tab w:val="left" w:pos="2160"/>
          <w:tab w:val="left" w:pos="5490"/>
          <w:tab w:val="left" w:pos="5760"/>
          <w:tab w:val="left" w:pos="9270"/>
        </w:tabs>
        <w:ind w:firstLine="1440"/>
      </w:pPr>
      <w:r w:rsidRPr="00D1652F">
        <w:tab/>
        <w:t>…</w:t>
      </w:r>
      <w:r w:rsidRPr="00D1652F">
        <w:tab/>
      </w:r>
      <w:r w:rsidRPr="00D1652F">
        <w:tab/>
      </w:r>
      <w:r w:rsidRPr="00D1652F">
        <w:tab/>
      </w:r>
    </w:p>
    <w:p w:rsidR="006D1487" w:rsidRPr="00D1652F" w:rsidRDefault="006D1487" w:rsidP="006D1487">
      <w:pPr>
        <w:tabs>
          <w:tab w:val="left" w:pos="2160"/>
          <w:tab w:val="left" w:pos="5490"/>
          <w:tab w:val="left" w:pos="5760"/>
          <w:tab w:val="left" w:pos="9270"/>
        </w:tabs>
        <w:ind w:firstLine="1440"/>
      </w:pPr>
      <w:r w:rsidRPr="00D1652F">
        <w:tab/>
      </w:r>
      <w:r w:rsidRPr="00D1652F">
        <w:tab/>
      </w:r>
      <w:r w:rsidRPr="00D1652F">
        <w:tab/>
      </w:r>
      <w:r w:rsidRPr="00D1652F">
        <w:tab/>
      </w:r>
    </w:p>
    <w:p w:rsidR="006D1487" w:rsidRPr="00D1652F" w:rsidRDefault="006D1487" w:rsidP="006D1487">
      <w:pPr>
        <w:tabs>
          <w:tab w:val="left" w:pos="2160"/>
          <w:tab w:val="left" w:pos="5490"/>
          <w:tab w:val="left" w:pos="5760"/>
          <w:tab w:val="left" w:pos="9270"/>
        </w:tabs>
        <w:ind w:firstLine="1440"/>
      </w:pPr>
      <w:r w:rsidRPr="00D1652F">
        <w:tab/>
      </w:r>
      <w:r w:rsidRPr="00D1652F">
        <w:tab/>
        <w:t>…?</w:t>
      </w:r>
    </w:p>
    <w:p w:rsidR="006D1487" w:rsidRPr="00D1652F" w:rsidRDefault="006D1487" w:rsidP="006D1487">
      <w:pPr>
        <w:tabs>
          <w:tab w:val="left" w:pos="2160"/>
          <w:tab w:val="left" w:pos="5490"/>
          <w:tab w:val="left" w:pos="5760"/>
          <w:tab w:val="left" w:pos="9270"/>
        </w:tabs>
        <w:ind w:firstLine="1440"/>
      </w:pPr>
    </w:p>
    <w:p w:rsidR="006D1487" w:rsidRPr="00D1652F" w:rsidRDefault="006D1487" w:rsidP="006D1487">
      <w:pPr>
        <w:tabs>
          <w:tab w:val="left" w:pos="2160"/>
          <w:tab w:val="left" w:pos="5490"/>
          <w:tab w:val="left" w:pos="5760"/>
          <w:tab w:val="left" w:pos="9270"/>
        </w:tabs>
        <w:ind w:firstLine="1440"/>
      </w:pPr>
      <w:r w:rsidRPr="00D1652F">
        <w:tab/>
        <w:t>…</w:t>
      </w:r>
      <w:r w:rsidRPr="00D1652F">
        <w:tab/>
      </w:r>
      <w:r w:rsidRPr="00D1652F">
        <w:tab/>
        <w:t>….</w:t>
      </w:r>
    </w:p>
    <w:p w:rsidR="006D1487" w:rsidRPr="00D1652F" w:rsidRDefault="006D1487" w:rsidP="006D1487">
      <w:pPr>
        <w:tabs>
          <w:tab w:val="left" w:pos="2160"/>
          <w:tab w:val="left" w:pos="5490"/>
          <w:tab w:val="left" w:pos="5760"/>
          <w:tab w:val="left" w:pos="9270"/>
        </w:tabs>
        <w:ind w:firstLine="1440"/>
      </w:pPr>
    </w:p>
    <w:p w:rsidR="006D1487" w:rsidRPr="00D1652F" w:rsidRDefault="006D1487" w:rsidP="006D1487">
      <w:pPr>
        <w:tabs>
          <w:tab w:val="left" w:pos="2160"/>
          <w:tab w:val="left" w:pos="5490"/>
          <w:tab w:val="left" w:pos="5760"/>
          <w:tab w:val="left" w:pos="9270"/>
        </w:tabs>
        <w:ind w:firstLine="1440"/>
      </w:pPr>
      <w:r w:rsidRPr="00D1652F">
        <w:tab/>
        <w:t>…</w:t>
      </w:r>
      <w:r w:rsidRPr="00D1652F">
        <w:tab/>
      </w:r>
      <w:r w:rsidRPr="00D1652F">
        <w:tab/>
        <w:t>…?</w:t>
      </w:r>
    </w:p>
    <w:p w:rsidR="006D1487" w:rsidRPr="00D1652F" w:rsidRDefault="006D1487" w:rsidP="006D1487">
      <w:pPr>
        <w:tabs>
          <w:tab w:val="left" w:pos="2160"/>
          <w:tab w:val="left" w:pos="5490"/>
          <w:tab w:val="left" w:pos="5760"/>
          <w:tab w:val="left" w:pos="9270"/>
        </w:tabs>
        <w:ind w:firstLine="1440"/>
      </w:pPr>
    </w:p>
    <w:p w:rsidR="006D1487" w:rsidRPr="00D1652F" w:rsidRDefault="006D1487" w:rsidP="006D1487">
      <w:pPr>
        <w:tabs>
          <w:tab w:val="left" w:pos="2160"/>
          <w:tab w:val="left" w:pos="4680"/>
          <w:tab w:val="left" w:pos="5760"/>
          <w:tab w:val="left" w:pos="9270"/>
        </w:tabs>
        <w:ind w:firstLine="1440"/>
      </w:pPr>
      <w:r w:rsidRPr="00D1652F">
        <w:tab/>
        <w:t>…</w:t>
      </w:r>
      <w:r w:rsidRPr="00D1652F">
        <w:tab/>
        <w:t>….</w:t>
      </w:r>
    </w:p>
    <w:p w:rsidR="006D1487" w:rsidRPr="00D1652F" w:rsidRDefault="006D1487" w:rsidP="006D1487">
      <w:pPr>
        <w:tabs>
          <w:tab w:val="left" w:pos="2160"/>
          <w:tab w:val="left" w:pos="4680"/>
          <w:tab w:val="left" w:pos="5760"/>
          <w:tab w:val="left" w:pos="9270"/>
        </w:tabs>
        <w:ind w:firstLine="1440"/>
      </w:pPr>
    </w:p>
    <w:p w:rsidR="006D1487" w:rsidRPr="00D1652F" w:rsidRDefault="006D1487" w:rsidP="006D1487">
      <w:pPr>
        <w:tabs>
          <w:tab w:val="left" w:pos="2160"/>
          <w:tab w:val="left" w:pos="4680"/>
          <w:tab w:val="left" w:pos="5760"/>
          <w:tab w:val="left" w:pos="9270"/>
        </w:tabs>
        <w:ind w:firstLine="1440"/>
      </w:pPr>
    </w:p>
    <w:p w:rsidR="00C737FF" w:rsidRPr="00D1652F" w:rsidRDefault="006D1487" w:rsidP="006D1487">
      <w:pPr>
        <w:tabs>
          <w:tab w:val="left" w:pos="2160"/>
          <w:tab w:val="left" w:pos="4680"/>
          <w:tab w:val="left" w:pos="5760"/>
          <w:tab w:val="left" w:pos="9270"/>
        </w:tabs>
        <w:spacing w:line="360" w:lineRule="auto"/>
        <w:ind w:firstLine="1440"/>
      </w:pPr>
      <w:r w:rsidRPr="00D1652F">
        <w:t>…</w:t>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002C0222" w:rsidRPr="00D1652F">
        <w:t>….</w:t>
      </w:r>
      <w:r w:rsidR="00F87DF1" w:rsidRPr="00D1652F">
        <w:rPr>
          <w:rStyle w:val="FootnoteReference"/>
        </w:rPr>
        <w:footnoteReference w:id="24"/>
      </w:r>
    </w:p>
    <w:p w:rsidR="002C0222" w:rsidRPr="00D1652F" w:rsidRDefault="002C0222" w:rsidP="006D1487">
      <w:pPr>
        <w:tabs>
          <w:tab w:val="left" w:pos="2160"/>
          <w:tab w:val="left" w:pos="4680"/>
          <w:tab w:val="left" w:pos="5760"/>
          <w:tab w:val="left" w:pos="9270"/>
        </w:tabs>
        <w:spacing w:line="360" w:lineRule="auto"/>
        <w:ind w:firstLine="1440"/>
      </w:pPr>
    </w:p>
    <w:p w:rsidR="002C0222" w:rsidRPr="00D1652F" w:rsidRDefault="002C0222" w:rsidP="006D1487">
      <w:pPr>
        <w:tabs>
          <w:tab w:val="left" w:pos="2160"/>
          <w:tab w:val="left" w:pos="4680"/>
          <w:tab w:val="left" w:pos="5760"/>
          <w:tab w:val="left" w:pos="9270"/>
        </w:tabs>
        <w:spacing w:line="360" w:lineRule="auto"/>
        <w:ind w:firstLine="1440"/>
      </w:pPr>
      <w:r w:rsidRPr="00D1652F">
        <w:t>…</w:t>
      </w:r>
      <w:r w:rsidRPr="00D1652F">
        <w:tab/>
      </w:r>
      <w:r w:rsidRPr="00D1652F">
        <w:tab/>
      </w:r>
      <w:r w:rsidRPr="00D1652F">
        <w:tab/>
      </w:r>
      <w:r w:rsidRPr="00D1652F">
        <w:tab/>
      </w:r>
    </w:p>
    <w:p w:rsidR="00C737FF" w:rsidRPr="00D1652F" w:rsidRDefault="002C0222" w:rsidP="00E5518F">
      <w:pPr>
        <w:ind w:firstLine="720"/>
      </w:pP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p>
    <w:p w:rsidR="00C737FF" w:rsidRPr="00D1652F" w:rsidRDefault="002C0222" w:rsidP="00E5518F">
      <w:pPr>
        <w:ind w:firstLine="720"/>
      </w:pP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p>
    <w:p w:rsidR="00C737FF" w:rsidRPr="00D1652F" w:rsidRDefault="002C0222" w:rsidP="00E5518F">
      <w:pPr>
        <w:ind w:firstLine="720"/>
      </w:pP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p>
    <w:p w:rsidR="00F87DF1" w:rsidRPr="00D1652F" w:rsidRDefault="002C0222" w:rsidP="002C0222">
      <w:pPr>
        <w:spacing w:line="360" w:lineRule="auto"/>
        <w:ind w:firstLine="720"/>
      </w:pP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r w:rsidRPr="00D1652F">
        <w:tab/>
      </w:r>
    </w:p>
    <w:p w:rsidR="00E519A3" w:rsidRDefault="00E519A3" w:rsidP="00A32E51">
      <w:pPr>
        <w:tabs>
          <w:tab w:val="left" w:pos="1440"/>
          <w:tab w:val="left" w:pos="9360"/>
        </w:tabs>
        <w:spacing w:line="360" w:lineRule="auto"/>
        <w:ind w:firstLine="720"/>
      </w:pPr>
    </w:p>
    <w:p w:rsidR="00F87DF1" w:rsidRPr="00D1652F" w:rsidRDefault="002C0222" w:rsidP="00A32E51">
      <w:pPr>
        <w:tabs>
          <w:tab w:val="left" w:pos="1440"/>
          <w:tab w:val="left" w:pos="9360"/>
        </w:tabs>
        <w:spacing w:line="360" w:lineRule="auto"/>
        <w:ind w:firstLine="720"/>
      </w:pPr>
      <w:r w:rsidRPr="00D1652F">
        <w:t>…</w:t>
      </w:r>
      <w:r w:rsidRPr="00D1652F">
        <w:tab/>
      </w:r>
    </w:p>
    <w:p w:rsidR="002C0222" w:rsidRPr="00D1652F" w:rsidRDefault="002C0222" w:rsidP="00A32E51">
      <w:pPr>
        <w:tabs>
          <w:tab w:val="left" w:pos="1440"/>
          <w:tab w:val="left" w:pos="9360"/>
        </w:tabs>
        <w:spacing w:line="360" w:lineRule="auto"/>
        <w:ind w:firstLine="720"/>
      </w:pPr>
      <w:r w:rsidRPr="00D1652F">
        <w:tab/>
      </w:r>
    </w:p>
    <w:p w:rsidR="002C0222" w:rsidRPr="00D1652F" w:rsidRDefault="002C0222" w:rsidP="00A32E51">
      <w:pPr>
        <w:tabs>
          <w:tab w:val="left" w:pos="1440"/>
          <w:tab w:val="left" w:pos="9360"/>
        </w:tabs>
        <w:spacing w:line="360" w:lineRule="auto"/>
        <w:ind w:firstLine="720"/>
      </w:pPr>
      <w:r w:rsidRPr="00D1652F">
        <w:tab/>
      </w:r>
    </w:p>
    <w:p w:rsidR="002C0222" w:rsidRPr="00D1652F" w:rsidRDefault="002C0222" w:rsidP="00A32E51">
      <w:pPr>
        <w:tabs>
          <w:tab w:val="left" w:pos="1440"/>
          <w:tab w:val="left" w:pos="9360"/>
        </w:tabs>
        <w:spacing w:line="360" w:lineRule="auto"/>
        <w:ind w:firstLine="720"/>
      </w:pPr>
      <w:r w:rsidRPr="00D1652F">
        <w:tab/>
      </w:r>
    </w:p>
    <w:p w:rsidR="00F87DF1" w:rsidRPr="00D1652F" w:rsidRDefault="002C0222" w:rsidP="00A32E51">
      <w:pPr>
        <w:tabs>
          <w:tab w:val="left" w:pos="1260"/>
          <w:tab w:val="left" w:pos="1440"/>
          <w:tab w:val="left" w:pos="9270"/>
        </w:tabs>
        <w:spacing w:line="360" w:lineRule="auto"/>
        <w:ind w:firstLine="720"/>
      </w:pPr>
      <w:r w:rsidRPr="00D1652F">
        <w:tab/>
        <w:t>….</w:t>
      </w:r>
      <w:r w:rsidR="00EC37D6" w:rsidRPr="00D1652F">
        <w:rPr>
          <w:rStyle w:val="FootnoteReference"/>
        </w:rPr>
        <w:footnoteReference w:id="25"/>
      </w:r>
      <w:r w:rsidR="00D1652F" w:rsidRPr="00D1652F">
        <w:t xml:space="preserve">  </w:t>
      </w:r>
      <w:r w:rsidR="00D1652F" w:rsidRPr="00D1652F">
        <w:tab/>
      </w:r>
      <w:r w:rsidR="00D1652F" w:rsidRPr="00D1652F">
        <w:tab/>
      </w:r>
    </w:p>
    <w:p w:rsidR="00D1652F" w:rsidRPr="00D1652F" w:rsidRDefault="00D1652F" w:rsidP="00A32E51">
      <w:pPr>
        <w:tabs>
          <w:tab w:val="left" w:pos="1260"/>
          <w:tab w:val="left" w:pos="1440"/>
          <w:tab w:val="left" w:pos="9270"/>
        </w:tabs>
        <w:spacing w:line="360" w:lineRule="auto"/>
        <w:ind w:firstLine="720"/>
      </w:pPr>
    </w:p>
    <w:p w:rsidR="00D1652F" w:rsidRDefault="00D1652F" w:rsidP="00A32E51">
      <w:pPr>
        <w:tabs>
          <w:tab w:val="left" w:pos="1260"/>
          <w:tab w:val="left" w:pos="1440"/>
          <w:tab w:val="left" w:pos="8820"/>
        </w:tabs>
        <w:spacing w:line="360" w:lineRule="auto"/>
        <w:ind w:firstLine="720"/>
      </w:pPr>
      <w:r>
        <w:tab/>
      </w:r>
      <w:r w:rsidRPr="00D1652F">
        <w:tab/>
      </w:r>
      <w:r w:rsidRPr="00D1652F">
        <w:tab/>
        <w:t xml:space="preserve">   ….</w:t>
      </w:r>
    </w:p>
    <w:p w:rsidR="00D1652F" w:rsidRDefault="00D1652F" w:rsidP="00A32E51">
      <w:pPr>
        <w:tabs>
          <w:tab w:val="left" w:pos="1260"/>
          <w:tab w:val="left" w:pos="1440"/>
          <w:tab w:val="left" w:pos="8820"/>
        </w:tabs>
        <w:spacing w:line="360" w:lineRule="auto"/>
        <w:ind w:firstLine="720"/>
      </w:pPr>
    </w:p>
    <w:p w:rsidR="00D1652F" w:rsidRDefault="00D1652F" w:rsidP="00A32E51">
      <w:pPr>
        <w:tabs>
          <w:tab w:val="left" w:pos="1260"/>
          <w:tab w:val="left" w:pos="1440"/>
          <w:tab w:val="left" w:pos="8820"/>
        </w:tabs>
        <w:spacing w:line="360" w:lineRule="auto"/>
        <w:ind w:firstLine="720"/>
      </w:pPr>
      <w:r>
        <w:tab/>
        <w:t>…</w:t>
      </w:r>
      <w:r>
        <w:tab/>
      </w:r>
      <w:r>
        <w:tab/>
      </w:r>
    </w:p>
    <w:p w:rsidR="00F87DF1" w:rsidRDefault="00D1652F" w:rsidP="00A32E51">
      <w:pPr>
        <w:tabs>
          <w:tab w:val="left" w:pos="1260"/>
          <w:tab w:val="left" w:pos="1440"/>
          <w:tab w:val="left" w:pos="6480"/>
          <w:tab w:val="left" w:pos="8820"/>
        </w:tabs>
        <w:spacing w:line="360" w:lineRule="auto"/>
        <w:ind w:firstLine="720"/>
      </w:pPr>
      <w:r>
        <w:tab/>
      </w:r>
      <w:r>
        <w:tab/>
      </w:r>
      <w:r>
        <w:tab/>
        <w:t>….</w:t>
      </w:r>
      <w:r w:rsidR="00EC37D6" w:rsidRPr="00D1652F">
        <w:rPr>
          <w:rStyle w:val="FootnoteReference"/>
        </w:rPr>
        <w:footnoteReference w:id="26"/>
      </w:r>
      <w:r>
        <w:t xml:space="preserve">  </w:t>
      </w:r>
      <w:r w:rsidR="00074D17">
        <w:tab/>
      </w:r>
      <w:r w:rsidR="00074D17">
        <w:tab/>
      </w:r>
    </w:p>
    <w:p w:rsidR="00074D17" w:rsidRDefault="00074D17" w:rsidP="00A32E51">
      <w:pPr>
        <w:tabs>
          <w:tab w:val="left" w:pos="1260"/>
          <w:tab w:val="left" w:pos="1440"/>
          <w:tab w:val="left" w:pos="6480"/>
          <w:tab w:val="left" w:pos="8820"/>
        </w:tabs>
        <w:spacing w:line="360" w:lineRule="auto"/>
        <w:ind w:firstLine="720"/>
      </w:pPr>
      <w:r>
        <w:tab/>
      </w:r>
      <w:r>
        <w:tab/>
      </w:r>
      <w:r>
        <w:tab/>
      </w:r>
      <w:r>
        <w:tab/>
      </w:r>
      <w:r>
        <w:tab/>
      </w:r>
    </w:p>
    <w:p w:rsidR="00272F0C" w:rsidRDefault="00074D17" w:rsidP="00A32E51">
      <w:pPr>
        <w:tabs>
          <w:tab w:val="left" w:pos="1260"/>
          <w:tab w:val="left" w:pos="1440"/>
          <w:tab w:val="left" w:pos="4230"/>
          <w:tab w:val="left" w:pos="6480"/>
          <w:tab w:val="left" w:pos="8820"/>
        </w:tabs>
        <w:spacing w:line="360" w:lineRule="auto"/>
        <w:ind w:firstLine="720"/>
      </w:pPr>
      <w:r>
        <w:tab/>
      </w:r>
      <w:r>
        <w:tab/>
      </w:r>
      <w:r>
        <w:tab/>
        <w:t xml:space="preserve">…. </w:t>
      </w:r>
      <w:r w:rsidR="0008095E">
        <w:rPr>
          <w:b/>
        </w:rPr>
        <w:t>[</w:t>
      </w:r>
      <w:r w:rsidR="00272F0C" w:rsidRPr="00237B7B">
        <w:rPr>
          <w:b/>
        </w:rPr>
        <w:t>END PROPRIETARY</w:t>
      </w:r>
      <w:r w:rsidR="0008095E">
        <w:rPr>
          <w:b/>
        </w:rPr>
        <w:t>]</w:t>
      </w:r>
    </w:p>
    <w:p w:rsidR="00EC37D6" w:rsidRPr="00074D17" w:rsidRDefault="00EC37D6" w:rsidP="00A32E51">
      <w:pPr>
        <w:pStyle w:val="BodyText2"/>
        <w:tabs>
          <w:tab w:val="left" w:pos="1440"/>
        </w:tabs>
        <w:spacing w:line="360" w:lineRule="auto"/>
        <w:ind w:firstLine="720"/>
        <w:jc w:val="left"/>
        <w:rPr>
          <w:rFonts w:ascii="Times New Roman" w:hAnsi="Times New Roman"/>
          <w:szCs w:val="24"/>
        </w:rPr>
      </w:pPr>
    </w:p>
    <w:p w:rsidR="009F48A4" w:rsidRPr="00C737FF" w:rsidRDefault="00E5766C" w:rsidP="00A32E51">
      <w:pPr>
        <w:pStyle w:val="BodyText2"/>
        <w:spacing w:line="360" w:lineRule="auto"/>
        <w:ind w:firstLine="720"/>
        <w:jc w:val="left"/>
        <w:rPr>
          <w:rFonts w:ascii="Times New Roman" w:eastAsia="Calibri" w:hAnsi="Times New Roman"/>
        </w:rPr>
      </w:pPr>
      <w:r>
        <w:rPr>
          <w:szCs w:val="24"/>
        </w:rPr>
        <w:tab/>
      </w:r>
      <w:r w:rsidR="00024B51" w:rsidRPr="00C737FF">
        <w:rPr>
          <w:rFonts w:ascii="Times New Roman" w:hAnsi="Times New Roman"/>
          <w:szCs w:val="24"/>
        </w:rPr>
        <w:t xml:space="preserve">Mr. Russial performed the bidding strategy and interpretation of the “all or nothing” versus “up to” RFP rules by himself.  Mr. Russial testified that he prepared the Part 2 proposal documents and made the submission primarily on his own. </w:t>
      </w:r>
      <w:r w:rsidR="003C4D4D">
        <w:rPr>
          <w:rFonts w:ascii="Times New Roman" w:hAnsi="Times New Roman"/>
          <w:szCs w:val="24"/>
        </w:rPr>
        <w:t xml:space="preserve"> </w:t>
      </w:r>
      <w:r w:rsidR="00024B51" w:rsidRPr="00C737FF">
        <w:rPr>
          <w:rFonts w:ascii="Times New Roman" w:hAnsi="Times New Roman"/>
          <w:szCs w:val="24"/>
        </w:rPr>
        <w:t>He further stated that he did not consult with anyone about the meaning of “all or nothing” versus “up to” offer type designation.</w:t>
      </w:r>
      <w:r w:rsidR="00024B51" w:rsidRPr="00C737FF">
        <w:rPr>
          <w:rStyle w:val="FootnoteReference"/>
          <w:rFonts w:ascii="Times New Roman" w:hAnsi="Times New Roman"/>
          <w:szCs w:val="24"/>
        </w:rPr>
        <w:footnoteReference w:id="27"/>
      </w:r>
      <w:r w:rsidR="00024B51" w:rsidRPr="00C737FF">
        <w:rPr>
          <w:rFonts w:ascii="Times New Roman" w:hAnsi="Times New Roman"/>
          <w:szCs w:val="24"/>
        </w:rPr>
        <w:t xml:space="preserve"> </w:t>
      </w:r>
      <w:r w:rsidR="00112E41" w:rsidRPr="00C737FF">
        <w:rPr>
          <w:rFonts w:ascii="Times New Roman" w:hAnsi="Times New Roman"/>
          <w:szCs w:val="24"/>
        </w:rPr>
        <w:t xml:space="preserve"> </w:t>
      </w:r>
      <w:r w:rsidR="00024B51" w:rsidRPr="00C737FF">
        <w:rPr>
          <w:rFonts w:ascii="Times New Roman" w:hAnsi="Times New Roman"/>
          <w:szCs w:val="24"/>
        </w:rPr>
        <w:t xml:space="preserve">Mr. Russial </w:t>
      </w:r>
      <w:r w:rsidR="00804094" w:rsidRPr="00C737FF">
        <w:rPr>
          <w:rFonts w:ascii="Times New Roman" w:hAnsi="Times New Roman"/>
          <w:szCs w:val="24"/>
        </w:rPr>
        <w:t xml:space="preserve">did not </w:t>
      </w:r>
      <w:r w:rsidR="00024B51" w:rsidRPr="00C737FF">
        <w:rPr>
          <w:rFonts w:ascii="Times New Roman" w:hAnsi="Times New Roman"/>
          <w:szCs w:val="24"/>
        </w:rPr>
        <w:t xml:space="preserve">avail himself of West Penn’s public question and answer process to submit questions about the RFP terminology. </w:t>
      </w:r>
      <w:r w:rsidR="00024B51" w:rsidRPr="00C737FF">
        <w:rPr>
          <w:rStyle w:val="FootnoteReference"/>
          <w:rFonts w:ascii="Times New Roman" w:hAnsi="Times New Roman"/>
          <w:szCs w:val="24"/>
        </w:rPr>
        <w:footnoteReference w:id="28"/>
      </w:r>
      <w:r w:rsidR="00024B51" w:rsidRPr="00C737FF">
        <w:rPr>
          <w:rFonts w:ascii="Times New Roman" w:hAnsi="Times New Roman"/>
          <w:szCs w:val="24"/>
        </w:rPr>
        <w:t xml:space="preserve"> </w:t>
      </w:r>
      <w:r w:rsidR="003C4D4D">
        <w:rPr>
          <w:rFonts w:ascii="Times New Roman" w:hAnsi="Times New Roman"/>
          <w:szCs w:val="24"/>
        </w:rPr>
        <w:t xml:space="preserve"> </w:t>
      </w:r>
      <w:r w:rsidR="00024B51" w:rsidRPr="00C737FF">
        <w:rPr>
          <w:rFonts w:ascii="Times New Roman" w:hAnsi="Times New Roman"/>
          <w:szCs w:val="24"/>
        </w:rPr>
        <w:t xml:space="preserve">The preparation of J3’s Part 2 proposal including the </w:t>
      </w:r>
      <w:r w:rsidR="00024B51" w:rsidRPr="00C737FF">
        <w:rPr>
          <w:rFonts w:ascii="Times New Roman" w:hAnsi="Times New Roman"/>
        </w:rPr>
        <w:t>bid-form spreadsheets</w:t>
      </w:r>
      <w:r w:rsidR="00024B51" w:rsidRPr="00C737FF">
        <w:rPr>
          <w:rFonts w:ascii="Times New Roman" w:hAnsi="Times New Roman"/>
          <w:szCs w:val="24"/>
        </w:rPr>
        <w:t xml:space="preserve"> in isolation, without consultation of a second opinion, and without the use of clarification through the FAQ tools, may have resulted in J3’s misinterpretation or lack of understanding of the RFP terms.</w:t>
      </w:r>
    </w:p>
    <w:p w:rsidR="009F48A4" w:rsidRPr="00C737FF" w:rsidRDefault="009F48A4" w:rsidP="00A32E51">
      <w:pPr>
        <w:spacing w:line="360" w:lineRule="auto"/>
        <w:rPr>
          <w:rFonts w:eastAsia="Calibri"/>
          <w:lang w:bidi="ar-SA"/>
        </w:rPr>
      </w:pPr>
    </w:p>
    <w:p w:rsidR="00007E29" w:rsidRPr="00C737FF" w:rsidRDefault="005D38C2" w:rsidP="00A32E51">
      <w:pPr>
        <w:pStyle w:val="BodyText2"/>
        <w:tabs>
          <w:tab w:val="left" w:pos="-720"/>
          <w:tab w:val="left" w:pos="720"/>
        </w:tabs>
        <w:suppressAutoHyphens/>
        <w:spacing w:line="360" w:lineRule="auto"/>
        <w:jc w:val="left"/>
        <w:rPr>
          <w:rFonts w:ascii="Times New Roman" w:hAnsi="Times New Roman"/>
        </w:rPr>
      </w:pPr>
      <w:r>
        <w:rPr>
          <w:rFonts w:ascii="Times New Roman" w:hAnsi="Times New Roman"/>
          <w:szCs w:val="24"/>
        </w:rPr>
        <w:tab/>
      </w:r>
      <w:r w:rsidR="00E5766C">
        <w:rPr>
          <w:rFonts w:ascii="Times New Roman" w:hAnsi="Times New Roman"/>
          <w:szCs w:val="24"/>
        </w:rPr>
        <w:tab/>
      </w:r>
      <w:r w:rsidR="008F1BD4">
        <w:rPr>
          <w:rFonts w:ascii="Times New Roman" w:hAnsi="Times New Roman"/>
          <w:szCs w:val="24"/>
        </w:rPr>
        <w:t xml:space="preserve">I am persuaded by the substantial evidence in this case to find that </w:t>
      </w:r>
      <w:r w:rsidR="002C2B25" w:rsidRPr="00CF4AC4">
        <w:rPr>
          <w:rFonts w:ascii="Times New Roman" w:hAnsi="Times New Roman"/>
          <w:szCs w:val="24"/>
        </w:rPr>
        <w:t xml:space="preserve">West Penn’s competitive bid solicitation was conducted </w:t>
      </w:r>
      <w:r w:rsidR="002C2B25">
        <w:rPr>
          <w:rFonts w:ascii="Times New Roman" w:hAnsi="Times New Roman"/>
          <w:szCs w:val="24"/>
        </w:rPr>
        <w:t xml:space="preserve">in accordance with </w:t>
      </w:r>
      <w:r w:rsidR="002C2B25" w:rsidRPr="00CF4AC4">
        <w:rPr>
          <w:rFonts w:ascii="Times New Roman" w:hAnsi="Times New Roman"/>
          <w:szCs w:val="24"/>
        </w:rPr>
        <w:t xml:space="preserve">Commission regulations at 52 Pa. Code §54.186.  </w:t>
      </w:r>
      <w:r w:rsidR="008F1BD4">
        <w:rPr>
          <w:rFonts w:ascii="Times New Roman" w:hAnsi="Times New Roman"/>
          <w:szCs w:val="24"/>
        </w:rPr>
        <w:t>West Penn complied with the</w:t>
      </w:r>
      <w:r w:rsidR="002C2B25" w:rsidRPr="00CF4AC4">
        <w:rPr>
          <w:rFonts w:ascii="Times New Roman" w:hAnsi="Times New Roman"/>
          <w:szCs w:val="24"/>
        </w:rPr>
        <w:t xml:space="preserve"> regula</w:t>
      </w:r>
      <w:r w:rsidR="008F1BD4">
        <w:rPr>
          <w:rFonts w:ascii="Times New Roman" w:hAnsi="Times New Roman"/>
          <w:szCs w:val="24"/>
        </w:rPr>
        <w:t>tory requirement t</w:t>
      </w:r>
      <w:r w:rsidR="002C2B25" w:rsidRPr="00CF4AC4">
        <w:rPr>
          <w:rFonts w:ascii="Times New Roman" w:hAnsi="Times New Roman"/>
          <w:szCs w:val="24"/>
        </w:rPr>
        <w:t>hat default service</w:t>
      </w:r>
      <w:r w:rsidR="00E519A3">
        <w:rPr>
          <w:rFonts w:ascii="Times New Roman" w:hAnsi="Times New Roman"/>
          <w:szCs w:val="24"/>
        </w:rPr>
        <w:t xml:space="preserve"> </w:t>
      </w:r>
      <w:r w:rsidR="002C2B25" w:rsidRPr="00CF4AC4">
        <w:rPr>
          <w:rFonts w:ascii="Times New Roman" w:hAnsi="Times New Roman"/>
          <w:szCs w:val="24"/>
        </w:rPr>
        <w:t xml:space="preserve">procurement be monitored by the Commission and by an independent third party evaluator. </w:t>
      </w:r>
      <w:r w:rsidR="008F1BD4">
        <w:rPr>
          <w:rFonts w:ascii="Times New Roman" w:hAnsi="Times New Roman"/>
          <w:szCs w:val="24"/>
        </w:rPr>
        <w:t xml:space="preserve"> </w:t>
      </w:r>
      <w:r w:rsidR="00007E29" w:rsidRPr="00C737FF">
        <w:rPr>
          <w:rFonts w:ascii="Times New Roman" w:hAnsi="Times New Roman"/>
        </w:rPr>
        <w:t>West Penn, in consultation with the Commission,</w:t>
      </w:r>
      <w:r w:rsidR="00007E29" w:rsidRPr="00C737FF">
        <w:rPr>
          <w:rStyle w:val="FootnoteReference"/>
          <w:rFonts w:ascii="Times New Roman" w:hAnsi="Times New Roman"/>
        </w:rPr>
        <w:footnoteReference w:id="29"/>
      </w:r>
      <w:r w:rsidR="00007E29" w:rsidRPr="00C737FF">
        <w:rPr>
          <w:rFonts w:ascii="Times New Roman" w:hAnsi="Times New Roman"/>
        </w:rPr>
        <w:t xml:space="preserve"> hired Boston Pacific Company, Inc. as the IPM for the RFPs, both Tier I (non solar) and solar.  Boston Pacific was selected in September 2010 after the Commission’s approval of West Penn’s RFP.</w:t>
      </w:r>
      <w:r w:rsidR="00007E29" w:rsidRPr="00C737FF">
        <w:rPr>
          <w:rStyle w:val="FootnoteReference"/>
          <w:rFonts w:ascii="Times New Roman" w:hAnsi="Times New Roman"/>
        </w:rPr>
        <w:footnoteReference w:id="30"/>
      </w:r>
      <w:r w:rsidR="00007E29" w:rsidRPr="00C737FF">
        <w:rPr>
          <w:rFonts w:ascii="Times New Roman" w:hAnsi="Times New Roman"/>
        </w:rPr>
        <w:t xml:space="preserve">  In accord with Commission regulations Boston Pacific reported to the Commission and was paid by West Penn.  Boston Pacific’s scope of work for the RFP included RFP document review, protection from public disclosure of data, pre-bid review with the Commission, onsite bid day monitoring, and evaluation of the RFP and the bid results.</w:t>
      </w:r>
      <w:r w:rsidR="00007E29" w:rsidRPr="00C737FF">
        <w:rPr>
          <w:rStyle w:val="FootnoteReference"/>
          <w:rFonts w:ascii="Times New Roman" w:hAnsi="Times New Roman"/>
        </w:rPr>
        <w:footnoteReference w:id="31"/>
      </w:r>
      <w:r w:rsidR="008F1BD4" w:rsidRPr="00C737FF">
        <w:rPr>
          <w:rFonts w:ascii="Times New Roman" w:hAnsi="Times New Roman"/>
        </w:rPr>
        <w:t xml:space="preserve">  Boston Pacific further prepared and delivered an evaluation report to the Commission in a timely manner after the evaluation took place.</w:t>
      </w:r>
    </w:p>
    <w:p w:rsidR="00007E29" w:rsidRPr="00C737FF" w:rsidRDefault="00007E29" w:rsidP="00007E29">
      <w:pPr>
        <w:tabs>
          <w:tab w:val="left" w:pos="720"/>
        </w:tabs>
        <w:spacing w:line="360" w:lineRule="auto"/>
      </w:pPr>
    </w:p>
    <w:p w:rsidR="00007E29" w:rsidRPr="00106DD5" w:rsidRDefault="00007E29" w:rsidP="00007E29">
      <w:pPr>
        <w:tabs>
          <w:tab w:val="left" w:pos="720"/>
        </w:tabs>
        <w:spacing w:line="360" w:lineRule="auto"/>
      </w:pPr>
      <w:r>
        <w:tab/>
      </w:r>
      <w:r>
        <w:tab/>
      </w:r>
      <w:r w:rsidR="008F1BD4">
        <w:t>The record shows that</w:t>
      </w:r>
      <w:r w:rsidRPr="00106DD5">
        <w:t xml:space="preserve"> </w:t>
      </w:r>
      <w:r>
        <w:t xml:space="preserve">Boston Pacific and </w:t>
      </w:r>
      <w:r w:rsidRPr="00106DD5">
        <w:t xml:space="preserve">West Penn conducted a webinar and posted questions and answers on </w:t>
      </w:r>
      <w:r>
        <w:t>West Penn’s</w:t>
      </w:r>
      <w:r w:rsidRPr="00106DD5">
        <w:t xml:space="preserve"> </w:t>
      </w:r>
      <w:r>
        <w:t xml:space="preserve">public </w:t>
      </w:r>
      <w:r w:rsidRPr="00106DD5">
        <w:t xml:space="preserve">website.  Bidders were encouraged to ask questions </w:t>
      </w:r>
      <w:r>
        <w:t>about</w:t>
      </w:r>
      <w:r w:rsidRPr="00106DD5">
        <w:t xml:space="preserve"> the RFP process and the questions and the answers were posted on the website.  J3 and </w:t>
      </w:r>
      <w:r>
        <w:t xml:space="preserve">all </w:t>
      </w:r>
      <w:r w:rsidRPr="00106DD5">
        <w:t xml:space="preserve">other bidders had ample opportunity to submit questions about the RFP Process.  J3 did not avail itself of the opportunity to ask questions or </w:t>
      </w:r>
      <w:r>
        <w:t xml:space="preserve">to </w:t>
      </w:r>
      <w:r w:rsidRPr="00106DD5">
        <w:t>seek clarification of the RFP</w:t>
      </w:r>
      <w:r>
        <w:t xml:space="preserve"> terminology of “all or nothing” or “up to.”</w:t>
      </w:r>
      <w:r>
        <w:rPr>
          <w:rStyle w:val="FootnoteReference"/>
        </w:rPr>
        <w:footnoteReference w:id="32"/>
      </w:r>
      <w:r w:rsidRPr="00106DD5">
        <w:t xml:space="preserve"> </w:t>
      </w:r>
      <w:r>
        <w:t xml:space="preserve"> J3 had submitted questions prior to bid day concerning collateral (bidders’ security) issues, and it submitted a post-bid question in which it inquired how bids had been evaluated, but J3 did not inquire before bid day about the evaluation of offers or RFP terminology.</w:t>
      </w:r>
      <w:r w:rsidRPr="00106DD5">
        <w:t xml:space="preserve">  </w:t>
      </w:r>
      <w:r>
        <w:t>Only a</w:t>
      </w:r>
      <w:r w:rsidRPr="00106DD5">
        <w:t>fte</w:t>
      </w:r>
      <w:r>
        <w:t>r the RFP awards were public did</w:t>
      </w:r>
      <w:r w:rsidRPr="00106DD5">
        <w:t xml:space="preserve"> J3</w:t>
      </w:r>
      <w:r>
        <w:t xml:space="preserve"> use the public question process to</w:t>
      </w:r>
      <w:r w:rsidRPr="00106DD5">
        <w:t xml:space="preserve"> inquire about the </w:t>
      </w:r>
      <w:r>
        <w:t>RFP</w:t>
      </w:r>
      <w:r w:rsidRPr="00106DD5">
        <w:t xml:space="preserve"> evaluation methodology.</w:t>
      </w:r>
    </w:p>
    <w:p w:rsidR="00007E29" w:rsidRDefault="00007E29" w:rsidP="00007E29">
      <w:pPr>
        <w:tabs>
          <w:tab w:val="left" w:pos="720"/>
        </w:tabs>
        <w:spacing w:line="360" w:lineRule="auto"/>
      </w:pPr>
    </w:p>
    <w:p w:rsidR="00007E29" w:rsidRDefault="00E5766C" w:rsidP="00007E29">
      <w:pPr>
        <w:tabs>
          <w:tab w:val="left" w:pos="720"/>
        </w:tabs>
        <w:spacing w:line="360" w:lineRule="auto"/>
      </w:pPr>
      <w:r>
        <w:tab/>
      </w:r>
      <w:r w:rsidR="00007E29">
        <w:tab/>
      </w:r>
      <w:r w:rsidR="00007E29" w:rsidRPr="00106DD5">
        <w:t xml:space="preserve">The theory behind the “all or nothing” designation was to account for the developing nature of </w:t>
      </w:r>
      <w:r w:rsidR="009811C9">
        <w:t xml:space="preserve">the </w:t>
      </w:r>
      <w:r w:rsidR="00007E29" w:rsidRPr="00106DD5">
        <w:t>renewable generation industry.  The “all or nothing” designation was meant to accommodate bidders that may plan to build a solar installation based on winnings in West Penn’s RFP, but who may be unable to construct their installation if they won less than their total offered quantities.</w:t>
      </w:r>
      <w:r w:rsidR="00007E29" w:rsidRPr="00106DD5">
        <w:rPr>
          <w:rStyle w:val="FootnoteReference"/>
        </w:rPr>
        <w:footnoteReference w:id="33"/>
      </w:r>
    </w:p>
    <w:p w:rsidR="002C2B25" w:rsidRDefault="002C2B25" w:rsidP="00804094">
      <w:pPr>
        <w:tabs>
          <w:tab w:val="left" w:pos="720"/>
        </w:tabs>
        <w:spacing w:line="360" w:lineRule="auto"/>
      </w:pPr>
      <w:r>
        <w:tab/>
      </w:r>
      <w:r w:rsidR="00E5766C">
        <w:tab/>
      </w:r>
      <w:r w:rsidRPr="002F138F">
        <w:t>Boston Pacific’s final report to the Commission was provided to the Commissioners’ assistants on Wednesday, December 8, 2010.  The decision to approve the bid evaluation and to award the bids to UGI was made in a unanimous fashion by all five Commissioners approving the auction.</w:t>
      </w:r>
      <w:r w:rsidR="009811C9" w:rsidRPr="00024B51">
        <w:t xml:space="preserve">  </w:t>
      </w:r>
      <w:r w:rsidR="009811C9">
        <w:t>[</w:t>
      </w:r>
      <w:r w:rsidR="009811C9" w:rsidRPr="00237B7B">
        <w:rPr>
          <w:b/>
        </w:rPr>
        <w:t>BEGIN PROPRIETARY</w:t>
      </w:r>
      <w:r w:rsidR="009811C9">
        <w:rPr>
          <w:b/>
        </w:rPr>
        <w:t>]</w:t>
      </w:r>
      <w:r w:rsidR="009811C9">
        <w:t xml:space="preserve"> …</w:t>
      </w:r>
      <w:r w:rsidRPr="002F138F">
        <w:t xml:space="preserve"> </w:t>
      </w:r>
    </w:p>
    <w:p w:rsidR="009811C9" w:rsidRDefault="009811C9" w:rsidP="00804094">
      <w:pPr>
        <w:tabs>
          <w:tab w:val="left" w:pos="720"/>
        </w:tabs>
        <w:spacing w:line="360" w:lineRule="auto"/>
      </w:pPr>
    </w:p>
    <w:p w:rsidR="009811C9" w:rsidRDefault="009811C9" w:rsidP="00804094">
      <w:pPr>
        <w:tabs>
          <w:tab w:val="left" w:pos="720"/>
        </w:tabs>
        <w:spacing w:line="360" w:lineRule="auto"/>
      </w:pPr>
    </w:p>
    <w:p w:rsidR="009811C9" w:rsidRDefault="009811C9" w:rsidP="00804094">
      <w:pPr>
        <w:tabs>
          <w:tab w:val="left" w:pos="720"/>
        </w:tabs>
        <w:spacing w:line="360" w:lineRule="auto"/>
      </w:pPr>
    </w:p>
    <w:p w:rsidR="009811C9" w:rsidRDefault="009811C9" w:rsidP="00804094">
      <w:pPr>
        <w:tabs>
          <w:tab w:val="left" w:pos="720"/>
        </w:tabs>
        <w:spacing w:line="360" w:lineRule="auto"/>
      </w:pPr>
    </w:p>
    <w:p w:rsidR="009811C9" w:rsidRDefault="009811C9" w:rsidP="00804094">
      <w:pPr>
        <w:tabs>
          <w:tab w:val="left" w:pos="720"/>
        </w:tabs>
        <w:spacing w:line="360" w:lineRule="auto"/>
      </w:pPr>
    </w:p>
    <w:p w:rsidR="009811C9" w:rsidRDefault="004D1414" w:rsidP="00804094">
      <w:pPr>
        <w:tabs>
          <w:tab w:val="left" w:pos="720"/>
        </w:tabs>
        <w:spacing w:line="360" w:lineRule="auto"/>
      </w:pPr>
      <w:r>
        <w:tab/>
      </w:r>
      <w:r>
        <w:tab/>
      </w:r>
      <w:r>
        <w:tab/>
      </w:r>
      <w:r>
        <w:tab/>
      </w:r>
      <w:r>
        <w:tab/>
      </w:r>
      <w:r>
        <w:tab/>
      </w:r>
      <w:r>
        <w:tab/>
        <w:t>….</w:t>
      </w:r>
      <w:r w:rsidR="009811C9">
        <w:t xml:space="preserve"> </w:t>
      </w:r>
      <w:r w:rsidR="009811C9" w:rsidRPr="00024B51">
        <w:t xml:space="preserve"> </w:t>
      </w:r>
      <w:r w:rsidR="009811C9">
        <w:t>[</w:t>
      </w:r>
      <w:r w:rsidR="009811C9" w:rsidRPr="00237B7B">
        <w:rPr>
          <w:b/>
        </w:rPr>
        <w:t>E</w:t>
      </w:r>
      <w:r w:rsidR="009811C9">
        <w:rPr>
          <w:b/>
        </w:rPr>
        <w:t>ND</w:t>
      </w:r>
      <w:r w:rsidR="009811C9" w:rsidRPr="00237B7B">
        <w:rPr>
          <w:b/>
        </w:rPr>
        <w:t xml:space="preserve"> PROPRIETARY</w:t>
      </w:r>
      <w:r w:rsidR="009811C9">
        <w:rPr>
          <w:b/>
        </w:rPr>
        <w:t>]</w:t>
      </w:r>
      <w:r w:rsidR="009811C9">
        <w:t xml:space="preserve">  </w:t>
      </w:r>
    </w:p>
    <w:p w:rsidR="0047138B" w:rsidRPr="00106DD5" w:rsidRDefault="0047138B" w:rsidP="00ED2141">
      <w:pPr>
        <w:pStyle w:val="BodyText2"/>
        <w:spacing w:line="360" w:lineRule="auto"/>
        <w:jc w:val="left"/>
        <w:rPr>
          <w:rFonts w:ascii="Times New Roman" w:hAnsi="Times New Roman"/>
          <w:szCs w:val="24"/>
        </w:rPr>
      </w:pPr>
    </w:p>
    <w:p w:rsidR="002C2B25" w:rsidRPr="00C737FF" w:rsidRDefault="00E5766C" w:rsidP="00ED2141">
      <w:pPr>
        <w:pStyle w:val="BodyText2"/>
        <w:spacing w:line="360" w:lineRule="auto"/>
        <w:ind w:firstLine="720"/>
        <w:jc w:val="left"/>
        <w:rPr>
          <w:rFonts w:ascii="Times New Roman" w:hAnsi="Times New Roman"/>
        </w:rPr>
      </w:pPr>
      <w:r>
        <w:rPr>
          <w:rFonts w:ascii="Times New Roman" w:hAnsi="Times New Roman"/>
          <w:szCs w:val="24"/>
        </w:rPr>
        <w:tab/>
      </w:r>
      <w:r w:rsidR="002C2B25" w:rsidRPr="00106DD5">
        <w:rPr>
          <w:rFonts w:ascii="Times New Roman" w:hAnsi="Times New Roman"/>
          <w:szCs w:val="24"/>
        </w:rPr>
        <w:t>The RFP rules at Section 9.19 provided that the Commission would have three (3) business days after report submission by the I</w:t>
      </w:r>
      <w:r w:rsidR="002C2B25">
        <w:rPr>
          <w:rFonts w:ascii="Times New Roman" w:hAnsi="Times New Roman"/>
          <w:szCs w:val="24"/>
        </w:rPr>
        <w:t xml:space="preserve">PM </w:t>
      </w:r>
      <w:r w:rsidR="002C2B25" w:rsidRPr="00106DD5">
        <w:rPr>
          <w:rFonts w:ascii="Times New Roman" w:hAnsi="Times New Roman"/>
          <w:szCs w:val="24"/>
        </w:rPr>
        <w:t>to decide whether or not to approve the results.</w:t>
      </w:r>
      <w:r w:rsidR="002C2B25" w:rsidRPr="00106DD5">
        <w:rPr>
          <w:rStyle w:val="FootnoteReference"/>
          <w:rFonts w:ascii="Times New Roman" w:hAnsi="Times New Roman"/>
          <w:szCs w:val="24"/>
        </w:rPr>
        <w:footnoteReference w:id="34"/>
      </w:r>
      <w:r w:rsidR="002C2B25" w:rsidRPr="00C00804">
        <w:t xml:space="preserve"> </w:t>
      </w:r>
      <w:r w:rsidR="00471465">
        <w:t xml:space="preserve"> </w:t>
      </w:r>
      <w:r w:rsidR="002C2B25" w:rsidRPr="00C737FF">
        <w:rPr>
          <w:rFonts w:ascii="Times New Roman" w:hAnsi="Times New Roman"/>
        </w:rPr>
        <w:t>Section 9.19 further provides that after the Commission’s decision, “[t]he company or IPM will notify all Bidders of the PaPUC’s decision.”</w:t>
      </w:r>
    </w:p>
    <w:p w:rsidR="0047138B" w:rsidRPr="00C737FF" w:rsidRDefault="0047138B" w:rsidP="00ED2141">
      <w:pPr>
        <w:pStyle w:val="BodyText2"/>
        <w:spacing w:line="360" w:lineRule="auto"/>
        <w:ind w:firstLine="720"/>
        <w:jc w:val="left"/>
        <w:rPr>
          <w:rFonts w:ascii="Times New Roman" w:hAnsi="Times New Roman"/>
        </w:rPr>
      </w:pPr>
    </w:p>
    <w:p w:rsidR="002C2B25" w:rsidRDefault="00E5766C" w:rsidP="00ED2141">
      <w:pPr>
        <w:pStyle w:val="BodyText2"/>
        <w:spacing w:line="360" w:lineRule="auto"/>
        <w:ind w:firstLine="720"/>
        <w:jc w:val="left"/>
        <w:rPr>
          <w:rFonts w:ascii="Times New Roman" w:hAnsi="Times New Roman"/>
        </w:rPr>
      </w:pPr>
      <w:r w:rsidRPr="00C737FF">
        <w:rPr>
          <w:rFonts w:ascii="Times New Roman" w:hAnsi="Times New Roman"/>
        </w:rPr>
        <w:tab/>
      </w:r>
      <w:r w:rsidR="002C2B25" w:rsidRPr="00C737FF">
        <w:rPr>
          <w:rFonts w:ascii="Times New Roman" w:hAnsi="Times New Roman"/>
        </w:rPr>
        <w:t>On December 10, 2010, the Commission issued a Secretarial Letter to West Penn stating that the RFP results from the December 3, 2010 procurement were approved. The Secretarial Letter provided</w:t>
      </w:r>
      <w:r w:rsidR="0047138B" w:rsidRPr="00C737FF">
        <w:rPr>
          <w:rFonts w:ascii="Times New Roman" w:hAnsi="Times New Roman"/>
        </w:rPr>
        <w:t xml:space="preserve"> in pertinent part</w:t>
      </w:r>
      <w:r w:rsidR="002C2B25" w:rsidRPr="00C737FF">
        <w:rPr>
          <w:rFonts w:ascii="Times New Roman" w:hAnsi="Times New Roman"/>
        </w:rPr>
        <w:t>:</w:t>
      </w:r>
    </w:p>
    <w:p w:rsidR="005F7E6F" w:rsidRPr="00C737FF" w:rsidRDefault="005F7E6F" w:rsidP="00ED2141">
      <w:pPr>
        <w:pStyle w:val="BodyText2"/>
        <w:spacing w:line="360" w:lineRule="auto"/>
        <w:ind w:firstLine="720"/>
        <w:jc w:val="left"/>
        <w:rPr>
          <w:rFonts w:ascii="Times New Roman" w:hAnsi="Times New Roman"/>
          <w:i/>
        </w:rPr>
      </w:pPr>
    </w:p>
    <w:p w:rsidR="002C2B25" w:rsidRDefault="002C2B25" w:rsidP="002C2B25">
      <w:pPr>
        <w:pStyle w:val="BodyText2"/>
        <w:ind w:left="778" w:right="720"/>
      </w:pPr>
      <w:r w:rsidRPr="00E03CEE">
        <w:rPr>
          <w:i/>
        </w:rPr>
        <w:t>West Penn requested that the Commission approve the bid results from this AEC procurement on or before December 10, 2010.  Further investigation does not appear warranted at this time, since procurement appears to have been conducted in accordance with the RFP process and rules, filed pursuant to the Commission’s Opinion and Orders.  Therefore, we approve the bid results submitted for this AEC procurement.</w:t>
      </w:r>
      <w:r w:rsidRPr="00D84B5A">
        <w:rPr>
          <w:rStyle w:val="FootnoteReference"/>
        </w:rPr>
        <w:footnoteReference w:id="35"/>
      </w:r>
      <w:r w:rsidRPr="00D84B5A">
        <w:t xml:space="preserve"> </w:t>
      </w:r>
    </w:p>
    <w:p w:rsidR="002C2B25" w:rsidRPr="00F01A06" w:rsidRDefault="002C2B25" w:rsidP="002C2B25">
      <w:pPr>
        <w:pStyle w:val="BodyText2"/>
        <w:spacing w:line="480" w:lineRule="auto"/>
        <w:ind w:left="778"/>
        <w:jc w:val="left"/>
        <w:rPr>
          <w:rFonts w:ascii="Times New Roman" w:hAnsi="Times New Roman"/>
        </w:rPr>
      </w:pPr>
    </w:p>
    <w:p w:rsidR="002C2B25" w:rsidRPr="00C737FF" w:rsidRDefault="00E5766C" w:rsidP="00ED2141">
      <w:pPr>
        <w:pStyle w:val="BodyText2"/>
        <w:spacing w:line="360" w:lineRule="auto"/>
        <w:rPr>
          <w:rFonts w:ascii="Times New Roman" w:hAnsi="Times New Roman"/>
          <w:szCs w:val="24"/>
        </w:rPr>
      </w:pPr>
      <w:r>
        <w:tab/>
      </w:r>
      <w:r w:rsidR="002C2B25">
        <w:tab/>
      </w:r>
      <w:r w:rsidR="002C2B25" w:rsidRPr="00C737FF">
        <w:rPr>
          <w:rFonts w:ascii="Times New Roman" w:hAnsi="Times New Roman"/>
          <w:szCs w:val="24"/>
        </w:rPr>
        <w:t>In reliance on the Commission’s approval of the procurement results West Penn announced the RFP winners and executed agreements with the winning Tier I and Solar bidders.  West Penn and the winning bidders commenced delivery of the Tier I and Solar products, and such delivery continues to the present.</w:t>
      </w:r>
      <w:r w:rsidR="002C2B25" w:rsidRPr="00C737FF">
        <w:rPr>
          <w:rStyle w:val="FootnoteReference"/>
          <w:rFonts w:ascii="Times New Roman" w:hAnsi="Times New Roman"/>
          <w:szCs w:val="24"/>
        </w:rPr>
        <w:footnoteReference w:id="36"/>
      </w:r>
    </w:p>
    <w:p w:rsidR="00C80976" w:rsidRPr="00C737FF" w:rsidRDefault="00C80976" w:rsidP="00C80976">
      <w:pPr>
        <w:pStyle w:val="BodyText2"/>
        <w:spacing w:line="360" w:lineRule="auto"/>
        <w:ind w:firstLine="720"/>
        <w:jc w:val="left"/>
        <w:rPr>
          <w:rFonts w:ascii="Times New Roman" w:hAnsi="Times New Roman"/>
          <w:szCs w:val="24"/>
        </w:rPr>
      </w:pPr>
    </w:p>
    <w:p w:rsidR="00024B51" w:rsidRPr="00C737FF" w:rsidRDefault="00E5766C" w:rsidP="00024B51">
      <w:pPr>
        <w:pStyle w:val="BodyText2"/>
        <w:spacing w:line="360" w:lineRule="auto"/>
        <w:ind w:firstLine="720"/>
        <w:jc w:val="left"/>
        <w:rPr>
          <w:rFonts w:ascii="Times New Roman" w:hAnsi="Times New Roman"/>
          <w:szCs w:val="24"/>
        </w:rPr>
      </w:pPr>
      <w:r w:rsidRPr="00C737FF">
        <w:rPr>
          <w:rFonts w:ascii="Times New Roman" w:hAnsi="Times New Roman"/>
          <w:szCs w:val="24"/>
        </w:rPr>
        <w:tab/>
      </w:r>
      <w:r w:rsidR="00994642" w:rsidRPr="00C737FF">
        <w:rPr>
          <w:rFonts w:ascii="Times New Roman" w:hAnsi="Times New Roman"/>
          <w:szCs w:val="24"/>
        </w:rPr>
        <w:t xml:space="preserve">There is substantial evidence showing </w:t>
      </w:r>
      <w:r w:rsidR="002C2B25" w:rsidRPr="00C737FF">
        <w:rPr>
          <w:rFonts w:ascii="Times New Roman" w:hAnsi="Times New Roman"/>
          <w:szCs w:val="24"/>
        </w:rPr>
        <w:t>West Penn reasonably relied on the Commission’s Secretarial Letter of December 10, 2010, approving the RFP results when West Penn went ahead and announced the RFP winners and entered contracts.  West Penn’s RFP process, RFP Rules and specific documents used by West Penn in its RFP were approved by the Commission in its Opinion and Order entered September 8, 2010 at Docket No. P-00072342, in which it approved West Penn’s</w:t>
      </w:r>
      <w:r w:rsidR="00024B51" w:rsidRPr="00C737FF">
        <w:rPr>
          <w:rFonts w:ascii="Times New Roman" w:hAnsi="Times New Roman"/>
          <w:szCs w:val="24"/>
        </w:rPr>
        <w:t xml:space="preserve"> modified Default Service Plan.</w:t>
      </w:r>
    </w:p>
    <w:p w:rsidR="00C92C22" w:rsidRDefault="00C92C22" w:rsidP="00C80976">
      <w:pPr>
        <w:spacing w:line="360" w:lineRule="auto"/>
        <w:ind w:firstLine="720"/>
      </w:pPr>
    </w:p>
    <w:p w:rsidR="002C2B25" w:rsidRDefault="00E5766C" w:rsidP="00C80976">
      <w:pPr>
        <w:spacing w:line="360" w:lineRule="auto"/>
        <w:ind w:firstLine="720"/>
      </w:pPr>
      <w:r>
        <w:tab/>
      </w:r>
      <w:r w:rsidR="002C2B25">
        <w:t>J3 was not singled out for evaluation different from any other bidders.  It is uncontroverted that all bidders were treated in a uniform fashion and in accordance with the RFP Rules.</w:t>
      </w:r>
    </w:p>
    <w:p w:rsidR="00994642" w:rsidRDefault="00994642" w:rsidP="00C80976">
      <w:pPr>
        <w:spacing w:line="360" w:lineRule="auto"/>
        <w:ind w:firstLine="720"/>
      </w:pPr>
    </w:p>
    <w:p w:rsidR="00C737FF" w:rsidRDefault="00E5766C" w:rsidP="00B35279">
      <w:pPr>
        <w:spacing w:line="360" w:lineRule="auto"/>
        <w:ind w:firstLine="720"/>
      </w:pPr>
      <w:r>
        <w:tab/>
      </w:r>
      <w:r w:rsidR="00994642">
        <w:t>O</w:t>
      </w:r>
      <w:r w:rsidR="002C2B25">
        <w:t>ther bidders submitted offers in a fashion similar to J3’s – that is, other bidders offered multiple tranches at different prices but designated their bid-form spreadsheets as “all or nothing.”  Those bid-form spreadsheets were aggregated into a single price offer for each such “all or nothing” bidder in accordance with the RFP Rules.  J3 was treated identically to those other bidders.</w:t>
      </w:r>
      <w:r w:rsidR="002C2B25">
        <w:rPr>
          <w:rStyle w:val="FootnoteReference"/>
        </w:rPr>
        <w:footnoteReference w:id="37"/>
      </w:r>
      <w:r w:rsidR="002C2B25">
        <w:t xml:space="preserve">  </w:t>
      </w:r>
      <w:r w:rsidR="005F7E6F">
        <w:t>[</w:t>
      </w:r>
      <w:r w:rsidR="00237B7B" w:rsidRPr="00237B7B">
        <w:rPr>
          <w:b/>
        </w:rPr>
        <w:t>BEGIN PROPRIETARY</w:t>
      </w:r>
      <w:r w:rsidR="005F7E6F">
        <w:rPr>
          <w:b/>
        </w:rPr>
        <w:t>]</w:t>
      </w:r>
      <w:r w:rsidR="00237B7B">
        <w:t xml:space="preserve"> </w:t>
      </w:r>
      <w:r w:rsidR="00B35279">
        <w:t xml:space="preserve"> …</w:t>
      </w:r>
    </w:p>
    <w:p w:rsidR="00C737FF" w:rsidRDefault="00C737FF" w:rsidP="00B35279">
      <w:pPr>
        <w:spacing w:line="360" w:lineRule="auto"/>
        <w:ind w:firstLine="720"/>
      </w:pPr>
    </w:p>
    <w:p w:rsidR="005F7E6F" w:rsidRDefault="00B35279" w:rsidP="00B35279">
      <w:pPr>
        <w:tabs>
          <w:tab w:val="left" w:pos="3600"/>
        </w:tabs>
        <w:spacing w:line="360" w:lineRule="auto"/>
        <w:ind w:firstLine="720"/>
      </w:pPr>
      <w:r>
        <w:tab/>
        <w:t>….</w:t>
      </w:r>
      <w:r w:rsidR="005F7E6F">
        <w:rPr>
          <w:rStyle w:val="FootnoteReference"/>
        </w:rPr>
        <w:footnoteReference w:id="38"/>
      </w:r>
    </w:p>
    <w:p w:rsidR="00C737FF" w:rsidRDefault="00C737FF" w:rsidP="00B35279">
      <w:pPr>
        <w:spacing w:line="360" w:lineRule="auto"/>
        <w:ind w:firstLine="720"/>
      </w:pPr>
    </w:p>
    <w:p w:rsidR="00994642" w:rsidRPr="00237B7B" w:rsidRDefault="00B35279" w:rsidP="00B35279">
      <w:pPr>
        <w:tabs>
          <w:tab w:val="left" w:pos="5400"/>
        </w:tabs>
        <w:spacing w:line="360" w:lineRule="auto"/>
        <w:ind w:firstLine="720"/>
        <w:rPr>
          <w:b/>
        </w:rPr>
      </w:pPr>
      <w:r w:rsidRPr="00B35279">
        <w:tab/>
        <w:t>….</w:t>
      </w:r>
      <w:r w:rsidR="005F7E6F" w:rsidRPr="00DA7A0C">
        <w:rPr>
          <w:rStyle w:val="FootnoteReference"/>
        </w:rPr>
        <w:footnoteReference w:id="39"/>
      </w:r>
      <w:r w:rsidR="00DA7A0C">
        <w:rPr>
          <w:b/>
        </w:rPr>
        <w:t xml:space="preserve">  </w:t>
      </w:r>
      <w:r w:rsidR="005F7E6F">
        <w:rPr>
          <w:b/>
        </w:rPr>
        <w:t>[</w:t>
      </w:r>
      <w:r w:rsidR="00237B7B" w:rsidRPr="00237B7B">
        <w:rPr>
          <w:b/>
        </w:rPr>
        <w:t>END PROPRIETARY</w:t>
      </w:r>
      <w:r w:rsidR="005F7E6F">
        <w:rPr>
          <w:b/>
        </w:rPr>
        <w:t>]</w:t>
      </w:r>
    </w:p>
    <w:p w:rsidR="00B35279" w:rsidRDefault="00B35279" w:rsidP="00994642">
      <w:pPr>
        <w:spacing w:line="360" w:lineRule="auto"/>
        <w:rPr>
          <w:u w:val="single"/>
        </w:rPr>
      </w:pPr>
    </w:p>
    <w:p w:rsidR="007F6E2C" w:rsidRDefault="007F6E2C">
      <w:pPr>
        <w:rPr>
          <w:u w:val="single"/>
        </w:rPr>
      </w:pPr>
      <w:r>
        <w:rPr>
          <w:u w:val="single"/>
        </w:rPr>
        <w:br w:type="page"/>
      </w:r>
    </w:p>
    <w:p w:rsidR="002C2B25" w:rsidRPr="005F7E6F" w:rsidRDefault="002C2B25" w:rsidP="00994642">
      <w:pPr>
        <w:spacing w:line="360" w:lineRule="auto"/>
        <w:rPr>
          <w:u w:val="single"/>
        </w:rPr>
      </w:pPr>
      <w:r w:rsidRPr="005F7E6F">
        <w:rPr>
          <w:u w:val="single"/>
        </w:rPr>
        <w:t>The effect of the purported error upon the rate</w:t>
      </w:r>
      <w:r w:rsidR="00994642" w:rsidRPr="005F7E6F">
        <w:rPr>
          <w:u w:val="single"/>
        </w:rPr>
        <w:t xml:space="preserve"> </w:t>
      </w:r>
      <w:r w:rsidRPr="005F7E6F">
        <w:rPr>
          <w:u w:val="single"/>
        </w:rPr>
        <w:t xml:space="preserve">paying customers of West Penn </w:t>
      </w:r>
    </w:p>
    <w:p w:rsidR="00994642" w:rsidRPr="005871A4" w:rsidRDefault="00994642" w:rsidP="002C2B25">
      <w:pPr>
        <w:pStyle w:val="BodyText2"/>
        <w:tabs>
          <w:tab w:val="left" w:pos="-720"/>
          <w:tab w:val="left" w:pos="720"/>
        </w:tabs>
        <w:suppressAutoHyphens/>
        <w:spacing w:before="240"/>
        <w:ind w:left="1440" w:hanging="720"/>
        <w:rPr>
          <w:rFonts w:ascii="Times New Roman" w:hAnsi="Times New Roman"/>
        </w:rPr>
      </w:pPr>
    </w:p>
    <w:p w:rsidR="002C2B25" w:rsidRDefault="00E5766C" w:rsidP="00C80976">
      <w:pPr>
        <w:spacing w:line="360" w:lineRule="auto"/>
        <w:ind w:firstLine="720"/>
      </w:pPr>
      <w:r>
        <w:tab/>
      </w:r>
      <w:r w:rsidR="00112E41">
        <w:t xml:space="preserve">The </w:t>
      </w:r>
      <w:r w:rsidR="002C2B25" w:rsidRPr="007C24B2">
        <w:t>Commission has an obligation to help ensure that default service rates of electric distribution companies are just and reasonable under Sections 1301</w:t>
      </w:r>
      <w:r w:rsidR="002C2B25">
        <w:t xml:space="preserve"> </w:t>
      </w:r>
      <w:r w:rsidR="002C2B25" w:rsidRPr="007C24B2">
        <w:t>and 2804 of the Public Utility Code.</w:t>
      </w:r>
      <w:r w:rsidR="002C2B25">
        <w:t xml:space="preserve"> 66 Pa. C. S. §§1301 and 2804.</w:t>
      </w:r>
      <w:r w:rsidR="002C2B25">
        <w:tab/>
      </w:r>
    </w:p>
    <w:p w:rsidR="00994642" w:rsidRDefault="00994642" w:rsidP="00C80976">
      <w:pPr>
        <w:spacing w:line="360" w:lineRule="auto"/>
        <w:ind w:firstLine="720"/>
      </w:pPr>
    </w:p>
    <w:p w:rsidR="00C737FF" w:rsidRDefault="00E5766C" w:rsidP="00C80976">
      <w:pPr>
        <w:spacing w:line="360" w:lineRule="auto"/>
        <w:ind w:firstLine="720"/>
      </w:pPr>
      <w:r>
        <w:tab/>
      </w:r>
      <w:r w:rsidR="002C2B25">
        <w:t xml:space="preserve">With that obligation in mind, </w:t>
      </w:r>
      <w:r w:rsidR="00994642">
        <w:t xml:space="preserve">I find </w:t>
      </w:r>
      <w:r w:rsidR="002C2B25">
        <w:t>that the procurement evaluation error alleged by J3</w:t>
      </w:r>
      <w:r w:rsidR="00112E41">
        <w:t xml:space="preserve"> </w:t>
      </w:r>
      <w:r w:rsidR="002C2B25">
        <w:t xml:space="preserve">would have only a </w:t>
      </w:r>
      <w:r w:rsidR="003F2BA0">
        <w:t>minor</w:t>
      </w:r>
      <w:r w:rsidR="00112E41">
        <w:rPr>
          <w:i/>
        </w:rPr>
        <w:t xml:space="preserve"> </w:t>
      </w:r>
      <w:r w:rsidR="002C2B25">
        <w:t xml:space="preserve">effect on West Penn’s default service ratepayers.  </w:t>
      </w:r>
      <w:r w:rsidR="00DA7A0C">
        <w:t>[</w:t>
      </w:r>
      <w:r w:rsidR="00237B7B" w:rsidRPr="00237B7B">
        <w:rPr>
          <w:b/>
        </w:rPr>
        <w:t>BEGIN PROPRIETARY</w:t>
      </w:r>
      <w:r w:rsidR="00DA7A0C">
        <w:rPr>
          <w:b/>
        </w:rPr>
        <w:t>]</w:t>
      </w:r>
      <w:r w:rsidR="00237B7B">
        <w:t xml:space="preserve"> </w:t>
      </w:r>
      <w:r w:rsidR="00C737FF">
        <w:t xml:space="preserve"> </w:t>
      </w:r>
      <w:r w:rsidR="005871A4">
        <w:t>…</w:t>
      </w:r>
    </w:p>
    <w:p w:rsidR="00DA7A0C" w:rsidRDefault="00DA7A0C" w:rsidP="00C80976">
      <w:pPr>
        <w:spacing w:line="360" w:lineRule="auto"/>
        <w:ind w:firstLine="720"/>
      </w:pPr>
    </w:p>
    <w:p w:rsidR="00DA7A0C" w:rsidRDefault="00DA7A0C" w:rsidP="00C80976">
      <w:pPr>
        <w:spacing w:line="360" w:lineRule="auto"/>
        <w:ind w:firstLine="720"/>
      </w:pPr>
    </w:p>
    <w:p w:rsidR="00DA7A0C" w:rsidRDefault="00DA7A0C" w:rsidP="00C80976">
      <w:pPr>
        <w:spacing w:line="360" w:lineRule="auto"/>
        <w:ind w:firstLine="720"/>
      </w:pPr>
    </w:p>
    <w:p w:rsidR="00DA7A0C" w:rsidRDefault="00DA7A0C" w:rsidP="00C80976">
      <w:pPr>
        <w:spacing w:line="360" w:lineRule="auto"/>
        <w:ind w:firstLine="720"/>
      </w:pPr>
    </w:p>
    <w:p w:rsidR="00C737FF" w:rsidRDefault="00C737FF" w:rsidP="00C80976">
      <w:pPr>
        <w:spacing w:line="360" w:lineRule="auto"/>
        <w:ind w:firstLine="720"/>
      </w:pPr>
    </w:p>
    <w:p w:rsidR="005871A4" w:rsidRDefault="005871A4" w:rsidP="00C80976">
      <w:pPr>
        <w:spacing w:line="360" w:lineRule="auto"/>
        <w:ind w:firstLine="720"/>
      </w:pPr>
    </w:p>
    <w:p w:rsidR="002C2B25" w:rsidRPr="007C24B2" w:rsidRDefault="005871A4" w:rsidP="00C80976">
      <w:pPr>
        <w:spacing w:line="360" w:lineRule="auto"/>
        <w:ind w:firstLine="720"/>
      </w:pPr>
      <w:r>
        <w:tab/>
      </w:r>
      <w:r>
        <w:tab/>
      </w:r>
      <w:r>
        <w:tab/>
      </w:r>
      <w:r>
        <w:tab/>
      </w:r>
      <w:r>
        <w:tab/>
      </w:r>
      <w:r>
        <w:tab/>
      </w:r>
      <w:r>
        <w:tab/>
      </w:r>
      <w:r>
        <w:tab/>
      </w:r>
      <w:r w:rsidR="00A52994">
        <w:t>…</w:t>
      </w:r>
      <w:r w:rsidR="00A52994" w:rsidRPr="00F01A06">
        <w:t>.</w:t>
      </w:r>
      <w:r w:rsidR="00DA7A0C" w:rsidRPr="00F01A06">
        <w:rPr>
          <w:rStyle w:val="FootnoteReference"/>
        </w:rPr>
        <w:footnoteReference w:id="40"/>
      </w:r>
      <w:r w:rsidR="00DA7A0C" w:rsidRPr="00F01A06">
        <w:t xml:space="preserve">  </w:t>
      </w:r>
      <w:r w:rsidR="00DA7A0C">
        <w:rPr>
          <w:b/>
        </w:rPr>
        <w:t>[</w:t>
      </w:r>
      <w:r w:rsidR="00B13091" w:rsidRPr="00B13091">
        <w:rPr>
          <w:b/>
        </w:rPr>
        <w:t>END PROPRIETARY</w:t>
      </w:r>
      <w:proofErr w:type="gramStart"/>
      <w:r w:rsidR="00DA7A0C">
        <w:rPr>
          <w:b/>
        </w:rPr>
        <w:t>]</w:t>
      </w:r>
      <w:r w:rsidR="00B13091">
        <w:t xml:space="preserve">  </w:t>
      </w:r>
      <w:r w:rsidR="003F2BA0">
        <w:t>I</w:t>
      </w:r>
      <w:proofErr w:type="gramEnd"/>
      <w:r w:rsidR="003F2BA0">
        <w:t xml:space="preserve"> find this amount to be </w:t>
      </w:r>
      <w:r w:rsidR="003F2BA0" w:rsidRPr="003F2BA0">
        <w:rPr>
          <w:i/>
        </w:rPr>
        <w:t>de minimus</w:t>
      </w:r>
      <w:r w:rsidR="003F2BA0">
        <w:t xml:space="preserve"> in nature.</w:t>
      </w:r>
    </w:p>
    <w:p w:rsidR="002C2B25" w:rsidRPr="00C377D0" w:rsidRDefault="002C2B25" w:rsidP="00C80976">
      <w:pPr>
        <w:spacing w:line="360" w:lineRule="auto"/>
        <w:ind w:left="1440"/>
      </w:pPr>
    </w:p>
    <w:p w:rsidR="002C2B25" w:rsidRDefault="002C2B25" w:rsidP="002F138F">
      <w:pPr>
        <w:tabs>
          <w:tab w:val="num" w:pos="720"/>
        </w:tabs>
        <w:spacing w:line="360" w:lineRule="auto"/>
        <w:ind w:left="720" w:hanging="720"/>
        <w:rPr>
          <w:u w:val="single"/>
        </w:rPr>
      </w:pPr>
      <w:r w:rsidRPr="00DA7A0C">
        <w:rPr>
          <w:u w:val="single"/>
        </w:rPr>
        <w:t>Conclusion</w:t>
      </w:r>
    </w:p>
    <w:p w:rsidR="005871A4" w:rsidRPr="00DA7A0C" w:rsidRDefault="005871A4" w:rsidP="002F138F">
      <w:pPr>
        <w:tabs>
          <w:tab w:val="num" w:pos="720"/>
        </w:tabs>
        <w:spacing w:line="360" w:lineRule="auto"/>
        <w:ind w:left="720" w:hanging="720"/>
        <w:rPr>
          <w:u w:val="single"/>
        </w:rPr>
      </w:pPr>
    </w:p>
    <w:p w:rsidR="00BD59DD" w:rsidRDefault="00E5766C" w:rsidP="00F01A06">
      <w:pPr>
        <w:spacing w:line="360" w:lineRule="auto"/>
        <w:ind w:firstLine="720"/>
      </w:pPr>
      <w:r>
        <w:tab/>
      </w:r>
      <w:r w:rsidR="002F138F">
        <w:t xml:space="preserve">In conclusion, I find </w:t>
      </w:r>
      <w:r w:rsidR="002C2B25" w:rsidRPr="00CF4AC4">
        <w:t>West Penn Power Company</w:t>
      </w:r>
      <w:r w:rsidR="002F138F">
        <w:t>’s</w:t>
      </w:r>
      <w:r w:rsidR="002C2B25">
        <w:t xml:space="preserve"> RFP</w:t>
      </w:r>
      <w:r w:rsidR="002C2B25" w:rsidRPr="00CF4AC4">
        <w:t xml:space="preserve"> procurement process and bid evaluation process for the procurement of solar photovoltaic alternative energy credits was</w:t>
      </w:r>
      <w:r w:rsidR="002C2B25">
        <w:t xml:space="preserve"> (i)</w:t>
      </w:r>
      <w:r w:rsidR="002C2B25" w:rsidRPr="00CF4AC4">
        <w:t xml:space="preserve"> conducted in accordance with Commission regulations concerning procurement of default supply, (ii) </w:t>
      </w:r>
      <w:r w:rsidR="002C2B25">
        <w:t>c</w:t>
      </w:r>
      <w:r w:rsidR="002C2B25" w:rsidRPr="00CF4AC4">
        <w:t>onducted in accordance with West Penn’s RFP rules relating to the procurement of solar photovoltaic alternative energy credits as approved by the Commission in its Order entered September 8, 2010 at Docket No P-00072342,</w:t>
      </w:r>
      <w:r w:rsidR="002C2B25">
        <w:t xml:space="preserve"> and</w:t>
      </w:r>
      <w:r w:rsidR="002C2B25" w:rsidRPr="00CF4AC4">
        <w:t xml:space="preserve"> (iii) conducted in accordance with Commission regulations at 52 Pa. Code §54.186 that require monitoring of the procurement by the Commission and an independent third party evaluator</w:t>
      </w:r>
      <w:r w:rsidR="002F138F">
        <w:t xml:space="preserve">.  I </w:t>
      </w:r>
      <w:r w:rsidR="002C2B25">
        <w:t>further</w:t>
      </w:r>
      <w:r w:rsidR="002F138F">
        <w:t xml:space="preserve"> find</w:t>
      </w:r>
      <w:r w:rsidR="003F2BA0">
        <w:t xml:space="preserve"> that:</w:t>
      </w:r>
      <w:r w:rsidR="00883A2F">
        <w:t xml:space="preserve"> </w:t>
      </w:r>
      <w:r w:rsidR="002C2B25" w:rsidRPr="00CF4AC4">
        <w:t xml:space="preserve"> (</w:t>
      </w:r>
      <w:r w:rsidR="002F138F">
        <w:t>1</w:t>
      </w:r>
      <w:r w:rsidR="002C2B25" w:rsidRPr="00CF4AC4">
        <w:t>) the procurement and bid evaluation process was monitored on a real-time, on-site basis by the Commission and by the independent third party evaluator</w:t>
      </w:r>
      <w:r w:rsidR="003F2BA0">
        <w:t>;</w:t>
      </w:r>
      <w:r w:rsidR="002C2B25" w:rsidRPr="00CF4AC4">
        <w:t xml:space="preserve"> (</w:t>
      </w:r>
      <w:r w:rsidR="002F138F">
        <w:t>2</w:t>
      </w:r>
      <w:r w:rsidR="002C2B25" w:rsidRPr="00CF4AC4">
        <w:t xml:space="preserve">) the results of the </w:t>
      </w:r>
      <w:r w:rsidR="002C2B25">
        <w:t>RFP</w:t>
      </w:r>
      <w:r w:rsidR="002C2B25" w:rsidRPr="00CF4AC4">
        <w:t xml:space="preserve"> process and evaluation process were approved by the Commission thr</w:t>
      </w:r>
      <w:bookmarkStart w:id="0" w:name="_GoBack"/>
      <w:bookmarkEnd w:id="0"/>
      <w:r w:rsidR="002C2B25" w:rsidRPr="00CF4AC4">
        <w:t>ough its Secretarial Letter issued December 10, 2010</w:t>
      </w:r>
      <w:r w:rsidR="003F2BA0">
        <w:t>;</w:t>
      </w:r>
      <w:r w:rsidR="002C2B25" w:rsidRPr="00CF4AC4">
        <w:t xml:space="preserve"> (</w:t>
      </w:r>
      <w:r w:rsidR="002F138F">
        <w:t>3</w:t>
      </w:r>
      <w:r w:rsidR="002C2B25" w:rsidRPr="00CF4AC4">
        <w:t xml:space="preserve">) the </w:t>
      </w:r>
      <w:r w:rsidR="002C2B25">
        <w:t>RFP including its evaluation process</w:t>
      </w:r>
      <w:r w:rsidR="002C2B25" w:rsidRPr="00CF4AC4">
        <w:t xml:space="preserve"> was fair and </w:t>
      </w:r>
      <w:r w:rsidR="003F2BA0">
        <w:t>reasonable</w:t>
      </w:r>
      <w:r w:rsidR="00B13091">
        <w:t>; and (4) West Penn properly relied upon the Commission’s Secretarial Letter dated December 10, 2010, in rejecting J3’s bid</w:t>
      </w:r>
      <w:r w:rsidR="003F2BA0">
        <w:t xml:space="preserve">.  </w:t>
      </w:r>
    </w:p>
    <w:p w:rsidR="00BD59DD" w:rsidRDefault="00BD59DD" w:rsidP="00C80976">
      <w:pPr>
        <w:spacing w:line="360" w:lineRule="auto"/>
        <w:ind w:firstLine="720"/>
      </w:pPr>
    </w:p>
    <w:p w:rsidR="009F48A4" w:rsidRDefault="00BD59DD" w:rsidP="00C80976">
      <w:pPr>
        <w:spacing w:line="360" w:lineRule="auto"/>
        <w:ind w:firstLine="720"/>
      </w:pPr>
      <w:r>
        <w:tab/>
      </w:r>
      <w:r w:rsidR="003F2BA0">
        <w:t>T</w:t>
      </w:r>
      <w:r w:rsidR="002C2B25">
        <w:t>he Commission correctly approved the results of West Penn’s procurement, and West Penn reasonably relied on the Commission’s approval of West Penn’s procurement results in announcing the winning results and in entering contracts with the announced RFP winners.</w:t>
      </w:r>
      <w:r w:rsidR="003F2BA0">
        <w:t xml:space="preserve">  To </w:t>
      </w:r>
      <w:r w:rsidR="00B13091">
        <w:t xml:space="preserve">now reverse the Commission’s Secretarial Letter and </w:t>
      </w:r>
      <w:r w:rsidR="003F2BA0">
        <w:t xml:space="preserve">order West Penn to honor a contract with J3 for the supply of SPAECs for two tranches </w:t>
      </w:r>
      <w:r w:rsidR="00B13091">
        <w:t xml:space="preserve">at this time </w:t>
      </w:r>
      <w:r w:rsidR="00266A41">
        <w:t>may inhibit future suppliers from entering the Pennsylvania market.</w:t>
      </w:r>
      <w:r w:rsidR="00266A41">
        <w:rPr>
          <w:rStyle w:val="FootnoteReference"/>
        </w:rPr>
        <w:footnoteReference w:id="41"/>
      </w:r>
      <w:r w:rsidR="00266A41">
        <w:t xml:space="preserve">  Further, overturning the Commission’s prior decision may be sending an unsettling message to suppliers who look for certainty and finality in an RFP process where bidding prices are volatile.</w:t>
      </w:r>
      <w:r w:rsidR="00266A41">
        <w:rPr>
          <w:rStyle w:val="FootnoteReference"/>
        </w:rPr>
        <w:footnoteReference w:id="42"/>
      </w:r>
      <w:r w:rsidR="00266A41">
        <w:t xml:space="preserve">  Overturning the Commission’s prior decision may also spur further litigation between West Penn and the winning bidder(s). </w:t>
      </w:r>
    </w:p>
    <w:p w:rsidR="00C737FF" w:rsidRDefault="00C737FF" w:rsidP="00C737FF">
      <w:pPr>
        <w:autoSpaceDE w:val="0"/>
        <w:autoSpaceDN w:val="0"/>
        <w:adjustRightInd w:val="0"/>
        <w:spacing w:line="360" w:lineRule="auto"/>
        <w:rPr>
          <w:rFonts w:eastAsia="Calibri"/>
          <w:u w:val="single"/>
        </w:rPr>
      </w:pPr>
    </w:p>
    <w:p w:rsidR="00DD3C75" w:rsidRPr="00C80976" w:rsidRDefault="00364A57" w:rsidP="00ED2141">
      <w:pPr>
        <w:spacing w:line="360" w:lineRule="auto"/>
        <w:jc w:val="center"/>
        <w:rPr>
          <w:rFonts w:eastAsia="Calibri"/>
          <w:u w:val="single"/>
        </w:rPr>
      </w:pPr>
      <w:r w:rsidRPr="00C80976">
        <w:rPr>
          <w:rFonts w:eastAsia="Calibri"/>
          <w:u w:val="single"/>
        </w:rPr>
        <w:t>C</w:t>
      </w:r>
      <w:r w:rsidR="00ED2141" w:rsidRPr="00C80976">
        <w:rPr>
          <w:rFonts w:eastAsia="Calibri"/>
          <w:u w:val="single"/>
        </w:rPr>
        <w:t>ONCLUSIONS OF LAW</w:t>
      </w:r>
    </w:p>
    <w:p w:rsidR="00ED2141" w:rsidRPr="00ED2141" w:rsidRDefault="00ED2141" w:rsidP="005A67D0">
      <w:pPr>
        <w:spacing w:line="360" w:lineRule="auto"/>
        <w:rPr>
          <w:rFonts w:eastAsia="Calibri"/>
        </w:rPr>
      </w:pPr>
    </w:p>
    <w:p w:rsidR="00511D1F" w:rsidRDefault="00ED2141" w:rsidP="00AA47D8">
      <w:pPr>
        <w:spacing w:line="360" w:lineRule="auto"/>
        <w:rPr>
          <w:rFonts w:eastAsia="Calibri"/>
        </w:rPr>
      </w:pPr>
      <w:r w:rsidRPr="00ED2141">
        <w:rPr>
          <w:rFonts w:eastAsia="Calibri"/>
        </w:rPr>
        <w:tab/>
      </w:r>
      <w:r w:rsidR="00AA47D8">
        <w:rPr>
          <w:rFonts w:eastAsia="Calibri"/>
        </w:rPr>
        <w:tab/>
      </w:r>
      <w:r w:rsidRPr="00ED2141">
        <w:rPr>
          <w:rFonts w:eastAsia="Calibri"/>
        </w:rPr>
        <w:t>1.</w:t>
      </w:r>
      <w:r w:rsidRPr="00ED2141">
        <w:rPr>
          <w:rFonts w:eastAsia="Calibri"/>
        </w:rPr>
        <w:tab/>
      </w:r>
      <w:r w:rsidR="00511D1F">
        <w:rPr>
          <w:rFonts w:eastAsia="Calibri"/>
        </w:rPr>
        <w:t>The Commission has jurisdiction over the parties and subject matter of this proceeding.</w:t>
      </w:r>
    </w:p>
    <w:p w:rsidR="00511D1F" w:rsidRDefault="00511D1F" w:rsidP="00C80976">
      <w:pPr>
        <w:spacing w:line="360" w:lineRule="auto"/>
        <w:rPr>
          <w:rFonts w:eastAsia="Calibri"/>
        </w:rPr>
      </w:pPr>
    </w:p>
    <w:p w:rsidR="00511D1F" w:rsidRDefault="00511D1F" w:rsidP="00C80976">
      <w:pPr>
        <w:spacing w:line="360" w:lineRule="auto"/>
        <w:rPr>
          <w:rFonts w:eastAsia="Calibri"/>
        </w:rPr>
      </w:pPr>
      <w:r>
        <w:rPr>
          <w:rFonts w:eastAsia="Calibri"/>
        </w:rPr>
        <w:tab/>
      </w:r>
      <w:r w:rsidR="00AA47D8">
        <w:rPr>
          <w:rFonts w:eastAsia="Calibri"/>
        </w:rPr>
        <w:tab/>
      </w:r>
      <w:r>
        <w:rPr>
          <w:rFonts w:eastAsia="Calibri"/>
        </w:rPr>
        <w:t>2.</w:t>
      </w:r>
      <w:r>
        <w:rPr>
          <w:rFonts w:eastAsia="Calibri"/>
        </w:rPr>
        <w:tab/>
        <w:t xml:space="preserve">Pursuant to 66 Pa. C.S. § 332(a), the burden of proof in this proceeding is upon Complainant. </w:t>
      </w:r>
    </w:p>
    <w:p w:rsidR="00511D1F" w:rsidRDefault="00511D1F" w:rsidP="00C80976">
      <w:pPr>
        <w:spacing w:line="360" w:lineRule="auto"/>
        <w:rPr>
          <w:rFonts w:eastAsia="Calibri"/>
        </w:rPr>
      </w:pPr>
    </w:p>
    <w:p w:rsidR="00511D1F" w:rsidRDefault="00511D1F" w:rsidP="00C80976">
      <w:pPr>
        <w:spacing w:line="360" w:lineRule="auto"/>
        <w:rPr>
          <w:rFonts w:eastAsia="Calibri"/>
        </w:rPr>
      </w:pPr>
      <w:r>
        <w:rPr>
          <w:rFonts w:eastAsia="Calibri"/>
        </w:rPr>
        <w:tab/>
      </w:r>
      <w:r w:rsidR="00AA47D8">
        <w:rPr>
          <w:rFonts w:eastAsia="Calibri"/>
        </w:rPr>
        <w:tab/>
      </w:r>
      <w:r>
        <w:rPr>
          <w:rFonts w:eastAsia="Calibri"/>
        </w:rPr>
        <w:t>3.</w:t>
      </w:r>
      <w:r>
        <w:rPr>
          <w:rFonts w:eastAsia="Calibri"/>
        </w:rPr>
        <w:tab/>
        <w:t xml:space="preserve">Complainant did not prove that Respondent violated any provision of the Public Utility Code or any regulation promulgated by the Commission.  </w:t>
      </w:r>
    </w:p>
    <w:p w:rsidR="00511D1F" w:rsidRDefault="00511D1F" w:rsidP="00C80976">
      <w:pPr>
        <w:spacing w:line="360" w:lineRule="auto"/>
        <w:rPr>
          <w:rFonts w:eastAsia="Calibri"/>
        </w:rPr>
      </w:pPr>
    </w:p>
    <w:p w:rsidR="00ED2141" w:rsidRDefault="00511D1F" w:rsidP="00C80976">
      <w:pPr>
        <w:spacing w:line="360" w:lineRule="auto"/>
        <w:rPr>
          <w:bCs/>
        </w:rPr>
      </w:pPr>
      <w:r>
        <w:rPr>
          <w:rFonts w:eastAsia="Calibri"/>
        </w:rPr>
        <w:tab/>
      </w:r>
      <w:r w:rsidR="00AA47D8">
        <w:rPr>
          <w:rFonts w:eastAsia="Calibri"/>
        </w:rPr>
        <w:tab/>
      </w:r>
      <w:r>
        <w:rPr>
          <w:rFonts w:eastAsia="Calibri"/>
        </w:rPr>
        <w:t>4.</w:t>
      </w:r>
      <w:r>
        <w:rPr>
          <w:rFonts w:eastAsia="Calibri"/>
        </w:rPr>
        <w:tab/>
      </w:r>
      <w:r w:rsidR="00ED2141">
        <w:rPr>
          <w:bCs/>
        </w:rPr>
        <w:t>West Penn’s evaluation of J3’s bids under the RFP was consistent with the RFP and was in compliance with the competitive procurement standards for alternative energy credits established by 52 Pa. Code</w:t>
      </w:r>
      <w:r w:rsidR="009811C9">
        <w:rPr>
          <w:bCs/>
        </w:rPr>
        <w:t xml:space="preserve"> §</w:t>
      </w:r>
      <w:r w:rsidR="00ED2141">
        <w:rPr>
          <w:bCs/>
        </w:rPr>
        <w:t xml:space="preserve"> 75.67(b) (relating to alternative energy cost-recovery).</w:t>
      </w:r>
    </w:p>
    <w:p w:rsidR="00511D1F" w:rsidRDefault="00511D1F" w:rsidP="00C80976">
      <w:pPr>
        <w:spacing w:line="360" w:lineRule="auto"/>
      </w:pPr>
      <w:r>
        <w:rPr>
          <w:bCs/>
        </w:rPr>
        <w:tab/>
      </w:r>
      <w:r w:rsidR="00AA47D8">
        <w:rPr>
          <w:bCs/>
        </w:rPr>
        <w:tab/>
      </w:r>
      <w:r>
        <w:rPr>
          <w:bCs/>
        </w:rPr>
        <w:t>5.</w:t>
      </w:r>
      <w:r>
        <w:rPr>
          <w:bCs/>
        </w:rPr>
        <w:tab/>
        <w:t>T</w:t>
      </w:r>
      <w:r>
        <w:t xml:space="preserve">he language of the RFP is sufficiently clear and in conformity with the Commission’s order and regulations, and if J3 had any questions about the meaning of the RFP or instructions on completing the bid forms, it had ample opportunity before it submitted its bid to seek clarification at the webinar or by telephone prior to the evaluation. </w:t>
      </w:r>
    </w:p>
    <w:p w:rsidR="00511D1F" w:rsidRDefault="00511D1F" w:rsidP="00C80976">
      <w:pPr>
        <w:spacing w:line="360" w:lineRule="auto"/>
      </w:pPr>
    </w:p>
    <w:p w:rsidR="00511D1F" w:rsidRDefault="00511D1F" w:rsidP="00C80976">
      <w:pPr>
        <w:spacing w:line="360" w:lineRule="auto"/>
      </w:pPr>
      <w:r>
        <w:tab/>
      </w:r>
      <w:r w:rsidR="00AA47D8">
        <w:tab/>
      </w:r>
      <w:r>
        <w:t>6.</w:t>
      </w:r>
      <w:r>
        <w:tab/>
        <w:t>J3’s bids were reasonably evaluated aggregated rather than separately because J3 designated “all or nothing” on each of four</w:t>
      </w:r>
      <w:r w:rsidR="004220A2">
        <w:t xml:space="preserve"> </w:t>
      </w:r>
      <w:r>
        <w:t xml:space="preserve">bid forms.  </w:t>
      </w:r>
    </w:p>
    <w:p w:rsidR="00511D1F" w:rsidRDefault="00511D1F" w:rsidP="00C80976">
      <w:pPr>
        <w:spacing w:line="360" w:lineRule="auto"/>
      </w:pPr>
    </w:p>
    <w:p w:rsidR="004220A2" w:rsidRDefault="00511D1F" w:rsidP="00C80976">
      <w:pPr>
        <w:spacing w:line="360" w:lineRule="auto"/>
      </w:pPr>
      <w:r>
        <w:tab/>
      </w:r>
      <w:r w:rsidR="00AA47D8">
        <w:tab/>
      </w:r>
      <w:r>
        <w:t>7.</w:t>
      </w:r>
      <w:r>
        <w:tab/>
        <w:t>J3 mistakenly believed that based on the RFP rules, each bid form spreadsheet submitted with a Part 2 proposal was an individual Bid</w:t>
      </w:r>
      <w:r w:rsidR="004220A2">
        <w:t>; rather,</w:t>
      </w:r>
      <w:r>
        <w:t xml:space="preserve"> the controlling language is the “all or nothing” or “up-to” designation on the individual bid forms.  </w:t>
      </w:r>
    </w:p>
    <w:p w:rsidR="004220A2" w:rsidRDefault="004220A2" w:rsidP="00C80976">
      <w:pPr>
        <w:spacing w:line="360" w:lineRule="auto"/>
      </w:pPr>
    </w:p>
    <w:p w:rsidR="00511D1F" w:rsidRDefault="004220A2" w:rsidP="00C80976">
      <w:pPr>
        <w:spacing w:line="360" w:lineRule="auto"/>
      </w:pPr>
      <w:r>
        <w:tab/>
      </w:r>
      <w:r w:rsidR="00AA47D8">
        <w:tab/>
      </w:r>
      <w:r>
        <w:t>8.</w:t>
      </w:r>
      <w:r>
        <w:tab/>
      </w:r>
      <w:r w:rsidR="00511D1F">
        <w:t xml:space="preserve">If </w:t>
      </w:r>
      <w:r>
        <w:t>J3 had</w:t>
      </w:r>
      <w:r w:rsidR="00511D1F">
        <w:t xml:space="preserve"> wanted to submit 4 separate bids, then it should have designated “up to” instead of “all or nothing” on its bid form. </w:t>
      </w:r>
    </w:p>
    <w:p w:rsidR="00511D1F" w:rsidRPr="00106DD5" w:rsidRDefault="00511D1F" w:rsidP="00C80976">
      <w:pPr>
        <w:spacing w:line="360" w:lineRule="auto"/>
      </w:pPr>
    </w:p>
    <w:p w:rsidR="00511D1F" w:rsidRDefault="00D16177" w:rsidP="005A67D0">
      <w:pPr>
        <w:spacing w:line="360" w:lineRule="auto"/>
        <w:rPr>
          <w:rFonts w:eastAsia="Calibri"/>
        </w:rPr>
      </w:pPr>
      <w:r w:rsidRPr="00D16177">
        <w:rPr>
          <w:rFonts w:eastAsia="Calibri"/>
        </w:rPr>
        <w:tab/>
      </w:r>
      <w:r w:rsidR="00AA47D8">
        <w:rPr>
          <w:rFonts w:eastAsia="Calibri"/>
        </w:rPr>
        <w:tab/>
      </w:r>
      <w:r w:rsidRPr="00D16177">
        <w:rPr>
          <w:rFonts w:eastAsia="Calibri"/>
        </w:rPr>
        <w:t>9.</w:t>
      </w:r>
      <w:r w:rsidRPr="00D16177">
        <w:rPr>
          <w:rFonts w:eastAsia="Calibri"/>
        </w:rPr>
        <w:tab/>
        <w:t>West Penn properly relied upon the Commission’s Secretarial Letter dated December 10,</w:t>
      </w:r>
      <w:r>
        <w:rPr>
          <w:rFonts w:eastAsia="Calibri"/>
        </w:rPr>
        <w:t xml:space="preserve"> 2010.</w:t>
      </w:r>
    </w:p>
    <w:p w:rsidR="00F01A06" w:rsidRDefault="00F01A06">
      <w:pPr>
        <w:rPr>
          <w:rFonts w:eastAsia="Calibri"/>
          <w:u w:val="single"/>
        </w:rPr>
      </w:pPr>
    </w:p>
    <w:p w:rsidR="00AA47D8" w:rsidRDefault="00AA47D8" w:rsidP="00AA47D8">
      <w:pPr>
        <w:spacing w:line="360" w:lineRule="auto"/>
        <w:jc w:val="center"/>
        <w:rPr>
          <w:rFonts w:eastAsia="Calibri"/>
          <w:u w:val="single"/>
        </w:rPr>
      </w:pPr>
      <w:r w:rsidRPr="00AA47D8">
        <w:rPr>
          <w:rFonts w:eastAsia="Calibri"/>
          <w:u w:val="single"/>
        </w:rPr>
        <w:t>ORDER</w:t>
      </w:r>
    </w:p>
    <w:p w:rsidR="00AA47D8" w:rsidRDefault="00AA47D8" w:rsidP="00AA47D8">
      <w:pPr>
        <w:spacing w:line="360" w:lineRule="auto"/>
        <w:rPr>
          <w:rFonts w:eastAsia="Calibri"/>
          <w:u w:val="single"/>
        </w:rPr>
      </w:pPr>
    </w:p>
    <w:p w:rsidR="00BB426F" w:rsidRPr="00AA47D8" w:rsidRDefault="006E70E4" w:rsidP="00AA47D8">
      <w:pPr>
        <w:spacing w:line="360" w:lineRule="auto"/>
        <w:ind w:left="720" w:firstLine="720"/>
        <w:rPr>
          <w:rFonts w:eastAsia="Calibri"/>
        </w:rPr>
      </w:pPr>
      <w:r w:rsidRPr="00AA47D8">
        <w:rPr>
          <w:rFonts w:eastAsia="Calibri"/>
        </w:rPr>
        <w:t>THEREFORE,</w:t>
      </w:r>
    </w:p>
    <w:p w:rsidR="006E70E4" w:rsidRDefault="006E70E4" w:rsidP="005A67D0">
      <w:pPr>
        <w:spacing w:line="360" w:lineRule="auto"/>
        <w:rPr>
          <w:rFonts w:eastAsia="Calibri"/>
          <w:b/>
        </w:rPr>
      </w:pPr>
    </w:p>
    <w:p w:rsidR="006E70E4" w:rsidRPr="00AA47D8" w:rsidRDefault="006E70E4" w:rsidP="005A67D0">
      <w:pPr>
        <w:spacing w:line="360" w:lineRule="auto"/>
        <w:rPr>
          <w:rFonts w:eastAsia="Calibri"/>
        </w:rPr>
      </w:pPr>
      <w:r>
        <w:rPr>
          <w:rFonts w:eastAsia="Calibri"/>
          <w:b/>
        </w:rPr>
        <w:tab/>
      </w:r>
      <w:r w:rsidR="00AA47D8">
        <w:rPr>
          <w:rFonts w:eastAsia="Calibri"/>
          <w:b/>
        </w:rPr>
        <w:tab/>
      </w:r>
      <w:r w:rsidRPr="00AA47D8">
        <w:rPr>
          <w:rFonts w:eastAsia="Calibri"/>
        </w:rPr>
        <w:t>IT IS ORDERED,</w:t>
      </w:r>
    </w:p>
    <w:p w:rsidR="006E70E4" w:rsidRDefault="006E70E4" w:rsidP="005A67D0">
      <w:pPr>
        <w:spacing w:line="360" w:lineRule="auto"/>
        <w:rPr>
          <w:rFonts w:eastAsia="Calibri"/>
          <w:b/>
        </w:rPr>
      </w:pPr>
    </w:p>
    <w:p w:rsidR="006E70E4" w:rsidRPr="00942370" w:rsidRDefault="006E70E4" w:rsidP="00ED4F03">
      <w:pPr>
        <w:numPr>
          <w:ilvl w:val="0"/>
          <w:numId w:val="6"/>
        </w:numPr>
        <w:spacing w:line="360" w:lineRule="auto"/>
        <w:ind w:left="2160" w:hanging="720"/>
      </w:pPr>
      <w:r w:rsidRPr="006E70E4">
        <w:rPr>
          <w:rFonts w:eastAsia="Calibri"/>
        </w:rPr>
        <w:t xml:space="preserve">That the </w:t>
      </w:r>
      <w:r w:rsidR="003F6DDF">
        <w:rPr>
          <w:rFonts w:eastAsia="Calibri"/>
        </w:rPr>
        <w:t xml:space="preserve">Complaint </w:t>
      </w:r>
      <w:r w:rsidRPr="006E70E4">
        <w:rPr>
          <w:rFonts w:eastAsia="Calibri"/>
        </w:rPr>
        <w:t>of J3 Energy Group, Inc. is denied</w:t>
      </w:r>
      <w:r w:rsidR="003F6DDF">
        <w:rPr>
          <w:rFonts w:eastAsia="Calibri"/>
        </w:rPr>
        <w:t xml:space="preserve"> and dismissed</w:t>
      </w:r>
      <w:r w:rsidRPr="006E70E4">
        <w:rPr>
          <w:rFonts w:eastAsia="Calibri"/>
        </w:rPr>
        <w:t>.</w:t>
      </w:r>
    </w:p>
    <w:p w:rsidR="00942370" w:rsidRPr="006E70E4" w:rsidRDefault="00942370" w:rsidP="00942370">
      <w:pPr>
        <w:spacing w:line="360" w:lineRule="auto"/>
      </w:pPr>
    </w:p>
    <w:p w:rsidR="006E70E4" w:rsidRPr="006E70E4" w:rsidRDefault="006E70E4" w:rsidP="00ED4F03">
      <w:pPr>
        <w:numPr>
          <w:ilvl w:val="0"/>
          <w:numId w:val="6"/>
        </w:numPr>
        <w:spacing w:line="360" w:lineRule="auto"/>
        <w:ind w:left="2160" w:hanging="720"/>
      </w:pPr>
      <w:r w:rsidRPr="006E70E4">
        <w:rPr>
          <w:rFonts w:eastAsia="Calibri"/>
        </w:rPr>
        <w:t xml:space="preserve">That this case at Docket No. C-2011-2219920 be </w:t>
      </w:r>
      <w:r w:rsidR="003F6DDF">
        <w:rPr>
          <w:rFonts w:eastAsia="Calibri"/>
        </w:rPr>
        <w:t>marked closed</w:t>
      </w:r>
      <w:r w:rsidRPr="006E70E4">
        <w:rPr>
          <w:rFonts w:eastAsia="Calibri"/>
        </w:rPr>
        <w:t>.</w:t>
      </w:r>
    </w:p>
    <w:p w:rsidR="006E70E4" w:rsidRDefault="006E70E4" w:rsidP="006E70E4">
      <w:pPr>
        <w:spacing w:line="360" w:lineRule="auto"/>
        <w:ind w:left="1080"/>
        <w:rPr>
          <w:rFonts w:eastAsia="Calibri"/>
        </w:rPr>
      </w:pPr>
    </w:p>
    <w:p w:rsidR="006E70E4" w:rsidRDefault="006E70E4" w:rsidP="006E70E4">
      <w:pPr>
        <w:spacing w:line="360" w:lineRule="auto"/>
        <w:ind w:left="1080"/>
        <w:rPr>
          <w:rFonts w:eastAsia="Calibri"/>
        </w:rPr>
      </w:pPr>
    </w:p>
    <w:p w:rsidR="006E70E4" w:rsidRDefault="006E70E4" w:rsidP="00ED4F03">
      <w:pPr>
        <w:rPr>
          <w:rFonts w:eastAsia="Calibri"/>
        </w:rPr>
      </w:pPr>
      <w:r>
        <w:rPr>
          <w:rFonts w:eastAsia="Calibri"/>
        </w:rPr>
        <w:t xml:space="preserve">Dated: </w:t>
      </w:r>
      <w:r w:rsidR="003F6DDF" w:rsidRPr="003F6DDF">
        <w:rPr>
          <w:rFonts w:eastAsia="Calibri"/>
          <w:u w:val="single"/>
        </w:rPr>
        <w:t xml:space="preserve">August </w:t>
      </w:r>
      <w:r w:rsidR="00780557">
        <w:rPr>
          <w:rFonts w:eastAsia="Calibri"/>
          <w:u w:val="single"/>
        </w:rPr>
        <w:t>1</w:t>
      </w:r>
      <w:r w:rsidR="004220A2">
        <w:rPr>
          <w:rFonts w:eastAsia="Calibri"/>
          <w:u w:val="single"/>
        </w:rPr>
        <w:t>6</w:t>
      </w:r>
      <w:r w:rsidRPr="003F6DDF">
        <w:rPr>
          <w:rFonts w:eastAsia="Calibri"/>
          <w:u w:val="single"/>
        </w:rPr>
        <w:t>, 2012</w:t>
      </w:r>
      <w:r>
        <w:rPr>
          <w:rFonts w:eastAsia="Calibri"/>
        </w:rPr>
        <w:tab/>
      </w:r>
      <w:r>
        <w:rPr>
          <w:rFonts w:eastAsia="Calibri"/>
        </w:rPr>
        <w:tab/>
      </w:r>
      <w:r>
        <w:rPr>
          <w:rFonts w:eastAsia="Calibri"/>
        </w:rPr>
        <w:tab/>
      </w:r>
      <w:r>
        <w:rPr>
          <w:rFonts w:eastAsia="Calibri"/>
        </w:rPr>
        <w:tab/>
        <w:t>____________________________</w:t>
      </w:r>
    </w:p>
    <w:p w:rsidR="006E70E4" w:rsidRDefault="006E70E4" w:rsidP="006E70E4">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Elizabeth H. Barnes</w:t>
      </w:r>
    </w:p>
    <w:p w:rsidR="006E70E4" w:rsidRPr="006E70E4" w:rsidRDefault="006E70E4" w:rsidP="006E70E4">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Administrative Law Judge</w:t>
      </w:r>
    </w:p>
    <w:sectPr w:rsidR="006E70E4" w:rsidRPr="006E70E4" w:rsidSect="00E519A3">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EE" w:rsidRDefault="008940EE" w:rsidP="00A068F4">
      <w:r>
        <w:separator/>
      </w:r>
    </w:p>
  </w:endnote>
  <w:endnote w:type="continuationSeparator" w:id="0">
    <w:p w:rsidR="008940EE" w:rsidRDefault="008940EE" w:rsidP="00A0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307767"/>
      <w:docPartObj>
        <w:docPartGallery w:val="Page Numbers (Bottom of Page)"/>
        <w:docPartUnique/>
      </w:docPartObj>
    </w:sdtPr>
    <w:sdtEndPr>
      <w:rPr>
        <w:noProof/>
      </w:rPr>
    </w:sdtEndPr>
    <w:sdtContent>
      <w:p w:rsidR="00944792" w:rsidRDefault="00944792">
        <w:pPr>
          <w:pStyle w:val="Footer"/>
          <w:jc w:val="center"/>
        </w:pPr>
        <w:r>
          <w:fldChar w:fldCharType="begin"/>
        </w:r>
        <w:r>
          <w:instrText xml:space="preserve"> PAGE   \* MERGEFORMAT </w:instrText>
        </w:r>
        <w:r>
          <w:fldChar w:fldCharType="separate"/>
        </w:r>
        <w:r w:rsidR="00EB677C">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EE" w:rsidRDefault="008940EE" w:rsidP="00A068F4">
      <w:r>
        <w:separator/>
      </w:r>
    </w:p>
  </w:footnote>
  <w:footnote w:type="continuationSeparator" w:id="0">
    <w:p w:rsidR="008940EE" w:rsidRDefault="008940EE" w:rsidP="00A068F4">
      <w:r>
        <w:continuationSeparator/>
      </w:r>
    </w:p>
  </w:footnote>
  <w:footnote w:id="1">
    <w:p w:rsidR="00E243D6" w:rsidRPr="00E243D6" w:rsidRDefault="00E243D6" w:rsidP="00252F8B">
      <w:pPr>
        <w:pStyle w:val="FootnoteText"/>
      </w:pPr>
      <w:r>
        <w:rPr>
          <w:rStyle w:val="FootnoteReference"/>
        </w:rPr>
        <w:footnoteRef/>
      </w:r>
      <w:r>
        <w:t xml:space="preserve"> </w:t>
      </w:r>
      <w:r w:rsidR="00252F8B">
        <w:tab/>
      </w:r>
      <w:r w:rsidRPr="00E243D6">
        <w:rPr>
          <w:i/>
        </w:rPr>
        <w:t>Petition of West Penn Power Company d/b/a Allegheny Power for Approval of its Retail Electric Default Service Program and Competitive Procurement Plan for Service at the Conclusion of the Restructuring Transition Period (Petition of Allegheny Power to Modify its Procurement of Solar Alternative Energy Credits and Alternative Energy Credits Under its Default Service Plan</w:t>
      </w:r>
      <w:r w:rsidR="005A67D0" w:rsidRPr="005A67D0">
        <w:rPr>
          <w:i/>
        </w:rPr>
        <w:t>)</w:t>
      </w:r>
      <w:r w:rsidR="005A67D0">
        <w:t>,</w:t>
      </w:r>
      <w:r>
        <w:t xml:space="preserve"> P-00072342, Opinion and Order dated September 8, 2010. </w:t>
      </w:r>
      <w:r w:rsidR="00772C95">
        <w:t xml:space="preserve"> This Opinion and Order allowed West Penn to acquire solar and non-solar Tier 1 </w:t>
      </w:r>
      <w:r w:rsidR="00E9706C">
        <w:t>Alternative Energy Credits (</w:t>
      </w:r>
      <w:r w:rsidR="00772C95">
        <w:t>AECs</w:t>
      </w:r>
      <w:r w:rsidR="00E9706C">
        <w:t>)</w:t>
      </w:r>
      <w:r w:rsidR="00772C95">
        <w:t xml:space="preserve"> through an RFP process utilizing long-term procurement contracts in lieu of AEC purchases related to spot market supply being acquired solely on the spot market.</w:t>
      </w:r>
    </w:p>
  </w:footnote>
  <w:footnote w:id="2">
    <w:p w:rsidR="00E5766C" w:rsidRDefault="00E5766C" w:rsidP="00252F8B">
      <w:pPr>
        <w:pStyle w:val="FootnoteText"/>
      </w:pPr>
    </w:p>
    <w:p w:rsidR="00F64138" w:rsidRDefault="00F64138" w:rsidP="00252F8B">
      <w:pPr>
        <w:pStyle w:val="FootnoteText"/>
      </w:pPr>
      <w:r>
        <w:rPr>
          <w:rStyle w:val="FootnoteReference"/>
        </w:rPr>
        <w:footnoteRef/>
      </w:r>
      <w:r>
        <w:t xml:space="preserve">  </w:t>
      </w:r>
      <w:r w:rsidR="00252F8B">
        <w:tab/>
      </w:r>
      <w:r>
        <w:t>Three Protective Orders were issued by the ALJ in response to requests of parties that information sought during discovery should remain confidential.  Commission regulation at Section 54.186(c)(5) provides that competitive bid solicitation shall remain confidential, as provided in the RFP’s confidentiality agreement approved by the Commission.  The first Protective Order, dated July 19, 2011, covered bid solicitation information provided to J3 by West Penn pursuant to discovery requests of J3.  The second Protective Order, dated October 17, 2011, covered procurement information provided by the Independent Procurement Manager, Boston Pacific Company, to the Commission Staff as part of the procurement evaluation.  The third Protective Order, dated October 28, 2011, covered information about J3’s business operations provided to West Penn by J3 in discovery by West Penn.</w:t>
      </w:r>
    </w:p>
  </w:footnote>
  <w:footnote w:id="3">
    <w:p w:rsidR="006D4912" w:rsidRDefault="006D4912">
      <w:pPr>
        <w:pStyle w:val="FootnoteText"/>
      </w:pPr>
      <w:r>
        <w:rPr>
          <w:rStyle w:val="FootnoteReference"/>
        </w:rPr>
        <w:footnoteRef/>
      </w:r>
      <w:r>
        <w:t xml:space="preserve"> </w:t>
      </w:r>
      <w:r w:rsidR="000929EF">
        <w:tab/>
      </w:r>
      <w:r>
        <w:t>Mr. Russial submitted written direct testimony in confidential and public</w:t>
      </w:r>
      <w:r w:rsidR="00490E99">
        <w:t xml:space="preserve"> (redacted)</w:t>
      </w:r>
      <w:r>
        <w:t xml:space="preserve"> versions. </w:t>
      </w:r>
      <w:r w:rsidR="00BA0F36">
        <w:t xml:space="preserve"> Mr. Russial’s written rebuttal testimony was submitted in public form only.</w:t>
      </w:r>
    </w:p>
    <w:p w:rsidR="000929EF" w:rsidRPr="006D4912" w:rsidRDefault="000929EF">
      <w:pPr>
        <w:pStyle w:val="FootnoteText"/>
      </w:pPr>
    </w:p>
  </w:footnote>
  <w:footnote w:id="4">
    <w:p w:rsidR="00F64138" w:rsidRDefault="00F64138" w:rsidP="000929EF">
      <w:pPr>
        <w:pStyle w:val="FootnoteText"/>
      </w:pPr>
      <w:r>
        <w:rPr>
          <w:rStyle w:val="FootnoteReference"/>
        </w:rPr>
        <w:footnoteRef/>
      </w:r>
      <w:r>
        <w:t xml:space="preserve"> </w:t>
      </w:r>
      <w:r w:rsidR="000929EF">
        <w:tab/>
      </w:r>
      <w:r>
        <w:t xml:space="preserve">The written direct and rebuttal testimony of Mr. McBride was submitted in both a confidential version and a public (redacted) version, pursuant </w:t>
      </w:r>
      <w:r w:rsidR="00E9706C">
        <w:t xml:space="preserve">to </w:t>
      </w:r>
      <w:r>
        <w:t>the ALJ’s Protective Orders.</w:t>
      </w:r>
    </w:p>
  </w:footnote>
  <w:footnote w:id="5">
    <w:p w:rsidR="00F64138" w:rsidRDefault="00F64138" w:rsidP="000929EF">
      <w:pPr>
        <w:pStyle w:val="FootnoteText"/>
      </w:pPr>
      <w:r>
        <w:rPr>
          <w:rStyle w:val="FootnoteReference"/>
        </w:rPr>
        <w:footnoteRef/>
      </w:r>
      <w:r>
        <w:t xml:space="preserve"> </w:t>
      </w:r>
      <w:r w:rsidR="000929EF">
        <w:tab/>
      </w:r>
      <w:r>
        <w:t>The written direct and rebuttal testimony of Mr. Mossburg</w:t>
      </w:r>
      <w:r w:rsidRPr="004D1D16">
        <w:t xml:space="preserve"> </w:t>
      </w:r>
      <w:r>
        <w:t xml:space="preserve">was submitted in both a confidential version and a public (redacted) version, pursuant </w:t>
      </w:r>
      <w:r w:rsidR="00E9706C">
        <w:t xml:space="preserve">to </w:t>
      </w:r>
      <w:r>
        <w:t>the ALJ’s Protective Orders.</w:t>
      </w:r>
    </w:p>
    <w:p w:rsidR="000929EF" w:rsidRDefault="000929EF" w:rsidP="000929EF">
      <w:pPr>
        <w:pStyle w:val="FootnoteText"/>
      </w:pPr>
    </w:p>
  </w:footnote>
  <w:footnote w:id="6">
    <w:p w:rsidR="00F64138" w:rsidRDefault="00F64138" w:rsidP="000929EF">
      <w:pPr>
        <w:pStyle w:val="FootnoteText"/>
      </w:pPr>
      <w:r>
        <w:rPr>
          <w:rStyle w:val="FootnoteReference"/>
        </w:rPr>
        <w:footnoteRef/>
      </w:r>
      <w:r>
        <w:t xml:space="preserve"> </w:t>
      </w:r>
      <w:r w:rsidR="000929EF">
        <w:tab/>
      </w:r>
      <w:r>
        <w:t>The written direct testimony of Mr. Reeping</w:t>
      </w:r>
      <w:r w:rsidRPr="00536DA0">
        <w:t xml:space="preserve"> </w:t>
      </w:r>
      <w:r>
        <w:t>was submitted in both a confidential version and a public (redacted) version.  The written rebuttal testimony of Mr. Reeping was submitted in a public form only.</w:t>
      </w:r>
    </w:p>
    <w:p w:rsidR="006135D6" w:rsidRPr="006135D6" w:rsidRDefault="006135D6" w:rsidP="000929EF">
      <w:pPr>
        <w:pStyle w:val="FootnoteText"/>
      </w:pPr>
    </w:p>
  </w:footnote>
  <w:footnote w:id="7">
    <w:p w:rsidR="00F64138" w:rsidRDefault="00F64138" w:rsidP="000929EF">
      <w:pPr>
        <w:pStyle w:val="FootnoteText"/>
      </w:pPr>
      <w:r>
        <w:rPr>
          <w:rStyle w:val="FootnoteReference"/>
        </w:rPr>
        <w:footnoteRef/>
      </w:r>
      <w:r>
        <w:t xml:space="preserve"> </w:t>
      </w:r>
      <w:r w:rsidR="000929EF">
        <w:tab/>
      </w:r>
      <w:r>
        <w:t>West Penn and Allegheny Energy Service Corporation are subsidiaries of Allegheny Energy, Inc.  Allegheny Energy, Inc. became a subsidiary of FirstEnergy Corp. through merger proceedings approved by several regulatory bodies including Commission approval in an Opinion and Order entered February 28, 2011, at Commission Docket Nos. A-2010-2176520 and A-2010-2176732.</w:t>
      </w:r>
    </w:p>
  </w:footnote>
  <w:footnote w:id="8">
    <w:p w:rsidR="00E67F44" w:rsidRDefault="00E67F44" w:rsidP="000929EF">
      <w:pPr>
        <w:pStyle w:val="FootnoteText"/>
      </w:pPr>
      <w:r>
        <w:rPr>
          <w:rStyle w:val="FootnoteReference"/>
        </w:rPr>
        <w:footnoteRef/>
      </w:r>
      <w:r>
        <w:t xml:space="preserve"> </w:t>
      </w:r>
      <w:r w:rsidR="000929EF">
        <w:tab/>
      </w:r>
      <w:r>
        <w:t>West Penn July 29, 2010 Petition at Paragraph No. 15 (Exhibit RBR-1).</w:t>
      </w:r>
    </w:p>
    <w:p w:rsidR="000929EF" w:rsidRDefault="000929EF" w:rsidP="000929EF">
      <w:pPr>
        <w:pStyle w:val="FootnoteText"/>
      </w:pPr>
    </w:p>
  </w:footnote>
  <w:footnote w:id="9">
    <w:p w:rsidR="002F138F" w:rsidRDefault="002F138F" w:rsidP="000929EF">
      <w:pPr>
        <w:pStyle w:val="FootnoteText"/>
      </w:pPr>
      <w:r>
        <w:rPr>
          <w:rStyle w:val="FootnoteReference"/>
        </w:rPr>
        <w:footnoteRef/>
      </w:r>
      <w:r>
        <w:t xml:space="preserve"> </w:t>
      </w:r>
      <w:r w:rsidR="000929EF">
        <w:tab/>
      </w:r>
      <w:r>
        <w:t xml:space="preserve">See Diskin Testimony, Proprietary Transcript, pp. 91 to 92. </w:t>
      </w:r>
    </w:p>
    <w:p w:rsidR="000929EF" w:rsidRDefault="000929EF" w:rsidP="000929EF">
      <w:pPr>
        <w:pStyle w:val="FootnoteText"/>
      </w:pPr>
    </w:p>
  </w:footnote>
  <w:footnote w:id="10">
    <w:p w:rsidR="002F138F" w:rsidRDefault="002F138F" w:rsidP="000929EF">
      <w:pPr>
        <w:pStyle w:val="FootnoteText"/>
      </w:pPr>
      <w:r>
        <w:rPr>
          <w:rStyle w:val="FootnoteReference"/>
        </w:rPr>
        <w:footnoteRef/>
      </w:r>
      <w:r>
        <w:t xml:space="preserve"> </w:t>
      </w:r>
      <w:r w:rsidR="000929EF">
        <w:tab/>
      </w:r>
      <w:r>
        <w:t xml:space="preserve">West Penn Statement No. 2. </w:t>
      </w:r>
      <w:proofErr w:type="gramStart"/>
      <w:r>
        <w:t>p.</w:t>
      </w:r>
      <w:r w:rsidR="00E9706C">
        <w:t xml:space="preserve"> </w:t>
      </w:r>
      <w:r>
        <w:t>4.</w:t>
      </w:r>
      <w:proofErr w:type="gramEnd"/>
    </w:p>
    <w:p w:rsidR="000929EF" w:rsidRDefault="000929EF" w:rsidP="000929EF">
      <w:pPr>
        <w:pStyle w:val="FootnoteText"/>
      </w:pPr>
    </w:p>
  </w:footnote>
  <w:footnote w:id="11">
    <w:p w:rsidR="002F138F" w:rsidRDefault="002F138F" w:rsidP="000929EF">
      <w:pPr>
        <w:pStyle w:val="FootnoteText"/>
      </w:pPr>
      <w:r>
        <w:rPr>
          <w:rStyle w:val="FootnoteReference"/>
        </w:rPr>
        <w:footnoteRef/>
      </w:r>
      <w:r>
        <w:t xml:space="preserve"> </w:t>
      </w:r>
      <w:r w:rsidR="000929EF">
        <w:tab/>
      </w:r>
      <w:r w:rsidR="00490E99">
        <w:t>West Penn Power Company (</w:t>
      </w:r>
      <w:proofErr w:type="spellStart"/>
      <w:r>
        <w:t>WPPCo</w:t>
      </w:r>
      <w:proofErr w:type="spellEnd"/>
      <w:r>
        <w:t>.</w:t>
      </w:r>
      <w:r w:rsidR="00490E99">
        <w:t>)</w:t>
      </w:r>
      <w:r>
        <w:t xml:space="preserve"> Statement No. 1, pp. 8-10.</w:t>
      </w:r>
    </w:p>
  </w:footnote>
  <w:footnote w:id="12">
    <w:p w:rsidR="002F138F" w:rsidRDefault="002F138F" w:rsidP="002F138F">
      <w:pPr>
        <w:pStyle w:val="FootnoteText"/>
      </w:pPr>
      <w:r>
        <w:rPr>
          <w:rStyle w:val="FootnoteReference"/>
        </w:rPr>
        <w:footnoteRef/>
      </w:r>
      <w:r>
        <w:t xml:space="preserve"> </w:t>
      </w:r>
      <w:r w:rsidR="000929EF">
        <w:tab/>
      </w:r>
      <w:r>
        <w:t>WPPCo. Statement No. 1, p. 16-17.</w:t>
      </w:r>
    </w:p>
    <w:p w:rsidR="000929EF" w:rsidRDefault="000929EF" w:rsidP="002F138F">
      <w:pPr>
        <w:pStyle w:val="FootnoteText"/>
      </w:pPr>
    </w:p>
  </w:footnote>
  <w:footnote w:id="13">
    <w:p w:rsidR="00007E29" w:rsidRDefault="00007E29" w:rsidP="00007E29">
      <w:pPr>
        <w:pStyle w:val="FootnoteText"/>
      </w:pPr>
      <w:r>
        <w:rPr>
          <w:rStyle w:val="FootnoteReference"/>
        </w:rPr>
        <w:footnoteRef/>
      </w:r>
      <w:r>
        <w:t xml:space="preserve"> </w:t>
      </w:r>
      <w:r w:rsidR="000929EF">
        <w:tab/>
      </w:r>
      <w:r>
        <w:t>Transcript pp. 39 to 40, 54 to 56.</w:t>
      </w:r>
    </w:p>
  </w:footnote>
  <w:footnote w:id="14">
    <w:p w:rsidR="005D06F9" w:rsidRDefault="00007E29" w:rsidP="00007E29">
      <w:pPr>
        <w:pStyle w:val="FootnoteText"/>
      </w:pPr>
      <w:r>
        <w:rPr>
          <w:rStyle w:val="FootnoteReference"/>
        </w:rPr>
        <w:footnoteRef/>
      </w:r>
      <w:r>
        <w:t xml:space="preserve"> </w:t>
      </w:r>
      <w:r w:rsidR="00BB183B">
        <w:tab/>
      </w:r>
      <w:r>
        <w:t>WPPCo. Statement No. 2, p. 5.</w:t>
      </w:r>
    </w:p>
    <w:p w:rsidR="00BB183B" w:rsidRDefault="00BB183B" w:rsidP="00007E29">
      <w:pPr>
        <w:pStyle w:val="FootnoteText"/>
      </w:pPr>
    </w:p>
  </w:footnote>
  <w:footnote w:id="15">
    <w:p w:rsidR="00FB5E7C" w:rsidRDefault="00FB5E7C">
      <w:pPr>
        <w:pStyle w:val="FootnoteText"/>
      </w:pPr>
      <w:r>
        <w:rPr>
          <w:rStyle w:val="FootnoteReference"/>
        </w:rPr>
        <w:footnoteRef/>
      </w:r>
      <w:r w:rsidR="00D1742B">
        <w:t xml:space="preserve"> </w:t>
      </w:r>
      <w:r w:rsidR="00D1742B">
        <w:tab/>
        <w:t>[</w:t>
      </w:r>
      <w:r>
        <w:t>PROP</w:t>
      </w:r>
      <w:r w:rsidR="00C65257">
        <w:t>RIETARY]</w:t>
      </w:r>
    </w:p>
    <w:p w:rsidR="00C65257" w:rsidRDefault="00C65257">
      <w:pPr>
        <w:pStyle w:val="FootnoteText"/>
      </w:pPr>
    </w:p>
  </w:footnote>
  <w:footnote w:id="16">
    <w:p w:rsidR="00FB5E7C" w:rsidRDefault="00FB5E7C">
      <w:pPr>
        <w:pStyle w:val="FootnoteText"/>
      </w:pPr>
      <w:r>
        <w:rPr>
          <w:rStyle w:val="FootnoteReference"/>
        </w:rPr>
        <w:footnoteRef/>
      </w:r>
      <w:r>
        <w:t xml:space="preserve"> </w:t>
      </w:r>
      <w:r w:rsidR="003A1F86">
        <w:tab/>
      </w:r>
      <w:proofErr w:type="gramStart"/>
      <w:r w:rsidR="003A1F86">
        <w:t>Exhibit RBR-3.</w:t>
      </w:r>
      <w:proofErr w:type="gramEnd"/>
      <w:r w:rsidR="003A1F86">
        <w:t xml:space="preserve">  Secretarial Letter dated December 10, 2010 at Docket No. </w:t>
      </w:r>
      <w:proofErr w:type="gramStart"/>
      <w:r w:rsidR="003A1F86">
        <w:t>P-00072342.</w:t>
      </w:r>
      <w:proofErr w:type="gramEnd"/>
    </w:p>
    <w:p w:rsidR="00C65257" w:rsidRDefault="00C65257">
      <w:pPr>
        <w:pStyle w:val="FootnoteText"/>
      </w:pPr>
    </w:p>
  </w:footnote>
  <w:footnote w:id="17">
    <w:p w:rsidR="00CD7310" w:rsidRPr="00CD7310" w:rsidRDefault="00FB5E7C">
      <w:pPr>
        <w:pStyle w:val="FootnoteText"/>
      </w:pPr>
      <w:r>
        <w:rPr>
          <w:rStyle w:val="FootnoteReference"/>
        </w:rPr>
        <w:footnoteRef/>
      </w:r>
      <w:r w:rsidR="00BB183B">
        <w:tab/>
      </w:r>
      <w:r w:rsidR="00CD7310">
        <w:t>WPPCo. Statement No. 1, pp. 21-22.</w:t>
      </w:r>
    </w:p>
  </w:footnote>
  <w:footnote w:id="18">
    <w:p w:rsidR="00024B51" w:rsidRDefault="00024B51" w:rsidP="00024B51">
      <w:pPr>
        <w:pStyle w:val="FootnoteText"/>
      </w:pPr>
      <w:r>
        <w:rPr>
          <w:rStyle w:val="FootnoteReference"/>
        </w:rPr>
        <w:footnoteRef/>
      </w:r>
      <w:r>
        <w:t xml:space="preserve"> </w:t>
      </w:r>
      <w:r w:rsidR="00AE6519">
        <w:tab/>
      </w:r>
      <w:r>
        <w:t>Transcript p. 41.</w:t>
      </w:r>
    </w:p>
  </w:footnote>
  <w:footnote w:id="19">
    <w:p w:rsidR="00024B51" w:rsidRDefault="00024B51" w:rsidP="00024B51">
      <w:pPr>
        <w:pStyle w:val="FootnoteText"/>
      </w:pPr>
      <w:r>
        <w:rPr>
          <w:rStyle w:val="FootnoteReference"/>
        </w:rPr>
        <w:footnoteRef/>
      </w:r>
      <w:r>
        <w:t xml:space="preserve"> </w:t>
      </w:r>
      <w:r w:rsidR="009C7420">
        <w:tab/>
      </w:r>
      <w:r>
        <w:t>WPPCo. Statement No. 1R, pp. 3 to 6.</w:t>
      </w:r>
    </w:p>
    <w:p w:rsidR="009C7420" w:rsidRDefault="009C7420" w:rsidP="00024B51">
      <w:pPr>
        <w:pStyle w:val="FootnoteText"/>
      </w:pPr>
    </w:p>
  </w:footnote>
  <w:footnote w:id="20">
    <w:p w:rsidR="00024B51" w:rsidRDefault="00024B51" w:rsidP="00024B51">
      <w:pPr>
        <w:pStyle w:val="FootnoteText"/>
      </w:pPr>
      <w:r>
        <w:rPr>
          <w:rStyle w:val="FootnoteReference"/>
        </w:rPr>
        <w:footnoteRef/>
      </w:r>
      <w:r>
        <w:t xml:space="preserve"> </w:t>
      </w:r>
      <w:r w:rsidR="009C7420">
        <w:tab/>
      </w:r>
      <w:r>
        <w:t>Transcript, p. 54.</w:t>
      </w:r>
    </w:p>
    <w:p w:rsidR="009C7420" w:rsidRDefault="009C7420" w:rsidP="00024B51">
      <w:pPr>
        <w:pStyle w:val="FootnoteText"/>
      </w:pPr>
    </w:p>
  </w:footnote>
  <w:footnote w:id="21">
    <w:p w:rsidR="00024B51" w:rsidRDefault="00024B51" w:rsidP="00024B51">
      <w:pPr>
        <w:pStyle w:val="FootnoteText"/>
      </w:pPr>
      <w:r>
        <w:rPr>
          <w:rStyle w:val="FootnoteReference"/>
        </w:rPr>
        <w:footnoteRef/>
      </w:r>
      <w:r>
        <w:t xml:space="preserve"> </w:t>
      </w:r>
      <w:r w:rsidR="009C7420">
        <w:tab/>
      </w:r>
      <w:r>
        <w:t>Transcript,  p. 209.</w:t>
      </w:r>
    </w:p>
  </w:footnote>
  <w:footnote w:id="22">
    <w:p w:rsidR="00024B51" w:rsidRDefault="00024B51" w:rsidP="00024B51">
      <w:pPr>
        <w:pStyle w:val="FootnoteText"/>
      </w:pPr>
      <w:r>
        <w:rPr>
          <w:rStyle w:val="FootnoteReference"/>
        </w:rPr>
        <w:footnoteRef/>
      </w:r>
      <w:r>
        <w:t xml:space="preserve"> </w:t>
      </w:r>
      <w:r w:rsidR="009C7420">
        <w:tab/>
      </w:r>
      <w:r>
        <w:t xml:space="preserve">Direct testimony of Frank Mossburg, </w:t>
      </w:r>
      <w:r w:rsidR="002237FF">
        <w:t>pp.</w:t>
      </w:r>
      <w:r>
        <w:t xml:space="preserve"> 10 to 11.</w:t>
      </w:r>
    </w:p>
    <w:p w:rsidR="00D5783B" w:rsidRDefault="00D5783B" w:rsidP="00024B51">
      <w:pPr>
        <w:pStyle w:val="FootnoteText"/>
      </w:pPr>
    </w:p>
  </w:footnote>
  <w:footnote w:id="23">
    <w:p w:rsidR="00F87DF1" w:rsidRDefault="00F87DF1">
      <w:pPr>
        <w:pStyle w:val="FootnoteText"/>
      </w:pPr>
      <w:r>
        <w:rPr>
          <w:rStyle w:val="FootnoteReference"/>
        </w:rPr>
        <w:footnoteRef/>
      </w:r>
      <w:r>
        <w:t xml:space="preserve"> </w:t>
      </w:r>
      <w:r>
        <w:tab/>
        <w:t>[BEGIN PROPRIETARY]</w:t>
      </w:r>
    </w:p>
    <w:p w:rsidR="00F87DF1" w:rsidRDefault="00F87DF1">
      <w:pPr>
        <w:pStyle w:val="FootnoteText"/>
      </w:pPr>
    </w:p>
  </w:footnote>
  <w:footnote w:id="24">
    <w:p w:rsidR="00F87DF1" w:rsidRDefault="00F87DF1">
      <w:pPr>
        <w:pStyle w:val="FootnoteText"/>
      </w:pPr>
      <w:r>
        <w:rPr>
          <w:rStyle w:val="FootnoteReference"/>
        </w:rPr>
        <w:footnoteRef/>
      </w:r>
      <w:r>
        <w:t xml:space="preserve"> </w:t>
      </w:r>
      <w:r>
        <w:tab/>
        <w:t>[PROPRIETARY]</w:t>
      </w:r>
    </w:p>
    <w:p w:rsidR="00F87DF1" w:rsidRDefault="00F87DF1">
      <w:pPr>
        <w:pStyle w:val="FootnoteText"/>
      </w:pPr>
    </w:p>
  </w:footnote>
  <w:footnote w:id="25">
    <w:p w:rsidR="00EC37D6" w:rsidRPr="00E519A3" w:rsidRDefault="00EC37D6" w:rsidP="00A32E51">
      <w:pPr>
        <w:pStyle w:val="FootnoteText"/>
        <w:rPr>
          <w:sz w:val="18"/>
          <w:szCs w:val="18"/>
        </w:rPr>
      </w:pPr>
      <w:r w:rsidRPr="00E519A3">
        <w:rPr>
          <w:rStyle w:val="FootnoteReference"/>
          <w:sz w:val="18"/>
          <w:szCs w:val="18"/>
        </w:rPr>
        <w:footnoteRef/>
      </w:r>
      <w:r w:rsidRPr="00E519A3">
        <w:rPr>
          <w:sz w:val="18"/>
          <w:szCs w:val="18"/>
        </w:rPr>
        <w:t xml:space="preserve"> </w:t>
      </w:r>
      <w:r w:rsidRPr="00E519A3">
        <w:rPr>
          <w:sz w:val="18"/>
          <w:szCs w:val="18"/>
        </w:rPr>
        <w:tab/>
        <w:t>[PROPRIETARY]</w:t>
      </w:r>
    </w:p>
    <w:p w:rsidR="00EC37D6" w:rsidRPr="00E519A3" w:rsidRDefault="00EC37D6" w:rsidP="00A32E51">
      <w:pPr>
        <w:pStyle w:val="FootnoteText"/>
        <w:rPr>
          <w:sz w:val="18"/>
          <w:szCs w:val="18"/>
        </w:rPr>
      </w:pPr>
    </w:p>
  </w:footnote>
  <w:footnote w:id="26">
    <w:p w:rsidR="00EC37D6" w:rsidRPr="00E519A3" w:rsidRDefault="00EC37D6" w:rsidP="00A32E51">
      <w:pPr>
        <w:pStyle w:val="FootnoteText"/>
        <w:rPr>
          <w:sz w:val="18"/>
          <w:szCs w:val="18"/>
        </w:rPr>
      </w:pPr>
      <w:r w:rsidRPr="00E519A3">
        <w:rPr>
          <w:rStyle w:val="FootnoteReference"/>
          <w:sz w:val="18"/>
          <w:szCs w:val="18"/>
        </w:rPr>
        <w:footnoteRef/>
      </w:r>
      <w:r w:rsidRPr="00E519A3">
        <w:rPr>
          <w:sz w:val="18"/>
          <w:szCs w:val="18"/>
        </w:rPr>
        <w:t xml:space="preserve"> </w:t>
      </w:r>
      <w:r w:rsidRPr="00E519A3">
        <w:rPr>
          <w:sz w:val="18"/>
          <w:szCs w:val="18"/>
        </w:rPr>
        <w:tab/>
        <w:t>[END PROPRIETARY]</w:t>
      </w:r>
    </w:p>
    <w:p w:rsidR="00EC37D6" w:rsidRPr="00E519A3" w:rsidRDefault="00EC37D6" w:rsidP="00A32E51">
      <w:pPr>
        <w:pStyle w:val="FootnoteText"/>
        <w:rPr>
          <w:sz w:val="18"/>
          <w:szCs w:val="18"/>
        </w:rPr>
      </w:pPr>
    </w:p>
  </w:footnote>
  <w:footnote w:id="27">
    <w:p w:rsidR="00024B51" w:rsidRPr="00E519A3" w:rsidRDefault="00024B51" w:rsidP="00A32E51">
      <w:pPr>
        <w:pStyle w:val="FootnoteText"/>
      </w:pPr>
      <w:r w:rsidRPr="00E519A3">
        <w:rPr>
          <w:rStyle w:val="FootnoteReference"/>
        </w:rPr>
        <w:footnoteRef/>
      </w:r>
      <w:r w:rsidRPr="00E519A3">
        <w:t xml:space="preserve"> </w:t>
      </w:r>
      <w:r w:rsidR="00EC37D6" w:rsidRPr="00E519A3">
        <w:tab/>
      </w:r>
      <w:r w:rsidRPr="00E519A3">
        <w:t>Transcript page 38.</w:t>
      </w:r>
    </w:p>
    <w:p w:rsidR="00EC37D6" w:rsidRPr="00E519A3" w:rsidRDefault="00EC37D6" w:rsidP="00A32E51">
      <w:pPr>
        <w:pStyle w:val="FootnoteText"/>
      </w:pPr>
    </w:p>
  </w:footnote>
  <w:footnote w:id="28">
    <w:p w:rsidR="00024B51" w:rsidRPr="00E519A3" w:rsidRDefault="00024B51" w:rsidP="00A32E51">
      <w:pPr>
        <w:pStyle w:val="FootnoteText"/>
      </w:pPr>
      <w:r w:rsidRPr="00E519A3">
        <w:rPr>
          <w:rStyle w:val="FootnoteReference"/>
        </w:rPr>
        <w:footnoteRef/>
      </w:r>
      <w:r w:rsidRPr="00E519A3">
        <w:t xml:space="preserve">  </w:t>
      </w:r>
      <w:r w:rsidR="00EC37D6" w:rsidRPr="00E519A3">
        <w:tab/>
      </w:r>
      <w:r w:rsidRPr="00E519A3">
        <w:t>Transcript page 39.</w:t>
      </w:r>
    </w:p>
    <w:p w:rsidR="00EC37D6" w:rsidRPr="00E519A3" w:rsidRDefault="00EC37D6" w:rsidP="00024B51">
      <w:pPr>
        <w:pStyle w:val="FootnoteText"/>
        <w:rPr>
          <w:sz w:val="18"/>
          <w:szCs w:val="18"/>
        </w:rPr>
      </w:pPr>
    </w:p>
  </w:footnote>
  <w:footnote w:id="29">
    <w:p w:rsidR="00007E29" w:rsidRDefault="00007E29" w:rsidP="00007E29">
      <w:pPr>
        <w:pStyle w:val="FootnoteText"/>
      </w:pPr>
      <w:r>
        <w:rPr>
          <w:rStyle w:val="FootnoteReference"/>
        </w:rPr>
        <w:footnoteRef/>
      </w:r>
      <w:r>
        <w:t xml:space="preserve"> </w:t>
      </w:r>
      <w:r w:rsidR="005F7E6F">
        <w:tab/>
      </w:r>
      <w:r>
        <w:t xml:space="preserve">See Diskin Testimony, Proprietary Transcript, pp. 91 to 92. </w:t>
      </w:r>
    </w:p>
    <w:p w:rsidR="005F7E6F" w:rsidRDefault="005F7E6F" w:rsidP="00007E29">
      <w:pPr>
        <w:pStyle w:val="FootnoteText"/>
      </w:pPr>
    </w:p>
  </w:footnote>
  <w:footnote w:id="30">
    <w:p w:rsidR="00007E29" w:rsidRDefault="00007E29" w:rsidP="00007E29">
      <w:pPr>
        <w:pStyle w:val="FootnoteText"/>
      </w:pPr>
      <w:r>
        <w:rPr>
          <w:rStyle w:val="FootnoteReference"/>
        </w:rPr>
        <w:footnoteRef/>
      </w:r>
      <w:r>
        <w:t xml:space="preserve"> </w:t>
      </w:r>
      <w:r w:rsidR="005F7E6F">
        <w:tab/>
      </w:r>
      <w:r>
        <w:t>West Penn Statement No. 2. p.4.</w:t>
      </w:r>
    </w:p>
    <w:p w:rsidR="005F7E6F" w:rsidRDefault="005F7E6F" w:rsidP="00007E29">
      <w:pPr>
        <w:pStyle w:val="FootnoteText"/>
      </w:pPr>
    </w:p>
  </w:footnote>
  <w:footnote w:id="31">
    <w:p w:rsidR="00007E29" w:rsidRDefault="00007E29" w:rsidP="00007E29">
      <w:pPr>
        <w:pStyle w:val="FootnoteText"/>
      </w:pPr>
      <w:r>
        <w:rPr>
          <w:rStyle w:val="FootnoteReference"/>
        </w:rPr>
        <w:footnoteRef/>
      </w:r>
      <w:r>
        <w:t xml:space="preserve"> </w:t>
      </w:r>
      <w:r w:rsidR="005F7E6F">
        <w:tab/>
      </w:r>
      <w:r>
        <w:t>WPPCo. Statement No. 1, pp. 8-10.</w:t>
      </w:r>
    </w:p>
    <w:p w:rsidR="005F7E6F" w:rsidRDefault="005F7E6F" w:rsidP="00007E29">
      <w:pPr>
        <w:pStyle w:val="FootnoteText"/>
      </w:pPr>
    </w:p>
  </w:footnote>
  <w:footnote w:id="32">
    <w:p w:rsidR="00007E29" w:rsidRDefault="00007E29" w:rsidP="00007E29">
      <w:pPr>
        <w:pStyle w:val="FootnoteText"/>
      </w:pPr>
      <w:r>
        <w:rPr>
          <w:rStyle w:val="FootnoteReference"/>
        </w:rPr>
        <w:footnoteRef/>
      </w:r>
      <w:r>
        <w:t xml:space="preserve"> </w:t>
      </w:r>
      <w:r w:rsidR="005F7E6F">
        <w:tab/>
      </w:r>
      <w:r>
        <w:t>Transcript pp. 39 to 40, 54 to 56.</w:t>
      </w:r>
    </w:p>
    <w:p w:rsidR="005F7E6F" w:rsidRDefault="005F7E6F" w:rsidP="00007E29">
      <w:pPr>
        <w:pStyle w:val="FootnoteText"/>
      </w:pPr>
    </w:p>
  </w:footnote>
  <w:footnote w:id="33">
    <w:p w:rsidR="00007E29" w:rsidRDefault="00007E29" w:rsidP="00007E29">
      <w:pPr>
        <w:pStyle w:val="FootnoteText"/>
      </w:pPr>
      <w:r>
        <w:rPr>
          <w:rStyle w:val="FootnoteReference"/>
        </w:rPr>
        <w:footnoteRef/>
      </w:r>
      <w:r>
        <w:t xml:space="preserve"> </w:t>
      </w:r>
      <w:r w:rsidR="005F7E6F">
        <w:tab/>
      </w:r>
      <w:r>
        <w:t>WPPCo. Statement No. 1, p. 16-17.</w:t>
      </w:r>
    </w:p>
    <w:p w:rsidR="00BB1B7D" w:rsidRDefault="00BB1B7D" w:rsidP="00007E29">
      <w:pPr>
        <w:pStyle w:val="FootnoteText"/>
      </w:pPr>
    </w:p>
  </w:footnote>
  <w:footnote w:id="34">
    <w:p w:rsidR="002C2B25" w:rsidRDefault="002C2B25" w:rsidP="00471465">
      <w:pPr>
        <w:pStyle w:val="FootnoteText"/>
      </w:pPr>
      <w:r>
        <w:rPr>
          <w:rStyle w:val="FootnoteReference"/>
        </w:rPr>
        <w:footnoteRef/>
      </w:r>
      <w:r>
        <w:t xml:space="preserve"> </w:t>
      </w:r>
      <w:r w:rsidR="005F7E6F">
        <w:tab/>
      </w:r>
      <w:r>
        <w:t xml:space="preserve">The Default Service Rules at Section 54.188(d) provide that “the Commission will have one (1) business day, to approve or disapprove the results of a competitive bid solicitation process used by a DSP as part of its procurement plan.”  The Commission Guidelines for Pennsylvania Solar Projects provide for a more flexible deadline for the Commission, stating that “[t]he Commission will review and evaluate bids for [large and small] scale solar RFPs </w:t>
      </w:r>
      <w:r w:rsidRPr="00143AFD">
        <w:rPr>
          <w:u w:val="single"/>
        </w:rPr>
        <w:t>within a reasonable period of time</w:t>
      </w:r>
      <w:r w:rsidR="00BB1B7D">
        <w:t xml:space="preserve">.”  </w:t>
      </w:r>
      <w:r>
        <w:t>52 Pa. Code § 69.2903(a) and (b</w:t>
      </w:r>
      <w:proofErr w:type="gramStart"/>
      <w:r>
        <w:t>)(</w:t>
      </w:r>
      <w:proofErr w:type="gramEnd"/>
      <w:r>
        <w:t>1) (emphasis added).</w:t>
      </w:r>
    </w:p>
    <w:p w:rsidR="005F7E6F" w:rsidRDefault="005F7E6F" w:rsidP="005F7E6F">
      <w:pPr>
        <w:pStyle w:val="FootnoteText"/>
        <w:jc w:val="both"/>
      </w:pPr>
    </w:p>
  </w:footnote>
  <w:footnote w:id="35">
    <w:p w:rsidR="002C2B25" w:rsidRDefault="002C2B25" w:rsidP="002C2B25">
      <w:pPr>
        <w:pStyle w:val="FootnoteText"/>
      </w:pPr>
      <w:r w:rsidRPr="00160DD9">
        <w:rPr>
          <w:rStyle w:val="FootnoteReference"/>
          <w:sz w:val="18"/>
          <w:szCs w:val="18"/>
        </w:rPr>
        <w:footnoteRef/>
      </w:r>
      <w:r w:rsidRPr="00160DD9">
        <w:rPr>
          <w:sz w:val="18"/>
          <w:szCs w:val="18"/>
        </w:rPr>
        <w:t xml:space="preserve"> </w:t>
      </w:r>
      <w:r w:rsidR="005F7E6F">
        <w:rPr>
          <w:sz w:val="18"/>
          <w:szCs w:val="18"/>
        </w:rPr>
        <w:tab/>
      </w:r>
      <w:r w:rsidRPr="00160DD9">
        <w:rPr>
          <w:sz w:val="18"/>
          <w:szCs w:val="18"/>
        </w:rPr>
        <w:t>Exhibit RBR-3</w:t>
      </w:r>
      <w:r>
        <w:rPr>
          <w:sz w:val="18"/>
          <w:szCs w:val="18"/>
        </w:rPr>
        <w:t xml:space="preserve">.  </w:t>
      </w:r>
      <w:r w:rsidRPr="00160DD9">
        <w:rPr>
          <w:sz w:val="18"/>
          <w:szCs w:val="18"/>
        </w:rPr>
        <w:t>Secretarial</w:t>
      </w:r>
      <w:r>
        <w:t xml:space="preserve"> Letter dated December 10, 2010 at Docket No. </w:t>
      </w:r>
      <w:proofErr w:type="gramStart"/>
      <w:r>
        <w:t>P-00072342.</w:t>
      </w:r>
      <w:proofErr w:type="gramEnd"/>
      <w:r w:rsidR="009811C9">
        <w:t xml:space="preserve">  (Emphasis added).</w:t>
      </w:r>
    </w:p>
  </w:footnote>
  <w:footnote w:id="36">
    <w:p w:rsidR="002C2B25" w:rsidRDefault="002C2B25" w:rsidP="002C2B25">
      <w:pPr>
        <w:pStyle w:val="FootnoteText"/>
      </w:pPr>
      <w:r>
        <w:rPr>
          <w:rStyle w:val="FootnoteReference"/>
        </w:rPr>
        <w:footnoteRef/>
      </w:r>
      <w:r>
        <w:t xml:space="preserve"> </w:t>
      </w:r>
      <w:r w:rsidR="005F7E6F">
        <w:tab/>
      </w:r>
      <w:proofErr w:type="gramStart"/>
      <w:r>
        <w:t>WPPCo.</w:t>
      </w:r>
      <w:proofErr w:type="gramEnd"/>
      <w:r>
        <w:t xml:space="preserve"> Statement No. 1, pp. 21 to 22.</w:t>
      </w:r>
    </w:p>
    <w:p w:rsidR="005F7E6F" w:rsidRDefault="005F7E6F" w:rsidP="002C2B25">
      <w:pPr>
        <w:pStyle w:val="FootnoteText"/>
      </w:pPr>
    </w:p>
  </w:footnote>
  <w:footnote w:id="37">
    <w:p w:rsidR="002C2B25" w:rsidRDefault="002C2B25" w:rsidP="002C2B25">
      <w:pPr>
        <w:pStyle w:val="FootnoteText"/>
      </w:pPr>
      <w:r>
        <w:rPr>
          <w:rStyle w:val="FootnoteReference"/>
        </w:rPr>
        <w:footnoteRef/>
      </w:r>
      <w:r w:rsidR="005F7E6F">
        <w:t xml:space="preserve"> </w:t>
      </w:r>
      <w:r w:rsidR="005F7E6F">
        <w:tab/>
      </w:r>
      <w:r>
        <w:t xml:space="preserve">WPPCo. Statement No 2. p. 10, 14. </w:t>
      </w:r>
    </w:p>
    <w:p w:rsidR="00DA7A0C" w:rsidRDefault="00DA7A0C" w:rsidP="002C2B25">
      <w:pPr>
        <w:pStyle w:val="FootnoteText"/>
      </w:pPr>
    </w:p>
  </w:footnote>
  <w:footnote w:id="38">
    <w:p w:rsidR="005F7E6F" w:rsidRDefault="005F7E6F">
      <w:pPr>
        <w:pStyle w:val="FootnoteText"/>
      </w:pPr>
      <w:r>
        <w:rPr>
          <w:rStyle w:val="FootnoteReference"/>
        </w:rPr>
        <w:footnoteRef/>
      </w:r>
      <w:r>
        <w:t xml:space="preserve"> </w:t>
      </w:r>
      <w:r w:rsidR="00DA7A0C">
        <w:tab/>
        <w:t>[BEGIN PROPRIETARY]</w:t>
      </w:r>
    </w:p>
    <w:p w:rsidR="00DA7A0C" w:rsidRDefault="00DA7A0C">
      <w:pPr>
        <w:pStyle w:val="FootnoteText"/>
      </w:pPr>
    </w:p>
  </w:footnote>
  <w:footnote w:id="39">
    <w:p w:rsidR="005F7E6F" w:rsidRDefault="005F7E6F">
      <w:pPr>
        <w:pStyle w:val="FootnoteText"/>
      </w:pPr>
      <w:r>
        <w:rPr>
          <w:rStyle w:val="FootnoteReference"/>
        </w:rPr>
        <w:footnoteRef/>
      </w:r>
      <w:r>
        <w:t xml:space="preserve"> </w:t>
      </w:r>
      <w:r w:rsidR="000E6FF0">
        <w:tab/>
        <w:t>[END</w:t>
      </w:r>
      <w:r w:rsidR="00DA7A0C">
        <w:t xml:space="preserve"> PROPRIETARY]</w:t>
      </w:r>
    </w:p>
    <w:p w:rsidR="00F01A06" w:rsidRDefault="00F01A06">
      <w:pPr>
        <w:pStyle w:val="FootnoteText"/>
      </w:pPr>
    </w:p>
  </w:footnote>
  <w:footnote w:id="40">
    <w:p w:rsidR="00DA7A0C" w:rsidRDefault="00DA7A0C">
      <w:pPr>
        <w:pStyle w:val="FootnoteText"/>
      </w:pPr>
      <w:r>
        <w:rPr>
          <w:rStyle w:val="FootnoteReference"/>
        </w:rPr>
        <w:footnoteRef/>
      </w:r>
      <w:r>
        <w:t xml:space="preserve"> </w:t>
      </w:r>
      <w:r>
        <w:tab/>
        <w:t>[PROPRIETARY]</w:t>
      </w:r>
    </w:p>
  </w:footnote>
  <w:footnote w:id="41">
    <w:p w:rsidR="00266A41" w:rsidRDefault="00266A41">
      <w:pPr>
        <w:pStyle w:val="FootnoteText"/>
      </w:pPr>
      <w:r>
        <w:rPr>
          <w:rStyle w:val="FootnoteReference"/>
        </w:rPr>
        <w:footnoteRef/>
      </w:r>
      <w:r>
        <w:t xml:space="preserve"> </w:t>
      </w:r>
      <w:r w:rsidR="00AA47D8">
        <w:tab/>
      </w:r>
      <w:r>
        <w:t>Transcript p. 39.</w:t>
      </w:r>
    </w:p>
    <w:p w:rsidR="00AA47D8" w:rsidRPr="00266A41" w:rsidRDefault="00AA47D8">
      <w:pPr>
        <w:pStyle w:val="FootnoteText"/>
      </w:pPr>
    </w:p>
  </w:footnote>
  <w:footnote w:id="42">
    <w:p w:rsidR="00266A41" w:rsidRPr="00266A41" w:rsidRDefault="00266A41">
      <w:pPr>
        <w:pStyle w:val="FootnoteText"/>
      </w:pPr>
      <w:r>
        <w:rPr>
          <w:rStyle w:val="FootnoteReference"/>
        </w:rPr>
        <w:footnoteRef/>
      </w:r>
      <w:r>
        <w:t xml:space="preserve"> </w:t>
      </w:r>
      <w:r w:rsidR="00AA47D8">
        <w:tab/>
      </w:r>
      <w:r>
        <w:t>Transcript p. 43-44.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503"/>
    <w:multiLevelType w:val="hybridMultilevel"/>
    <w:tmpl w:val="A3B62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F627BA"/>
    <w:multiLevelType w:val="hybridMultilevel"/>
    <w:tmpl w:val="896095F2"/>
    <w:lvl w:ilvl="0" w:tplc="1C44A53C">
      <w:start w:val="13"/>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5920B9"/>
    <w:multiLevelType w:val="hybridMultilevel"/>
    <w:tmpl w:val="B944E290"/>
    <w:lvl w:ilvl="0" w:tplc="CC067B8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83409F8"/>
    <w:multiLevelType w:val="hybridMultilevel"/>
    <w:tmpl w:val="54220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A8268E1"/>
    <w:multiLevelType w:val="hybridMultilevel"/>
    <w:tmpl w:val="5CFC8D5A"/>
    <w:lvl w:ilvl="0" w:tplc="31EA6C82">
      <w:start w:val="13"/>
      <w:numFmt w:val="decimal"/>
      <w:lvlText w:val="%1."/>
      <w:lvlJc w:val="left"/>
      <w:pPr>
        <w:ind w:left="-605" w:hanging="360"/>
      </w:pPr>
      <w:rPr>
        <w:rFonts w:hint="default"/>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61152AC7"/>
    <w:multiLevelType w:val="hybridMultilevel"/>
    <w:tmpl w:val="6DCA4C02"/>
    <w:lvl w:ilvl="0" w:tplc="3D9AB60C">
      <w:start w:val="1"/>
      <w:numFmt w:val="upperLetter"/>
      <w:lvlText w:val="%1."/>
      <w:lvlJc w:val="left"/>
      <w:pPr>
        <w:tabs>
          <w:tab w:val="num" w:pos="2340"/>
        </w:tabs>
        <w:ind w:left="2340" w:hanging="720"/>
      </w:pPr>
      <w:rPr>
        <w:rFonts w:hint="default"/>
      </w:rPr>
    </w:lvl>
    <w:lvl w:ilvl="1" w:tplc="7DC4643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36A2C07"/>
    <w:multiLevelType w:val="hybridMultilevel"/>
    <w:tmpl w:val="A06CD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AC"/>
    <w:rsid w:val="000054A0"/>
    <w:rsid w:val="00007E29"/>
    <w:rsid w:val="000149D0"/>
    <w:rsid w:val="000176E5"/>
    <w:rsid w:val="00021DA8"/>
    <w:rsid w:val="000231B6"/>
    <w:rsid w:val="00024B51"/>
    <w:rsid w:val="000258D1"/>
    <w:rsid w:val="000264E6"/>
    <w:rsid w:val="00027FD1"/>
    <w:rsid w:val="0003166E"/>
    <w:rsid w:val="00032FE7"/>
    <w:rsid w:val="000410F6"/>
    <w:rsid w:val="00043991"/>
    <w:rsid w:val="00051FB8"/>
    <w:rsid w:val="00057FE3"/>
    <w:rsid w:val="000600EC"/>
    <w:rsid w:val="0006028B"/>
    <w:rsid w:val="00063836"/>
    <w:rsid w:val="00064474"/>
    <w:rsid w:val="000653E9"/>
    <w:rsid w:val="000701E0"/>
    <w:rsid w:val="00071E5A"/>
    <w:rsid w:val="00073D85"/>
    <w:rsid w:val="00074D17"/>
    <w:rsid w:val="00076349"/>
    <w:rsid w:val="0007694D"/>
    <w:rsid w:val="0007772F"/>
    <w:rsid w:val="0008095E"/>
    <w:rsid w:val="000811C8"/>
    <w:rsid w:val="000864A2"/>
    <w:rsid w:val="00086B4E"/>
    <w:rsid w:val="000929EF"/>
    <w:rsid w:val="00092F17"/>
    <w:rsid w:val="0009485B"/>
    <w:rsid w:val="000A12AF"/>
    <w:rsid w:val="000A2B3D"/>
    <w:rsid w:val="000A701E"/>
    <w:rsid w:val="000B20CF"/>
    <w:rsid w:val="000B2D1C"/>
    <w:rsid w:val="000B4ABD"/>
    <w:rsid w:val="000B6C8B"/>
    <w:rsid w:val="000C20C1"/>
    <w:rsid w:val="000D05E4"/>
    <w:rsid w:val="000D1272"/>
    <w:rsid w:val="000D1A96"/>
    <w:rsid w:val="000D2E99"/>
    <w:rsid w:val="000D348D"/>
    <w:rsid w:val="000D37D3"/>
    <w:rsid w:val="000D3F12"/>
    <w:rsid w:val="000D4D4F"/>
    <w:rsid w:val="000D4FB6"/>
    <w:rsid w:val="000E0431"/>
    <w:rsid w:val="000E04C3"/>
    <w:rsid w:val="000E3A6C"/>
    <w:rsid w:val="000E5398"/>
    <w:rsid w:val="000E5768"/>
    <w:rsid w:val="000E5914"/>
    <w:rsid w:val="000E6FF0"/>
    <w:rsid w:val="000E73A9"/>
    <w:rsid w:val="000E7862"/>
    <w:rsid w:val="000F08AE"/>
    <w:rsid w:val="000F0A3C"/>
    <w:rsid w:val="000F3FA1"/>
    <w:rsid w:val="000F4B9D"/>
    <w:rsid w:val="000F5532"/>
    <w:rsid w:val="000F5750"/>
    <w:rsid w:val="00100637"/>
    <w:rsid w:val="001016BB"/>
    <w:rsid w:val="0010236F"/>
    <w:rsid w:val="001077F3"/>
    <w:rsid w:val="00110B46"/>
    <w:rsid w:val="00112E41"/>
    <w:rsid w:val="00114853"/>
    <w:rsid w:val="001217A3"/>
    <w:rsid w:val="00121F23"/>
    <w:rsid w:val="001220FF"/>
    <w:rsid w:val="00124B4B"/>
    <w:rsid w:val="00133AC0"/>
    <w:rsid w:val="0013566E"/>
    <w:rsid w:val="00135C90"/>
    <w:rsid w:val="0013718E"/>
    <w:rsid w:val="00137A75"/>
    <w:rsid w:val="00145EBC"/>
    <w:rsid w:val="001474A4"/>
    <w:rsid w:val="00150C7F"/>
    <w:rsid w:val="00150F2E"/>
    <w:rsid w:val="001514D5"/>
    <w:rsid w:val="00154E71"/>
    <w:rsid w:val="00155374"/>
    <w:rsid w:val="00156D8C"/>
    <w:rsid w:val="00157F19"/>
    <w:rsid w:val="00162B07"/>
    <w:rsid w:val="0016469D"/>
    <w:rsid w:val="00166240"/>
    <w:rsid w:val="0017092D"/>
    <w:rsid w:val="00170A3D"/>
    <w:rsid w:val="00171FBF"/>
    <w:rsid w:val="00173C38"/>
    <w:rsid w:val="00181005"/>
    <w:rsid w:val="00182F32"/>
    <w:rsid w:val="0018497A"/>
    <w:rsid w:val="001850EC"/>
    <w:rsid w:val="001863D6"/>
    <w:rsid w:val="00186D96"/>
    <w:rsid w:val="00191C26"/>
    <w:rsid w:val="00195648"/>
    <w:rsid w:val="00197067"/>
    <w:rsid w:val="001A1035"/>
    <w:rsid w:val="001A23E5"/>
    <w:rsid w:val="001A7C64"/>
    <w:rsid w:val="001B20C6"/>
    <w:rsid w:val="001B39BE"/>
    <w:rsid w:val="001B4246"/>
    <w:rsid w:val="001B5CDA"/>
    <w:rsid w:val="001B7CFC"/>
    <w:rsid w:val="001C0DF2"/>
    <w:rsid w:val="001C4224"/>
    <w:rsid w:val="001C4501"/>
    <w:rsid w:val="001C4A32"/>
    <w:rsid w:val="001C66AE"/>
    <w:rsid w:val="001D09B1"/>
    <w:rsid w:val="001D2129"/>
    <w:rsid w:val="001D3DB7"/>
    <w:rsid w:val="001D5A2E"/>
    <w:rsid w:val="001E2879"/>
    <w:rsid w:val="001E3750"/>
    <w:rsid w:val="001F096C"/>
    <w:rsid w:val="001F5477"/>
    <w:rsid w:val="0020068C"/>
    <w:rsid w:val="00200871"/>
    <w:rsid w:val="002013D7"/>
    <w:rsid w:val="00202B2B"/>
    <w:rsid w:val="002175EC"/>
    <w:rsid w:val="00217DE6"/>
    <w:rsid w:val="002237FF"/>
    <w:rsid w:val="002255BB"/>
    <w:rsid w:val="00232D80"/>
    <w:rsid w:val="002334BB"/>
    <w:rsid w:val="00235B67"/>
    <w:rsid w:val="00237B7B"/>
    <w:rsid w:val="002456C5"/>
    <w:rsid w:val="00251748"/>
    <w:rsid w:val="00252F8B"/>
    <w:rsid w:val="00253964"/>
    <w:rsid w:val="00253AEB"/>
    <w:rsid w:val="002548BA"/>
    <w:rsid w:val="00255431"/>
    <w:rsid w:val="00262BD7"/>
    <w:rsid w:val="002639C1"/>
    <w:rsid w:val="002647DA"/>
    <w:rsid w:val="00264966"/>
    <w:rsid w:val="0026536C"/>
    <w:rsid w:val="00266A41"/>
    <w:rsid w:val="00271F5E"/>
    <w:rsid w:val="00272F0C"/>
    <w:rsid w:val="002733C5"/>
    <w:rsid w:val="00276C6D"/>
    <w:rsid w:val="00282CC9"/>
    <w:rsid w:val="0028593E"/>
    <w:rsid w:val="0028636E"/>
    <w:rsid w:val="0029248A"/>
    <w:rsid w:val="00295943"/>
    <w:rsid w:val="00295FE1"/>
    <w:rsid w:val="00296B5F"/>
    <w:rsid w:val="00296F05"/>
    <w:rsid w:val="002A152D"/>
    <w:rsid w:val="002A421B"/>
    <w:rsid w:val="002B168D"/>
    <w:rsid w:val="002B64B5"/>
    <w:rsid w:val="002B6984"/>
    <w:rsid w:val="002C0222"/>
    <w:rsid w:val="002C03D4"/>
    <w:rsid w:val="002C23EB"/>
    <w:rsid w:val="002C2B25"/>
    <w:rsid w:val="002D1945"/>
    <w:rsid w:val="002D3E5A"/>
    <w:rsid w:val="002D572C"/>
    <w:rsid w:val="002D6CB1"/>
    <w:rsid w:val="002E37D1"/>
    <w:rsid w:val="002F138F"/>
    <w:rsid w:val="002F325F"/>
    <w:rsid w:val="002F672A"/>
    <w:rsid w:val="0030267B"/>
    <w:rsid w:val="00302AF4"/>
    <w:rsid w:val="00305B1B"/>
    <w:rsid w:val="003103C8"/>
    <w:rsid w:val="00314603"/>
    <w:rsid w:val="0031633D"/>
    <w:rsid w:val="003175E4"/>
    <w:rsid w:val="00332110"/>
    <w:rsid w:val="00334B23"/>
    <w:rsid w:val="00335303"/>
    <w:rsid w:val="00337213"/>
    <w:rsid w:val="00342684"/>
    <w:rsid w:val="00345DCE"/>
    <w:rsid w:val="00346B53"/>
    <w:rsid w:val="0034781A"/>
    <w:rsid w:val="00354E4B"/>
    <w:rsid w:val="00363362"/>
    <w:rsid w:val="00364A57"/>
    <w:rsid w:val="00364EE9"/>
    <w:rsid w:val="00374637"/>
    <w:rsid w:val="00374AD8"/>
    <w:rsid w:val="00382B36"/>
    <w:rsid w:val="0038513C"/>
    <w:rsid w:val="003900C4"/>
    <w:rsid w:val="0039134C"/>
    <w:rsid w:val="003932D7"/>
    <w:rsid w:val="003A1F86"/>
    <w:rsid w:val="003A2A2E"/>
    <w:rsid w:val="003B1E9C"/>
    <w:rsid w:val="003B41A3"/>
    <w:rsid w:val="003B4FF6"/>
    <w:rsid w:val="003C0AA0"/>
    <w:rsid w:val="003C16ED"/>
    <w:rsid w:val="003C1A3D"/>
    <w:rsid w:val="003C4D4D"/>
    <w:rsid w:val="003C6982"/>
    <w:rsid w:val="003D54B2"/>
    <w:rsid w:val="003E0323"/>
    <w:rsid w:val="003E22BE"/>
    <w:rsid w:val="003E57AF"/>
    <w:rsid w:val="003E655B"/>
    <w:rsid w:val="003E677D"/>
    <w:rsid w:val="003E6CB1"/>
    <w:rsid w:val="003F2BA0"/>
    <w:rsid w:val="003F2EDF"/>
    <w:rsid w:val="003F6DDF"/>
    <w:rsid w:val="00405E1F"/>
    <w:rsid w:val="004065EB"/>
    <w:rsid w:val="00410876"/>
    <w:rsid w:val="00415D19"/>
    <w:rsid w:val="00416B16"/>
    <w:rsid w:val="00420580"/>
    <w:rsid w:val="00420ACC"/>
    <w:rsid w:val="004220A2"/>
    <w:rsid w:val="00422AA6"/>
    <w:rsid w:val="004237D3"/>
    <w:rsid w:val="00426604"/>
    <w:rsid w:val="00432621"/>
    <w:rsid w:val="004363D5"/>
    <w:rsid w:val="00436B4A"/>
    <w:rsid w:val="0044029E"/>
    <w:rsid w:val="00442E85"/>
    <w:rsid w:val="0044615A"/>
    <w:rsid w:val="0044677A"/>
    <w:rsid w:val="004472E3"/>
    <w:rsid w:val="00450D58"/>
    <w:rsid w:val="004510DA"/>
    <w:rsid w:val="00451B8C"/>
    <w:rsid w:val="00456667"/>
    <w:rsid w:val="00464A33"/>
    <w:rsid w:val="004707D3"/>
    <w:rsid w:val="0047138B"/>
    <w:rsid w:val="00471465"/>
    <w:rsid w:val="004716A5"/>
    <w:rsid w:val="0047552D"/>
    <w:rsid w:val="00475701"/>
    <w:rsid w:val="00476E4A"/>
    <w:rsid w:val="0048350D"/>
    <w:rsid w:val="0048468D"/>
    <w:rsid w:val="00484B56"/>
    <w:rsid w:val="0049045E"/>
    <w:rsid w:val="00490E99"/>
    <w:rsid w:val="004939CE"/>
    <w:rsid w:val="004A19AC"/>
    <w:rsid w:val="004A7EC8"/>
    <w:rsid w:val="004A7F8F"/>
    <w:rsid w:val="004B2CF6"/>
    <w:rsid w:val="004B4688"/>
    <w:rsid w:val="004C1CD0"/>
    <w:rsid w:val="004C3711"/>
    <w:rsid w:val="004C3D92"/>
    <w:rsid w:val="004C4248"/>
    <w:rsid w:val="004C6BD8"/>
    <w:rsid w:val="004D1414"/>
    <w:rsid w:val="004D2E18"/>
    <w:rsid w:val="004D51E7"/>
    <w:rsid w:val="004E0FAC"/>
    <w:rsid w:val="004E1A95"/>
    <w:rsid w:val="004E7D90"/>
    <w:rsid w:val="004F00DD"/>
    <w:rsid w:val="004F02D2"/>
    <w:rsid w:val="004F287B"/>
    <w:rsid w:val="004F3E26"/>
    <w:rsid w:val="004F5CE4"/>
    <w:rsid w:val="004F68DE"/>
    <w:rsid w:val="00503E96"/>
    <w:rsid w:val="0050417F"/>
    <w:rsid w:val="00504784"/>
    <w:rsid w:val="00511D1F"/>
    <w:rsid w:val="005134D7"/>
    <w:rsid w:val="00515C8F"/>
    <w:rsid w:val="00523D07"/>
    <w:rsid w:val="00531250"/>
    <w:rsid w:val="005322A7"/>
    <w:rsid w:val="00533111"/>
    <w:rsid w:val="00536CBA"/>
    <w:rsid w:val="00540391"/>
    <w:rsid w:val="0054428C"/>
    <w:rsid w:val="005450E4"/>
    <w:rsid w:val="00552649"/>
    <w:rsid w:val="00557F82"/>
    <w:rsid w:val="005614F9"/>
    <w:rsid w:val="00563EE8"/>
    <w:rsid w:val="005646F2"/>
    <w:rsid w:val="0056487A"/>
    <w:rsid w:val="0057339C"/>
    <w:rsid w:val="00574BE6"/>
    <w:rsid w:val="005871A4"/>
    <w:rsid w:val="00591CC0"/>
    <w:rsid w:val="00593DD2"/>
    <w:rsid w:val="00596706"/>
    <w:rsid w:val="005979F8"/>
    <w:rsid w:val="005A22D7"/>
    <w:rsid w:val="005A336C"/>
    <w:rsid w:val="005A363D"/>
    <w:rsid w:val="005A3E27"/>
    <w:rsid w:val="005A67D0"/>
    <w:rsid w:val="005B22D2"/>
    <w:rsid w:val="005B28CE"/>
    <w:rsid w:val="005B3250"/>
    <w:rsid w:val="005B3B57"/>
    <w:rsid w:val="005B4DF8"/>
    <w:rsid w:val="005C3A4F"/>
    <w:rsid w:val="005D06F9"/>
    <w:rsid w:val="005D38C2"/>
    <w:rsid w:val="005D415D"/>
    <w:rsid w:val="005D6396"/>
    <w:rsid w:val="005D748E"/>
    <w:rsid w:val="005E2685"/>
    <w:rsid w:val="005E32E2"/>
    <w:rsid w:val="005E6750"/>
    <w:rsid w:val="005F49D5"/>
    <w:rsid w:val="005F7E6F"/>
    <w:rsid w:val="006024EA"/>
    <w:rsid w:val="00602BB8"/>
    <w:rsid w:val="006050D8"/>
    <w:rsid w:val="0060542A"/>
    <w:rsid w:val="00606993"/>
    <w:rsid w:val="006069D7"/>
    <w:rsid w:val="00611E28"/>
    <w:rsid w:val="00612AD9"/>
    <w:rsid w:val="006135D6"/>
    <w:rsid w:val="00617B34"/>
    <w:rsid w:val="006230D9"/>
    <w:rsid w:val="00625587"/>
    <w:rsid w:val="006277F1"/>
    <w:rsid w:val="00627D93"/>
    <w:rsid w:val="00635528"/>
    <w:rsid w:val="00635B57"/>
    <w:rsid w:val="006377F6"/>
    <w:rsid w:val="0064453C"/>
    <w:rsid w:val="00645600"/>
    <w:rsid w:val="0065002E"/>
    <w:rsid w:val="00652A8A"/>
    <w:rsid w:val="00656402"/>
    <w:rsid w:val="0066261A"/>
    <w:rsid w:val="006649C6"/>
    <w:rsid w:val="00664ED3"/>
    <w:rsid w:val="00665B78"/>
    <w:rsid w:val="00667E53"/>
    <w:rsid w:val="006714DB"/>
    <w:rsid w:val="00671CC8"/>
    <w:rsid w:val="0067245A"/>
    <w:rsid w:val="00683B4B"/>
    <w:rsid w:val="00685952"/>
    <w:rsid w:val="00686397"/>
    <w:rsid w:val="00686E65"/>
    <w:rsid w:val="006871E1"/>
    <w:rsid w:val="006927BD"/>
    <w:rsid w:val="00694CB5"/>
    <w:rsid w:val="00695BDE"/>
    <w:rsid w:val="006A25A6"/>
    <w:rsid w:val="006A3662"/>
    <w:rsid w:val="006A5E7E"/>
    <w:rsid w:val="006A790B"/>
    <w:rsid w:val="006B1B30"/>
    <w:rsid w:val="006B2F30"/>
    <w:rsid w:val="006C22DC"/>
    <w:rsid w:val="006C31D6"/>
    <w:rsid w:val="006C39CC"/>
    <w:rsid w:val="006C3FFD"/>
    <w:rsid w:val="006C5EB3"/>
    <w:rsid w:val="006D01A9"/>
    <w:rsid w:val="006D0BF0"/>
    <w:rsid w:val="006D1487"/>
    <w:rsid w:val="006D2521"/>
    <w:rsid w:val="006D4912"/>
    <w:rsid w:val="006D5047"/>
    <w:rsid w:val="006E173F"/>
    <w:rsid w:val="006E3E4F"/>
    <w:rsid w:val="006E70E4"/>
    <w:rsid w:val="006F10F2"/>
    <w:rsid w:val="007007BF"/>
    <w:rsid w:val="007016BB"/>
    <w:rsid w:val="00703735"/>
    <w:rsid w:val="007074AB"/>
    <w:rsid w:val="007074DC"/>
    <w:rsid w:val="0071225F"/>
    <w:rsid w:val="0071434B"/>
    <w:rsid w:val="007201BA"/>
    <w:rsid w:val="007207B7"/>
    <w:rsid w:val="00720D26"/>
    <w:rsid w:val="00721AD4"/>
    <w:rsid w:val="0072219B"/>
    <w:rsid w:val="00732938"/>
    <w:rsid w:val="007332CA"/>
    <w:rsid w:val="00733D67"/>
    <w:rsid w:val="007364C7"/>
    <w:rsid w:val="00743405"/>
    <w:rsid w:val="00743DB7"/>
    <w:rsid w:val="00744CB0"/>
    <w:rsid w:val="00745BDD"/>
    <w:rsid w:val="00754E06"/>
    <w:rsid w:val="0076111B"/>
    <w:rsid w:val="007656E9"/>
    <w:rsid w:val="00772C95"/>
    <w:rsid w:val="00780557"/>
    <w:rsid w:val="00781BA0"/>
    <w:rsid w:val="00782EBE"/>
    <w:rsid w:val="00786D00"/>
    <w:rsid w:val="00794B08"/>
    <w:rsid w:val="007A305B"/>
    <w:rsid w:val="007A671C"/>
    <w:rsid w:val="007B023D"/>
    <w:rsid w:val="007B3E3E"/>
    <w:rsid w:val="007B625D"/>
    <w:rsid w:val="007B71AA"/>
    <w:rsid w:val="007C0D99"/>
    <w:rsid w:val="007C1516"/>
    <w:rsid w:val="007C1C59"/>
    <w:rsid w:val="007C2430"/>
    <w:rsid w:val="007C287D"/>
    <w:rsid w:val="007C5F93"/>
    <w:rsid w:val="007C6412"/>
    <w:rsid w:val="007C6D63"/>
    <w:rsid w:val="007C70A7"/>
    <w:rsid w:val="007D14A7"/>
    <w:rsid w:val="007D1E80"/>
    <w:rsid w:val="007D34FB"/>
    <w:rsid w:val="007E1B33"/>
    <w:rsid w:val="007E6766"/>
    <w:rsid w:val="007E7F3A"/>
    <w:rsid w:val="007F13F0"/>
    <w:rsid w:val="007F20D2"/>
    <w:rsid w:val="007F2586"/>
    <w:rsid w:val="007F32F6"/>
    <w:rsid w:val="007F3BE4"/>
    <w:rsid w:val="007F6E2C"/>
    <w:rsid w:val="007F6E3D"/>
    <w:rsid w:val="007F7CB6"/>
    <w:rsid w:val="00801E1E"/>
    <w:rsid w:val="00804094"/>
    <w:rsid w:val="008048BC"/>
    <w:rsid w:val="00804DF5"/>
    <w:rsid w:val="008051A0"/>
    <w:rsid w:val="0080564B"/>
    <w:rsid w:val="00805974"/>
    <w:rsid w:val="008059EF"/>
    <w:rsid w:val="008115AD"/>
    <w:rsid w:val="00814404"/>
    <w:rsid w:val="00815B49"/>
    <w:rsid w:val="008166C1"/>
    <w:rsid w:val="00817F11"/>
    <w:rsid w:val="00821173"/>
    <w:rsid w:val="008255BA"/>
    <w:rsid w:val="008345EB"/>
    <w:rsid w:val="00834D41"/>
    <w:rsid w:val="00851862"/>
    <w:rsid w:val="00854ECD"/>
    <w:rsid w:val="00855350"/>
    <w:rsid w:val="00861646"/>
    <w:rsid w:val="008668AC"/>
    <w:rsid w:val="00866DC8"/>
    <w:rsid w:val="0087567A"/>
    <w:rsid w:val="00875682"/>
    <w:rsid w:val="00877B3B"/>
    <w:rsid w:val="0088010A"/>
    <w:rsid w:val="00882145"/>
    <w:rsid w:val="00883A2F"/>
    <w:rsid w:val="00884EA2"/>
    <w:rsid w:val="008860A5"/>
    <w:rsid w:val="008905AE"/>
    <w:rsid w:val="00891961"/>
    <w:rsid w:val="0089288B"/>
    <w:rsid w:val="008940EE"/>
    <w:rsid w:val="00897307"/>
    <w:rsid w:val="008A3483"/>
    <w:rsid w:val="008A48C6"/>
    <w:rsid w:val="008A5E1C"/>
    <w:rsid w:val="008B129E"/>
    <w:rsid w:val="008B17F0"/>
    <w:rsid w:val="008B3B2E"/>
    <w:rsid w:val="008B76D3"/>
    <w:rsid w:val="008C0568"/>
    <w:rsid w:val="008C3592"/>
    <w:rsid w:val="008C55FD"/>
    <w:rsid w:val="008C5B5D"/>
    <w:rsid w:val="008C7090"/>
    <w:rsid w:val="008E1413"/>
    <w:rsid w:val="008E15D3"/>
    <w:rsid w:val="008E25BC"/>
    <w:rsid w:val="008E5022"/>
    <w:rsid w:val="008E551D"/>
    <w:rsid w:val="008E76CC"/>
    <w:rsid w:val="008F03AB"/>
    <w:rsid w:val="008F0620"/>
    <w:rsid w:val="008F10E9"/>
    <w:rsid w:val="008F1BD4"/>
    <w:rsid w:val="008F2040"/>
    <w:rsid w:val="008F4556"/>
    <w:rsid w:val="008F6830"/>
    <w:rsid w:val="009004BE"/>
    <w:rsid w:val="009053EF"/>
    <w:rsid w:val="0090654E"/>
    <w:rsid w:val="009123D6"/>
    <w:rsid w:val="00912FFA"/>
    <w:rsid w:val="00913DB7"/>
    <w:rsid w:val="00915E9F"/>
    <w:rsid w:val="009166F7"/>
    <w:rsid w:val="00917D2F"/>
    <w:rsid w:val="009211D0"/>
    <w:rsid w:val="0092741A"/>
    <w:rsid w:val="0093288E"/>
    <w:rsid w:val="009329AC"/>
    <w:rsid w:val="00934946"/>
    <w:rsid w:val="009420B6"/>
    <w:rsid w:val="00942370"/>
    <w:rsid w:val="0094385D"/>
    <w:rsid w:val="00943DE4"/>
    <w:rsid w:val="00944792"/>
    <w:rsid w:val="009453AD"/>
    <w:rsid w:val="00951FEC"/>
    <w:rsid w:val="00955747"/>
    <w:rsid w:val="00971890"/>
    <w:rsid w:val="00971CEA"/>
    <w:rsid w:val="00971D91"/>
    <w:rsid w:val="0097421D"/>
    <w:rsid w:val="009803E0"/>
    <w:rsid w:val="009811C9"/>
    <w:rsid w:val="009818EB"/>
    <w:rsid w:val="00981C2A"/>
    <w:rsid w:val="00981EC0"/>
    <w:rsid w:val="00994642"/>
    <w:rsid w:val="00996D05"/>
    <w:rsid w:val="009A08C4"/>
    <w:rsid w:val="009A0B0D"/>
    <w:rsid w:val="009B332B"/>
    <w:rsid w:val="009B33D7"/>
    <w:rsid w:val="009B5454"/>
    <w:rsid w:val="009B73EB"/>
    <w:rsid w:val="009C064B"/>
    <w:rsid w:val="009C3B58"/>
    <w:rsid w:val="009C7420"/>
    <w:rsid w:val="009D08B9"/>
    <w:rsid w:val="009E1E93"/>
    <w:rsid w:val="009E4420"/>
    <w:rsid w:val="009F2015"/>
    <w:rsid w:val="009F48A4"/>
    <w:rsid w:val="009F4AFA"/>
    <w:rsid w:val="009F5089"/>
    <w:rsid w:val="009F5C6A"/>
    <w:rsid w:val="009F75D9"/>
    <w:rsid w:val="00A048C7"/>
    <w:rsid w:val="00A068F4"/>
    <w:rsid w:val="00A079E1"/>
    <w:rsid w:val="00A07ABA"/>
    <w:rsid w:val="00A07F28"/>
    <w:rsid w:val="00A12BD8"/>
    <w:rsid w:val="00A131FB"/>
    <w:rsid w:val="00A168FA"/>
    <w:rsid w:val="00A16ADB"/>
    <w:rsid w:val="00A22C37"/>
    <w:rsid w:val="00A22D62"/>
    <w:rsid w:val="00A234ED"/>
    <w:rsid w:val="00A2528D"/>
    <w:rsid w:val="00A2569F"/>
    <w:rsid w:val="00A30A9C"/>
    <w:rsid w:val="00A31392"/>
    <w:rsid w:val="00A32E51"/>
    <w:rsid w:val="00A33C66"/>
    <w:rsid w:val="00A348A7"/>
    <w:rsid w:val="00A36648"/>
    <w:rsid w:val="00A370A6"/>
    <w:rsid w:val="00A43B62"/>
    <w:rsid w:val="00A518EB"/>
    <w:rsid w:val="00A52994"/>
    <w:rsid w:val="00A52DE2"/>
    <w:rsid w:val="00A5573C"/>
    <w:rsid w:val="00A55EDE"/>
    <w:rsid w:val="00A615B9"/>
    <w:rsid w:val="00A673A1"/>
    <w:rsid w:val="00A67BC5"/>
    <w:rsid w:val="00A67D3E"/>
    <w:rsid w:val="00A70354"/>
    <w:rsid w:val="00A72382"/>
    <w:rsid w:val="00A73E0A"/>
    <w:rsid w:val="00A760BA"/>
    <w:rsid w:val="00A80069"/>
    <w:rsid w:val="00A82573"/>
    <w:rsid w:val="00A8284C"/>
    <w:rsid w:val="00A84ABC"/>
    <w:rsid w:val="00A85255"/>
    <w:rsid w:val="00A90738"/>
    <w:rsid w:val="00A911B5"/>
    <w:rsid w:val="00A92CBB"/>
    <w:rsid w:val="00A93420"/>
    <w:rsid w:val="00A947B3"/>
    <w:rsid w:val="00AA0A3D"/>
    <w:rsid w:val="00AA47D8"/>
    <w:rsid w:val="00AA56A3"/>
    <w:rsid w:val="00AA6373"/>
    <w:rsid w:val="00AB1BB1"/>
    <w:rsid w:val="00AB762D"/>
    <w:rsid w:val="00AC1F7C"/>
    <w:rsid w:val="00AC239B"/>
    <w:rsid w:val="00AC2762"/>
    <w:rsid w:val="00AC5F3D"/>
    <w:rsid w:val="00AD06E8"/>
    <w:rsid w:val="00AD7DA2"/>
    <w:rsid w:val="00AE1409"/>
    <w:rsid w:val="00AE4BC9"/>
    <w:rsid w:val="00AE5791"/>
    <w:rsid w:val="00AE6519"/>
    <w:rsid w:val="00AF1E59"/>
    <w:rsid w:val="00AF30B5"/>
    <w:rsid w:val="00AF65E5"/>
    <w:rsid w:val="00AF7441"/>
    <w:rsid w:val="00B01BF0"/>
    <w:rsid w:val="00B038D9"/>
    <w:rsid w:val="00B06B23"/>
    <w:rsid w:val="00B13091"/>
    <w:rsid w:val="00B13B4F"/>
    <w:rsid w:val="00B14049"/>
    <w:rsid w:val="00B144AC"/>
    <w:rsid w:val="00B14E37"/>
    <w:rsid w:val="00B15610"/>
    <w:rsid w:val="00B1758F"/>
    <w:rsid w:val="00B20F0B"/>
    <w:rsid w:val="00B22A44"/>
    <w:rsid w:val="00B237F5"/>
    <w:rsid w:val="00B27103"/>
    <w:rsid w:val="00B35279"/>
    <w:rsid w:val="00B352EE"/>
    <w:rsid w:val="00B36261"/>
    <w:rsid w:val="00B363B6"/>
    <w:rsid w:val="00B41E01"/>
    <w:rsid w:val="00B4245E"/>
    <w:rsid w:val="00B43461"/>
    <w:rsid w:val="00B44285"/>
    <w:rsid w:val="00B44BE0"/>
    <w:rsid w:val="00B45F57"/>
    <w:rsid w:val="00B46778"/>
    <w:rsid w:val="00B52432"/>
    <w:rsid w:val="00B52E38"/>
    <w:rsid w:val="00B57AB8"/>
    <w:rsid w:val="00B62F51"/>
    <w:rsid w:val="00B63330"/>
    <w:rsid w:val="00B639F9"/>
    <w:rsid w:val="00B659AF"/>
    <w:rsid w:val="00B67B91"/>
    <w:rsid w:val="00B67EF8"/>
    <w:rsid w:val="00B72107"/>
    <w:rsid w:val="00B725B0"/>
    <w:rsid w:val="00B736BA"/>
    <w:rsid w:val="00B77373"/>
    <w:rsid w:val="00B77CDC"/>
    <w:rsid w:val="00B81C40"/>
    <w:rsid w:val="00B82A92"/>
    <w:rsid w:val="00B869EE"/>
    <w:rsid w:val="00B930D3"/>
    <w:rsid w:val="00B95B40"/>
    <w:rsid w:val="00BA01B0"/>
    <w:rsid w:val="00BA0206"/>
    <w:rsid w:val="00BA0F36"/>
    <w:rsid w:val="00BA2678"/>
    <w:rsid w:val="00BA349C"/>
    <w:rsid w:val="00BA34DA"/>
    <w:rsid w:val="00BA59FC"/>
    <w:rsid w:val="00BB0788"/>
    <w:rsid w:val="00BB183B"/>
    <w:rsid w:val="00BB1B7D"/>
    <w:rsid w:val="00BB1DA7"/>
    <w:rsid w:val="00BB426F"/>
    <w:rsid w:val="00BC5A93"/>
    <w:rsid w:val="00BD2ABB"/>
    <w:rsid w:val="00BD59DD"/>
    <w:rsid w:val="00BE296A"/>
    <w:rsid w:val="00BE678F"/>
    <w:rsid w:val="00BF3CE0"/>
    <w:rsid w:val="00BF3CE8"/>
    <w:rsid w:val="00BF52FF"/>
    <w:rsid w:val="00BF5A0F"/>
    <w:rsid w:val="00BF72D8"/>
    <w:rsid w:val="00C036BD"/>
    <w:rsid w:val="00C03A68"/>
    <w:rsid w:val="00C058C0"/>
    <w:rsid w:val="00C0680C"/>
    <w:rsid w:val="00C07803"/>
    <w:rsid w:val="00C132DE"/>
    <w:rsid w:val="00C136DD"/>
    <w:rsid w:val="00C26B86"/>
    <w:rsid w:val="00C368BC"/>
    <w:rsid w:val="00C51B04"/>
    <w:rsid w:val="00C524E8"/>
    <w:rsid w:val="00C54BE0"/>
    <w:rsid w:val="00C55C80"/>
    <w:rsid w:val="00C60CC8"/>
    <w:rsid w:val="00C624F0"/>
    <w:rsid w:val="00C64331"/>
    <w:rsid w:val="00C65257"/>
    <w:rsid w:val="00C652E2"/>
    <w:rsid w:val="00C66B84"/>
    <w:rsid w:val="00C67F94"/>
    <w:rsid w:val="00C725AE"/>
    <w:rsid w:val="00C72A19"/>
    <w:rsid w:val="00C737FF"/>
    <w:rsid w:val="00C80976"/>
    <w:rsid w:val="00C817E7"/>
    <w:rsid w:val="00C818EE"/>
    <w:rsid w:val="00C86724"/>
    <w:rsid w:val="00C86E05"/>
    <w:rsid w:val="00C87FBB"/>
    <w:rsid w:val="00C92C22"/>
    <w:rsid w:val="00C94561"/>
    <w:rsid w:val="00C97AF2"/>
    <w:rsid w:val="00CA02A7"/>
    <w:rsid w:val="00CA165F"/>
    <w:rsid w:val="00CA2886"/>
    <w:rsid w:val="00CA373E"/>
    <w:rsid w:val="00CA40CE"/>
    <w:rsid w:val="00CA6A60"/>
    <w:rsid w:val="00CB38B1"/>
    <w:rsid w:val="00CB4DEC"/>
    <w:rsid w:val="00CB5044"/>
    <w:rsid w:val="00CC2A09"/>
    <w:rsid w:val="00CC5D91"/>
    <w:rsid w:val="00CC6162"/>
    <w:rsid w:val="00CD3893"/>
    <w:rsid w:val="00CD7310"/>
    <w:rsid w:val="00CE3023"/>
    <w:rsid w:val="00CE5085"/>
    <w:rsid w:val="00CF0B1D"/>
    <w:rsid w:val="00CF1F59"/>
    <w:rsid w:val="00D01DBB"/>
    <w:rsid w:val="00D031DE"/>
    <w:rsid w:val="00D0361B"/>
    <w:rsid w:val="00D05F75"/>
    <w:rsid w:val="00D11B06"/>
    <w:rsid w:val="00D11D5C"/>
    <w:rsid w:val="00D131BB"/>
    <w:rsid w:val="00D159AA"/>
    <w:rsid w:val="00D16177"/>
    <w:rsid w:val="00D1652F"/>
    <w:rsid w:val="00D1742B"/>
    <w:rsid w:val="00D22D7E"/>
    <w:rsid w:val="00D22E03"/>
    <w:rsid w:val="00D25AF0"/>
    <w:rsid w:val="00D275CE"/>
    <w:rsid w:val="00D27BED"/>
    <w:rsid w:val="00D33F7F"/>
    <w:rsid w:val="00D3431A"/>
    <w:rsid w:val="00D42074"/>
    <w:rsid w:val="00D44D69"/>
    <w:rsid w:val="00D476D0"/>
    <w:rsid w:val="00D527A2"/>
    <w:rsid w:val="00D54C34"/>
    <w:rsid w:val="00D568D3"/>
    <w:rsid w:val="00D572EC"/>
    <w:rsid w:val="00D5783B"/>
    <w:rsid w:val="00D57908"/>
    <w:rsid w:val="00D60EBA"/>
    <w:rsid w:val="00D66403"/>
    <w:rsid w:val="00D777CA"/>
    <w:rsid w:val="00D8090F"/>
    <w:rsid w:val="00D83484"/>
    <w:rsid w:val="00D90186"/>
    <w:rsid w:val="00D9062F"/>
    <w:rsid w:val="00D91F92"/>
    <w:rsid w:val="00DA6BB3"/>
    <w:rsid w:val="00DA7A0C"/>
    <w:rsid w:val="00DB0BAB"/>
    <w:rsid w:val="00DB1B2C"/>
    <w:rsid w:val="00DB2934"/>
    <w:rsid w:val="00DB2955"/>
    <w:rsid w:val="00DB2EB9"/>
    <w:rsid w:val="00DB5D69"/>
    <w:rsid w:val="00DC15AF"/>
    <w:rsid w:val="00DC32F0"/>
    <w:rsid w:val="00DC3DE1"/>
    <w:rsid w:val="00DC53D9"/>
    <w:rsid w:val="00DC5BB4"/>
    <w:rsid w:val="00DD22A7"/>
    <w:rsid w:val="00DD3C75"/>
    <w:rsid w:val="00DD575C"/>
    <w:rsid w:val="00DD72C3"/>
    <w:rsid w:val="00DD744E"/>
    <w:rsid w:val="00DD7D47"/>
    <w:rsid w:val="00DE21FF"/>
    <w:rsid w:val="00E015B2"/>
    <w:rsid w:val="00E01FF8"/>
    <w:rsid w:val="00E0296A"/>
    <w:rsid w:val="00E040DC"/>
    <w:rsid w:val="00E06104"/>
    <w:rsid w:val="00E06407"/>
    <w:rsid w:val="00E12C07"/>
    <w:rsid w:val="00E1560B"/>
    <w:rsid w:val="00E15AA0"/>
    <w:rsid w:val="00E2261E"/>
    <w:rsid w:val="00E2392A"/>
    <w:rsid w:val="00E23FEA"/>
    <w:rsid w:val="00E243D6"/>
    <w:rsid w:val="00E251BA"/>
    <w:rsid w:val="00E30931"/>
    <w:rsid w:val="00E3438C"/>
    <w:rsid w:val="00E37C36"/>
    <w:rsid w:val="00E42DB9"/>
    <w:rsid w:val="00E43EA0"/>
    <w:rsid w:val="00E51541"/>
    <w:rsid w:val="00E519A3"/>
    <w:rsid w:val="00E5518F"/>
    <w:rsid w:val="00E5766C"/>
    <w:rsid w:val="00E60586"/>
    <w:rsid w:val="00E62986"/>
    <w:rsid w:val="00E6309E"/>
    <w:rsid w:val="00E63D04"/>
    <w:rsid w:val="00E64FB6"/>
    <w:rsid w:val="00E667B6"/>
    <w:rsid w:val="00E66E83"/>
    <w:rsid w:val="00E678E2"/>
    <w:rsid w:val="00E67F44"/>
    <w:rsid w:val="00E716DB"/>
    <w:rsid w:val="00E73DD9"/>
    <w:rsid w:val="00E76CBD"/>
    <w:rsid w:val="00E777DE"/>
    <w:rsid w:val="00E868C2"/>
    <w:rsid w:val="00E87FF6"/>
    <w:rsid w:val="00E960BE"/>
    <w:rsid w:val="00E9706C"/>
    <w:rsid w:val="00EA2DAB"/>
    <w:rsid w:val="00EA479F"/>
    <w:rsid w:val="00EB0FFB"/>
    <w:rsid w:val="00EB677C"/>
    <w:rsid w:val="00EB701C"/>
    <w:rsid w:val="00EC2A83"/>
    <w:rsid w:val="00EC37D6"/>
    <w:rsid w:val="00EC4F69"/>
    <w:rsid w:val="00EC520A"/>
    <w:rsid w:val="00EC6ED5"/>
    <w:rsid w:val="00EC7665"/>
    <w:rsid w:val="00ED2141"/>
    <w:rsid w:val="00ED3DFA"/>
    <w:rsid w:val="00ED4F03"/>
    <w:rsid w:val="00ED5EDF"/>
    <w:rsid w:val="00ED5F37"/>
    <w:rsid w:val="00EE1159"/>
    <w:rsid w:val="00EE3663"/>
    <w:rsid w:val="00EF71AA"/>
    <w:rsid w:val="00F004C6"/>
    <w:rsid w:val="00F01A06"/>
    <w:rsid w:val="00F0302B"/>
    <w:rsid w:val="00F0311E"/>
    <w:rsid w:val="00F054D0"/>
    <w:rsid w:val="00F05D4D"/>
    <w:rsid w:val="00F1252C"/>
    <w:rsid w:val="00F12E83"/>
    <w:rsid w:val="00F13CA1"/>
    <w:rsid w:val="00F16072"/>
    <w:rsid w:val="00F203C4"/>
    <w:rsid w:val="00F2627F"/>
    <w:rsid w:val="00F2712C"/>
    <w:rsid w:val="00F27284"/>
    <w:rsid w:val="00F31DB2"/>
    <w:rsid w:val="00F33DFF"/>
    <w:rsid w:val="00F36ACE"/>
    <w:rsid w:val="00F37BC2"/>
    <w:rsid w:val="00F447E9"/>
    <w:rsid w:val="00F453E2"/>
    <w:rsid w:val="00F46E53"/>
    <w:rsid w:val="00F50532"/>
    <w:rsid w:val="00F51327"/>
    <w:rsid w:val="00F53280"/>
    <w:rsid w:val="00F570ED"/>
    <w:rsid w:val="00F61528"/>
    <w:rsid w:val="00F64087"/>
    <w:rsid w:val="00F64138"/>
    <w:rsid w:val="00F649BD"/>
    <w:rsid w:val="00F706B5"/>
    <w:rsid w:val="00F82726"/>
    <w:rsid w:val="00F83E9D"/>
    <w:rsid w:val="00F87DF1"/>
    <w:rsid w:val="00F90C15"/>
    <w:rsid w:val="00F94275"/>
    <w:rsid w:val="00F95D9E"/>
    <w:rsid w:val="00F972F2"/>
    <w:rsid w:val="00FA0B4C"/>
    <w:rsid w:val="00FA7CF9"/>
    <w:rsid w:val="00FB0F70"/>
    <w:rsid w:val="00FB105B"/>
    <w:rsid w:val="00FB12B6"/>
    <w:rsid w:val="00FB1D63"/>
    <w:rsid w:val="00FB5E7C"/>
    <w:rsid w:val="00FB6765"/>
    <w:rsid w:val="00FC2B82"/>
    <w:rsid w:val="00FC399D"/>
    <w:rsid w:val="00FD2D3A"/>
    <w:rsid w:val="00FD7817"/>
    <w:rsid w:val="00FE0A8C"/>
    <w:rsid w:val="00FE40B2"/>
    <w:rsid w:val="00FE6B5E"/>
    <w:rsid w:val="00FE75FA"/>
    <w:rsid w:val="00FF53D4"/>
    <w:rsid w:val="00FF7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E"/>
    <w:rPr>
      <w:rFonts w:eastAsia="Times New Roman"/>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C6"/>
    <w:pPr>
      <w:ind w:left="720"/>
      <w:contextualSpacing/>
    </w:pPr>
  </w:style>
  <w:style w:type="paragraph" w:styleId="FootnoteText">
    <w:name w:val="footnote text"/>
    <w:basedOn w:val="Normal"/>
    <w:link w:val="FootnoteTextChar"/>
    <w:unhideWhenUsed/>
    <w:rsid w:val="00A068F4"/>
    <w:rPr>
      <w:sz w:val="20"/>
      <w:szCs w:val="20"/>
    </w:rPr>
  </w:style>
  <w:style w:type="character" w:customStyle="1" w:styleId="FootnoteTextChar">
    <w:name w:val="Footnote Text Char"/>
    <w:link w:val="FootnoteText"/>
    <w:rsid w:val="00A068F4"/>
    <w:rPr>
      <w:rFonts w:eastAsia="Times New Roman"/>
      <w:sz w:val="20"/>
      <w:szCs w:val="20"/>
      <w:lang w:bidi="en-US"/>
    </w:rPr>
  </w:style>
  <w:style w:type="character" w:styleId="FootnoteReference">
    <w:name w:val="footnote reference"/>
    <w:semiHidden/>
    <w:unhideWhenUsed/>
    <w:rsid w:val="00A068F4"/>
    <w:rPr>
      <w:vertAlign w:val="superscript"/>
    </w:rPr>
  </w:style>
  <w:style w:type="paragraph" w:styleId="BalloonText">
    <w:name w:val="Balloon Text"/>
    <w:basedOn w:val="Normal"/>
    <w:link w:val="BalloonTextChar"/>
    <w:uiPriority w:val="99"/>
    <w:semiHidden/>
    <w:unhideWhenUsed/>
    <w:rsid w:val="00A131FB"/>
    <w:rPr>
      <w:rFonts w:ascii="Tahoma" w:hAnsi="Tahoma" w:cs="Tahoma"/>
      <w:sz w:val="16"/>
      <w:szCs w:val="16"/>
    </w:rPr>
  </w:style>
  <w:style w:type="character" w:customStyle="1" w:styleId="BalloonTextChar">
    <w:name w:val="Balloon Text Char"/>
    <w:link w:val="BalloonText"/>
    <w:uiPriority w:val="99"/>
    <w:semiHidden/>
    <w:rsid w:val="00A131FB"/>
    <w:rPr>
      <w:rFonts w:ascii="Tahoma" w:eastAsia="Times New Roman" w:hAnsi="Tahoma" w:cs="Tahoma"/>
      <w:sz w:val="16"/>
      <w:szCs w:val="16"/>
      <w:lang w:bidi="en-US"/>
    </w:rPr>
  </w:style>
  <w:style w:type="paragraph" w:styleId="Header">
    <w:name w:val="header"/>
    <w:basedOn w:val="Normal"/>
    <w:link w:val="HeaderChar"/>
    <w:uiPriority w:val="99"/>
    <w:unhideWhenUsed/>
    <w:rsid w:val="00854ECD"/>
    <w:pPr>
      <w:tabs>
        <w:tab w:val="center" w:pos="4680"/>
        <w:tab w:val="right" w:pos="9360"/>
      </w:tabs>
    </w:pPr>
    <w:rPr>
      <w:sz w:val="20"/>
      <w:szCs w:val="20"/>
    </w:rPr>
  </w:style>
  <w:style w:type="character" w:customStyle="1" w:styleId="HeaderChar">
    <w:name w:val="Header Char"/>
    <w:link w:val="Header"/>
    <w:uiPriority w:val="99"/>
    <w:rsid w:val="00854ECD"/>
    <w:rPr>
      <w:rFonts w:eastAsia="Times New Roman"/>
      <w:lang w:bidi="en-US"/>
    </w:rPr>
  </w:style>
  <w:style w:type="paragraph" w:styleId="Footer">
    <w:name w:val="footer"/>
    <w:basedOn w:val="Normal"/>
    <w:link w:val="FooterChar"/>
    <w:uiPriority w:val="99"/>
    <w:unhideWhenUsed/>
    <w:rsid w:val="00854ECD"/>
    <w:pPr>
      <w:tabs>
        <w:tab w:val="center" w:pos="4680"/>
        <w:tab w:val="right" w:pos="9360"/>
      </w:tabs>
    </w:pPr>
    <w:rPr>
      <w:sz w:val="20"/>
      <w:szCs w:val="20"/>
    </w:rPr>
  </w:style>
  <w:style w:type="character" w:customStyle="1" w:styleId="FooterChar">
    <w:name w:val="Footer Char"/>
    <w:link w:val="Footer"/>
    <w:uiPriority w:val="99"/>
    <w:rsid w:val="00854ECD"/>
    <w:rPr>
      <w:rFonts w:eastAsia="Times New Roman"/>
      <w:lang w:bidi="en-US"/>
    </w:rPr>
  </w:style>
  <w:style w:type="character" w:styleId="PlaceholderText">
    <w:name w:val="Placeholder Text"/>
    <w:uiPriority w:val="99"/>
    <w:semiHidden/>
    <w:rsid w:val="007B625D"/>
    <w:rPr>
      <w:color w:val="808080"/>
    </w:rPr>
  </w:style>
  <w:style w:type="paragraph" w:styleId="EndnoteText">
    <w:name w:val="endnote text"/>
    <w:basedOn w:val="Normal"/>
    <w:link w:val="EndnoteTextChar"/>
    <w:semiHidden/>
    <w:unhideWhenUsed/>
    <w:rsid w:val="00DD744E"/>
    <w:pPr>
      <w:widowControl w:val="0"/>
      <w:snapToGrid w:val="0"/>
    </w:pPr>
    <w:rPr>
      <w:rFonts w:ascii="Courier" w:hAnsi="Courier"/>
      <w:szCs w:val="20"/>
      <w:lang w:bidi="ar-SA"/>
    </w:rPr>
  </w:style>
  <w:style w:type="character" w:customStyle="1" w:styleId="EndnoteTextChar">
    <w:name w:val="Endnote Text Char"/>
    <w:link w:val="EndnoteText"/>
    <w:semiHidden/>
    <w:rsid w:val="00DD744E"/>
    <w:rPr>
      <w:rFonts w:ascii="Courier" w:eastAsia="Times New Roman" w:hAnsi="Courier"/>
      <w:sz w:val="24"/>
    </w:rPr>
  </w:style>
  <w:style w:type="paragraph" w:styleId="BodyText2">
    <w:name w:val="Body Text 2"/>
    <w:basedOn w:val="Normal"/>
    <w:link w:val="BodyText2Char"/>
    <w:rsid w:val="002C2B25"/>
    <w:pPr>
      <w:jc w:val="both"/>
    </w:pPr>
    <w:rPr>
      <w:rFonts w:ascii="CG Times" w:hAnsi="CG Times"/>
      <w:szCs w:val="20"/>
      <w:lang w:bidi="ar-SA"/>
    </w:rPr>
  </w:style>
  <w:style w:type="character" w:customStyle="1" w:styleId="BodyText2Char">
    <w:name w:val="Body Text 2 Char"/>
    <w:link w:val="BodyText2"/>
    <w:rsid w:val="002C2B25"/>
    <w:rPr>
      <w:rFonts w:ascii="CG Times" w:eastAsia="Times New Roman" w:hAnsi="CG Times"/>
      <w:sz w:val="24"/>
    </w:rPr>
  </w:style>
  <w:style w:type="paragraph" w:styleId="NormalWeb">
    <w:name w:val="Normal (Web)"/>
    <w:basedOn w:val="Normal"/>
    <w:rsid w:val="002C2B25"/>
    <w:pPr>
      <w:spacing w:before="100" w:beforeAutospacing="1" w:after="100" w:afterAutospacing="1"/>
    </w:pPr>
    <w:rPr>
      <w:lang w:bidi="ar-SA"/>
    </w:rPr>
  </w:style>
  <w:style w:type="paragraph" w:styleId="BlockText">
    <w:name w:val="Block Text"/>
    <w:basedOn w:val="Normal"/>
    <w:rsid w:val="002C2B25"/>
    <w:pPr>
      <w:spacing w:line="480" w:lineRule="auto"/>
      <w:ind w:left="-120" w:right="432" w:firstLine="840"/>
      <w:jc w:val="both"/>
    </w:pPr>
    <w:rPr>
      <w:rFonts w:cs="Arial"/>
      <w:bCs/>
      <w:sz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E"/>
    <w:rPr>
      <w:rFonts w:eastAsia="Times New Roman"/>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8C6"/>
    <w:pPr>
      <w:ind w:left="720"/>
      <w:contextualSpacing/>
    </w:pPr>
  </w:style>
  <w:style w:type="paragraph" w:styleId="FootnoteText">
    <w:name w:val="footnote text"/>
    <w:basedOn w:val="Normal"/>
    <w:link w:val="FootnoteTextChar"/>
    <w:unhideWhenUsed/>
    <w:rsid w:val="00A068F4"/>
    <w:rPr>
      <w:sz w:val="20"/>
      <w:szCs w:val="20"/>
    </w:rPr>
  </w:style>
  <w:style w:type="character" w:customStyle="1" w:styleId="FootnoteTextChar">
    <w:name w:val="Footnote Text Char"/>
    <w:link w:val="FootnoteText"/>
    <w:rsid w:val="00A068F4"/>
    <w:rPr>
      <w:rFonts w:eastAsia="Times New Roman"/>
      <w:sz w:val="20"/>
      <w:szCs w:val="20"/>
      <w:lang w:bidi="en-US"/>
    </w:rPr>
  </w:style>
  <w:style w:type="character" w:styleId="FootnoteReference">
    <w:name w:val="footnote reference"/>
    <w:semiHidden/>
    <w:unhideWhenUsed/>
    <w:rsid w:val="00A068F4"/>
    <w:rPr>
      <w:vertAlign w:val="superscript"/>
    </w:rPr>
  </w:style>
  <w:style w:type="paragraph" w:styleId="BalloonText">
    <w:name w:val="Balloon Text"/>
    <w:basedOn w:val="Normal"/>
    <w:link w:val="BalloonTextChar"/>
    <w:uiPriority w:val="99"/>
    <w:semiHidden/>
    <w:unhideWhenUsed/>
    <w:rsid w:val="00A131FB"/>
    <w:rPr>
      <w:rFonts w:ascii="Tahoma" w:hAnsi="Tahoma" w:cs="Tahoma"/>
      <w:sz w:val="16"/>
      <w:szCs w:val="16"/>
    </w:rPr>
  </w:style>
  <w:style w:type="character" w:customStyle="1" w:styleId="BalloonTextChar">
    <w:name w:val="Balloon Text Char"/>
    <w:link w:val="BalloonText"/>
    <w:uiPriority w:val="99"/>
    <w:semiHidden/>
    <w:rsid w:val="00A131FB"/>
    <w:rPr>
      <w:rFonts w:ascii="Tahoma" w:eastAsia="Times New Roman" w:hAnsi="Tahoma" w:cs="Tahoma"/>
      <w:sz w:val="16"/>
      <w:szCs w:val="16"/>
      <w:lang w:bidi="en-US"/>
    </w:rPr>
  </w:style>
  <w:style w:type="paragraph" w:styleId="Header">
    <w:name w:val="header"/>
    <w:basedOn w:val="Normal"/>
    <w:link w:val="HeaderChar"/>
    <w:uiPriority w:val="99"/>
    <w:unhideWhenUsed/>
    <w:rsid w:val="00854ECD"/>
    <w:pPr>
      <w:tabs>
        <w:tab w:val="center" w:pos="4680"/>
        <w:tab w:val="right" w:pos="9360"/>
      </w:tabs>
    </w:pPr>
    <w:rPr>
      <w:sz w:val="20"/>
      <w:szCs w:val="20"/>
    </w:rPr>
  </w:style>
  <w:style w:type="character" w:customStyle="1" w:styleId="HeaderChar">
    <w:name w:val="Header Char"/>
    <w:link w:val="Header"/>
    <w:uiPriority w:val="99"/>
    <w:rsid w:val="00854ECD"/>
    <w:rPr>
      <w:rFonts w:eastAsia="Times New Roman"/>
      <w:lang w:bidi="en-US"/>
    </w:rPr>
  </w:style>
  <w:style w:type="paragraph" w:styleId="Footer">
    <w:name w:val="footer"/>
    <w:basedOn w:val="Normal"/>
    <w:link w:val="FooterChar"/>
    <w:uiPriority w:val="99"/>
    <w:unhideWhenUsed/>
    <w:rsid w:val="00854ECD"/>
    <w:pPr>
      <w:tabs>
        <w:tab w:val="center" w:pos="4680"/>
        <w:tab w:val="right" w:pos="9360"/>
      </w:tabs>
    </w:pPr>
    <w:rPr>
      <w:sz w:val="20"/>
      <w:szCs w:val="20"/>
    </w:rPr>
  </w:style>
  <w:style w:type="character" w:customStyle="1" w:styleId="FooterChar">
    <w:name w:val="Footer Char"/>
    <w:link w:val="Footer"/>
    <w:uiPriority w:val="99"/>
    <w:rsid w:val="00854ECD"/>
    <w:rPr>
      <w:rFonts w:eastAsia="Times New Roman"/>
      <w:lang w:bidi="en-US"/>
    </w:rPr>
  </w:style>
  <w:style w:type="character" w:styleId="PlaceholderText">
    <w:name w:val="Placeholder Text"/>
    <w:uiPriority w:val="99"/>
    <w:semiHidden/>
    <w:rsid w:val="007B625D"/>
    <w:rPr>
      <w:color w:val="808080"/>
    </w:rPr>
  </w:style>
  <w:style w:type="paragraph" w:styleId="EndnoteText">
    <w:name w:val="endnote text"/>
    <w:basedOn w:val="Normal"/>
    <w:link w:val="EndnoteTextChar"/>
    <w:semiHidden/>
    <w:unhideWhenUsed/>
    <w:rsid w:val="00DD744E"/>
    <w:pPr>
      <w:widowControl w:val="0"/>
      <w:snapToGrid w:val="0"/>
    </w:pPr>
    <w:rPr>
      <w:rFonts w:ascii="Courier" w:hAnsi="Courier"/>
      <w:szCs w:val="20"/>
      <w:lang w:bidi="ar-SA"/>
    </w:rPr>
  </w:style>
  <w:style w:type="character" w:customStyle="1" w:styleId="EndnoteTextChar">
    <w:name w:val="Endnote Text Char"/>
    <w:link w:val="EndnoteText"/>
    <w:semiHidden/>
    <w:rsid w:val="00DD744E"/>
    <w:rPr>
      <w:rFonts w:ascii="Courier" w:eastAsia="Times New Roman" w:hAnsi="Courier"/>
      <w:sz w:val="24"/>
    </w:rPr>
  </w:style>
  <w:style w:type="paragraph" w:styleId="BodyText2">
    <w:name w:val="Body Text 2"/>
    <w:basedOn w:val="Normal"/>
    <w:link w:val="BodyText2Char"/>
    <w:rsid w:val="002C2B25"/>
    <w:pPr>
      <w:jc w:val="both"/>
    </w:pPr>
    <w:rPr>
      <w:rFonts w:ascii="CG Times" w:hAnsi="CG Times"/>
      <w:szCs w:val="20"/>
      <w:lang w:bidi="ar-SA"/>
    </w:rPr>
  </w:style>
  <w:style w:type="character" w:customStyle="1" w:styleId="BodyText2Char">
    <w:name w:val="Body Text 2 Char"/>
    <w:link w:val="BodyText2"/>
    <w:rsid w:val="002C2B25"/>
    <w:rPr>
      <w:rFonts w:ascii="CG Times" w:eastAsia="Times New Roman" w:hAnsi="CG Times"/>
      <w:sz w:val="24"/>
    </w:rPr>
  </w:style>
  <w:style w:type="paragraph" w:styleId="NormalWeb">
    <w:name w:val="Normal (Web)"/>
    <w:basedOn w:val="Normal"/>
    <w:rsid w:val="002C2B25"/>
    <w:pPr>
      <w:spacing w:before="100" w:beforeAutospacing="1" w:after="100" w:afterAutospacing="1"/>
    </w:pPr>
    <w:rPr>
      <w:lang w:bidi="ar-SA"/>
    </w:rPr>
  </w:style>
  <w:style w:type="paragraph" w:styleId="BlockText">
    <w:name w:val="Block Text"/>
    <w:basedOn w:val="Normal"/>
    <w:rsid w:val="002C2B25"/>
    <w:pPr>
      <w:spacing w:line="480" w:lineRule="auto"/>
      <w:ind w:left="-120" w:right="432" w:firstLine="840"/>
      <w:jc w:val="both"/>
    </w:pPr>
    <w:rPr>
      <w:rFonts w:cs="Arial"/>
      <w:bCs/>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5415-6601-4385-9E3A-3F94C8F7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5592</Words>
  <Characters>31880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2012-08-16T14:54:00Z</dcterms:created>
  <dcterms:modified xsi:type="dcterms:W3CDTF">2012-08-16T19:35:00Z</dcterms:modified>
</cp:coreProperties>
</file>