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CB6" w:rsidRPr="00F048FE" w:rsidRDefault="00E07CB6" w:rsidP="00006531">
      <w:pPr>
        <w:pStyle w:val="TxBrc2"/>
        <w:widowControl/>
        <w:spacing w:line="240" w:lineRule="auto"/>
        <w:ind w:firstLine="0"/>
        <w:rPr>
          <w:b/>
          <w:szCs w:val="26"/>
        </w:rPr>
      </w:pPr>
      <w:r w:rsidRPr="00F048FE">
        <w:rPr>
          <w:b/>
          <w:szCs w:val="26"/>
        </w:rPr>
        <w:t>PENNSYLVANIA</w:t>
      </w:r>
    </w:p>
    <w:p w:rsidR="00E07CB6" w:rsidRPr="00F048FE" w:rsidRDefault="00E07CB6" w:rsidP="00006531">
      <w:pPr>
        <w:pStyle w:val="TxBrc2"/>
        <w:widowControl/>
        <w:spacing w:line="240" w:lineRule="auto"/>
        <w:ind w:firstLine="0"/>
        <w:rPr>
          <w:b/>
          <w:szCs w:val="26"/>
        </w:rPr>
      </w:pPr>
      <w:r w:rsidRPr="00F048FE">
        <w:rPr>
          <w:b/>
          <w:szCs w:val="26"/>
        </w:rPr>
        <w:t>PUBLIC UTILITY COMMISSION</w:t>
      </w:r>
    </w:p>
    <w:p w:rsidR="00E07CB6" w:rsidRPr="00F048FE" w:rsidRDefault="00E07CB6" w:rsidP="00006531">
      <w:pPr>
        <w:pStyle w:val="TxBrc2"/>
        <w:widowControl/>
        <w:spacing w:line="240" w:lineRule="auto"/>
        <w:ind w:firstLine="0"/>
        <w:rPr>
          <w:b/>
          <w:szCs w:val="26"/>
        </w:rPr>
      </w:pPr>
      <w:r w:rsidRPr="00F048FE">
        <w:rPr>
          <w:b/>
          <w:szCs w:val="26"/>
        </w:rPr>
        <w:t>Harrisburg, PA 17105</w:t>
      </w:r>
    </w:p>
    <w:p w:rsidR="00E07CB6" w:rsidRPr="00F048FE" w:rsidRDefault="00E07CB6" w:rsidP="00006531">
      <w:pPr>
        <w:pStyle w:val="TxBrc2"/>
        <w:widowControl/>
        <w:spacing w:line="360" w:lineRule="auto"/>
        <w:ind w:firstLine="0"/>
        <w:jc w:val="left"/>
        <w:rPr>
          <w:szCs w:val="26"/>
        </w:rPr>
      </w:pPr>
    </w:p>
    <w:p w:rsidR="00E07CB6" w:rsidRPr="00F048FE" w:rsidRDefault="00E07CB6" w:rsidP="00006531">
      <w:pPr>
        <w:pStyle w:val="TxBrc2"/>
        <w:widowControl/>
        <w:spacing w:line="360" w:lineRule="auto"/>
        <w:ind w:firstLine="0"/>
        <w:jc w:val="left"/>
        <w:rPr>
          <w:szCs w:val="26"/>
        </w:rPr>
      </w:pPr>
    </w:p>
    <w:p w:rsidR="00E07CB6" w:rsidRPr="00F048FE" w:rsidRDefault="00E07CB6" w:rsidP="00006531">
      <w:pPr>
        <w:pStyle w:val="TxBrc2"/>
        <w:widowControl/>
        <w:spacing w:line="240" w:lineRule="auto"/>
        <w:jc w:val="right"/>
        <w:rPr>
          <w:szCs w:val="26"/>
        </w:rPr>
      </w:pPr>
      <w:r w:rsidRPr="00F048FE">
        <w:rPr>
          <w:szCs w:val="26"/>
        </w:rPr>
        <w:t xml:space="preserve">Public Meeting held </w:t>
      </w:r>
      <w:r w:rsidR="00F20143">
        <w:rPr>
          <w:szCs w:val="26"/>
        </w:rPr>
        <w:t xml:space="preserve">August </w:t>
      </w:r>
      <w:r w:rsidR="00615B93">
        <w:rPr>
          <w:szCs w:val="26"/>
        </w:rPr>
        <w:t>30</w:t>
      </w:r>
      <w:r w:rsidRPr="00F048FE">
        <w:rPr>
          <w:szCs w:val="26"/>
        </w:rPr>
        <w:t>, 2012</w:t>
      </w:r>
    </w:p>
    <w:p w:rsidR="00E07CB6" w:rsidRPr="00F048FE" w:rsidRDefault="00E07CB6" w:rsidP="00006531">
      <w:pPr>
        <w:jc w:val="left"/>
        <w:rPr>
          <w:sz w:val="26"/>
          <w:szCs w:val="26"/>
        </w:rPr>
      </w:pPr>
    </w:p>
    <w:p w:rsidR="00E07CB6" w:rsidRPr="00F048FE" w:rsidRDefault="00E07CB6" w:rsidP="00006531">
      <w:pPr>
        <w:spacing w:line="240" w:lineRule="auto"/>
        <w:jc w:val="left"/>
        <w:rPr>
          <w:sz w:val="26"/>
          <w:szCs w:val="26"/>
        </w:rPr>
      </w:pPr>
      <w:r w:rsidRPr="00F048FE">
        <w:rPr>
          <w:sz w:val="26"/>
          <w:szCs w:val="26"/>
        </w:rPr>
        <w:t>Commissioners Present:</w:t>
      </w:r>
    </w:p>
    <w:p w:rsidR="00E07CB6" w:rsidRPr="00F048FE" w:rsidRDefault="00E07CB6" w:rsidP="00006531">
      <w:pPr>
        <w:spacing w:line="240" w:lineRule="auto"/>
        <w:jc w:val="left"/>
        <w:rPr>
          <w:sz w:val="26"/>
          <w:szCs w:val="26"/>
        </w:rPr>
      </w:pPr>
    </w:p>
    <w:p w:rsidR="00E07CB6" w:rsidRPr="00F048FE" w:rsidRDefault="00E07CB6" w:rsidP="00006531">
      <w:pPr>
        <w:spacing w:line="240" w:lineRule="auto"/>
        <w:ind w:left="720"/>
        <w:jc w:val="left"/>
        <w:rPr>
          <w:sz w:val="26"/>
          <w:szCs w:val="26"/>
        </w:rPr>
      </w:pPr>
      <w:r w:rsidRPr="00F048FE">
        <w:rPr>
          <w:sz w:val="26"/>
          <w:szCs w:val="26"/>
        </w:rPr>
        <w:t>Robert F. Powelson, Chairman</w:t>
      </w:r>
    </w:p>
    <w:p w:rsidR="00E07CB6" w:rsidRPr="00F048FE" w:rsidRDefault="00E07CB6" w:rsidP="00006531">
      <w:pPr>
        <w:spacing w:line="240" w:lineRule="auto"/>
        <w:ind w:left="720"/>
        <w:jc w:val="left"/>
        <w:rPr>
          <w:sz w:val="26"/>
          <w:szCs w:val="26"/>
        </w:rPr>
      </w:pPr>
      <w:r w:rsidRPr="00F048FE">
        <w:rPr>
          <w:sz w:val="26"/>
          <w:szCs w:val="26"/>
        </w:rPr>
        <w:t>John F. Coleman, Jr., Vice Chairman</w:t>
      </w:r>
    </w:p>
    <w:p w:rsidR="00E07CB6" w:rsidRPr="00F048FE" w:rsidRDefault="00E07CB6" w:rsidP="00006531">
      <w:pPr>
        <w:spacing w:line="240" w:lineRule="auto"/>
        <w:ind w:left="720"/>
        <w:jc w:val="left"/>
        <w:rPr>
          <w:sz w:val="26"/>
          <w:szCs w:val="26"/>
        </w:rPr>
      </w:pPr>
      <w:r w:rsidRPr="00F048FE">
        <w:rPr>
          <w:sz w:val="26"/>
          <w:szCs w:val="26"/>
        </w:rPr>
        <w:t>Wayne E. Gardner</w:t>
      </w:r>
    </w:p>
    <w:p w:rsidR="00E07CB6" w:rsidRPr="00F048FE" w:rsidRDefault="00E07CB6" w:rsidP="00006531">
      <w:pPr>
        <w:spacing w:line="240" w:lineRule="auto"/>
        <w:ind w:left="720"/>
        <w:jc w:val="left"/>
        <w:rPr>
          <w:sz w:val="26"/>
          <w:szCs w:val="26"/>
        </w:rPr>
      </w:pPr>
      <w:r w:rsidRPr="00F048FE">
        <w:rPr>
          <w:sz w:val="26"/>
          <w:szCs w:val="26"/>
        </w:rPr>
        <w:t>James H. Cawley</w:t>
      </w:r>
    </w:p>
    <w:p w:rsidR="00E07CB6" w:rsidRPr="00F048FE" w:rsidRDefault="00E07CB6" w:rsidP="00006531">
      <w:pPr>
        <w:ind w:left="720"/>
        <w:jc w:val="left"/>
        <w:rPr>
          <w:sz w:val="26"/>
          <w:szCs w:val="26"/>
        </w:rPr>
      </w:pPr>
      <w:r w:rsidRPr="00F048FE">
        <w:rPr>
          <w:sz w:val="26"/>
          <w:szCs w:val="26"/>
        </w:rPr>
        <w:t>Pamela A. Witmer</w:t>
      </w:r>
    </w:p>
    <w:p w:rsidR="002654B6" w:rsidRDefault="002654B6" w:rsidP="00006531">
      <w:pPr>
        <w:spacing w:line="240" w:lineRule="auto"/>
        <w:contextualSpacing/>
        <w:rPr>
          <w:b/>
        </w:rPr>
      </w:pPr>
    </w:p>
    <w:p w:rsidR="002654B6" w:rsidRDefault="002654B6" w:rsidP="00006531">
      <w:pPr>
        <w:spacing w:line="240" w:lineRule="auto"/>
        <w:contextualSpacing/>
        <w:rPr>
          <w:b/>
        </w:rPr>
      </w:pPr>
    </w:p>
    <w:p w:rsidR="00085F47" w:rsidRDefault="00085F47" w:rsidP="00006531">
      <w:pPr>
        <w:spacing w:line="240" w:lineRule="auto"/>
        <w:contextualSpacing/>
        <w:rPr>
          <w:b/>
        </w:rPr>
      </w:pPr>
    </w:p>
    <w:p w:rsidR="002654B6" w:rsidRPr="002F6D67" w:rsidRDefault="002654B6" w:rsidP="00006531">
      <w:pPr>
        <w:spacing w:line="240" w:lineRule="auto"/>
        <w:jc w:val="left"/>
        <w:rPr>
          <w:sz w:val="26"/>
          <w:szCs w:val="26"/>
        </w:rPr>
      </w:pPr>
      <w:r w:rsidRPr="002F6D67">
        <w:rPr>
          <w:sz w:val="26"/>
          <w:szCs w:val="26"/>
        </w:rPr>
        <w:t>Pennsylvan</w:t>
      </w:r>
      <w:r w:rsidR="00E07CB6" w:rsidRPr="002F6D67">
        <w:rPr>
          <w:sz w:val="26"/>
          <w:szCs w:val="26"/>
        </w:rPr>
        <w:t xml:space="preserve">ia Public Utility Commission </w:t>
      </w:r>
      <w:r w:rsidR="00E07CB6" w:rsidRPr="002F6D67">
        <w:rPr>
          <w:sz w:val="26"/>
          <w:szCs w:val="26"/>
        </w:rPr>
        <w:tab/>
      </w:r>
      <w:r w:rsidR="00E07CB6" w:rsidRPr="002F6D67">
        <w:rPr>
          <w:sz w:val="26"/>
          <w:szCs w:val="26"/>
        </w:rPr>
        <w:tab/>
      </w:r>
      <w:r w:rsidR="00E07CB6" w:rsidRPr="002F6D67">
        <w:rPr>
          <w:sz w:val="26"/>
          <w:szCs w:val="26"/>
        </w:rPr>
        <w:tab/>
      </w:r>
      <w:r w:rsidR="00E07CB6" w:rsidRPr="002F6D67">
        <w:rPr>
          <w:sz w:val="26"/>
          <w:szCs w:val="26"/>
        </w:rPr>
        <w:tab/>
      </w:r>
      <w:r w:rsidR="002F6D67">
        <w:rPr>
          <w:sz w:val="26"/>
          <w:szCs w:val="26"/>
        </w:rPr>
        <w:tab/>
        <w:t xml:space="preserve">    </w:t>
      </w:r>
      <w:r w:rsidR="00E07CB6" w:rsidRPr="002F6D67">
        <w:rPr>
          <w:sz w:val="26"/>
          <w:szCs w:val="26"/>
        </w:rPr>
        <w:t>R-2011-2264771</w:t>
      </w:r>
    </w:p>
    <w:p w:rsidR="002654B6" w:rsidRPr="002F6D67" w:rsidRDefault="00E07CB6" w:rsidP="00006531">
      <w:pPr>
        <w:spacing w:line="240" w:lineRule="auto"/>
        <w:jc w:val="left"/>
        <w:rPr>
          <w:sz w:val="26"/>
          <w:szCs w:val="26"/>
        </w:rPr>
      </w:pPr>
      <w:r w:rsidRPr="002F6D67">
        <w:rPr>
          <w:sz w:val="26"/>
          <w:szCs w:val="26"/>
        </w:rPr>
        <w:t>Office of Consumer Advocate</w:t>
      </w:r>
      <w:r w:rsidRPr="002F6D67">
        <w:rPr>
          <w:sz w:val="26"/>
          <w:szCs w:val="26"/>
        </w:rPr>
        <w:tab/>
      </w:r>
      <w:r w:rsidRPr="002F6D67">
        <w:rPr>
          <w:sz w:val="26"/>
          <w:szCs w:val="26"/>
        </w:rPr>
        <w:tab/>
      </w:r>
      <w:r w:rsidRPr="002F6D67">
        <w:rPr>
          <w:sz w:val="26"/>
          <w:szCs w:val="26"/>
        </w:rPr>
        <w:tab/>
      </w:r>
      <w:r w:rsidRPr="002F6D67">
        <w:rPr>
          <w:sz w:val="26"/>
          <w:szCs w:val="26"/>
        </w:rPr>
        <w:tab/>
      </w:r>
      <w:r w:rsidRPr="002F6D67">
        <w:rPr>
          <w:sz w:val="26"/>
          <w:szCs w:val="26"/>
        </w:rPr>
        <w:tab/>
      </w:r>
      <w:r w:rsidR="002F6D67">
        <w:rPr>
          <w:sz w:val="26"/>
          <w:szCs w:val="26"/>
        </w:rPr>
        <w:tab/>
        <w:t xml:space="preserve">   </w:t>
      </w:r>
      <w:r w:rsidR="00C27ECF" w:rsidRPr="002F6D67">
        <w:rPr>
          <w:sz w:val="26"/>
          <w:szCs w:val="26"/>
        </w:rPr>
        <w:t xml:space="preserve"> </w:t>
      </w:r>
      <w:r w:rsidRPr="002F6D67">
        <w:rPr>
          <w:sz w:val="26"/>
          <w:szCs w:val="26"/>
        </w:rPr>
        <w:t>C-2011-2267808</w:t>
      </w:r>
    </w:p>
    <w:p w:rsidR="002654B6" w:rsidRPr="002F6D67" w:rsidRDefault="002654B6" w:rsidP="00006531">
      <w:pPr>
        <w:spacing w:line="240" w:lineRule="auto"/>
        <w:jc w:val="left"/>
        <w:rPr>
          <w:sz w:val="26"/>
          <w:szCs w:val="26"/>
        </w:rPr>
      </w:pPr>
      <w:r w:rsidRPr="002F6D67">
        <w:rPr>
          <w:sz w:val="26"/>
          <w:szCs w:val="26"/>
        </w:rPr>
        <w:t>Offic</w:t>
      </w:r>
      <w:r w:rsidR="00E07CB6" w:rsidRPr="002F6D67">
        <w:rPr>
          <w:sz w:val="26"/>
          <w:szCs w:val="26"/>
        </w:rPr>
        <w:t>e of Small Business Advocate</w:t>
      </w:r>
      <w:r w:rsidR="00E07CB6" w:rsidRPr="002F6D67">
        <w:rPr>
          <w:sz w:val="26"/>
          <w:szCs w:val="26"/>
        </w:rPr>
        <w:tab/>
      </w:r>
      <w:r w:rsidR="00E07CB6" w:rsidRPr="002F6D67">
        <w:rPr>
          <w:sz w:val="26"/>
          <w:szCs w:val="26"/>
        </w:rPr>
        <w:tab/>
      </w:r>
      <w:r w:rsidR="00E07CB6" w:rsidRPr="002F6D67">
        <w:rPr>
          <w:sz w:val="26"/>
          <w:szCs w:val="26"/>
        </w:rPr>
        <w:tab/>
      </w:r>
      <w:r w:rsidR="00E07CB6" w:rsidRPr="002F6D67">
        <w:rPr>
          <w:sz w:val="26"/>
          <w:szCs w:val="26"/>
        </w:rPr>
        <w:tab/>
      </w:r>
      <w:r w:rsidR="00E07CB6" w:rsidRPr="002F6D67">
        <w:rPr>
          <w:sz w:val="26"/>
          <w:szCs w:val="26"/>
        </w:rPr>
        <w:tab/>
      </w:r>
      <w:r w:rsidR="002F6D67">
        <w:rPr>
          <w:sz w:val="26"/>
          <w:szCs w:val="26"/>
        </w:rPr>
        <w:t xml:space="preserve">   </w:t>
      </w:r>
      <w:r w:rsidR="00C27ECF" w:rsidRPr="002F6D67">
        <w:rPr>
          <w:sz w:val="26"/>
          <w:szCs w:val="26"/>
        </w:rPr>
        <w:t xml:space="preserve"> </w:t>
      </w:r>
      <w:r w:rsidR="00E07CB6" w:rsidRPr="002F6D67">
        <w:rPr>
          <w:sz w:val="26"/>
          <w:szCs w:val="26"/>
        </w:rPr>
        <w:t>C-2011-2268983</w:t>
      </w:r>
    </w:p>
    <w:p w:rsidR="00E07CB6" w:rsidRPr="002F6D67" w:rsidRDefault="00E07CB6" w:rsidP="00006531">
      <w:pPr>
        <w:spacing w:line="240" w:lineRule="auto"/>
        <w:contextualSpacing/>
        <w:jc w:val="left"/>
        <w:rPr>
          <w:sz w:val="26"/>
          <w:szCs w:val="26"/>
        </w:rPr>
      </w:pPr>
    </w:p>
    <w:p w:rsidR="002654B6" w:rsidRPr="002F6D67" w:rsidRDefault="002654B6" w:rsidP="00006531">
      <w:pPr>
        <w:spacing w:line="240" w:lineRule="auto"/>
        <w:contextualSpacing/>
        <w:jc w:val="left"/>
        <w:rPr>
          <w:sz w:val="26"/>
          <w:szCs w:val="26"/>
        </w:rPr>
      </w:pPr>
      <w:r w:rsidRPr="002F6D67">
        <w:rPr>
          <w:sz w:val="26"/>
          <w:szCs w:val="26"/>
        </w:rPr>
        <w:tab/>
        <w:t>v.</w:t>
      </w:r>
      <w:r w:rsidRPr="002F6D67">
        <w:rPr>
          <w:sz w:val="26"/>
          <w:szCs w:val="26"/>
        </w:rPr>
        <w:tab/>
      </w:r>
    </w:p>
    <w:p w:rsidR="002654B6" w:rsidRPr="002F6D67" w:rsidRDefault="002654B6" w:rsidP="00006531">
      <w:pPr>
        <w:spacing w:line="240" w:lineRule="auto"/>
        <w:contextualSpacing/>
        <w:jc w:val="left"/>
        <w:rPr>
          <w:sz w:val="26"/>
          <w:szCs w:val="26"/>
        </w:rPr>
      </w:pPr>
    </w:p>
    <w:p w:rsidR="002654B6" w:rsidRDefault="002654B6" w:rsidP="00006531">
      <w:pPr>
        <w:spacing w:line="240" w:lineRule="auto"/>
        <w:contextualSpacing/>
        <w:jc w:val="left"/>
      </w:pPr>
      <w:r w:rsidRPr="002F6D67">
        <w:rPr>
          <w:sz w:val="26"/>
          <w:szCs w:val="26"/>
        </w:rPr>
        <w:t>PPL El</w:t>
      </w:r>
      <w:r w:rsidR="00E07CB6" w:rsidRPr="002F6D67">
        <w:rPr>
          <w:sz w:val="26"/>
          <w:szCs w:val="26"/>
        </w:rPr>
        <w:t>ectric Utilities Corporation</w:t>
      </w:r>
      <w:r w:rsidR="00E07CB6">
        <w:tab/>
      </w:r>
      <w:r w:rsidR="00E07CB6">
        <w:tab/>
      </w:r>
      <w:r w:rsidR="00E07CB6">
        <w:tab/>
      </w:r>
    </w:p>
    <w:p w:rsidR="002654B6" w:rsidRDefault="002654B6" w:rsidP="00006531">
      <w:pPr>
        <w:spacing w:line="240" w:lineRule="auto"/>
        <w:contextualSpacing/>
        <w:jc w:val="left"/>
      </w:pPr>
    </w:p>
    <w:p w:rsidR="002654B6" w:rsidRDefault="002654B6" w:rsidP="00006531">
      <w:pPr>
        <w:spacing w:line="240" w:lineRule="auto"/>
        <w:contextualSpacing/>
        <w:jc w:val="left"/>
      </w:pPr>
    </w:p>
    <w:p w:rsidR="00085F47" w:rsidRPr="00B30B0B" w:rsidRDefault="00BC5147" w:rsidP="00B30B0B">
      <w:pPr>
        <w:rPr>
          <w:b/>
        </w:rPr>
      </w:pPr>
      <w:r w:rsidRPr="00B30B0B">
        <w:rPr>
          <w:b/>
        </w:rPr>
        <w:t>OPINION AND ORDER</w:t>
      </w:r>
    </w:p>
    <w:p w:rsidR="00BC5147" w:rsidRPr="002F6D67" w:rsidRDefault="00BC5147" w:rsidP="00006531">
      <w:pPr>
        <w:spacing w:line="240" w:lineRule="auto"/>
        <w:contextualSpacing/>
        <w:rPr>
          <w:sz w:val="26"/>
          <w:szCs w:val="26"/>
        </w:rPr>
      </w:pPr>
    </w:p>
    <w:p w:rsidR="002F6D67" w:rsidRDefault="002F6D67" w:rsidP="00006531">
      <w:pPr>
        <w:spacing w:line="240" w:lineRule="auto"/>
        <w:contextualSpacing/>
        <w:jc w:val="left"/>
        <w:rPr>
          <w:b/>
          <w:sz w:val="26"/>
          <w:szCs w:val="26"/>
        </w:rPr>
        <w:sectPr w:rsidR="002F6D67" w:rsidSect="002D34B2">
          <w:footerReference w:type="default" r:id="rId9"/>
          <w:pgSz w:w="12240" w:h="15840" w:code="1"/>
          <w:pgMar w:top="1440" w:right="1440" w:bottom="1440" w:left="1440" w:header="720" w:footer="720" w:gutter="0"/>
          <w:cols w:space="720"/>
          <w:titlePg/>
          <w:docGrid w:linePitch="360"/>
        </w:sectPr>
      </w:pPr>
    </w:p>
    <w:p w:rsidR="002F6D67" w:rsidRDefault="002F6D67" w:rsidP="002F6D67">
      <w:pPr>
        <w:spacing w:line="240" w:lineRule="auto"/>
        <w:contextualSpacing/>
        <w:rPr>
          <w:b/>
          <w:sz w:val="26"/>
          <w:szCs w:val="26"/>
        </w:rPr>
      </w:pPr>
      <w:r>
        <w:rPr>
          <w:b/>
          <w:sz w:val="26"/>
          <w:szCs w:val="26"/>
        </w:rPr>
        <w:lastRenderedPageBreak/>
        <w:t>Table of Contents</w:t>
      </w:r>
    </w:p>
    <w:p w:rsidR="002F6D67" w:rsidRDefault="002F6D67" w:rsidP="002F6D67">
      <w:pPr>
        <w:spacing w:line="240" w:lineRule="auto"/>
        <w:contextualSpacing/>
        <w:rPr>
          <w:sz w:val="26"/>
          <w:szCs w:val="26"/>
        </w:rPr>
      </w:pPr>
    </w:p>
    <w:p w:rsidR="002F6D67" w:rsidRDefault="002F6D67" w:rsidP="002F6D67">
      <w:pPr>
        <w:spacing w:line="240" w:lineRule="auto"/>
        <w:contextualSpacing/>
        <w:jc w:val="left"/>
        <w:rPr>
          <w:sz w:val="26"/>
          <w:szCs w:val="26"/>
        </w:rPr>
      </w:pPr>
    </w:p>
    <w:p w:rsidR="00D22F82" w:rsidRDefault="00B30B0B">
      <w:pPr>
        <w:pStyle w:val="TOC1"/>
        <w:tabs>
          <w:tab w:val="right" w:leader="dot" w:pos="9350"/>
        </w:tabs>
        <w:rPr>
          <w:rFonts w:asciiTheme="minorHAnsi" w:eastAsiaTheme="minorEastAsia" w:hAnsiTheme="minorHAnsi" w:cstheme="minorBidi"/>
          <w:noProof/>
          <w:sz w:val="22"/>
          <w:szCs w:val="22"/>
        </w:rPr>
      </w:pPr>
      <w:r>
        <w:rPr>
          <w:szCs w:val="26"/>
        </w:rPr>
        <w:fldChar w:fldCharType="begin"/>
      </w:r>
      <w:r>
        <w:rPr>
          <w:szCs w:val="26"/>
        </w:rPr>
        <w:instrText xml:space="preserve"> TOC \h \z \u \t "Heading 1,1,Heading 2,2,Heading 3,3" </w:instrText>
      </w:r>
      <w:r>
        <w:rPr>
          <w:szCs w:val="26"/>
        </w:rPr>
        <w:fldChar w:fldCharType="separate"/>
      </w:r>
      <w:hyperlink w:anchor="_Toc333991287" w:history="1">
        <w:r w:rsidR="00D22F82" w:rsidRPr="00DD7C81">
          <w:rPr>
            <w:rStyle w:val="Hyperlink"/>
            <w:noProof/>
          </w:rPr>
          <w:t>I.  History of the Proceeding</w:t>
        </w:r>
        <w:r w:rsidR="00D22F82">
          <w:rPr>
            <w:noProof/>
            <w:webHidden/>
          </w:rPr>
          <w:tab/>
        </w:r>
        <w:r w:rsidR="00D22F82">
          <w:rPr>
            <w:noProof/>
            <w:webHidden/>
          </w:rPr>
          <w:fldChar w:fldCharType="begin"/>
        </w:r>
        <w:r w:rsidR="00D22F82">
          <w:rPr>
            <w:noProof/>
            <w:webHidden/>
          </w:rPr>
          <w:instrText xml:space="preserve"> PAGEREF _Toc333991287 \h </w:instrText>
        </w:r>
        <w:r w:rsidR="00D22F82">
          <w:rPr>
            <w:noProof/>
            <w:webHidden/>
          </w:rPr>
        </w:r>
        <w:r w:rsidR="00D22F82">
          <w:rPr>
            <w:noProof/>
            <w:webHidden/>
          </w:rPr>
          <w:fldChar w:fldCharType="separate"/>
        </w:r>
        <w:r w:rsidR="006F4F06">
          <w:rPr>
            <w:noProof/>
            <w:webHidden/>
          </w:rPr>
          <w:t>1</w:t>
        </w:r>
        <w:r w:rsidR="00D22F82">
          <w:rPr>
            <w:noProof/>
            <w:webHidden/>
          </w:rPr>
          <w:fldChar w:fldCharType="end"/>
        </w:r>
      </w:hyperlink>
    </w:p>
    <w:p w:rsidR="00D22F82" w:rsidRDefault="00D17BF9">
      <w:pPr>
        <w:pStyle w:val="TOC1"/>
        <w:tabs>
          <w:tab w:val="right" w:leader="dot" w:pos="9350"/>
        </w:tabs>
        <w:rPr>
          <w:rFonts w:asciiTheme="minorHAnsi" w:eastAsiaTheme="minorEastAsia" w:hAnsiTheme="minorHAnsi" w:cstheme="minorBidi"/>
          <w:noProof/>
          <w:sz w:val="22"/>
          <w:szCs w:val="22"/>
        </w:rPr>
      </w:pPr>
      <w:hyperlink w:anchor="_Toc333991288" w:history="1">
        <w:r w:rsidR="00D22F82" w:rsidRPr="00DD7C81">
          <w:rPr>
            <w:rStyle w:val="Hyperlink"/>
            <w:noProof/>
          </w:rPr>
          <w:t>II. Discussion</w:t>
        </w:r>
        <w:r w:rsidR="00D22F82">
          <w:rPr>
            <w:noProof/>
            <w:webHidden/>
          </w:rPr>
          <w:tab/>
        </w:r>
        <w:r w:rsidR="00D22F82">
          <w:rPr>
            <w:noProof/>
            <w:webHidden/>
          </w:rPr>
          <w:fldChar w:fldCharType="begin"/>
        </w:r>
        <w:r w:rsidR="00D22F82">
          <w:rPr>
            <w:noProof/>
            <w:webHidden/>
          </w:rPr>
          <w:instrText xml:space="preserve"> PAGEREF _Toc333991288 \h </w:instrText>
        </w:r>
        <w:r w:rsidR="00D22F82">
          <w:rPr>
            <w:noProof/>
            <w:webHidden/>
          </w:rPr>
        </w:r>
        <w:r w:rsidR="00D22F82">
          <w:rPr>
            <w:noProof/>
            <w:webHidden/>
          </w:rPr>
          <w:fldChar w:fldCharType="separate"/>
        </w:r>
        <w:r w:rsidR="006F4F06">
          <w:rPr>
            <w:noProof/>
            <w:webHidden/>
          </w:rPr>
          <w:t>3</w:t>
        </w:r>
        <w:r w:rsidR="00D22F82">
          <w:rPr>
            <w:noProof/>
            <w:webHidden/>
          </w:rPr>
          <w:fldChar w:fldCharType="end"/>
        </w:r>
      </w:hyperlink>
    </w:p>
    <w:p w:rsidR="00D22F82" w:rsidRDefault="00D17BF9">
      <w:pPr>
        <w:pStyle w:val="TOC2"/>
        <w:tabs>
          <w:tab w:val="left" w:pos="880"/>
          <w:tab w:val="right" w:leader="dot" w:pos="9350"/>
        </w:tabs>
        <w:rPr>
          <w:rFonts w:asciiTheme="minorHAnsi" w:eastAsiaTheme="minorEastAsia" w:hAnsiTheme="minorHAnsi" w:cstheme="minorBidi"/>
          <w:noProof/>
          <w:sz w:val="22"/>
          <w:szCs w:val="22"/>
        </w:rPr>
      </w:pPr>
      <w:hyperlink w:anchor="_Toc333991289" w:history="1">
        <w:r w:rsidR="00D22F82" w:rsidRPr="00DD7C81">
          <w:rPr>
            <w:rStyle w:val="Hyperlink"/>
            <w:noProof/>
          </w:rPr>
          <w:t>A.</w:t>
        </w:r>
        <w:r w:rsidR="00D22F82">
          <w:rPr>
            <w:rFonts w:asciiTheme="minorHAnsi" w:eastAsiaTheme="minorEastAsia" w:hAnsiTheme="minorHAnsi" w:cstheme="minorBidi"/>
            <w:noProof/>
            <w:sz w:val="22"/>
            <w:szCs w:val="22"/>
          </w:rPr>
          <w:tab/>
        </w:r>
        <w:r w:rsidR="00D22F82" w:rsidRPr="00DD7C81">
          <w:rPr>
            <w:rStyle w:val="Hyperlink"/>
            <w:noProof/>
          </w:rPr>
          <w:t>Burden of Proof</w:t>
        </w:r>
        <w:r w:rsidR="00D22F82">
          <w:rPr>
            <w:noProof/>
            <w:webHidden/>
          </w:rPr>
          <w:tab/>
        </w:r>
        <w:r w:rsidR="00D22F82">
          <w:rPr>
            <w:noProof/>
            <w:webHidden/>
          </w:rPr>
          <w:fldChar w:fldCharType="begin"/>
        </w:r>
        <w:r w:rsidR="00D22F82">
          <w:rPr>
            <w:noProof/>
            <w:webHidden/>
          </w:rPr>
          <w:instrText xml:space="preserve"> PAGEREF _Toc333991289 \h </w:instrText>
        </w:r>
        <w:r w:rsidR="00D22F82">
          <w:rPr>
            <w:noProof/>
            <w:webHidden/>
          </w:rPr>
        </w:r>
        <w:r w:rsidR="00D22F82">
          <w:rPr>
            <w:noProof/>
            <w:webHidden/>
          </w:rPr>
          <w:fldChar w:fldCharType="separate"/>
        </w:r>
        <w:r w:rsidR="006F4F06">
          <w:rPr>
            <w:noProof/>
            <w:webHidden/>
          </w:rPr>
          <w:t>3</w:t>
        </w:r>
        <w:r w:rsidR="00D22F82">
          <w:rPr>
            <w:noProof/>
            <w:webHidden/>
          </w:rPr>
          <w:fldChar w:fldCharType="end"/>
        </w:r>
      </w:hyperlink>
    </w:p>
    <w:p w:rsidR="00D22F82" w:rsidRDefault="00D17BF9">
      <w:pPr>
        <w:pStyle w:val="TOC2"/>
        <w:tabs>
          <w:tab w:val="left" w:pos="880"/>
          <w:tab w:val="right" w:leader="dot" w:pos="9350"/>
        </w:tabs>
        <w:rPr>
          <w:rFonts w:asciiTheme="minorHAnsi" w:eastAsiaTheme="minorEastAsia" w:hAnsiTheme="minorHAnsi" w:cstheme="minorBidi"/>
          <w:noProof/>
          <w:sz w:val="22"/>
          <w:szCs w:val="22"/>
        </w:rPr>
      </w:pPr>
      <w:hyperlink w:anchor="_Toc333991290" w:history="1">
        <w:r w:rsidR="00D22F82" w:rsidRPr="00DD7C81">
          <w:rPr>
            <w:rStyle w:val="Hyperlink"/>
            <w:noProof/>
          </w:rPr>
          <w:t>B.</w:t>
        </w:r>
        <w:r w:rsidR="00D22F82">
          <w:rPr>
            <w:rFonts w:asciiTheme="minorHAnsi" w:eastAsiaTheme="minorEastAsia" w:hAnsiTheme="minorHAnsi" w:cstheme="minorBidi"/>
            <w:noProof/>
            <w:sz w:val="22"/>
            <w:szCs w:val="22"/>
          </w:rPr>
          <w:tab/>
        </w:r>
        <w:r w:rsidR="00D22F82" w:rsidRPr="00DD7C81">
          <w:rPr>
            <w:rStyle w:val="Hyperlink"/>
            <w:noProof/>
          </w:rPr>
          <w:t>History of PPL’s TOU Programs</w:t>
        </w:r>
        <w:r w:rsidR="00D22F82">
          <w:rPr>
            <w:noProof/>
            <w:webHidden/>
          </w:rPr>
          <w:tab/>
        </w:r>
        <w:r w:rsidR="00D22F82">
          <w:rPr>
            <w:noProof/>
            <w:webHidden/>
          </w:rPr>
          <w:fldChar w:fldCharType="begin"/>
        </w:r>
        <w:r w:rsidR="00D22F82">
          <w:rPr>
            <w:noProof/>
            <w:webHidden/>
          </w:rPr>
          <w:instrText xml:space="preserve"> PAGEREF _Toc333991290 \h </w:instrText>
        </w:r>
        <w:r w:rsidR="00D22F82">
          <w:rPr>
            <w:noProof/>
            <w:webHidden/>
          </w:rPr>
        </w:r>
        <w:r w:rsidR="00D22F82">
          <w:rPr>
            <w:noProof/>
            <w:webHidden/>
          </w:rPr>
          <w:fldChar w:fldCharType="separate"/>
        </w:r>
        <w:r w:rsidR="006F4F06">
          <w:rPr>
            <w:noProof/>
            <w:webHidden/>
          </w:rPr>
          <w:t>4</w:t>
        </w:r>
        <w:r w:rsidR="00D22F82">
          <w:rPr>
            <w:noProof/>
            <w:webHidden/>
          </w:rPr>
          <w:fldChar w:fldCharType="end"/>
        </w:r>
      </w:hyperlink>
    </w:p>
    <w:p w:rsidR="00D22F82" w:rsidRDefault="00D17BF9">
      <w:pPr>
        <w:pStyle w:val="TOC2"/>
        <w:tabs>
          <w:tab w:val="left" w:pos="880"/>
          <w:tab w:val="right" w:leader="dot" w:pos="9350"/>
        </w:tabs>
        <w:rPr>
          <w:rFonts w:asciiTheme="minorHAnsi" w:eastAsiaTheme="minorEastAsia" w:hAnsiTheme="minorHAnsi" w:cstheme="minorBidi"/>
          <w:noProof/>
          <w:sz w:val="22"/>
          <w:szCs w:val="22"/>
        </w:rPr>
      </w:pPr>
      <w:hyperlink w:anchor="_Toc333991291" w:history="1">
        <w:r w:rsidR="00D22F82" w:rsidRPr="00DD7C81">
          <w:rPr>
            <w:rStyle w:val="Hyperlink"/>
            <w:noProof/>
          </w:rPr>
          <w:t>C.</w:t>
        </w:r>
        <w:r w:rsidR="00D22F82">
          <w:rPr>
            <w:rFonts w:asciiTheme="minorHAnsi" w:eastAsiaTheme="minorEastAsia" w:hAnsiTheme="minorHAnsi" w:cstheme="minorBidi"/>
            <w:noProof/>
            <w:sz w:val="22"/>
            <w:szCs w:val="22"/>
          </w:rPr>
          <w:tab/>
        </w:r>
        <w:r w:rsidR="00D22F82" w:rsidRPr="00DD7C81">
          <w:rPr>
            <w:rStyle w:val="Hyperlink"/>
            <w:noProof/>
          </w:rPr>
          <w:t>Legal Standard for TOU Programs</w:t>
        </w:r>
        <w:r w:rsidR="00D22F82">
          <w:rPr>
            <w:noProof/>
            <w:webHidden/>
          </w:rPr>
          <w:tab/>
        </w:r>
        <w:r w:rsidR="00D22F82">
          <w:rPr>
            <w:noProof/>
            <w:webHidden/>
          </w:rPr>
          <w:fldChar w:fldCharType="begin"/>
        </w:r>
        <w:r w:rsidR="00D22F82">
          <w:rPr>
            <w:noProof/>
            <w:webHidden/>
          </w:rPr>
          <w:instrText xml:space="preserve"> PAGEREF _Toc333991291 \h </w:instrText>
        </w:r>
        <w:r w:rsidR="00D22F82">
          <w:rPr>
            <w:noProof/>
            <w:webHidden/>
          </w:rPr>
        </w:r>
        <w:r w:rsidR="00D22F82">
          <w:rPr>
            <w:noProof/>
            <w:webHidden/>
          </w:rPr>
          <w:fldChar w:fldCharType="separate"/>
        </w:r>
        <w:r w:rsidR="006F4F06">
          <w:rPr>
            <w:noProof/>
            <w:webHidden/>
          </w:rPr>
          <w:t>6</w:t>
        </w:r>
        <w:r w:rsidR="00D22F82">
          <w:rPr>
            <w:noProof/>
            <w:webHidden/>
          </w:rPr>
          <w:fldChar w:fldCharType="end"/>
        </w:r>
      </w:hyperlink>
    </w:p>
    <w:p w:rsidR="00D22F82" w:rsidRDefault="00D17BF9">
      <w:pPr>
        <w:pStyle w:val="TOC2"/>
        <w:tabs>
          <w:tab w:val="left" w:pos="880"/>
          <w:tab w:val="right" w:leader="dot" w:pos="9350"/>
        </w:tabs>
        <w:rPr>
          <w:rFonts w:asciiTheme="minorHAnsi" w:eastAsiaTheme="minorEastAsia" w:hAnsiTheme="minorHAnsi" w:cstheme="minorBidi"/>
          <w:noProof/>
          <w:sz w:val="22"/>
          <w:szCs w:val="22"/>
        </w:rPr>
      </w:pPr>
      <w:hyperlink w:anchor="_Toc333991292" w:history="1">
        <w:r w:rsidR="00D22F82" w:rsidRPr="00DD7C81">
          <w:rPr>
            <w:rStyle w:val="Hyperlink"/>
            <w:noProof/>
          </w:rPr>
          <w:t>D.</w:t>
        </w:r>
        <w:r w:rsidR="00D22F82">
          <w:rPr>
            <w:rFonts w:asciiTheme="minorHAnsi" w:eastAsiaTheme="minorEastAsia" w:hAnsiTheme="minorHAnsi" w:cstheme="minorBidi"/>
            <w:noProof/>
            <w:sz w:val="22"/>
            <w:szCs w:val="22"/>
          </w:rPr>
          <w:tab/>
        </w:r>
        <w:r w:rsidR="00D22F82" w:rsidRPr="00DD7C81">
          <w:rPr>
            <w:rStyle w:val="Hyperlink"/>
            <w:noProof/>
          </w:rPr>
          <w:t>Peak and Off-Peak Hours</w:t>
        </w:r>
        <w:r w:rsidR="00D22F82">
          <w:rPr>
            <w:noProof/>
            <w:webHidden/>
          </w:rPr>
          <w:tab/>
        </w:r>
        <w:r w:rsidR="00D22F82">
          <w:rPr>
            <w:noProof/>
            <w:webHidden/>
          </w:rPr>
          <w:fldChar w:fldCharType="begin"/>
        </w:r>
        <w:r w:rsidR="00D22F82">
          <w:rPr>
            <w:noProof/>
            <w:webHidden/>
          </w:rPr>
          <w:instrText xml:space="preserve"> PAGEREF _Toc333991292 \h </w:instrText>
        </w:r>
        <w:r w:rsidR="00D22F82">
          <w:rPr>
            <w:noProof/>
            <w:webHidden/>
          </w:rPr>
        </w:r>
        <w:r w:rsidR="00D22F82">
          <w:rPr>
            <w:noProof/>
            <w:webHidden/>
          </w:rPr>
          <w:fldChar w:fldCharType="separate"/>
        </w:r>
        <w:r w:rsidR="006F4F06">
          <w:rPr>
            <w:noProof/>
            <w:webHidden/>
          </w:rPr>
          <w:t>8</w:t>
        </w:r>
        <w:r w:rsidR="00D22F82">
          <w:rPr>
            <w:noProof/>
            <w:webHidden/>
          </w:rPr>
          <w:fldChar w:fldCharType="end"/>
        </w:r>
      </w:hyperlink>
    </w:p>
    <w:p w:rsidR="00D22F82" w:rsidRDefault="00D17BF9">
      <w:pPr>
        <w:pStyle w:val="TOC3"/>
        <w:tabs>
          <w:tab w:val="left" w:pos="1100"/>
          <w:tab w:val="right" w:leader="dot" w:pos="9350"/>
        </w:tabs>
        <w:rPr>
          <w:rFonts w:asciiTheme="minorHAnsi" w:eastAsiaTheme="minorEastAsia" w:hAnsiTheme="minorHAnsi" w:cstheme="minorBidi"/>
          <w:noProof/>
          <w:sz w:val="22"/>
          <w:szCs w:val="22"/>
        </w:rPr>
      </w:pPr>
      <w:hyperlink w:anchor="_Toc333991293" w:history="1">
        <w:r w:rsidR="00D22F82" w:rsidRPr="00DD7C81">
          <w:rPr>
            <w:rStyle w:val="Hyperlink"/>
            <w:noProof/>
          </w:rPr>
          <w:t>1.</w:t>
        </w:r>
        <w:r w:rsidR="00D22F82">
          <w:rPr>
            <w:rFonts w:asciiTheme="minorHAnsi" w:eastAsiaTheme="minorEastAsia" w:hAnsiTheme="minorHAnsi" w:cstheme="minorBidi"/>
            <w:noProof/>
            <w:sz w:val="22"/>
            <w:szCs w:val="22"/>
          </w:rPr>
          <w:tab/>
        </w:r>
        <w:r w:rsidR="00D22F82" w:rsidRPr="00DD7C81">
          <w:rPr>
            <w:rStyle w:val="Hyperlink"/>
            <w:noProof/>
          </w:rPr>
          <w:t>Positions of the Parties</w:t>
        </w:r>
        <w:r w:rsidR="00D22F82">
          <w:rPr>
            <w:noProof/>
            <w:webHidden/>
          </w:rPr>
          <w:tab/>
        </w:r>
        <w:r w:rsidR="00D22F82">
          <w:rPr>
            <w:noProof/>
            <w:webHidden/>
          </w:rPr>
          <w:fldChar w:fldCharType="begin"/>
        </w:r>
        <w:r w:rsidR="00D22F82">
          <w:rPr>
            <w:noProof/>
            <w:webHidden/>
          </w:rPr>
          <w:instrText xml:space="preserve"> PAGEREF _Toc333991293 \h </w:instrText>
        </w:r>
        <w:r w:rsidR="00D22F82">
          <w:rPr>
            <w:noProof/>
            <w:webHidden/>
          </w:rPr>
        </w:r>
        <w:r w:rsidR="00D22F82">
          <w:rPr>
            <w:noProof/>
            <w:webHidden/>
          </w:rPr>
          <w:fldChar w:fldCharType="separate"/>
        </w:r>
        <w:r w:rsidR="006F4F06">
          <w:rPr>
            <w:noProof/>
            <w:webHidden/>
          </w:rPr>
          <w:t>8</w:t>
        </w:r>
        <w:r w:rsidR="00D22F82">
          <w:rPr>
            <w:noProof/>
            <w:webHidden/>
          </w:rPr>
          <w:fldChar w:fldCharType="end"/>
        </w:r>
      </w:hyperlink>
    </w:p>
    <w:p w:rsidR="00D22F82" w:rsidRDefault="00D17BF9">
      <w:pPr>
        <w:pStyle w:val="TOC3"/>
        <w:tabs>
          <w:tab w:val="left" w:pos="1100"/>
          <w:tab w:val="right" w:leader="dot" w:pos="9350"/>
        </w:tabs>
        <w:rPr>
          <w:rFonts w:asciiTheme="minorHAnsi" w:eastAsiaTheme="minorEastAsia" w:hAnsiTheme="minorHAnsi" w:cstheme="minorBidi"/>
          <w:noProof/>
          <w:sz w:val="22"/>
          <w:szCs w:val="22"/>
        </w:rPr>
      </w:pPr>
      <w:hyperlink w:anchor="_Toc333991294" w:history="1">
        <w:r w:rsidR="00D22F82" w:rsidRPr="00DD7C81">
          <w:rPr>
            <w:rStyle w:val="Hyperlink"/>
            <w:noProof/>
          </w:rPr>
          <w:t>2.</w:t>
        </w:r>
        <w:r w:rsidR="00D22F82">
          <w:rPr>
            <w:rFonts w:asciiTheme="minorHAnsi" w:eastAsiaTheme="minorEastAsia" w:hAnsiTheme="minorHAnsi" w:cstheme="minorBidi"/>
            <w:noProof/>
            <w:sz w:val="22"/>
            <w:szCs w:val="22"/>
          </w:rPr>
          <w:tab/>
        </w:r>
        <w:r w:rsidR="00D22F82" w:rsidRPr="00DD7C81">
          <w:rPr>
            <w:rStyle w:val="Hyperlink"/>
            <w:noProof/>
          </w:rPr>
          <w:t>The ALJ’s Recommendation</w:t>
        </w:r>
        <w:r w:rsidR="00D22F82">
          <w:rPr>
            <w:noProof/>
            <w:webHidden/>
          </w:rPr>
          <w:tab/>
        </w:r>
        <w:r w:rsidR="00D22F82">
          <w:rPr>
            <w:noProof/>
            <w:webHidden/>
          </w:rPr>
          <w:fldChar w:fldCharType="begin"/>
        </w:r>
        <w:r w:rsidR="00D22F82">
          <w:rPr>
            <w:noProof/>
            <w:webHidden/>
          </w:rPr>
          <w:instrText xml:space="preserve"> PAGEREF _Toc333991294 \h </w:instrText>
        </w:r>
        <w:r w:rsidR="00D22F82">
          <w:rPr>
            <w:noProof/>
            <w:webHidden/>
          </w:rPr>
        </w:r>
        <w:r w:rsidR="00D22F82">
          <w:rPr>
            <w:noProof/>
            <w:webHidden/>
          </w:rPr>
          <w:fldChar w:fldCharType="separate"/>
        </w:r>
        <w:r w:rsidR="006F4F06">
          <w:rPr>
            <w:noProof/>
            <w:webHidden/>
          </w:rPr>
          <w:t>11</w:t>
        </w:r>
        <w:r w:rsidR="00D22F82">
          <w:rPr>
            <w:noProof/>
            <w:webHidden/>
          </w:rPr>
          <w:fldChar w:fldCharType="end"/>
        </w:r>
      </w:hyperlink>
    </w:p>
    <w:p w:rsidR="00D22F82" w:rsidRDefault="00D17BF9">
      <w:pPr>
        <w:pStyle w:val="TOC3"/>
        <w:tabs>
          <w:tab w:val="left" w:pos="1100"/>
          <w:tab w:val="right" w:leader="dot" w:pos="9350"/>
        </w:tabs>
        <w:rPr>
          <w:rFonts w:asciiTheme="minorHAnsi" w:eastAsiaTheme="minorEastAsia" w:hAnsiTheme="minorHAnsi" w:cstheme="minorBidi"/>
          <w:noProof/>
          <w:sz w:val="22"/>
          <w:szCs w:val="22"/>
        </w:rPr>
      </w:pPr>
      <w:hyperlink w:anchor="_Toc333991295" w:history="1">
        <w:r w:rsidR="00D22F82" w:rsidRPr="00DD7C81">
          <w:rPr>
            <w:rStyle w:val="Hyperlink"/>
            <w:noProof/>
          </w:rPr>
          <w:t>3.</w:t>
        </w:r>
        <w:r w:rsidR="00D22F82">
          <w:rPr>
            <w:rFonts w:asciiTheme="minorHAnsi" w:eastAsiaTheme="minorEastAsia" w:hAnsiTheme="minorHAnsi" w:cstheme="minorBidi"/>
            <w:noProof/>
            <w:sz w:val="22"/>
            <w:szCs w:val="22"/>
          </w:rPr>
          <w:tab/>
        </w:r>
        <w:r w:rsidR="00D22F82" w:rsidRPr="00DD7C81">
          <w:rPr>
            <w:rStyle w:val="Hyperlink"/>
            <w:noProof/>
          </w:rPr>
          <w:t>Exceptions</w:t>
        </w:r>
        <w:r w:rsidR="00D22F82">
          <w:rPr>
            <w:noProof/>
            <w:webHidden/>
          </w:rPr>
          <w:tab/>
        </w:r>
        <w:r w:rsidR="00D22F82">
          <w:rPr>
            <w:noProof/>
            <w:webHidden/>
          </w:rPr>
          <w:fldChar w:fldCharType="begin"/>
        </w:r>
        <w:r w:rsidR="00D22F82">
          <w:rPr>
            <w:noProof/>
            <w:webHidden/>
          </w:rPr>
          <w:instrText xml:space="preserve"> PAGEREF _Toc333991295 \h </w:instrText>
        </w:r>
        <w:r w:rsidR="00D22F82">
          <w:rPr>
            <w:noProof/>
            <w:webHidden/>
          </w:rPr>
        </w:r>
        <w:r w:rsidR="00D22F82">
          <w:rPr>
            <w:noProof/>
            <w:webHidden/>
          </w:rPr>
          <w:fldChar w:fldCharType="separate"/>
        </w:r>
        <w:r w:rsidR="006F4F06">
          <w:rPr>
            <w:noProof/>
            <w:webHidden/>
          </w:rPr>
          <w:t>12</w:t>
        </w:r>
        <w:r w:rsidR="00D22F82">
          <w:rPr>
            <w:noProof/>
            <w:webHidden/>
          </w:rPr>
          <w:fldChar w:fldCharType="end"/>
        </w:r>
      </w:hyperlink>
    </w:p>
    <w:p w:rsidR="00D22F82" w:rsidRDefault="00D17BF9">
      <w:pPr>
        <w:pStyle w:val="TOC3"/>
        <w:tabs>
          <w:tab w:val="left" w:pos="1100"/>
          <w:tab w:val="right" w:leader="dot" w:pos="9350"/>
        </w:tabs>
        <w:rPr>
          <w:rFonts w:asciiTheme="minorHAnsi" w:eastAsiaTheme="minorEastAsia" w:hAnsiTheme="minorHAnsi" w:cstheme="minorBidi"/>
          <w:noProof/>
          <w:sz w:val="22"/>
          <w:szCs w:val="22"/>
        </w:rPr>
      </w:pPr>
      <w:hyperlink w:anchor="_Toc333991296" w:history="1">
        <w:r w:rsidR="00D22F82" w:rsidRPr="00DD7C81">
          <w:rPr>
            <w:rStyle w:val="Hyperlink"/>
            <w:noProof/>
          </w:rPr>
          <w:t>4.</w:t>
        </w:r>
        <w:r w:rsidR="00D22F82">
          <w:rPr>
            <w:rFonts w:asciiTheme="minorHAnsi" w:eastAsiaTheme="minorEastAsia" w:hAnsiTheme="minorHAnsi" w:cstheme="minorBidi"/>
            <w:noProof/>
            <w:sz w:val="22"/>
            <w:szCs w:val="22"/>
          </w:rPr>
          <w:tab/>
        </w:r>
        <w:r w:rsidR="00D22F82" w:rsidRPr="00DD7C81">
          <w:rPr>
            <w:rStyle w:val="Hyperlink"/>
            <w:noProof/>
          </w:rPr>
          <w:t>Disposition</w:t>
        </w:r>
        <w:r w:rsidR="00D22F82">
          <w:rPr>
            <w:noProof/>
            <w:webHidden/>
          </w:rPr>
          <w:tab/>
        </w:r>
        <w:r w:rsidR="00D22F82">
          <w:rPr>
            <w:noProof/>
            <w:webHidden/>
          </w:rPr>
          <w:fldChar w:fldCharType="begin"/>
        </w:r>
        <w:r w:rsidR="00D22F82">
          <w:rPr>
            <w:noProof/>
            <w:webHidden/>
          </w:rPr>
          <w:instrText xml:space="preserve"> PAGEREF _Toc333991296 \h </w:instrText>
        </w:r>
        <w:r w:rsidR="00D22F82">
          <w:rPr>
            <w:noProof/>
            <w:webHidden/>
          </w:rPr>
        </w:r>
        <w:r w:rsidR="00D22F82">
          <w:rPr>
            <w:noProof/>
            <w:webHidden/>
          </w:rPr>
          <w:fldChar w:fldCharType="separate"/>
        </w:r>
        <w:r w:rsidR="006F4F06">
          <w:rPr>
            <w:noProof/>
            <w:webHidden/>
          </w:rPr>
          <w:t>15</w:t>
        </w:r>
        <w:r w:rsidR="00D22F82">
          <w:rPr>
            <w:noProof/>
            <w:webHidden/>
          </w:rPr>
          <w:fldChar w:fldCharType="end"/>
        </w:r>
      </w:hyperlink>
    </w:p>
    <w:p w:rsidR="00D22F82" w:rsidRDefault="00D17BF9">
      <w:pPr>
        <w:pStyle w:val="TOC2"/>
        <w:tabs>
          <w:tab w:val="left" w:pos="880"/>
          <w:tab w:val="right" w:leader="dot" w:pos="9350"/>
        </w:tabs>
        <w:rPr>
          <w:rFonts w:asciiTheme="minorHAnsi" w:eastAsiaTheme="minorEastAsia" w:hAnsiTheme="minorHAnsi" w:cstheme="minorBidi"/>
          <w:noProof/>
          <w:sz w:val="22"/>
          <w:szCs w:val="22"/>
        </w:rPr>
      </w:pPr>
      <w:hyperlink w:anchor="_Toc333991297" w:history="1">
        <w:r w:rsidR="00D22F82" w:rsidRPr="00DD7C81">
          <w:rPr>
            <w:rStyle w:val="Hyperlink"/>
            <w:noProof/>
          </w:rPr>
          <w:t>E.</w:t>
        </w:r>
        <w:r w:rsidR="00D22F82">
          <w:rPr>
            <w:rFonts w:asciiTheme="minorHAnsi" w:eastAsiaTheme="minorEastAsia" w:hAnsiTheme="minorHAnsi" w:cstheme="minorBidi"/>
            <w:noProof/>
            <w:sz w:val="22"/>
            <w:szCs w:val="22"/>
          </w:rPr>
          <w:tab/>
        </w:r>
        <w:r w:rsidR="00D22F82" w:rsidRPr="00DD7C81">
          <w:rPr>
            <w:rStyle w:val="Hyperlink"/>
            <w:noProof/>
          </w:rPr>
          <w:t>TOU Rate Premium/Discount</w:t>
        </w:r>
        <w:r w:rsidR="00D22F82">
          <w:rPr>
            <w:noProof/>
            <w:webHidden/>
          </w:rPr>
          <w:tab/>
        </w:r>
        <w:r w:rsidR="00D22F82">
          <w:rPr>
            <w:noProof/>
            <w:webHidden/>
          </w:rPr>
          <w:fldChar w:fldCharType="begin"/>
        </w:r>
        <w:r w:rsidR="00D22F82">
          <w:rPr>
            <w:noProof/>
            <w:webHidden/>
          </w:rPr>
          <w:instrText xml:space="preserve"> PAGEREF _Toc333991297 \h </w:instrText>
        </w:r>
        <w:r w:rsidR="00D22F82">
          <w:rPr>
            <w:noProof/>
            <w:webHidden/>
          </w:rPr>
        </w:r>
        <w:r w:rsidR="00D22F82">
          <w:rPr>
            <w:noProof/>
            <w:webHidden/>
          </w:rPr>
          <w:fldChar w:fldCharType="separate"/>
        </w:r>
        <w:r w:rsidR="006F4F06">
          <w:rPr>
            <w:noProof/>
            <w:webHidden/>
          </w:rPr>
          <w:t>15</w:t>
        </w:r>
        <w:r w:rsidR="00D22F82">
          <w:rPr>
            <w:noProof/>
            <w:webHidden/>
          </w:rPr>
          <w:fldChar w:fldCharType="end"/>
        </w:r>
      </w:hyperlink>
    </w:p>
    <w:p w:rsidR="00D22F82" w:rsidRDefault="00D17BF9">
      <w:pPr>
        <w:pStyle w:val="TOC3"/>
        <w:tabs>
          <w:tab w:val="left" w:pos="1100"/>
          <w:tab w:val="right" w:leader="dot" w:pos="9350"/>
        </w:tabs>
        <w:rPr>
          <w:rFonts w:asciiTheme="minorHAnsi" w:eastAsiaTheme="minorEastAsia" w:hAnsiTheme="minorHAnsi" w:cstheme="minorBidi"/>
          <w:noProof/>
          <w:sz w:val="22"/>
          <w:szCs w:val="22"/>
        </w:rPr>
      </w:pPr>
      <w:hyperlink w:anchor="_Toc333991298" w:history="1">
        <w:r w:rsidR="00D22F82" w:rsidRPr="00DD7C81">
          <w:rPr>
            <w:rStyle w:val="Hyperlink"/>
            <w:noProof/>
          </w:rPr>
          <w:t>1.</w:t>
        </w:r>
        <w:r w:rsidR="00D22F82">
          <w:rPr>
            <w:rFonts w:asciiTheme="minorHAnsi" w:eastAsiaTheme="minorEastAsia" w:hAnsiTheme="minorHAnsi" w:cstheme="minorBidi"/>
            <w:noProof/>
            <w:sz w:val="22"/>
            <w:szCs w:val="22"/>
          </w:rPr>
          <w:tab/>
        </w:r>
        <w:r w:rsidR="00D22F82" w:rsidRPr="00DD7C81">
          <w:rPr>
            <w:rStyle w:val="Hyperlink"/>
            <w:noProof/>
          </w:rPr>
          <w:t>Positions of the Parties</w:t>
        </w:r>
        <w:r w:rsidR="00D22F82">
          <w:rPr>
            <w:noProof/>
            <w:webHidden/>
          </w:rPr>
          <w:tab/>
        </w:r>
        <w:r w:rsidR="00D22F82">
          <w:rPr>
            <w:noProof/>
            <w:webHidden/>
          </w:rPr>
          <w:fldChar w:fldCharType="begin"/>
        </w:r>
        <w:r w:rsidR="00D22F82">
          <w:rPr>
            <w:noProof/>
            <w:webHidden/>
          </w:rPr>
          <w:instrText xml:space="preserve"> PAGEREF _Toc333991298 \h </w:instrText>
        </w:r>
        <w:r w:rsidR="00D22F82">
          <w:rPr>
            <w:noProof/>
            <w:webHidden/>
          </w:rPr>
        </w:r>
        <w:r w:rsidR="00D22F82">
          <w:rPr>
            <w:noProof/>
            <w:webHidden/>
          </w:rPr>
          <w:fldChar w:fldCharType="separate"/>
        </w:r>
        <w:r w:rsidR="006F4F06">
          <w:rPr>
            <w:noProof/>
            <w:webHidden/>
          </w:rPr>
          <w:t>15</w:t>
        </w:r>
        <w:r w:rsidR="00D22F82">
          <w:rPr>
            <w:noProof/>
            <w:webHidden/>
          </w:rPr>
          <w:fldChar w:fldCharType="end"/>
        </w:r>
      </w:hyperlink>
    </w:p>
    <w:p w:rsidR="00D22F82" w:rsidRDefault="00D17BF9">
      <w:pPr>
        <w:pStyle w:val="TOC3"/>
        <w:tabs>
          <w:tab w:val="left" w:pos="1100"/>
          <w:tab w:val="right" w:leader="dot" w:pos="9350"/>
        </w:tabs>
        <w:rPr>
          <w:rFonts w:asciiTheme="minorHAnsi" w:eastAsiaTheme="minorEastAsia" w:hAnsiTheme="minorHAnsi" w:cstheme="minorBidi"/>
          <w:noProof/>
          <w:sz w:val="22"/>
          <w:szCs w:val="22"/>
        </w:rPr>
      </w:pPr>
      <w:hyperlink w:anchor="_Toc333991299" w:history="1">
        <w:r w:rsidR="00D22F82" w:rsidRPr="00DD7C81">
          <w:rPr>
            <w:rStyle w:val="Hyperlink"/>
            <w:noProof/>
          </w:rPr>
          <w:t>2.</w:t>
        </w:r>
        <w:r w:rsidR="00D22F82">
          <w:rPr>
            <w:rFonts w:asciiTheme="minorHAnsi" w:eastAsiaTheme="minorEastAsia" w:hAnsiTheme="minorHAnsi" w:cstheme="minorBidi"/>
            <w:noProof/>
            <w:sz w:val="22"/>
            <w:szCs w:val="22"/>
          </w:rPr>
          <w:tab/>
        </w:r>
        <w:r w:rsidR="00D22F82" w:rsidRPr="00DD7C81">
          <w:rPr>
            <w:rStyle w:val="Hyperlink"/>
            <w:noProof/>
          </w:rPr>
          <w:t>ALJ’s Recommendation</w:t>
        </w:r>
        <w:r w:rsidR="00D22F82">
          <w:rPr>
            <w:noProof/>
            <w:webHidden/>
          </w:rPr>
          <w:tab/>
        </w:r>
        <w:r w:rsidR="00D22F82">
          <w:rPr>
            <w:noProof/>
            <w:webHidden/>
          </w:rPr>
          <w:fldChar w:fldCharType="begin"/>
        </w:r>
        <w:r w:rsidR="00D22F82">
          <w:rPr>
            <w:noProof/>
            <w:webHidden/>
          </w:rPr>
          <w:instrText xml:space="preserve"> PAGEREF _Toc333991299 \h </w:instrText>
        </w:r>
        <w:r w:rsidR="00D22F82">
          <w:rPr>
            <w:noProof/>
            <w:webHidden/>
          </w:rPr>
        </w:r>
        <w:r w:rsidR="00D22F82">
          <w:rPr>
            <w:noProof/>
            <w:webHidden/>
          </w:rPr>
          <w:fldChar w:fldCharType="separate"/>
        </w:r>
        <w:r w:rsidR="006F4F06">
          <w:rPr>
            <w:noProof/>
            <w:webHidden/>
          </w:rPr>
          <w:t>17</w:t>
        </w:r>
        <w:r w:rsidR="00D22F82">
          <w:rPr>
            <w:noProof/>
            <w:webHidden/>
          </w:rPr>
          <w:fldChar w:fldCharType="end"/>
        </w:r>
      </w:hyperlink>
    </w:p>
    <w:p w:rsidR="00D22F82" w:rsidRDefault="00D17BF9">
      <w:pPr>
        <w:pStyle w:val="TOC3"/>
        <w:tabs>
          <w:tab w:val="left" w:pos="1100"/>
          <w:tab w:val="right" w:leader="dot" w:pos="9350"/>
        </w:tabs>
        <w:rPr>
          <w:rFonts w:asciiTheme="minorHAnsi" w:eastAsiaTheme="minorEastAsia" w:hAnsiTheme="minorHAnsi" w:cstheme="minorBidi"/>
          <w:noProof/>
          <w:sz w:val="22"/>
          <w:szCs w:val="22"/>
        </w:rPr>
      </w:pPr>
      <w:hyperlink w:anchor="_Toc333991300" w:history="1">
        <w:r w:rsidR="00D22F82" w:rsidRPr="00DD7C81">
          <w:rPr>
            <w:rStyle w:val="Hyperlink"/>
            <w:noProof/>
          </w:rPr>
          <w:t>3.</w:t>
        </w:r>
        <w:r w:rsidR="00D22F82">
          <w:rPr>
            <w:rFonts w:asciiTheme="minorHAnsi" w:eastAsiaTheme="minorEastAsia" w:hAnsiTheme="minorHAnsi" w:cstheme="minorBidi"/>
            <w:noProof/>
            <w:sz w:val="22"/>
            <w:szCs w:val="22"/>
          </w:rPr>
          <w:tab/>
        </w:r>
        <w:r w:rsidR="00D22F82" w:rsidRPr="00DD7C81">
          <w:rPr>
            <w:rStyle w:val="Hyperlink"/>
            <w:noProof/>
          </w:rPr>
          <w:t>Exceptions</w:t>
        </w:r>
        <w:r w:rsidR="00D22F82">
          <w:rPr>
            <w:noProof/>
            <w:webHidden/>
          </w:rPr>
          <w:tab/>
        </w:r>
        <w:r w:rsidR="00D22F82">
          <w:rPr>
            <w:noProof/>
            <w:webHidden/>
          </w:rPr>
          <w:fldChar w:fldCharType="begin"/>
        </w:r>
        <w:r w:rsidR="00D22F82">
          <w:rPr>
            <w:noProof/>
            <w:webHidden/>
          </w:rPr>
          <w:instrText xml:space="preserve"> PAGEREF _Toc333991300 \h </w:instrText>
        </w:r>
        <w:r w:rsidR="00D22F82">
          <w:rPr>
            <w:noProof/>
            <w:webHidden/>
          </w:rPr>
        </w:r>
        <w:r w:rsidR="00D22F82">
          <w:rPr>
            <w:noProof/>
            <w:webHidden/>
          </w:rPr>
          <w:fldChar w:fldCharType="separate"/>
        </w:r>
        <w:r w:rsidR="006F4F06">
          <w:rPr>
            <w:noProof/>
            <w:webHidden/>
          </w:rPr>
          <w:t>18</w:t>
        </w:r>
        <w:r w:rsidR="00D22F82">
          <w:rPr>
            <w:noProof/>
            <w:webHidden/>
          </w:rPr>
          <w:fldChar w:fldCharType="end"/>
        </w:r>
      </w:hyperlink>
    </w:p>
    <w:p w:rsidR="00D22F82" w:rsidRDefault="00D17BF9">
      <w:pPr>
        <w:pStyle w:val="TOC3"/>
        <w:tabs>
          <w:tab w:val="left" w:pos="1100"/>
          <w:tab w:val="right" w:leader="dot" w:pos="9350"/>
        </w:tabs>
        <w:rPr>
          <w:rFonts w:asciiTheme="minorHAnsi" w:eastAsiaTheme="minorEastAsia" w:hAnsiTheme="minorHAnsi" w:cstheme="minorBidi"/>
          <w:noProof/>
          <w:sz w:val="22"/>
          <w:szCs w:val="22"/>
        </w:rPr>
      </w:pPr>
      <w:hyperlink w:anchor="_Toc333991301" w:history="1">
        <w:r w:rsidR="00D22F82" w:rsidRPr="00DD7C81">
          <w:rPr>
            <w:rStyle w:val="Hyperlink"/>
            <w:noProof/>
          </w:rPr>
          <w:t>4.</w:t>
        </w:r>
        <w:r w:rsidR="00D22F82">
          <w:rPr>
            <w:rFonts w:asciiTheme="minorHAnsi" w:eastAsiaTheme="minorEastAsia" w:hAnsiTheme="minorHAnsi" w:cstheme="minorBidi"/>
            <w:noProof/>
            <w:sz w:val="22"/>
            <w:szCs w:val="22"/>
          </w:rPr>
          <w:tab/>
        </w:r>
        <w:r w:rsidR="00D22F82" w:rsidRPr="00DD7C81">
          <w:rPr>
            <w:rStyle w:val="Hyperlink"/>
            <w:noProof/>
          </w:rPr>
          <w:t>Disposition</w:t>
        </w:r>
        <w:r w:rsidR="00D22F82">
          <w:rPr>
            <w:noProof/>
            <w:webHidden/>
          </w:rPr>
          <w:tab/>
        </w:r>
        <w:r w:rsidR="00D22F82">
          <w:rPr>
            <w:noProof/>
            <w:webHidden/>
          </w:rPr>
          <w:fldChar w:fldCharType="begin"/>
        </w:r>
        <w:r w:rsidR="00D22F82">
          <w:rPr>
            <w:noProof/>
            <w:webHidden/>
          </w:rPr>
          <w:instrText xml:space="preserve"> PAGEREF _Toc333991301 \h </w:instrText>
        </w:r>
        <w:r w:rsidR="00D22F82">
          <w:rPr>
            <w:noProof/>
            <w:webHidden/>
          </w:rPr>
        </w:r>
        <w:r w:rsidR="00D22F82">
          <w:rPr>
            <w:noProof/>
            <w:webHidden/>
          </w:rPr>
          <w:fldChar w:fldCharType="separate"/>
        </w:r>
        <w:r w:rsidR="006F4F06">
          <w:rPr>
            <w:noProof/>
            <w:webHidden/>
          </w:rPr>
          <w:t>18</w:t>
        </w:r>
        <w:r w:rsidR="00D22F82">
          <w:rPr>
            <w:noProof/>
            <w:webHidden/>
          </w:rPr>
          <w:fldChar w:fldCharType="end"/>
        </w:r>
      </w:hyperlink>
    </w:p>
    <w:p w:rsidR="00D22F82" w:rsidRDefault="00D17BF9">
      <w:pPr>
        <w:pStyle w:val="TOC2"/>
        <w:tabs>
          <w:tab w:val="left" w:pos="880"/>
          <w:tab w:val="right" w:leader="dot" w:pos="9350"/>
        </w:tabs>
        <w:rPr>
          <w:rFonts w:asciiTheme="minorHAnsi" w:eastAsiaTheme="minorEastAsia" w:hAnsiTheme="minorHAnsi" w:cstheme="minorBidi"/>
          <w:noProof/>
          <w:sz w:val="22"/>
          <w:szCs w:val="22"/>
        </w:rPr>
      </w:pPr>
      <w:hyperlink w:anchor="_Toc333991302" w:history="1">
        <w:r w:rsidR="00D22F82" w:rsidRPr="00DD7C81">
          <w:rPr>
            <w:rStyle w:val="Hyperlink"/>
            <w:noProof/>
          </w:rPr>
          <w:t>F.</w:t>
        </w:r>
        <w:r w:rsidR="00D22F82">
          <w:rPr>
            <w:rFonts w:asciiTheme="minorHAnsi" w:eastAsiaTheme="minorEastAsia" w:hAnsiTheme="minorHAnsi" w:cstheme="minorBidi"/>
            <w:noProof/>
            <w:sz w:val="22"/>
            <w:szCs w:val="22"/>
          </w:rPr>
          <w:tab/>
        </w:r>
        <w:r w:rsidR="00D22F82" w:rsidRPr="00DD7C81">
          <w:rPr>
            <w:rStyle w:val="Hyperlink"/>
            <w:noProof/>
          </w:rPr>
          <w:t>Recovery of Existing TOU Program Net Undercollections</w:t>
        </w:r>
        <w:r w:rsidR="00D22F82">
          <w:rPr>
            <w:noProof/>
            <w:webHidden/>
          </w:rPr>
          <w:tab/>
        </w:r>
        <w:r w:rsidR="00D22F82">
          <w:rPr>
            <w:noProof/>
            <w:webHidden/>
          </w:rPr>
          <w:fldChar w:fldCharType="begin"/>
        </w:r>
        <w:r w:rsidR="00D22F82">
          <w:rPr>
            <w:noProof/>
            <w:webHidden/>
          </w:rPr>
          <w:instrText xml:space="preserve"> PAGEREF _Toc333991302 \h </w:instrText>
        </w:r>
        <w:r w:rsidR="00D22F82">
          <w:rPr>
            <w:noProof/>
            <w:webHidden/>
          </w:rPr>
        </w:r>
        <w:r w:rsidR="00D22F82">
          <w:rPr>
            <w:noProof/>
            <w:webHidden/>
          </w:rPr>
          <w:fldChar w:fldCharType="separate"/>
        </w:r>
        <w:r w:rsidR="006F4F06">
          <w:rPr>
            <w:noProof/>
            <w:webHidden/>
          </w:rPr>
          <w:t>18</w:t>
        </w:r>
        <w:r w:rsidR="00D22F82">
          <w:rPr>
            <w:noProof/>
            <w:webHidden/>
          </w:rPr>
          <w:fldChar w:fldCharType="end"/>
        </w:r>
      </w:hyperlink>
    </w:p>
    <w:p w:rsidR="00D22F82" w:rsidRDefault="00D17BF9">
      <w:pPr>
        <w:pStyle w:val="TOC3"/>
        <w:tabs>
          <w:tab w:val="left" w:pos="1100"/>
          <w:tab w:val="right" w:leader="dot" w:pos="9350"/>
        </w:tabs>
        <w:rPr>
          <w:rFonts w:asciiTheme="minorHAnsi" w:eastAsiaTheme="minorEastAsia" w:hAnsiTheme="minorHAnsi" w:cstheme="minorBidi"/>
          <w:noProof/>
          <w:sz w:val="22"/>
          <w:szCs w:val="22"/>
        </w:rPr>
      </w:pPr>
      <w:hyperlink w:anchor="_Toc333991303" w:history="1">
        <w:r w:rsidR="00D22F82" w:rsidRPr="00DD7C81">
          <w:rPr>
            <w:rStyle w:val="Hyperlink"/>
            <w:noProof/>
          </w:rPr>
          <w:t>1.</w:t>
        </w:r>
        <w:r w:rsidR="00D22F82">
          <w:rPr>
            <w:rFonts w:asciiTheme="minorHAnsi" w:eastAsiaTheme="minorEastAsia" w:hAnsiTheme="minorHAnsi" w:cstheme="minorBidi"/>
            <w:noProof/>
            <w:sz w:val="22"/>
            <w:szCs w:val="22"/>
          </w:rPr>
          <w:tab/>
        </w:r>
        <w:r w:rsidR="00D22F82" w:rsidRPr="00DD7C81">
          <w:rPr>
            <w:rStyle w:val="Hyperlink"/>
            <w:noProof/>
          </w:rPr>
          <w:t>Positions of the Parties</w:t>
        </w:r>
        <w:r w:rsidR="00D22F82">
          <w:rPr>
            <w:noProof/>
            <w:webHidden/>
          </w:rPr>
          <w:tab/>
        </w:r>
        <w:r w:rsidR="00D22F82">
          <w:rPr>
            <w:noProof/>
            <w:webHidden/>
          </w:rPr>
          <w:fldChar w:fldCharType="begin"/>
        </w:r>
        <w:r w:rsidR="00D22F82">
          <w:rPr>
            <w:noProof/>
            <w:webHidden/>
          </w:rPr>
          <w:instrText xml:space="preserve"> PAGEREF _Toc333991303 \h </w:instrText>
        </w:r>
        <w:r w:rsidR="00D22F82">
          <w:rPr>
            <w:noProof/>
            <w:webHidden/>
          </w:rPr>
        </w:r>
        <w:r w:rsidR="00D22F82">
          <w:rPr>
            <w:noProof/>
            <w:webHidden/>
          </w:rPr>
          <w:fldChar w:fldCharType="separate"/>
        </w:r>
        <w:r w:rsidR="006F4F06">
          <w:rPr>
            <w:noProof/>
            <w:webHidden/>
          </w:rPr>
          <w:t>18</w:t>
        </w:r>
        <w:r w:rsidR="00D22F82">
          <w:rPr>
            <w:noProof/>
            <w:webHidden/>
          </w:rPr>
          <w:fldChar w:fldCharType="end"/>
        </w:r>
      </w:hyperlink>
    </w:p>
    <w:p w:rsidR="00D22F82" w:rsidRDefault="00D17BF9">
      <w:pPr>
        <w:pStyle w:val="TOC3"/>
        <w:tabs>
          <w:tab w:val="left" w:pos="1100"/>
          <w:tab w:val="right" w:leader="dot" w:pos="9350"/>
        </w:tabs>
        <w:rPr>
          <w:rFonts w:asciiTheme="minorHAnsi" w:eastAsiaTheme="minorEastAsia" w:hAnsiTheme="minorHAnsi" w:cstheme="minorBidi"/>
          <w:noProof/>
          <w:sz w:val="22"/>
          <w:szCs w:val="22"/>
        </w:rPr>
      </w:pPr>
      <w:hyperlink w:anchor="_Toc333991304" w:history="1">
        <w:r w:rsidR="00D22F82" w:rsidRPr="00DD7C81">
          <w:rPr>
            <w:rStyle w:val="Hyperlink"/>
            <w:noProof/>
          </w:rPr>
          <w:t>2.</w:t>
        </w:r>
        <w:r w:rsidR="00D22F82">
          <w:rPr>
            <w:rFonts w:asciiTheme="minorHAnsi" w:eastAsiaTheme="minorEastAsia" w:hAnsiTheme="minorHAnsi" w:cstheme="minorBidi"/>
            <w:noProof/>
            <w:sz w:val="22"/>
            <w:szCs w:val="22"/>
          </w:rPr>
          <w:tab/>
        </w:r>
        <w:r w:rsidR="00D22F82" w:rsidRPr="00DD7C81">
          <w:rPr>
            <w:rStyle w:val="Hyperlink"/>
            <w:noProof/>
          </w:rPr>
          <w:t>ALJ’s Recommendation</w:t>
        </w:r>
        <w:r w:rsidR="00D22F82">
          <w:rPr>
            <w:noProof/>
            <w:webHidden/>
          </w:rPr>
          <w:tab/>
        </w:r>
        <w:r w:rsidR="00D22F82">
          <w:rPr>
            <w:noProof/>
            <w:webHidden/>
          </w:rPr>
          <w:fldChar w:fldCharType="begin"/>
        </w:r>
        <w:r w:rsidR="00D22F82">
          <w:rPr>
            <w:noProof/>
            <w:webHidden/>
          </w:rPr>
          <w:instrText xml:space="preserve"> PAGEREF _Toc333991304 \h </w:instrText>
        </w:r>
        <w:r w:rsidR="00D22F82">
          <w:rPr>
            <w:noProof/>
            <w:webHidden/>
          </w:rPr>
        </w:r>
        <w:r w:rsidR="00D22F82">
          <w:rPr>
            <w:noProof/>
            <w:webHidden/>
          </w:rPr>
          <w:fldChar w:fldCharType="separate"/>
        </w:r>
        <w:r w:rsidR="006F4F06">
          <w:rPr>
            <w:noProof/>
            <w:webHidden/>
          </w:rPr>
          <w:t>20</w:t>
        </w:r>
        <w:r w:rsidR="00D22F82">
          <w:rPr>
            <w:noProof/>
            <w:webHidden/>
          </w:rPr>
          <w:fldChar w:fldCharType="end"/>
        </w:r>
      </w:hyperlink>
    </w:p>
    <w:p w:rsidR="00D22F82" w:rsidRDefault="00D17BF9">
      <w:pPr>
        <w:pStyle w:val="TOC3"/>
        <w:tabs>
          <w:tab w:val="left" w:pos="1100"/>
          <w:tab w:val="right" w:leader="dot" w:pos="9350"/>
        </w:tabs>
        <w:rPr>
          <w:rFonts w:asciiTheme="minorHAnsi" w:eastAsiaTheme="minorEastAsia" w:hAnsiTheme="minorHAnsi" w:cstheme="minorBidi"/>
          <w:noProof/>
          <w:sz w:val="22"/>
          <w:szCs w:val="22"/>
        </w:rPr>
      </w:pPr>
      <w:hyperlink w:anchor="_Toc333991305" w:history="1">
        <w:r w:rsidR="00D22F82" w:rsidRPr="00DD7C81">
          <w:rPr>
            <w:rStyle w:val="Hyperlink"/>
            <w:noProof/>
          </w:rPr>
          <w:t>3.</w:t>
        </w:r>
        <w:r w:rsidR="00D22F82">
          <w:rPr>
            <w:rFonts w:asciiTheme="minorHAnsi" w:eastAsiaTheme="minorEastAsia" w:hAnsiTheme="minorHAnsi" w:cstheme="minorBidi"/>
            <w:noProof/>
            <w:sz w:val="22"/>
            <w:szCs w:val="22"/>
          </w:rPr>
          <w:tab/>
        </w:r>
        <w:r w:rsidR="00D22F82" w:rsidRPr="00DD7C81">
          <w:rPr>
            <w:rStyle w:val="Hyperlink"/>
            <w:noProof/>
          </w:rPr>
          <w:t>Exceptions</w:t>
        </w:r>
        <w:r w:rsidR="00D22F82">
          <w:rPr>
            <w:noProof/>
            <w:webHidden/>
          </w:rPr>
          <w:tab/>
        </w:r>
        <w:r w:rsidR="00D22F82">
          <w:rPr>
            <w:noProof/>
            <w:webHidden/>
          </w:rPr>
          <w:fldChar w:fldCharType="begin"/>
        </w:r>
        <w:r w:rsidR="00D22F82">
          <w:rPr>
            <w:noProof/>
            <w:webHidden/>
          </w:rPr>
          <w:instrText xml:space="preserve"> PAGEREF _Toc333991305 \h </w:instrText>
        </w:r>
        <w:r w:rsidR="00D22F82">
          <w:rPr>
            <w:noProof/>
            <w:webHidden/>
          </w:rPr>
        </w:r>
        <w:r w:rsidR="00D22F82">
          <w:rPr>
            <w:noProof/>
            <w:webHidden/>
          </w:rPr>
          <w:fldChar w:fldCharType="separate"/>
        </w:r>
        <w:r w:rsidR="006F4F06">
          <w:rPr>
            <w:noProof/>
            <w:webHidden/>
          </w:rPr>
          <w:t>20</w:t>
        </w:r>
        <w:r w:rsidR="00D22F82">
          <w:rPr>
            <w:noProof/>
            <w:webHidden/>
          </w:rPr>
          <w:fldChar w:fldCharType="end"/>
        </w:r>
      </w:hyperlink>
    </w:p>
    <w:p w:rsidR="00D22F82" w:rsidRDefault="00D17BF9">
      <w:pPr>
        <w:pStyle w:val="TOC3"/>
        <w:tabs>
          <w:tab w:val="left" w:pos="1100"/>
          <w:tab w:val="right" w:leader="dot" w:pos="9350"/>
        </w:tabs>
        <w:rPr>
          <w:rFonts w:asciiTheme="minorHAnsi" w:eastAsiaTheme="minorEastAsia" w:hAnsiTheme="minorHAnsi" w:cstheme="minorBidi"/>
          <w:noProof/>
          <w:sz w:val="22"/>
          <w:szCs w:val="22"/>
        </w:rPr>
      </w:pPr>
      <w:hyperlink w:anchor="_Toc333991306" w:history="1">
        <w:r w:rsidR="00D22F82" w:rsidRPr="00DD7C81">
          <w:rPr>
            <w:rStyle w:val="Hyperlink"/>
            <w:noProof/>
          </w:rPr>
          <w:t>4.</w:t>
        </w:r>
        <w:r w:rsidR="00D22F82">
          <w:rPr>
            <w:rFonts w:asciiTheme="minorHAnsi" w:eastAsiaTheme="minorEastAsia" w:hAnsiTheme="minorHAnsi" w:cstheme="minorBidi"/>
            <w:noProof/>
            <w:sz w:val="22"/>
            <w:szCs w:val="22"/>
          </w:rPr>
          <w:tab/>
        </w:r>
        <w:r w:rsidR="00D22F82" w:rsidRPr="00DD7C81">
          <w:rPr>
            <w:rStyle w:val="Hyperlink"/>
            <w:noProof/>
          </w:rPr>
          <w:t>Disposition</w:t>
        </w:r>
        <w:r w:rsidR="00D22F82">
          <w:rPr>
            <w:noProof/>
            <w:webHidden/>
          </w:rPr>
          <w:tab/>
        </w:r>
        <w:r w:rsidR="00D22F82">
          <w:rPr>
            <w:noProof/>
            <w:webHidden/>
          </w:rPr>
          <w:fldChar w:fldCharType="begin"/>
        </w:r>
        <w:r w:rsidR="00D22F82">
          <w:rPr>
            <w:noProof/>
            <w:webHidden/>
          </w:rPr>
          <w:instrText xml:space="preserve"> PAGEREF _Toc333991306 \h </w:instrText>
        </w:r>
        <w:r w:rsidR="00D22F82">
          <w:rPr>
            <w:noProof/>
            <w:webHidden/>
          </w:rPr>
        </w:r>
        <w:r w:rsidR="00D22F82">
          <w:rPr>
            <w:noProof/>
            <w:webHidden/>
          </w:rPr>
          <w:fldChar w:fldCharType="separate"/>
        </w:r>
        <w:r w:rsidR="006F4F06">
          <w:rPr>
            <w:noProof/>
            <w:webHidden/>
          </w:rPr>
          <w:t>22</w:t>
        </w:r>
        <w:r w:rsidR="00D22F82">
          <w:rPr>
            <w:noProof/>
            <w:webHidden/>
          </w:rPr>
          <w:fldChar w:fldCharType="end"/>
        </w:r>
      </w:hyperlink>
    </w:p>
    <w:p w:rsidR="00D22F82" w:rsidRDefault="00D17BF9">
      <w:pPr>
        <w:pStyle w:val="TOC1"/>
        <w:tabs>
          <w:tab w:val="right" w:leader="dot" w:pos="9350"/>
        </w:tabs>
        <w:rPr>
          <w:rFonts w:asciiTheme="minorHAnsi" w:eastAsiaTheme="minorEastAsia" w:hAnsiTheme="minorHAnsi" w:cstheme="minorBidi"/>
          <w:noProof/>
          <w:sz w:val="22"/>
          <w:szCs w:val="22"/>
        </w:rPr>
      </w:pPr>
      <w:hyperlink w:anchor="_Toc333991307" w:history="1">
        <w:r w:rsidR="00D22F82" w:rsidRPr="00DD7C81">
          <w:rPr>
            <w:rStyle w:val="Hyperlink"/>
            <w:noProof/>
          </w:rPr>
          <w:t>III. Conclusion</w:t>
        </w:r>
        <w:r w:rsidR="00D22F82">
          <w:rPr>
            <w:noProof/>
            <w:webHidden/>
          </w:rPr>
          <w:tab/>
        </w:r>
        <w:r w:rsidR="00D22F82">
          <w:rPr>
            <w:noProof/>
            <w:webHidden/>
          </w:rPr>
          <w:fldChar w:fldCharType="begin"/>
        </w:r>
        <w:r w:rsidR="00D22F82">
          <w:rPr>
            <w:noProof/>
            <w:webHidden/>
          </w:rPr>
          <w:instrText xml:space="preserve"> PAGEREF _Toc333991307 \h </w:instrText>
        </w:r>
        <w:r w:rsidR="00D22F82">
          <w:rPr>
            <w:noProof/>
            <w:webHidden/>
          </w:rPr>
        </w:r>
        <w:r w:rsidR="00D22F82">
          <w:rPr>
            <w:noProof/>
            <w:webHidden/>
          </w:rPr>
          <w:fldChar w:fldCharType="separate"/>
        </w:r>
        <w:r w:rsidR="006F4F06">
          <w:rPr>
            <w:noProof/>
            <w:webHidden/>
          </w:rPr>
          <w:t>23</w:t>
        </w:r>
        <w:r w:rsidR="00D22F82">
          <w:rPr>
            <w:noProof/>
            <w:webHidden/>
          </w:rPr>
          <w:fldChar w:fldCharType="end"/>
        </w:r>
      </w:hyperlink>
    </w:p>
    <w:p w:rsidR="002F6D67" w:rsidRPr="002F6D67" w:rsidRDefault="00B30B0B" w:rsidP="002F6D67">
      <w:pPr>
        <w:spacing w:line="240" w:lineRule="auto"/>
        <w:contextualSpacing/>
        <w:jc w:val="left"/>
        <w:rPr>
          <w:sz w:val="26"/>
          <w:szCs w:val="26"/>
        </w:rPr>
        <w:sectPr w:rsidR="002F6D67" w:rsidRPr="002F6D67" w:rsidSect="002D34B2">
          <w:pgSz w:w="12240" w:h="15840" w:code="1"/>
          <w:pgMar w:top="1440" w:right="1440" w:bottom="1440" w:left="1440" w:header="720" w:footer="720" w:gutter="0"/>
          <w:cols w:space="720"/>
          <w:titlePg/>
          <w:docGrid w:linePitch="360"/>
        </w:sectPr>
      </w:pPr>
      <w:r>
        <w:rPr>
          <w:sz w:val="26"/>
          <w:szCs w:val="26"/>
        </w:rPr>
        <w:fldChar w:fldCharType="end"/>
      </w:r>
    </w:p>
    <w:p w:rsidR="00BC5147" w:rsidRPr="002F6D67" w:rsidRDefault="00BC5147" w:rsidP="00006531">
      <w:pPr>
        <w:spacing w:line="240" w:lineRule="auto"/>
        <w:contextualSpacing/>
        <w:jc w:val="left"/>
        <w:rPr>
          <w:sz w:val="26"/>
          <w:szCs w:val="26"/>
        </w:rPr>
      </w:pPr>
      <w:r w:rsidRPr="002F6D67">
        <w:rPr>
          <w:b/>
          <w:sz w:val="26"/>
          <w:szCs w:val="26"/>
        </w:rPr>
        <w:lastRenderedPageBreak/>
        <w:t>BY THE COMMISSION:</w:t>
      </w:r>
    </w:p>
    <w:p w:rsidR="00BC5147" w:rsidRPr="002F6D67" w:rsidRDefault="00BC5147" w:rsidP="00006531">
      <w:pPr>
        <w:spacing w:line="240" w:lineRule="auto"/>
        <w:contextualSpacing/>
        <w:jc w:val="left"/>
        <w:rPr>
          <w:sz w:val="26"/>
          <w:szCs w:val="26"/>
        </w:rPr>
      </w:pPr>
    </w:p>
    <w:p w:rsidR="00406B81" w:rsidRPr="00406B81" w:rsidRDefault="00BC5147" w:rsidP="00006531">
      <w:pPr>
        <w:jc w:val="left"/>
        <w:rPr>
          <w:color w:val="FF0000"/>
          <w:sz w:val="26"/>
          <w:szCs w:val="26"/>
        </w:rPr>
      </w:pPr>
      <w:r>
        <w:tab/>
      </w:r>
      <w:r>
        <w:tab/>
      </w:r>
      <w:r w:rsidR="00406B81" w:rsidRPr="00F048FE">
        <w:rPr>
          <w:sz w:val="26"/>
          <w:szCs w:val="26"/>
        </w:rPr>
        <w:t>Before the Pennsylvania Public Utility Commission (Commission) for consideration and disposition</w:t>
      </w:r>
      <w:r w:rsidR="001E3344">
        <w:rPr>
          <w:sz w:val="26"/>
          <w:szCs w:val="26"/>
        </w:rPr>
        <w:t xml:space="preserve"> is the Recommended Decision of Administrative Law Judge (ALJ) Susan D. Colwell, issued on June 20, 2012.  Also before us</w:t>
      </w:r>
      <w:r w:rsidR="00406B81" w:rsidRPr="00F048FE">
        <w:rPr>
          <w:sz w:val="26"/>
          <w:szCs w:val="26"/>
        </w:rPr>
        <w:t xml:space="preserve"> are the Exception</w:t>
      </w:r>
      <w:r w:rsidR="00406B81" w:rsidRPr="00B94607">
        <w:rPr>
          <w:sz w:val="26"/>
          <w:szCs w:val="26"/>
        </w:rPr>
        <w:t xml:space="preserve">s of </w:t>
      </w:r>
      <w:r w:rsidR="00B94607" w:rsidRPr="00B94607">
        <w:rPr>
          <w:bCs/>
          <w:sz w:val="26"/>
          <w:szCs w:val="26"/>
        </w:rPr>
        <w:t>PPL Electric Utilities Corporation (</w:t>
      </w:r>
      <w:r w:rsidR="00B94607">
        <w:rPr>
          <w:bCs/>
          <w:sz w:val="26"/>
          <w:szCs w:val="26"/>
        </w:rPr>
        <w:t xml:space="preserve">Company or </w:t>
      </w:r>
      <w:r w:rsidR="00B94607" w:rsidRPr="00B94607">
        <w:rPr>
          <w:bCs/>
          <w:sz w:val="26"/>
          <w:szCs w:val="26"/>
        </w:rPr>
        <w:t>PPL), the Bureau of Investigation and Enforcement (I&amp;E) and the Office of Consumer Advocate (OCA)</w:t>
      </w:r>
      <w:r w:rsidR="00372B1E">
        <w:rPr>
          <w:bCs/>
          <w:sz w:val="26"/>
          <w:szCs w:val="26"/>
        </w:rPr>
        <w:t xml:space="preserve"> fil</w:t>
      </w:r>
      <w:r w:rsidR="001E3344">
        <w:rPr>
          <w:bCs/>
          <w:sz w:val="26"/>
          <w:szCs w:val="26"/>
        </w:rPr>
        <w:t>ed on July 10, 2012.</w:t>
      </w:r>
      <w:r w:rsidR="00406B81" w:rsidRPr="00B94607">
        <w:rPr>
          <w:sz w:val="26"/>
          <w:szCs w:val="26"/>
        </w:rPr>
        <w:t xml:space="preserve">  </w:t>
      </w:r>
      <w:r w:rsidR="00406B81" w:rsidRPr="005F72F2">
        <w:rPr>
          <w:sz w:val="26"/>
          <w:szCs w:val="26"/>
        </w:rPr>
        <w:t xml:space="preserve">Replies to Exceptions were filed by </w:t>
      </w:r>
      <w:r w:rsidR="005F72F2">
        <w:rPr>
          <w:bCs/>
          <w:sz w:val="26"/>
          <w:szCs w:val="26"/>
        </w:rPr>
        <w:t>the OCA and PPL</w:t>
      </w:r>
      <w:r w:rsidR="00406B81" w:rsidRPr="005F72F2">
        <w:rPr>
          <w:sz w:val="26"/>
          <w:szCs w:val="26"/>
        </w:rPr>
        <w:t xml:space="preserve"> on Ju</w:t>
      </w:r>
      <w:r w:rsidR="00E81FB1" w:rsidRPr="005F72F2">
        <w:rPr>
          <w:sz w:val="26"/>
          <w:szCs w:val="26"/>
        </w:rPr>
        <w:t>ly 20</w:t>
      </w:r>
      <w:r w:rsidR="00406B81" w:rsidRPr="005F72F2">
        <w:rPr>
          <w:sz w:val="26"/>
          <w:szCs w:val="26"/>
        </w:rPr>
        <w:t>, 2012.</w:t>
      </w:r>
      <w:r w:rsidR="00406B81" w:rsidRPr="00406B81">
        <w:rPr>
          <w:color w:val="FF0000"/>
          <w:sz w:val="26"/>
          <w:szCs w:val="26"/>
        </w:rPr>
        <w:t xml:space="preserve"> </w:t>
      </w:r>
    </w:p>
    <w:p w:rsidR="002654B6" w:rsidRDefault="002654B6" w:rsidP="002F6D67">
      <w:pPr>
        <w:contextualSpacing/>
      </w:pPr>
    </w:p>
    <w:p w:rsidR="002654B6" w:rsidRPr="002F6D67" w:rsidRDefault="007507C0" w:rsidP="002F6D67">
      <w:pPr>
        <w:pStyle w:val="Heading1"/>
      </w:pPr>
      <w:bookmarkStart w:id="0" w:name="_Toc333991287"/>
      <w:r w:rsidRPr="002F6D67">
        <w:t xml:space="preserve">I.  </w:t>
      </w:r>
      <w:r w:rsidR="003804C3" w:rsidRPr="002F6D67">
        <w:t>History of the Proceeding</w:t>
      </w:r>
      <w:bookmarkEnd w:id="0"/>
    </w:p>
    <w:p w:rsidR="002654B6" w:rsidRPr="003804C3" w:rsidRDefault="002654B6" w:rsidP="002F6D67">
      <w:pPr>
        <w:keepNext/>
        <w:contextualSpacing/>
        <w:jc w:val="left"/>
        <w:rPr>
          <w:sz w:val="26"/>
          <w:szCs w:val="26"/>
        </w:rPr>
      </w:pPr>
    </w:p>
    <w:p w:rsidR="002654B6" w:rsidRPr="003804C3" w:rsidRDefault="002654B6" w:rsidP="00006531">
      <w:pPr>
        <w:contextualSpacing/>
        <w:jc w:val="left"/>
        <w:rPr>
          <w:sz w:val="26"/>
          <w:szCs w:val="26"/>
        </w:rPr>
      </w:pPr>
      <w:r w:rsidRPr="003804C3">
        <w:rPr>
          <w:sz w:val="26"/>
          <w:szCs w:val="26"/>
        </w:rPr>
        <w:tab/>
      </w:r>
      <w:r w:rsidRPr="003804C3">
        <w:rPr>
          <w:sz w:val="26"/>
          <w:szCs w:val="26"/>
        </w:rPr>
        <w:tab/>
        <w:t>On September 26, 2011, PPL filed Supplement No. 110 to Tariff</w:t>
      </w:r>
      <w:r w:rsidR="003B455B">
        <w:rPr>
          <w:sz w:val="26"/>
          <w:szCs w:val="26"/>
        </w:rPr>
        <w:t>-</w:t>
      </w:r>
      <w:r w:rsidRPr="003804C3">
        <w:rPr>
          <w:sz w:val="26"/>
          <w:szCs w:val="26"/>
        </w:rPr>
        <w:t xml:space="preserve">Electric Pa. P.U.C. No. 201 </w:t>
      </w:r>
      <w:r w:rsidR="00202978">
        <w:rPr>
          <w:sz w:val="26"/>
          <w:szCs w:val="26"/>
        </w:rPr>
        <w:t xml:space="preserve">(Filing) </w:t>
      </w:r>
      <w:r w:rsidRPr="003804C3">
        <w:rPr>
          <w:sz w:val="26"/>
          <w:szCs w:val="26"/>
        </w:rPr>
        <w:t>containing proposed changes in rates, rules, and regulations to implement a new Tim</w:t>
      </w:r>
      <w:r w:rsidR="00CB6E63">
        <w:rPr>
          <w:sz w:val="26"/>
          <w:szCs w:val="26"/>
        </w:rPr>
        <w:t xml:space="preserve">e-of-Use (TOU) program for its </w:t>
      </w:r>
      <w:r w:rsidR="00513FEA">
        <w:rPr>
          <w:sz w:val="26"/>
          <w:szCs w:val="26"/>
        </w:rPr>
        <w:t>Residential and Small</w:t>
      </w:r>
      <w:r w:rsidRPr="003804C3">
        <w:rPr>
          <w:sz w:val="26"/>
          <w:szCs w:val="26"/>
        </w:rPr>
        <w:t xml:space="preserve"> </w:t>
      </w:r>
      <w:r w:rsidR="00CB6E63">
        <w:rPr>
          <w:sz w:val="26"/>
          <w:szCs w:val="26"/>
        </w:rPr>
        <w:t>C</w:t>
      </w:r>
      <w:r w:rsidRPr="003804C3">
        <w:rPr>
          <w:sz w:val="26"/>
          <w:szCs w:val="26"/>
        </w:rPr>
        <w:t xml:space="preserve">ommercial and </w:t>
      </w:r>
      <w:r w:rsidR="00F044CD">
        <w:rPr>
          <w:sz w:val="26"/>
          <w:szCs w:val="26"/>
        </w:rPr>
        <w:t>I</w:t>
      </w:r>
      <w:r w:rsidRPr="003804C3">
        <w:rPr>
          <w:sz w:val="26"/>
          <w:szCs w:val="26"/>
        </w:rPr>
        <w:t xml:space="preserve">ndustrial </w:t>
      </w:r>
      <w:r w:rsidR="00202978">
        <w:rPr>
          <w:sz w:val="26"/>
          <w:szCs w:val="26"/>
        </w:rPr>
        <w:t xml:space="preserve">(C&amp;I) </w:t>
      </w:r>
      <w:r w:rsidRPr="003804C3">
        <w:rPr>
          <w:sz w:val="26"/>
          <w:szCs w:val="26"/>
        </w:rPr>
        <w:t>customer classes.</w:t>
      </w:r>
      <w:r w:rsidR="00432190">
        <w:rPr>
          <w:sz w:val="26"/>
          <w:szCs w:val="26"/>
        </w:rPr>
        <w:t xml:space="preserve">  R.D. at 1.</w:t>
      </w:r>
      <w:r w:rsidR="00CC6CD3">
        <w:rPr>
          <w:sz w:val="26"/>
          <w:szCs w:val="26"/>
        </w:rPr>
        <w:t xml:space="preserve">  On December 6, 2011, PPL filed Supplement No. 112 to Tariff-Electric Pa. P.U.C. No. 201.  Supplement No. 112 implements the Commission</w:t>
      </w:r>
      <w:r w:rsidR="008D3260">
        <w:rPr>
          <w:sz w:val="26"/>
          <w:szCs w:val="26"/>
        </w:rPr>
        <w:t>’</w:t>
      </w:r>
      <w:r w:rsidR="00CC6CD3">
        <w:rPr>
          <w:sz w:val="26"/>
          <w:szCs w:val="26"/>
        </w:rPr>
        <w:t>s November 10, 2011 Order suspending the proposed rates until September 1, 2012.</w:t>
      </w:r>
    </w:p>
    <w:p w:rsidR="002654B6" w:rsidRPr="003804C3" w:rsidRDefault="002654B6" w:rsidP="00006531">
      <w:pPr>
        <w:contextualSpacing/>
        <w:jc w:val="left"/>
        <w:rPr>
          <w:sz w:val="26"/>
          <w:szCs w:val="26"/>
        </w:rPr>
      </w:pPr>
    </w:p>
    <w:p w:rsidR="002654B6" w:rsidRPr="003804C3" w:rsidRDefault="002654B6" w:rsidP="00006531">
      <w:pPr>
        <w:contextualSpacing/>
        <w:jc w:val="left"/>
        <w:rPr>
          <w:sz w:val="26"/>
          <w:szCs w:val="26"/>
        </w:rPr>
      </w:pPr>
      <w:r w:rsidRPr="003804C3">
        <w:rPr>
          <w:sz w:val="26"/>
          <w:szCs w:val="26"/>
        </w:rPr>
        <w:tab/>
      </w:r>
      <w:r w:rsidRPr="003804C3">
        <w:rPr>
          <w:sz w:val="26"/>
          <w:szCs w:val="26"/>
        </w:rPr>
        <w:tab/>
        <w:t xml:space="preserve">The </w:t>
      </w:r>
      <w:r w:rsidR="00BE6A8C">
        <w:rPr>
          <w:sz w:val="26"/>
          <w:szCs w:val="26"/>
        </w:rPr>
        <w:t>F</w:t>
      </w:r>
      <w:r w:rsidRPr="003804C3">
        <w:rPr>
          <w:sz w:val="26"/>
          <w:szCs w:val="26"/>
        </w:rPr>
        <w:t xml:space="preserve">iling was in response to the Commission Order entered </w:t>
      </w:r>
      <w:r w:rsidR="003B455B">
        <w:rPr>
          <w:sz w:val="26"/>
          <w:szCs w:val="26"/>
        </w:rPr>
        <w:t xml:space="preserve">on </w:t>
      </w:r>
      <w:r w:rsidRPr="003804C3">
        <w:rPr>
          <w:sz w:val="26"/>
          <w:szCs w:val="26"/>
        </w:rPr>
        <w:t>August 25, 2011</w:t>
      </w:r>
      <w:r w:rsidR="00BE6A8C">
        <w:rPr>
          <w:sz w:val="26"/>
          <w:szCs w:val="26"/>
        </w:rPr>
        <w:t>,</w:t>
      </w:r>
      <w:r w:rsidRPr="003804C3">
        <w:rPr>
          <w:sz w:val="26"/>
          <w:szCs w:val="26"/>
        </w:rPr>
        <w:t xml:space="preserve"> at Docket No. M-2011-2258733, which directed the Company to sub</w:t>
      </w:r>
      <w:r w:rsidR="00BE6A8C">
        <w:rPr>
          <w:sz w:val="26"/>
          <w:szCs w:val="26"/>
        </w:rPr>
        <w:t>mit a revised TOU plan within thirty</w:t>
      </w:r>
      <w:r w:rsidRPr="003804C3">
        <w:rPr>
          <w:sz w:val="26"/>
          <w:szCs w:val="26"/>
        </w:rPr>
        <w:t xml:space="preserve"> days, and directed that the Company</w:t>
      </w:r>
      <w:r w:rsidR="008D3260">
        <w:rPr>
          <w:sz w:val="26"/>
          <w:szCs w:val="26"/>
        </w:rPr>
        <w:t>’</w:t>
      </w:r>
      <w:r w:rsidRPr="003804C3">
        <w:rPr>
          <w:sz w:val="26"/>
          <w:szCs w:val="26"/>
        </w:rPr>
        <w:t>s currently effective TOU rates remain in effec</w:t>
      </w:r>
      <w:r w:rsidR="00432190">
        <w:rPr>
          <w:sz w:val="26"/>
          <w:szCs w:val="26"/>
        </w:rPr>
        <w:t>t for up to a six-month period.  R.D. at 1-2.</w:t>
      </w:r>
    </w:p>
    <w:p w:rsidR="002654B6" w:rsidRPr="003804C3" w:rsidRDefault="002654B6" w:rsidP="00006531">
      <w:pPr>
        <w:contextualSpacing/>
        <w:jc w:val="left"/>
        <w:rPr>
          <w:sz w:val="26"/>
          <w:szCs w:val="26"/>
        </w:rPr>
      </w:pPr>
    </w:p>
    <w:p w:rsidR="002654B6" w:rsidRPr="003804C3" w:rsidRDefault="002654B6" w:rsidP="00006531">
      <w:pPr>
        <w:contextualSpacing/>
        <w:jc w:val="left"/>
        <w:rPr>
          <w:sz w:val="26"/>
          <w:szCs w:val="26"/>
        </w:rPr>
      </w:pPr>
      <w:r w:rsidRPr="003804C3">
        <w:rPr>
          <w:sz w:val="26"/>
          <w:szCs w:val="26"/>
        </w:rPr>
        <w:tab/>
      </w:r>
      <w:r w:rsidRPr="003804C3">
        <w:rPr>
          <w:sz w:val="26"/>
          <w:szCs w:val="26"/>
        </w:rPr>
        <w:tab/>
        <w:t xml:space="preserve">On October 18, 2011, the </w:t>
      </w:r>
      <w:r w:rsidR="00B94607">
        <w:rPr>
          <w:sz w:val="26"/>
          <w:szCs w:val="26"/>
        </w:rPr>
        <w:t>OCA</w:t>
      </w:r>
      <w:r w:rsidRPr="003804C3">
        <w:rPr>
          <w:sz w:val="26"/>
          <w:szCs w:val="26"/>
        </w:rPr>
        <w:t xml:space="preserve"> filed a </w:t>
      </w:r>
      <w:r w:rsidR="008D3260">
        <w:rPr>
          <w:sz w:val="26"/>
          <w:szCs w:val="26"/>
        </w:rPr>
        <w:t>F</w:t>
      </w:r>
      <w:r w:rsidRPr="003804C3">
        <w:rPr>
          <w:sz w:val="26"/>
          <w:szCs w:val="26"/>
        </w:rPr>
        <w:t xml:space="preserve">ormal Complaint at </w:t>
      </w:r>
      <w:r w:rsidR="00CC6CD3">
        <w:rPr>
          <w:sz w:val="26"/>
          <w:szCs w:val="26"/>
        </w:rPr>
        <w:t>D</w:t>
      </w:r>
      <w:r w:rsidRPr="003804C3">
        <w:rPr>
          <w:sz w:val="26"/>
          <w:szCs w:val="26"/>
        </w:rPr>
        <w:t xml:space="preserve">ocket </w:t>
      </w:r>
      <w:r w:rsidR="00CC6CD3">
        <w:rPr>
          <w:sz w:val="26"/>
          <w:szCs w:val="26"/>
        </w:rPr>
        <w:t>N</w:t>
      </w:r>
      <w:r w:rsidRPr="003804C3">
        <w:rPr>
          <w:sz w:val="26"/>
          <w:szCs w:val="26"/>
        </w:rPr>
        <w:t>o. C</w:t>
      </w:r>
      <w:r w:rsidR="008D3260">
        <w:rPr>
          <w:sz w:val="26"/>
          <w:szCs w:val="26"/>
        </w:rPr>
        <w:noBreakHyphen/>
      </w:r>
      <w:r w:rsidRPr="003804C3">
        <w:rPr>
          <w:sz w:val="26"/>
          <w:szCs w:val="26"/>
        </w:rPr>
        <w:t>2011</w:t>
      </w:r>
      <w:r w:rsidR="008D3260">
        <w:rPr>
          <w:sz w:val="26"/>
          <w:szCs w:val="26"/>
        </w:rPr>
        <w:noBreakHyphen/>
      </w:r>
      <w:r w:rsidRPr="003804C3">
        <w:rPr>
          <w:sz w:val="26"/>
          <w:szCs w:val="26"/>
        </w:rPr>
        <w:t xml:space="preserve">2267808, and the Office of Small Business Advocate (OSBA) filed a </w:t>
      </w:r>
      <w:r w:rsidR="008D3260">
        <w:rPr>
          <w:sz w:val="26"/>
          <w:szCs w:val="26"/>
        </w:rPr>
        <w:t>F</w:t>
      </w:r>
      <w:r w:rsidRPr="003804C3">
        <w:rPr>
          <w:sz w:val="26"/>
          <w:szCs w:val="26"/>
        </w:rPr>
        <w:t xml:space="preserve">ormal Complaint at </w:t>
      </w:r>
      <w:r w:rsidR="001A19C5" w:rsidRPr="003804C3">
        <w:rPr>
          <w:sz w:val="26"/>
          <w:szCs w:val="26"/>
        </w:rPr>
        <w:t>Docket N</w:t>
      </w:r>
      <w:r w:rsidRPr="003804C3">
        <w:rPr>
          <w:sz w:val="26"/>
          <w:szCs w:val="26"/>
        </w:rPr>
        <w:t>o. C-2011-2268983.  PPL filed its Answer</w:t>
      </w:r>
      <w:r w:rsidR="00493EE6">
        <w:rPr>
          <w:sz w:val="26"/>
          <w:szCs w:val="26"/>
        </w:rPr>
        <w:t>s</w:t>
      </w:r>
      <w:r w:rsidRPr="003804C3">
        <w:rPr>
          <w:sz w:val="26"/>
          <w:szCs w:val="26"/>
        </w:rPr>
        <w:t xml:space="preserve"> to the OCA</w:t>
      </w:r>
      <w:r w:rsidR="008D3260">
        <w:rPr>
          <w:sz w:val="26"/>
          <w:szCs w:val="26"/>
        </w:rPr>
        <w:t>’</w:t>
      </w:r>
      <w:r w:rsidR="00493EE6">
        <w:rPr>
          <w:sz w:val="26"/>
          <w:szCs w:val="26"/>
        </w:rPr>
        <w:t>s</w:t>
      </w:r>
      <w:r w:rsidRPr="003804C3">
        <w:rPr>
          <w:sz w:val="26"/>
          <w:szCs w:val="26"/>
        </w:rPr>
        <w:t xml:space="preserve"> Complaint on </w:t>
      </w:r>
      <w:r w:rsidR="00493EE6">
        <w:rPr>
          <w:sz w:val="26"/>
          <w:szCs w:val="26"/>
        </w:rPr>
        <w:t>October 31, 2011, and</w:t>
      </w:r>
      <w:r w:rsidRPr="003804C3">
        <w:rPr>
          <w:sz w:val="26"/>
          <w:szCs w:val="26"/>
        </w:rPr>
        <w:t xml:space="preserve"> to the OSBA</w:t>
      </w:r>
      <w:r w:rsidR="008D3260">
        <w:rPr>
          <w:sz w:val="26"/>
          <w:szCs w:val="26"/>
        </w:rPr>
        <w:t>’</w:t>
      </w:r>
      <w:r w:rsidR="00493EE6">
        <w:rPr>
          <w:sz w:val="26"/>
          <w:szCs w:val="26"/>
        </w:rPr>
        <w:t>s</w:t>
      </w:r>
      <w:r w:rsidRPr="003804C3">
        <w:rPr>
          <w:sz w:val="26"/>
          <w:szCs w:val="26"/>
        </w:rPr>
        <w:t xml:space="preserve"> Complaint on November 7, 2011.</w:t>
      </w:r>
      <w:r w:rsidR="00432190">
        <w:rPr>
          <w:sz w:val="26"/>
          <w:szCs w:val="26"/>
        </w:rPr>
        <w:t xml:space="preserve">  R.D. at 2.</w:t>
      </w:r>
      <w:r w:rsidRPr="003804C3">
        <w:rPr>
          <w:sz w:val="26"/>
          <w:szCs w:val="26"/>
        </w:rPr>
        <w:t xml:space="preserve">  </w:t>
      </w:r>
    </w:p>
    <w:p w:rsidR="002654B6" w:rsidRPr="00432190" w:rsidRDefault="002654B6" w:rsidP="00006531">
      <w:pPr>
        <w:contextualSpacing/>
        <w:jc w:val="left"/>
        <w:rPr>
          <w:i/>
          <w:sz w:val="26"/>
          <w:szCs w:val="26"/>
        </w:rPr>
      </w:pPr>
      <w:r w:rsidRPr="003804C3">
        <w:rPr>
          <w:sz w:val="26"/>
          <w:szCs w:val="26"/>
        </w:rPr>
        <w:lastRenderedPageBreak/>
        <w:tab/>
      </w:r>
      <w:r w:rsidRPr="003804C3">
        <w:rPr>
          <w:sz w:val="26"/>
          <w:szCs w:val="26"/>
        </w:rPr>
        <w:tab/>
        <w:t>Petitions to Intervene were filed on October 5, 2011, by Dominion Retail, Inc. d/b/a Dominion Energy Solutions</w:t>
      </w:r>
      <w:r w:rsidR="0087214B" w:rsidRPr="003804C3">
        <w:rPr>
          <w:sz w:val="26"/>
          <w:szCs w:val="26"/>
        </w:rPr>
        <w:t xml:space="preserve"> (DR)</w:t>
      </w:r>
      <w:r w:rsidR="00A15D7B">
        <w:rPr>
          <w:sz w:val="26"/>
          <w:szCs w:val="26"/>
        </w:rPr>
        <w:t>;</w:t>
      </w:r>
      <w:r w:rsidRPr="003804C3">
        <w:rPr>
          <w:sz w:val="26"/>
          <w:szCs w:val="26"/>
        </w:rPr>
        <w:t xml:space="preserve"> on October 21, 2011</w:t>
      </w:r>
      <w:r w:rsidR="00A15D7B">
        <w:rPr>
          <w:sz w:val="26"/>
          <w:szCs w:val="26"/>
        </w:rPr>
        <w:t>,</w:t>
      </w:r>
      <w:r w:rsidRPr="003804C3">
        <w:rPr>
          <w:sz w:val="26"/>
          <w:szCs w:val="26"/>
        </w:rPr>
        <w:t xml:space="preserve"> by Eric Joseph Epstein (Mr. Epstein)</w:t>
      </w:r>
      <w:r w:rsidR="00A15D7B">
        <w:rPr>
          <w:sz w:val="26"/>
          <w:szCs w:val="26"/>
        </w:rPr>
        <w:t>;</w:t>
      </w:r>
      <w:r w:rsidRPr="003804C3">
        <w:rPr>
          <w:sz w:val="26"/>
          <w:szCs w:val="26"/>
        </w:rPr>
        <w:t xml:space="preserve"> and on October 27, 2011</w:t>
      </w:r>
      <w:r w:rsidR="00A15D7B">
        <w:rPr>
          <w:sz w:val="26"/>
          <w:szCs w:val="26"/>
        </w:rPr>
        <w:t>,</w:t>
      </w:r>
      <w:r w:rsidRPr="003804C3">
        <w:rPr>
          <w:sz w:val="26"/>
          <w:szCs w:val="26"/>
        </w:rPr>
        <w:t xml:space="preserve"> by the Sustainable Energy Fund of Central Eastern Pennsylvania (SEF).  </w:t>
      </w:r>
      <w:r w:rsidR="00880915">
        <w:rPr>
          <w:sz w:val="26"/>
          <w:szCs w:val="26"/>
        </w:rPr>
        <w:t>I&amp;E</w:t>
      </w:r>
      <w:r w:rsidRPr="003804C3">
        <w:rPr>
          <w:sz w:val="26"/>
          <w:szCs w:val="26"/>
        </w:rPr>
        <w:t xml:space="preserve"> filed its Notice of Appearance on October 12, 2011.  </w:t>
      </w:r>
      <w:r w:rsidR="00561C1E">
        <w:rPr>
          <w:sz w:val="26"/>
          <w:szCs w:val="26"/>
        </w:rPr>
        <w:t>Each Petition to Intervene was granted without opposition.</w:t>
      </w:r>
      <w:r w:rsidR="00432190">
        <w:rPr>
          <w:sz w:val="26"/>
          <w:szCs w:val="26"/>
        </w:rPr>
        <w:t xml:space="preserve">  </w:t>
      </w:r>
      <w:r w:rsidR="00432190">
        <w:rPr>
          <w:i/>
          <w:sz w:val="26"/>
          <w:szCs w:val="26"/>
        </w:rPr>
        <w:t>Id.</w:t>
      </w:r>
    </w:p>
    <w:p w:rsidR="002654B6" w:rsidRPr="003804C3" w:rsidRDefault="002654B6" w:rsidP="00006531">
      <w:pPr>
        <w:contextualSpacing/>
        <w:jc w:val="left"/>
        <w:rPr>
          <w:sz w:val="26"/>
          <w:szCs w:val="26"/>
        </w:rPr>
      </w:pPr>
    </w:p>
    <w:p w:rsidR="007D01CE" w:rsidRPr="00880915" w:rsidRDefault="002654B6" w:rsidP="00006531">
      <w:pPr>
        <w:contextualSpacing/>
        <w:jc w:val="left"/>
        <w:rPr>
          <w:sz w:val="26"/>
          <w:szCs w:val="26"/>
        </w:rPr>
      </w:pPr>
      <w:r w:rsidRPr="003804C3">
        <w:rPr>
          <w:sz w:val="26"/>
          <w:szCs w:val="26"/>
        </w:rPr>
        <w:tab/>
      </w:r>
      <w:r w:rsidRPr="003804C3">
        <w:rPr>
          <w:sz w:val="26"/>
          <w:szCs w:val="26"/>
        </w:rPr>
        <w:tab/>
        <w:t xml:space="preserve">By Notice issued </w:t>
      </w:r>
      <w:r w:rsidR="008D3260">
        <w:rPr>
          <w:sz w:val="26"/>
          <w:szCs w:val="26"/>
        </w:rPr>
        <w:t xml:space="preserve">on </w:t>
      </w:r>
      <w:r w:rsidRPr="003804C3">
        <w:rPr>
          <w:sz w:val="26"/>
          <w:szCs w:val="26"/>
        </w:rPr>
        <w:t>November 28, 2011, a prehearing conference was scheduled for December 9, 2011.  The evidentiary hearing was held on February 22, 2012, and testimony was accepted into the record</w:t>
      </w:r>
      <w:r w:rsidR="00B87A67">
        <w:rPr>
          <w:sz w:val="26"/>
          <w:szCs w:val="26"/>
        </w:rPr>
        <w:t>.</w:t>
      </w:r>
      <w:r w:rsidR="00880915">
        <w:rPr>
          <w:sz w:val="26"/>
          <w:szCs w:val="26"/>
        </w:rPr>
        <w:t xml:space="preserve">  </w:t>
      </w:r>
      <w:r w:rsidR="00880915">
        <w:rPr>
          <w:i/>
          <w:sz w:val="26"/>
          <w:szCs w:val="26"/>
        </w:rPr>
        <w:t>Id.</w:t>
      </w:r>
    </w:p>
    <w:p w:rsidR="007D01CE" w:rsidRPr="003804C3" w:rsidRDefault="007D01CE" w:rsidP="00006531">
      <w:pPr>
        <w:contextualSpacing/>
        <w:jc w:val="left"/>
        <w:rPr>
          <w:sz w:val="26"/>
          <w:szCs w:val="26"/>
        </w:rPr>
      </w:pPr>
    </w:p>
    <w:p w:rsidR="003D0B48" w:rsidRDefault="007D01CE" w:rsidP="00006531">
      <w:pPr>
        <w:contextualSpacing/>
        <w:jc w:val="left"/>
        <w:rPr>
          <w:sz w:val="26"/>
          <w:szCs w:val="26"/>
        </w:rPr>
      </w:pPr>
      <w:r w:rsidRPr="003804C3">
        <w:rPr>
          <w:sz w:val="26"/>
          <w:szCs w:val="26"/>
        </w:rPr>
        <w:tab/>
      </w:r>
      <w:r w:rsidRPr="003804C3">
        <w:rPr>
          <w:sz w:val="26"/>
          <w:szCs w:val="26"/>
        </w:rPr>
        <w:tab/>
      </w:r>
      <w:r w:rsidR="005F72F2">
        <w:rPr>
          <w:sz w:val="26"/>
          <w:szCs w:val="26"/>
        </w:rPr>
        <w:t>A</w:t>
      </w:r>
      <w:r w:rsidRPr="003804C3">
        <w:rPr>
          <w:sz w:val="26"/>
          <w:szCs w:val="26"/>
        </w:rPr>
        <w:t xml:space="preserve"> transcript of</w:t>
      </w:r>
      <w:r w:rsidR="004939E6" w:rsidRPr="003804C3">
        <w:rPr>
          <w:sz w:val="26"/>
          <w:szCs w:val="26"/>
        </w:rPr>
        <w:t xml:space="preserve"> 150</w:t>
      </w:r>
      <w:r w:rsidRPr="003804C3">
        <w:rPr>
          <w:sz w:val="26"/>
          <w:szCs w:val="26"/>
        </w:rPr>
        <w:t xml:space="preserve"> pages was </w:t>
      </w:r>
      <w:r w:rsidR="005F72F2">
        <w:rPr>
          <w:sz w:val="26"/>
          <w:szCs w:val="26"/>
        </w:rPr>
        <w:t>created, and</w:t>
      </w:r>
      <w:r w:rsidRPr="003804C3">
        <w:rPr>
          <w:sz w:val="26"/>
          <w:szCs w:val="26"/>
        </w:rPr>
        <w:t xml:space="preserve"> was filed on </w:t>
      </w:r>
      <w:r w:rsidR="004939E6" w:rsidRPr="003804C3">
        <w:rPr>
          <w:sz w:val="26"/>
          <w:szCs w:val="26"/>
        </w:rPr>
        <w:t>February 27, 2012</w:t>
      </w:r>
      <w:r w:rsidRPr="003804C3">
        <w:rPr>
          <w:sz w:val="26"/>
          <w:szCs w:val="26"/>
        </w:rPr>
        <w:t xml:space="preserve">.  The </w:t>
      </w:r>
      <w:r w:rsidR="00932ACF">
        <w:rPr>
          <w:sz w:val="26"/>
          <w:szCs w:val="26"/>
        </w:rPr>
        <w:t>P</w:t>
      </w:r>
      <w:r w:rsidRPr="003804C3">
        <w:rPr>
          <w:sz w:val="26"/>
          <w:szCs w:val="26"/>
        </w:rPr>
        <w:t xml:space="preserve">arties filed </w:t>
      </w:r>
      <w:r w:rsidR="00932ACF">
        <w:rPr>
          <w:sz w:val="26"/>
          <w:szCs w:val="26"/>
        </w:rPr>
        <w:t>M</w:t>
      </w:r>
      <w:r w:rsidRPr="003804C3">
        <w:rPr>
          <w:sz w:val="26"/>
          <w:szCs w:val="26"/>
        </w:rPr>
        <w:t xml:space="preserve">ain and </w:t>
      </w:r>
      <w:r w:rsidR="00932ACF">
        <w:rPr>
          <w:sz w:val="26"/>
          <w:szCs w:val="26"/>
        </w:rPr>
        <w:t>R</w:t>
      </w:r>
      <w:r w:rsidRPr="003804C3">
        <w:rPr>
          <w:sz w:val="26"/>
          <w:szCs w:val="26"/>
        </w:rPr>
        <w:t xml:space="preserve">eply </w:t>
      </w:r>
      <w:r w:rsidR="00932ACF">
        <w:rPr>
          <w:sz w:val="26"/>
          <w:szCs w:val="26"/>
        </w:rPr>
        <w:t>B</w:t>
      </w:r>
      <w:r w:rsidRPr="003804C3">
        <w:rPr>
          <w:sz w:val="26"/>
          <w:szCs w:val="26"/>
        </w:rPr>
        <w:t>riefs</w:t>
      </w:r>
      <w:r w:rsidR="00006531">
        <w:rPr>
          <w:sz w:val="26"/>
          <w:szCs w:val="26"/>
        </w:rPr>
        <w:t>.  U</w:t>
      </w:r>
      <w:r w:rsidRPr="003804C3">
        <w:rPr>
          <w:sz w:val="26"/>
          <w:szCs w:val="26"/>
        </w:rPr>
        <w:t xml:space="preserve">pon receipt of </w:t>
      </w:r>
      <w:r w:rsidR="00006531">
        <w:rPr>
          <w:sz w:val="26"/>
          <w:szCs w:val="26"/>
        </w:rPr>
        <w:t xml:space="preserve">the </w:t>
      </w:r>
      <w:r w:rsidR="00932ACF">
        <w:rPr>
          <w:sz w:val="26"/>
          <w:szCs w:val="26"/>
        </w:rPr>
        <w:t>R</w:t>
      </w:r>
      <w:r w:rsidRPr="003804C3">
        <w:rPr>
          <w:sz w:val="26"/>
          <w:szCs w:val="26"/>
        </w:rPr>
        <w:t xml:space="preserve">eply </w:t>
      </w:r>
      <w:r w:rsidR="00932ACF">
        <w:rPr>
          <w:sz w:val="26"/>
          <w:szCs w:val="26"/>
        </w:rPr>
        <w:t>B</w:t>
      </w:r>
      <w:r w:rsidRPr="003804C3">
        <w:rPr>
          <w:sz w:val="26"/>
          <w:szCs w:val="26"/>
        </w:rPr>
        <w:t xml:space="preserve">riefs on </w:t>
      </w:r>
      <w:r w:rsidR="002B67BA" w:rsidRPr="003804C3">
        <w:rPr>
          <w:sz w:val="26"/>
          <w:szCs w:val="26"/>
        </w:rPr>
        <w:t>April 11, 2012</w:t>
      </w:r>
      <w:r w:rsidR="005F72F2">
        <w:rPr>
          <w:sz w:val="26"/>
          <w:szCs w:val="26"/>
        </w:rPr>
        <w:t>, t</w:t>
      </w:r>
      <w:r w:rsidR="005F72F2" w:rsidRPr="003804C3">
        <w:rPr>
          <w:sz w:val="26"/>
          <w:szCs w:val="26"/>
        </w:rPr>
        <w:t>he record closed</w:t>
      </w:r>
      <w:r w:rsidR="00B94607">
        <w:rPr>
          <w:sz w:val="26"/>
          <w:szCs w:val="26"/>
        </w:rPr>
        <w:t>.</w:t>
      </w:r>
      <w:r w:rsidR="00530F8F">
        <w:rPr>
          <w:sz w:val="26"/>
          <w:szCs w:val="26"/>
        </w:rPr>
        <w:t xml:space="preserve">  </w:t>
      </w:r>
      <w:r w:rsidR="00530F8F">
        <w:rPr>
          <w:i/>
          <w:sz w:val="26"/>
          <w:szCs w:val="26"/>
        </w:rPr>
        <w:t xml:space="preserve">Id. </w:t>
      </w:r>
      <w:r w:rsidR="00530F8F">
        <w:rPr>
          <w:sz w:val="26"/>
          <w:szCs w:val="26"/>
        </w:rPr>
        <w:t>at 3</w:t>
      </w:r>
      <w:r w:rsidR="001E5B04">
        <w:rPr>
          <w:sz w:val="26"/>
          <w:szCs w:val="26"/>
        </w:rPr>
        <w:t>.</w:t>
      </w:r>
    </w:p>
    <w:p w:rsidR="001E5B04" w:rsidRPr="003804C3" w:rsidRDefault="001E5B04" w:rsidP="00006531">
      <w:pPr>
        <w:contextualSpacing/>
        <w:jc w:val="left"/>
        <w:rPr>
          <w:sz w:val="26"/>
          <w:szCs w:val="26"/>
        </w:rPr>
      </w:pPr>
    </w:p>
    <w:p w:rsidR="003D0B48" w:rsidRDefault="003D0B48" w:rsidP="00006531">
      <w:pPr>
        <w:pStyle w:val="BodyText2"/>
      </w:pPr>
      <w:r>
        <w:tab/>
      </w:r>
      <w:r>
        <w:tab/>
      </w:r>
      <w:r w:rsidR="001E5B04" w:rsidRPr="001E5B04">
        <w:t>As noted, ALJ Colwell’s Recommended Decision was issued on June 20, 2012.</w:t>
      </w:r>
      <w:r w:rsidR="001E5B04">
        <w:t xml:space="preserve">  </w:t>
      </w:r>
      <w:r w:rsidRPr="003D0B48">
        <w:t>The ALJ made twenty-</w:t>
      </w:r>
      <w:r>
        <w:t>four</w:t>
      </w:r>
      <w:r w:rsidRPr="003D0B48">
        <w:t xml:space="preserve"> Findings of Fact and reached </w:t>
      </w:r>
      <w:r>
        <w:t>twelve</w:t>
      </w:r>
      <w:r w:rsidRPr="003D0B48">
        <w:t xml:space="preserve"> Conclusions of Law.  The Findings of Fact and Conclusions of Law are incorporated herein by reference and are adopted without comment unless they are either expressly or by necessary implication rejected or modified by this Opinion and Order.</w:t>
      </w:r>
    </w:p>
    <w:p w:rsidR="00981D7C" w:rsidRDefault="00981D7C" w:rsidP="00006531">
      <w:pPr>
        <w:jc w:val="left"/>
        <w:rPr>
          <w:sz w:val="26"/>
          <w:szCs w:val="26"/>
        </w:rPr>
      </w:pPr>
    </w:p>
    <w:p w:rsidR="001E5B04" w:rsidRDefault="001E5B04" w:rsidP="00006531">
      <w:pPr>
        <w:jc w:val="left"/>
        <w:rPr>
          <w:sz w:val="26"/>
          <w:szCs w:val="26"/>
        </w:rPr>
      </w:pPr>
      <w:r>
        <w:rPr>
          <w:sz w:val="26"/>
          <w:szCs w:val="26"/>
        </w:rPr>
        <w:tab/>
      </w:r>
      <w:r>
        <w:rPr>
          <w:sz w:val="26"/>
          <w:szCs w:val="26"/>
        </w:rPr>
        <w:tab/>
      </w:r>
      <w:r w:rsidRPr="001E5B04">
        <w:rPr>
          <w:sz w:val="26"/>
          <w:szCs w:val="26"/>
        </w:rPr>
        <w:t xml:space="preserve">Exceptions </w:t>
      </w:r>
      <w:r>
        <w:rPr>
          <w:sz w:val="26"/>
          <w:szCs w:val="26"/>
        </w:rPr>
        <w:t>to the ALJ’s Recommended Decision were filed by PPL</w:t>
      </w:r>
      <w:r w:rsidRPr="001E5B04">
        <w:rPr>
          <w:sz w:val="26"/>
          <w:szCs w:val="26"/>
        </w:rPr>
        <w:t>, I&amp;E and the OCA</w:t>
      </w:r>
      <w:r w:rsidR="00006531">
        <w:rPr>
          <w:sz w:val="26"/>
          <w:szCs w:val="26"/>
        </w:rPr>
        <w:t xml:space="preserve"> on July 10, 2012.  </w:t>
      </w:r>
      <w:r w:rsidRPr="001E5B04">
        <w:rPr>
          <w:sz w:val="26"/>
          <w:szCs w:val="26"/>
        </w:rPr>
        <w:t xml:space="preserve">Replies to Exceptions were filed by the OCA and PPL on July 20, 2012. </w:t>
      </w:r>
    </w:p>
    <w:p w:rsidR="001E5B04" w:rsidRDefault="001E5B04" w:rsidP="00006531">
      <w:pPr>
        <w:jc w:val="left"/>
        <w:rPr>
          <w:sz w:val="26"/>
          <w:szCs w:val="26"/>
        </w:rPr>
      </w:pPr>
    </w:p>
    <w:p w:rsidR="002F6D67" w:rsidRDefault="002F6D67" w:rsidP="002F6D67">
      <w:pPr>
        <w:pStyle w:val="Heading1"/>
      </w:pPr>
      <w:r>
        <w:br w:type="page"/>
      </w:r>
    </w:p>
    <w:p w:rsidR="007D01CE" w:rsidRPr="00B87A67" w:rsidRDefault="00376C41" w:rsidP="002F6D67">
      <w:pPr>
        <w:pStyle w:val="Heading1"/>
      </w:pPr>
      <w:bookmarkStart w:id="1" w:name="_Toc333991288"/>
      <w:r>
        <w:lastRenderedPageBreak/>
        <w:t>II.</w:t>
      </w:r>
      <w:r w:rsidR="007507C0">
        <w:t xml:space="preserve"> </w:t>
      </w:r>
      <w:r w:rsidR="00B87A67">
        <w:t>Discussion</w:t>
      </w:r>
      <w:bookmarkEnd w:id="1"/>
    </w:p>
    <w:p w:rsidR="00085F47" w:rsidRPr="003804C3" w:rsidRDefault="00085F47" w:rsidP="00DF7C0B">
      <w:pPr>
        <w:keepNext/>
        <w:contextualSpacing/>
        <w:rPr>
          <w:sz w:val="26"/>
          <w:szCs w:val="26"/>
          <w:u w:val="single"/>
        </w:rPr>
      </w:pPr>
    </w:p>
    <w:p w:rsidR="007D01CE" w:rsidRPr="002F6D67" w:rsidRDefault="00376C41" w:rsidP="002F6D67">
      <w:pPr>
        <w:pStyle w:val="Heading2"/>
      </w:pPr>
      <w:bookmarkStart w:id="2" w:name="_Toc333991289"/>
      <w:r w:rsidRPr="002F6D67">
        <w:t>A</w:t>
      </w:r>
      <w:r w:rsidR="00FA2FAE" w:rsidRPr="002F6D67">
        <w:t>.</w:t>
      </w:r>
      <w:r w:rsidR="00FA2FAE" w:rsidRPr="002F6D67">
        <w:tab/>
      </w:r>
      <w:r w:rsidR="006D5E82" w:rsidRPr="002F6D67">
        <w:t>Burden of Proof</w:t>
      </w:r>
      <w:bookmarkEnd w:id="2"/>
    </w:p>
    <w:p w:rsidR="006D5E82" w:rsidRPr="003804C3" w:rsidRDefault="006D5E82" w:rsidP="00006531">
      <w:pPr>
        <w:contextualSpacing/>
        <w:jc w:val="left"/>
        <w:rPr>
          <w:sz w:val="26"/>
          <w:szCs w:val="26"/>
        </w:rPr>
      </w:pPr>
    </w:p>
    <w:p w:rsidR="006D5E82" w:rsidRPr="003804C3" w:rsidRDefault="006D5E82" w:rsidP="00006531">
      <w:pPr>
        <w:contextualSpacing/>
        <w:jc w:val="left"/>
        <w:rPr>
          <w:spacing w:val="-3"/>
          <w:sz w:val="26"/>
          <w:szCs w:val="26"/>
        </w:rPr>
      </w:pPr>
      <w:r w:rsidRPr="003804C3">
        <w:rPr>
          <w:sz w:val="26"/>
          <w:szCs w:val="26"/>
        </w:rPr>
        <w:tab/>
      </w:r>
      <w:r w:rsidRPr="003804C3">
        <w:rPr>
          <w:sz w:val="26"/>
          <w:szCs w:val="26"/>
        </w:rPr>
        <w:tab/>
        <w:t>Section 1301 of the Public Utility Code, 66 Pa.</w:t>
      </w:r>
      <w:r w:rsidR="00AC6369">
        <w:rPr>
          <w:sz w:val="26"/>
          <w:szCs w:val="26"/>
        </w:rPr>
        <w:t xml:space="preserve"> </w:t>
      </w:r>
      <w:r w:rsidRPr="003804C3">
        <w:rPr>
          <w:sz w:val="26"/>
          <w:szCs w:val="26"/>
        </w:rPr>
        <w:t>C.S</w:t>
      </w:r>
      <w:r w:rsidR="00AC6369">
        <w:rPr>
          <w:sz w:val="26"/>
          <w:szCs w:val="26"/>
        </w:rPr>
        <w:t>. § 1301, provides that</w:t>
      </w:r>
      <w:r w:rsidR="00E54F17">
        <w:rPr>
          <w:sz w:val="26"/>
          <w:szCs w:val="26"/>
        </w:rPr>
        <w:t xml:space="preserve">  </w:t>
      </w:r>
      <w:r w:rsidRPr="003804C3">
        <w:rPr>
          <w:sz w:val="26"/>
          <w:szCs w:val="26"/>
        </w:rPr>
        <w:t>every rate made, demanded, or received by any public utility, or by any two or more public utilities jointly, shall be just and reasonable, and in conformity with regulation</w:t>
      </w:r>
      <w:r w:rsidR="00E54F17">
        <w:rPr>
          <w:sz w:val="26"/>
          <w:szCs w:val="26"/>
        </w:rPr>
        <w:t xml:space="preserve">s or orders of the </w:t>
      </w:r>
      <w:r w:rsidR="00AC6369">
        <w:rPr>
          <w:sz w:val="26"/>
          <w:szCs w:val="26"/>
        </w:rPr>
        <w:t>C</w:t>
      </w:r>
      <w:r w:rsidR="00E54F17">
        <w:rPr>
          <w:sz w:val="26"/>
          <w:szCs w:val="26"/>
        </w:rPr>
        <w:t xml:space="preserve">ommission.  </w:t>
      </w:r>
      <w:r w:rsidR="00E54F17">
        <w:rPr>
          <w:i/>
          <w:sz w:val="26"/>
          <w:szCs w:val="26"/>
        </w:rPr>
        <w:t>Id</w:t>
      </w:r>
      <w:r w:rsidR="00E54F17">
        <w:rPr>
          <w:sz w:val="26"/>
          <w:szCs w:val="26"/>
        </w:rPr>
        <w:t>. at 7.</w:t>
      </w:r>
      <w:r w:rsidRPr="003804C3">
        <w:rPr>
          <w:sz w:val="26"/>
          <w:szCs w:val="26"/>
        </w:rPr>
        <w:t xml:space="preserve"> </w:t>
      </w:r>
    </w:p>
    <w:p w:rsidR="006D5E82" w:rsidRPr="003804C3" w:rsidRDefault="006D5E82" w:rsidP="00006531">
      <w:pPr>
        <w:ind w:firstLine="1440"/>
        <w:jc w:val="left"/>
        <w:rPr>
          <w:sz w:val="26"/>
          <w:szCs w:val="26"/>
        </w:rPr>
      </w:pPr>
    </w:p>
    <w:p w:rsidR="006D5E82" w:rsidRDefault="006D5E82" w:rsidP="00006531">
      <w:pPr>
        <w:jc w:val="left"/>
        <w:rPr>
          <w:color w:val="000000"/>
          <w:sz w:val="26"/>
          <w:szCs w:val="26"/>
        </w:rPr>
      </w:pPr>
      <w:r w:rsidRPr="003804C3">
        <w:rPr>
          <w:sz w:val="26"/>
          <w:szCs w:val="26"/>
        </w:rPr>
        <w:tab/>
      </w:r>
      <w:r w:rsidRPr="003804C3">
        <w:rPr>
          <w:sz w:val="26"/>
          <w:szCs w:val="26"/>
        </w:rPr>
        <w:tab/>
        <w:t xml:space="preserve">While the burden of proof remains with the public utility throughout the rate proceeding, the Commission has stated that where a party proposes an adjustment to a ratemaking claim of a utility, the proposing party bears the </w:t>
      </w:r>
      <w:r w:rsidRPr="003804C3">
        <w:rPr>
          <w:bCs/>
          <w:sz w:val="26"/>
          <w:szCs w:val="26"/>
        </w:rPr>
        <w:t>burden</w:t>
      </w:r>
      <w:r w:rsidRPr="003804C3">
        <w:rPr>
          <w:sz w:val="26"/>
          <w:szCs w:val="26"/>
        </w:rPr>
        <w:t xml:space="preserve"> of presenting some evidence or analysis tending to demonstrate the reasonableness of the adjustment.  </w:t>
      </w:r>
      <w:r w:rsidRPr="003804C3">
        <w:rPr>
          <w:i/>
          <w:sz w:val="26"/>
          <w:szCs w:val="26"/>
        </w:rPr>
        <w:t>P</w:t>
      </w:r>
      <w:r w:rsidR="001A19C5" w:rsidRPr="003804C3">
        <w:rPr>
          <w:i/>
          <w:sz w:val="26"/>
          <w:szCs w:val="26"/>
        </w:rPr>
        <w:t>a</w:t>
      </w:r>
      <w:r w:rsidR="000D4DBB">
        <w:rPr>
          <w:i/>
          <w:sz w:val="26"/>
          <w:szCs w:val="26"/>
        </w:rPr>
        <w:t>.</w:t>
      </w:r>
      <w:r w:rsidR="008D3260">
        <w:rPr>
          <w:i/>
          <w:sz w:val="26"/>
          <w:szCs w:val="26"/>
        </w:rPr>
        <w:t> </w:t>
      </w:r>
      <w:r w:rsidR="000D4DBB">
        <w:rPr>
          <w:i/>
          <w:sz w:val="26"/>
          <w:szCs w:val="26"/>
        </w:rPr>
        <w:t>PUC</w:t>
      </w:r>
      <w:r w:rsidRPr="003804C3">
        <w:rPr>
          <w:i/>
          <w:sz w:val="26"/>
          <w:szCs w:val="26"/>
        </w:rPr>
        <w:t xml:space="preserve"> v. Aqua Pennsylvania, Inc</w:t>
      </w:r>
      <w:r w:rsidRPr="003804C3">
        <w:rPr>
          <w:sz w:val="26"/>
          <w:szCs w:val="26"/>
        </w:rPr>
        <w:t xml:space="preserve">., Docket No. R-00072711 (Order entered July 17, 2008).  </w:t>
      </w:r>
      <w:r w:rsidR="000D4DBB">
        <w:rPr>
          <w:color w:val="000000"/>
          <w:sz w:val="26"/>
          <w:szCs w:val="26"/>
        </w:rPr>
        <w:t>A</w:t>
      </w:r>
      <w:r w:rsidRPr="003804C3">
        <w:rPr>
          <w:color w:val="000000"/>
          <w:sz w:val="26"/>
          <w:szCs w:val="26"/>
        </w:rPr>
        <w:t xml:space="preserve">fter the utility establishes a </w:t>
      </w:r>
      <w:r w:rsidRPr="008D3260">
        <w:rPr>
          <w:i/>
          <w:color w:val="000000"/>
          <w:sz w:val="26"/>
          <w:szCs w:val="26"/>
        </w:rPr>
        <w:t>prima facie</w:t>
      </w:r>
      <w:r w:rsidR="000D4DBB">
        <w:rPr>
          <w:color w:val="000000"/>
          <w:sz w:val="26"/>
          <w:szCs w:val="26"/>
        </w:rPr>
        <w:t xml:space="preserve"> case</w:t>
      </w:r>
      <w:r w:rsidRPr="003804C3">
        <w:rPr>
          <w:color w:val="000000"/>
          <w:sz w:val="26"/>
          <w:szCs w:val="26"/>
        </w:rPr>
        <w:t xml:space="preserve"> the burden of going forward or the burden of persuasion shifts to the other </w:t>
      </w:r>
      <w:r w:rsidR="000D4DBB">
        <w:rPr>
          <w:color w:val="000000"/>
          <w:sz w:val="26"/>
          <w:szCs w:val="26"/>
        </w:rPr>
        <w:t>P</w:t>
      </w:r>
      <w:r w:rsidRPr="003804C3">
        <w:rPr>
          <w:color w:val="000000"/>
          <w:sz w:val="26"/>
          <w:szCs w:val="26"/>
        </w:rPr>
        <w:t>arties</w:t>
      </w:r>
      <w:r w:rsidR="00E54F17">
        <w:rPr>
          <w:color w:val="000000"/>
          <w:sz w:val="26"/>
          <w:szCs w:val="26"/>
        </w:rPr>
        <w:t xml:space="preserve"> to rebut the </w:t>
      </w:r>
      <w:r w:rsidR="00E54F17" w:rsidRPr="008D3260">
        <w:rPr>
          <w:i/>
          <w:color w:val="000000"/>
          <w:sz w:val="26"/>
          <w:szCs w:val="26"/>
        </w:rPr>
        <w:t>prima</w:t>
      </w:r>
      <w:r w:rsidR="00E54F17">
        <w:rPr>
          <w:color w:val="000000"/>
          <w:sz w:val="26"/>
          <w:szCs w:val="26"/>
        </w:rPr>
        <w:t xml:space="preserve"> </w:t>
      </w:r>
      <w:r w:rsidR="00E54F17" w:rsidRPr="008D3260">
        <w:rPr>
          <w:i/>
          <w:color w:val="000000"/>
          <w:sz w:val="26"/>
          <w:szCs w:val="26"/>
        </w:rPr>
        <w:t>facie</w:t>
      </w:r>
      <w:r w:rsidR="00E54F17">
        <w:rPr>
          <w:color w:val="000000"/>
          <w:sz w:val="26"/>
          <w:szCs w:val="26"/>
        </w:rPr>
        <w:t xml:space="preserve"> case.  </w:t>
      </w:r>
      <w:r w:rsidR="000D4DBB" w:rsidRPr="003804C3">
        <w:rPr>
          <w:i/>
          <w:sz w:val="26"/>
          <w:szCs w:val="26"/>
        </w:rPr>
        <w:t>Pa</w:t>
      </w:r>
      <w:r w:rsidR="000D4DBB">
        <w:rPr>
          <w:i/>
          <w:sz w:val="26"/>
          <w:szCs w:val="26"/>
        </w:rPr>
        <w:t>. PUC</w:t>
      </w:r>
      <w:r w:rsidR="000D4DBB" w:rsidRPr="003804C3">
        <w:rPr>
          <w:sz w:val="26"/>
          <w:szCs w:val="26"/>
        </w:rPr>
        <w:t xml:space="preserve"> v. </w:t>
      </w:r>
      <w:r w:rsidR="000D4DBB" w:rsidRPr="003804C3">
        <w:rPr>
          <w:i/>
          <w:sz w:val="26"/>
          <w:szCs w:val="26"/>
        </w:rPr>
        <w:t>Philadelphia Gas Works</w:t>
      </w:r>
      <w:r w:rsidR="000D4DBB" w:rsidRPr="003804C3">
        <w:rPr>
          <w:sz w:val="26"/>
          <w:szCs w:val="26"/>
        </w:rPr>
        <w:t>, Docket No. R-00061931 (Order enter</w:t>
      </w:r>
      <w:r w:rsidR="000D4DBB">
        <w:rPr>
          <w:sz w:val="26"/>
          <w:szCs w:val="26"/>
        </w:rPr>
        <w:t>ed September 28, 2007) at</w:t>
      </w:r>
      <w:r w:rsidR="008D3260">
        <w:rPr>
          <w:sz w:val="26"/>
          <w:szCs w:val="26"/>
        </w:rPr>
        <w:t> </w:t>
      </w:r>
      <w:r w:rsidR="000D4DBB">
        <w:rPr>
          <w:sz w:val="26"/>
          <w:szCs w:val="26"/>
        </w:rPr>
        <w:t>12.</w:t>
      </w:r>
    </w:p>
    <w:p w:rsidR="004E5804" w:rsidRPr="004E5804" w:rsidRDefault="004E5804" w:rsidP="00006531">
      <w:pPr>
        <w:jc w:val="left"/>
        <w:rPr>
          <w:color w:val="000000"/>
          <w:sz w:val="26"/>
          <w:szCs w:val="26"/>
        </w:rPr>
      </w:pPr>
    </w:p>
    <w:p w:rsidR="006D5E82" w:rsidRPr="00E54F17" w:rsidRDefault="006D5E82" w:rsidP="00006531">
      <w:pPr>
        <w:jc w:val="left"/>
        <w:rPr>
          <w:i/>
          <w:sz w:val="26"/>
          <w:szCs w:val="26"/>
        </w:rPr>
      </w:pPr>
      <w:r w:rsidRPr="003804C3">
        <w:rPr>
          <w:sz w:val="26"/>
          <w:szCs w:val="26"/>
        </w:rPr>
        <w:tab/>
      </w:r>
      <w:r w:rsidRPr="003804C3">
        <w:rPr>
          <w:sz w:val="26"/>
          <w:szCs w:val="26"/>
        </w:rPr>
        <w:tab/>
        <w:t xml:space="preserve">Section 332(a) of the Code, 66 Pa. C.S. §332(a), provides that the party seeking a rule or order from the Commission has the burden of proof in that proceeding.  It is well-established that </w:t>
      </w:r>
      <w:r w:rsidR="00BF39D4">
        <w:rPr>
          <w:sz w:val="26"/>
          <w:szCs w:val="26"/>
        </w:rPr>
        <w:t>“</w:t>
      </w:r>
      <w:r w:rsidRPr="003804C3">
        <w:rPr>
          <w:sz w:val="26"/>
          <w:szCs w:val="26"/>
        </w:rPr>
        <w:t>[a] litigant</w:t>
      </w:r>
      <w:r w:rsidR="008D3260">
        <w:rPr>
          <w:sz w:val="26"/>
          <w:szCs w:val="26"/>
        </w:rPr>
        <w:t>’</w:t>
      </w:r>
      <w:r w:rsidRPr="003804C3">
        <w:rPr>
          <w:sz w:val="26"/>
          <w:szCs w:val="26"/>
        </w:rPr>
        <w:t>s burden of proof before administrative tribunals as well as before most civil proceedings is satisfied by establishing a preponderance of evidence which is substantial and legally credible.</w:t>
      </w:r>
      <w:r w:rsidR="00BF39D4">
        <w:rPr>
          <w:sz w:val="26"/>
          <w:szCs w:val="26"/>
        </w:rPr>
        <w:t>”</w:t>
      </w:r>
      <w:r w:rsidRPr="003804C3">
        <w:rPr>
          <w:sz w:val="26"/>
          <w:szCs w:val="26"/>
        </w:rPr>
        <w:t xml:space="preserve">  </w:t>
      </w:r>
      <w:r w:rsidRPr="003804C3">
        <w:rPr>
          <w:i/>
          <w:sz w:val="26"/>
          <w:szCs w:val="26"/>
        </w:rPr>
        <w:t>Samuel J. Lansberry, Inc. v. Pa. P</w:t>
      </w:r>
      <w:r w:rsidR="00893694">
        <w:rPr>
          <w:i/>
          <w:sz w:val="26"/>
          <w:szCs w:val="26"/>
        </w:rPr>
        <w:t>UC</w:t>
      </w:r>
      <w:r w:rsidRPr="003804C3">
        <w:rPr>
          <w:sz w:val="26"/>
          <w:szCs w:val="26"/>
        </w:rPr>
        <w:t>, 578 A.2d 600, 602 (Pa. Cmwlth. 1990).</w:t>
      </w:r>
    </w:p>
    <w:p w:rsidR="006D5E82" w:rsidRPr="003804C3" w:rsidRDefault="006D5E82" w:rsidP="00006531">
      <w:pPr>
        <w:jc w:val="left"/>
        <w:rPr>
          <w:sz w:val="26"/>
          <w:szCs w:val="26"/>
        </w:rPr>
      </w:pPr>
    </w:p>
    <w:p w:rsidR="006D5E82" w:rsidRDefault="006D5E82" w:rsidP="00006531">
      <w:pPr>
        <w:jc w:val="left"/>
        <w:rPr>
          <w:sz w:val="26"/>
          <w:szCs w:val="26"/>
        </w:rPr>
      </w:pPr>
      <w:r w:rsidRPr="003804C3">
        <w:rPr>
          <w:sz w:val="26"/>
          <w:szCs w:val="26"/>
        </w:rPr>
        <w:tab/>
      </w:r>
      <w:r w:rsidRPr="003804C3">
        <w:rPr>
          <w:sz w:val="26"/>
          <w:szCs w:val="26"/>
        </w:rPr>
        <w:tab/>
        <w:t xml:space="preserve">The burden of proof is comprised of two distinct burdens:  the burden of production and the burden of persuasion.  The burden of production tells the adjudicator which party must come forward with evidence to support a particular proposition.  See </w:t>
      </w:r>
      <w:r w:rsidRPr="003804C3">
        <w:rPr>
          <w:i/>
          <w:sz w:val="26"/>
          <w:szCs w:val="26"/>
        </w:rPr>
        <w:t xml:space="preserve">In </w:t>
      </w:r>
      <w:r w:rsidRPr="003804C3">
        <w:rPr>
          <w:i/>
          <w:sz w:val="26"/>
          <w:szCs w:val="26"/>
        </w:rPr>
        <w:lastRenderedPageBreak/>
        <w:t>re Loudenslager</w:t>
      </w:r>
      <w:r w:rsidR="008D3260">
        <w:rPr>
          <w:i/>
          <w:sz w:val="26"/>
          <w:szCs w:val="26"/>
        </w:rPr>
        <w:t>’</w:t>
      </w:r>
      <w:r w:rsidRPr="003804C3">
        <w:rPr>
          <w:i/>
          <w:sz w:val="26"/>
          <w:szCs w:val="26"/>
        </w:rPr>
        <w:t>s Estate</w:t>
      </w:r>
      <w:r w:rsidRPr="003804C3">
        <w:rPr>
          <w:sz w:val="26"/>
          <w:szCs w:val="26"/>
        </w:rPr>
        <w:t xml:space="preserve">, 430 Pa. 33, 240 A.2d 477, 482 (1968).  The burden of persuasion determines which party must produce sufficient evidence to convince a judge that a fact has been established, and it never leaves the party on whom it is originally cast.  </w:t>
      </w:r>
      <w:r w:rsidRPr="003804C3">
        <w:rPr>
          <w:i/>
          <w:sz w:val="26"/>
          <w:szCs w:val="26"/>
        </w:rPr>
        <w:t>Reidel v. County of Allegheny</w:t>
      </w:r>
      <w:r w:rsidRPr="003804C3">
        <w:rPr>
          <w:sz w:val="26"/>
          <w:szCs w:val="26"/>
        </w:rPr>
        <w:t>, 633 A.2d 1</w:t>
      </w:r>
      <w:r w:rsidR="00893694">
        <w:rPr>
          <w:sz w:val="26"/>
          <w:szCs w:val="26"/>
        </w:rPr>
        <w:t xml:space="preserve">325, 1329 </w:t>
      </w:r>
      <w:r w:rsidR="009606F4">
        <w:rPr>
          <w:sz w:val="26"/>
          <w:szCs w:val="26"/>
        </w:rPr>
        <w:t>f</w:t>
      </w:r>
      <w:r w:rsidR="00893694">
        <w:rPr>
          <w:sz w:val="26"/>
          <w:szCs w:val="26"/>
        </w:rPr>
        <w:t>n. 11 (Pa. Cmwlth.</w:t>
      </w:r>
      <w:r w:rsidRPr="003804C3">
        <w:rPr>
          <w:sz w:val="26"/>
          <w:szCs w:val="26"/>
        </w:rPr>
        <w:t xml:space="preserve"> 1993</w:t>
      </w:r>
      <w:r w:rsidR="009606F4">
        <w:rPr>
          <w:sz w:val="26"/>
          <w:szCs w:val="26"/>
        </w:rPr>
        <w:t>).</w:t>
      </w:r>
    </w:p>
    <w:p w:rsidR="00893694" w:rsidRPr="003804C3" w:rsidRDefault="00893694" w:rsidP="00006531">
      <w:pPr>
        <w:jc w:val="left"/>
        <w:rPr>
          <w:sz w:val="26"/>
          <w:szCs w:val="26"/>
        </w:rPr>
      </w:pPr>
    </w:p>
    <w:p w:rsidR="006D5E82" w:rsidRPr="00E54F17" w:rsidRDefault="008752B2" w:rsidP="00006531">
      <w:pPr>
        <w:contextualSpacing/>
        <w:jc w:val="left"/>
        <w:rPr>
          <w:sz w:val="26"/>
          <w:szCs w:val="26"/>
        </w:rPr>
      </w:pPr>
      <w:r w:rsidRPr="003804C3">
        <w:rPr>
          <w:sz w:val="26"/>
          <w:szCs w:val="26"/>
        </w:rPr>
        <w:tab/>
      </w:r>
      <w:r w:rsidRPr="003804C3">
        <w:rPr>
          <w:sz w:val="26"/>
          <w:szCs w:val="26"/>
        </w:rPr>
        <w:tab/>
        <w:t xml:space="preserve">Therefore, the Company has the burden of proving that its proposed TOU </w:t>
      </w:r>
      <w:r w:rsidR="00893694">
        <w:rPr>
          <w:sz w:val="26"/>
          <w:szCs w:val="26"/>
        </w:rPr>
        <w:t>F</w:t>
      </w:r>
      <w:r w:rsidRPr="003804C3">
        <w:rPr>
          <w:sz w:val="26"/>
          <w:szCs w:val="26"/>
        </w:rPr>
        <w:t xml:space="preserve">iling is just and reasonable, and any </w:t>
      </w:r>
      <w:r w:rsidR="00893694">
        <w:rPr>
          <w:sz w:val="26"/>
          <w:szCs w:val="26"/>
        </w:rPr>
        <w:t>P</w:t>
      </w:r>
      <w:r w:rsidRPr="003804C3">
        <w:rPr>
          <w:sz w:val="26"/>
          <w:szCs w:val="26"/>
        </w:rPr>
        <w:t>arty contesting it has the burden of persuading the Commission that the filing is not just and reasonable.</w:t>
      </w:r>
    </w:p>
    <w:p w:rsidR="00036086" w:rsidRDefault="00036086" w:rsidP="00006531">
      <w:pPr>
        <w:contextualSpacing/>
        <w:jc w:val="left"/>
        <w:rPr>
          <w:sz w:val="26"/>
          <w:szCs w:val="26"/>
        </w:rPr>
      </w:pPr>
    </w:p>
    <w:p w:rsidR="00CD1C48" w:rsidRPr="003804C3" w:rsidRDefault="00CD1C48" w:rsidP="002F6D67">
      <w:pPr>
        <w:pStyle w:val="Heading2"/>
      </w:pPr>
      <w:bookmarkStart w:id="3" w:name="_Toc333991290"/>
      <w:r>
        <w:t>B</w:t>
      </w:r>
      <w:r w:rsidRPr="003804C3">
        <w:t>.</w:t>
      </w:r>
      <w:r w:rsidRPr="003804C3">
        <w:tab/>
      </w:r>
      <w:r>
        <w:t>History of PPL</w:t>
      </w:r>
      <w:r w:rsidR="008D3260">
        <w:t>’</w:t>
      </w:r>
      <w:r>
        <w:t>s TOU Programs</w:t>
      </w:r>
      <w:bookmarkEnd w:id="3"/>
    </w:p>
    <w:p w:rsidR="00CD1C48" w:rsidRPr="00493EE6" w:rsidRDefault="00CD1C48" w:rsidP="00006531">
      <w:pPr>
        <w:keepNext/>
        <w:contextualSpacing/>
        <w:jc w:val="left"/>
        <w:rPr>
          <w:sz w:val="26"/>
          <w:szCs w:val="26"/>
        </w:rPr>
      </w:pPr>
    </w:p>
    <w:p w:rsidR="00CD1C48" w:rsidRPr="003804C3" w:rsidRDefault="00CD1C48" w:rsidP="00006531">
      <w:pPr>
        <w:jc w:val="left"/>
        <w:rPr>
          <w:sz w:val="26"/>
          <w:szCs w:val="26"/>
        </w:rPr>
      </w:pPr>
      <w:r w:rsidRPr="003804C3">
        <w:rPr>
          <w:sz w:val="26"/>
          <w:szCs w:val="26"/>
        </w:rPr>
        <w:tab/>
      </w:r>
      <w:r w:rsidRPr="003804C3">
        <w:rPr>
          <w:sz w:val="26"/>
          <w:szCs w:val="26"/>
        </w:rPr>
        <w:tab/>
      </w:r>
      <w:r>
        <w:rPr>
          <w:sz w:val="26"/>
          <w:szCs w:val="26"/>
        </w:rPr>
        <w:t>PPL</w:t>
      </w:r>
      <w:r w:rsidR="008D3260">
        <w:rPr>
          <w:sz w:val="26"/>
          <w:szCs w:val="26"/>
        </w:rPr>
        <w:t>’</w:t>
      </w:r>
      <w:r w:rsidRPr="003804C3">
        <w:rPr>
          <w:sz w:val="26"/>
          <w:szCs w:val="26"/>
        </w:rPr>
        <w:t xml:space="preserve">s </w:t>
      </w:r>
      <w:r>
        <w:rPr>
          <w:sz w:val="26"/>
          <w:szCs w:val="26"/>
        </w:rPr>
        <w:t>initial</w:t>
      </w:r>
      <w:r w:rsidRPr="003804C3">
        <w:rPr>
          <w:sz w:val="26"/>
          <w:szCs w:val="26"/>
        </w:rPr>
        <w:t xml:space="preserve"> TOU program (Supplemen</w:t>
      </w:r>
      <w:r w:rsidR="007F30BF">
        <w:rPr>
          <w:sz w:val="26"/>
          <w:szCs w:val="26"/>
        </w:rPr>
        <w:t xml:space="preserve">t </w:t>
      </w:r>
      <w:r w:rsidR="00CB3204">
        <w:rPr>
          <w:sz w:val="26"/>
          <w:szCs w:val="26"/>
        </w:rPr>
        <w:t xml:space="preserve">No. </w:t>
      </w:r>
      <w:r w:rsidR="007F30BF">
        <w:rPr>
          <w:sz w:val="26"/>
          <w:szCs w:val="26"/>
        </w:rPr>
        <w:t>71) was</w:t>
      </w:r>
      <w:r w:rsidRPr="003804C3">
        <w:rPr>
          <w:sz w:val="26"/>
          <w:szCs w:val="26"/>
        </w:rPr>
        <w:t xml:space="preserve"> filed</w:t>
      </w:r>
      <w:r w:rsidR="007F30BF">
        <w:rPr>
          <w:sz w:val="26"/>
          <w:szCs w:val="26"/>
        </w:rPr>
        <w:t xml:space="preserve"> on</w:t>
      </w:r>
      <w:r w:rsidRPr="003804C3">
        <w:rPr>
          <w:sz w:val="26"/>
          <w:szCs w:val="26"/>
        </w:rPr>
        <w:t xml:space="preserve"> July 31, 2009,</w:t>
      </w:r>
      <w:r w:rsidR="007F30BF">
        <w:rPr>
          <w:sz w:val="26"/>
          <w:szCs w:val="26"/>
        </w:rPr>
        <w:t xml:space="preserve"> and</w:t>
      </w:r>
      <w:r>
        <w:rPr>
          <w:sz w:val="26"/>
          <w:szCs w:val="26"/>
        </w:rPr>
        <w:t xml:space="preserve"> approved by the Commission</w:t>
      </w:r>
      <w:r w:rsidR="007F30BF">
        <w:rPr>
          <w:sz w:val="26"/>
          <w:szCs w:val="26"/>
        </w:rPr>
        <w:t xml:space="preserve"> on March 9, 2010.  </w:t>
      </w:r>
      <w:r w:rsidR="007F30BF" w:rsidRPr="003804C3">
        <w:rPr>
          <w:i/>
          <w:sz w:val="26"/>
          <w:szCs w:val="26"/>
        </w:rPr>
        <w:t>Pa. PUC v. PPL Electric Utilities Corporation</w:t>
      </w:r>
      <w:r w:rsidR="007F30BF" w:rsidRPr="003804C3">
        <w:rPr>
          <w:sz w:val="26"/>
          <w:szCs w:val="26"/>
        </w:rPr>
        <w:t>, Docket No. R-2009-2122718 (Order entered March 9, 2010)(2010 TOU Order)</w:t>
      </w:r>
      <w:r w:rsidR="007F30BF">
        <w:rPr>
          <w:sz w:val="26"/>
          <w:szCs w:val="26"/>
        </w:rPr>
        <w:t>.</w:t>
      </w:r>
      <w:r>
        <w:rPr>
          <w:sz w:val="26"/>
          <w:szCs w:val="26"/>
        </w:rPr>
        <w:t xml:space="preserve"> </w:t>
      </w:r>
      <w:r w:rsidR="007F30BF">
        <w:rPr>
          <w:sz w:val="26"/>
          <w:szCs w:val="26"/>
        </w:rPr>
        <w:t xml:space="preserve"> </w:t>
      </w:r>
      <w:r>
        <w:rPr>
          <w:sz w:val="26"/>
          <w:szCs w:val="26"/>
        </w:rPr>
        <w:t>The TOU rate was based upon the price to compare (PTC)</w:t>
      </w:r>
      <w:r w:rsidR="00CB3204">
        <w:rPr>
          <w:sz w:val="26"/>
          <w:szCs w:val="26"/>
        </w:rPr>
        <w:t>.  I</w:t>
      </w:r>
      <w:r w:rsidR="007F30BF">
        <w:rPr>
          <w:sz w:val="26"/>
          <w:szCs w:val="26"/>
        </w:rPr>
        <w:t>t</w:t>
      </w:r>
      <w:r>
        <w:rPr>
          <w:sz w:val="26"/>
          <w:szCs w:val="26"/>
        </w:rPr>
        <w:t xml:space="preserve"> exceeded the PTC during </w:t>
      </w:r>
      <w:r w:rsidR="007F30BF">
        <w:rPr>
          <w:sz w:val="26"/>
          <w:szCs w:val="26"/>
        </w:rPr>
        <w:t>on-peak hours and was lower than</w:t>
      </w:r>
      <w:r>
        <w:rPr>
          <w:sz w:val="26"/>
          <w:szCs w:val="26"/>
        </w:rPr>
        <w:t xml:space="preserve"> the PTC </w:t>
      </w:r>
      <w:r w:rsidR="007F30BF">
        <w:rPr>
          <w:sz w:val="26"/>
          <w:szCs w:val="26"/>
        </w:rPr>
        <w:t xml:space="preserve">during off-peak hours. </w:t>
      </w:r>
      <w:r>
        <w:rPr>
          <w:sz w:val="26"/>
          <w:szCs w:val="26"/>
        </w:rPr>
        <w:t xml:space="preserve"> TOU p</w:t>
      </w:r>
      <w:r w:rsidR="007F30BF">
        <w:rPr>
          <w:sz w:val="26"/>
          <w:szCs w:val="26"/>
        </w:rPr>
        <w:t>ower</w:t>
      </w:r>
      <w:r>
        <w:rPr>
          <w:sz w:val="26"/>
          <w:szCs w:val="26"/>
        </w:rPr>
        <w:t xml:space="preserve"> supplies were procured through the</w:t>
      </w:r>
      <w:r w:rsidR="001951BD">
        <w:rPr>
          <w:sz w:val="26"/>
          <w:szCs w:val="26"/>
        </w:rPr>
        <w:t xml:space="preserve"> Default Service Plan</w:t>
      </w:r>
      <w:r>
        <w:rPr>
          <w:sz w:val="26"/>
          <w:szCs w:val="26"/>
        </w:rPr>
        <w:t xml:space="preserve"> </w:t>
      </w:r>
      <w:r w:rsidR="001951BD">
        <w:rPr>
          <w:sz w:val="26"/>
          <w:szCs w:val="26"/>
        </w:rPr>
        <w:t>(</w:t>
      </w:r>
      <w:r>
        <w:rPr>
          <w:sz w:val="26"/>
          <w:szCs w:val="26"/>
        </w:rPr>
        <w:t>DSP</w:t>
      </w:r>
      <w:r w:rsidR="001951BD">
        <w:rPr>
          <w:sz w:val="26"/>
          <w:szCs w:val="26"/>
        </w:rPr>
        <w:t>)</w:t>
      </w:r>
      <w:r>
        <w:rPr>
          <w:sz w:val="26"/>
          <w:szCs w:val="26"/>
        </w:rPr>
        <w:t xml:space="preserve"> and </w:t>
      </w:r>
      <w:r w:rsidR="009F1321">
        <w:rPr>
          <w:sz w:val="26"/>
          <w:szCs w:val="26"/>
        </w:rPr>
        <w:t>were reconciled with other DSP costs and recoveries via PPL</w:t>
      </w:r>
      <w:r w:rsidR="008D3260">
        <w:rPr>
          <w:sz w:val="26"/>
          <w:szCs w:val="26"/>
        </w:rPr>
        <w:t>’</w:t>
      </w:r>
      <w:r w:rsidR="009F1321">
        <w:rPr>
          <w:sz w:val="26"/>
          <w:szCs w:val="26"/>
        </w:rPr>
        <w:t>s</w:t>
      </w:r>
      <w:r w:rsidR="00ED792E">
        <w:rPr>
          <w:sz w:val="26"/>
          <w:szCs w:val="26"/>
        </w:rPr>
        <w:t xml:space="preserve"> Generation Supply Charge (GSC).</w:t>
      </w:r>
      <w:r w:rsidR="00CC1BED">
        <w:rPr>
          <w:sz w:val="26"/>
          <w:szCs w:val="26"/>
        </w:rPr>
        <w:t xml:space="preserve"> </w:t>
      </w:r>
      <w:r w:rsidR="00ED792E">
        <w:rPr>
          <w:sz w:val="26"/>
          <w:szCs w:val="26"/>
        </w:rPr>
        <w:t xml:space="preserve"> </w:t>
      </w:r>
      <w:r w:rsidR="00CC1BED">
        <w:rPr>
          <w:sz w:val="26"/>
          <w:szCs w:val="26"/>
        </w:rPr>
        <w:t>PPL St. 1 at</w:t>
      </w:r>
      <w:r w:rsidR="00CB3204">
        <w:t> </w:t>
      </w:r>
      <w:r w:rsidR="00CC1BED">
        <w:rPr>
          <w:sz w:val="26"/>
          <w:szCs w:val="26"/>
        </w:rPr>
        <w:t>4; PPL</w:t>
      </w:r>
      <w:r w:rsidRPr="003804C3">
        <w:rPr>
          <w:sz w:val="26"/>
          <w:szCs w:val="26"/>
        </w:rPr>
        <w:t xml:space="preserve"> M</w:t>
      </w:r>
      <w:r w:rsidR="00ED792E">
        <w:rPr>
          <w:sz w:val="26"/>
          <w:szCs w:val="26"/>
        </w:rPr>
        <w:t>.</w:t>
      </w:r>
      <w:r w:rsidRPr="003804C3">
        <w:rPr>
          <w:sz w:val="26"/>
          <w:szCs w:val="26"/>
        </w:rPr>
        <w:t>B</w:t>
      </w:r>
      <w:r w:rsidR="00ED792E">
        <w:rPr>
          <w:sz w:val="26"/>
          <w:szCs w:val="26"/>
        </w:rPr>
        <w:t>.</w:t>
      </w:r>
      <w:r w:rsidRPr="003804C3">
        <w:rPr>
          <w:sz w:val="26"/>
          <w:szCs w:val="26"/>
        </w:rPr>
        <w:t xml:space="preserve"> at 13; </w:t>
      </w:r>
      <w:r w:rsidR="00435AE0">
        <w:rPr>
          <w:sz w:val="26"/>
          <w:szCs w:val="26"/>
        </w:rPr>
        <w:t>R.D. at 9-10.</w:t>
      </w:r>
    </w:p>
    <w:p w:rsidR="00CD1C48" w:rsidRPr="003804C3" w:rsidRDefault="00CD1C48" w:rsidP="00006531">
      <w:pPr>
        <w:jc w:val="left"/>
        <w:rPr>
          <w:sz w:val="26"/>
          <w:szCs w:val="26"/>
        </w:rPr>
      </w:pPr>
    </w:p>
    <w:p w:rsidR="00CD1C48" w:rsidRPr="003804C3" w:rsidRDefault="00435AE0" w:rsidP="00006531">
      <w:pPr>
        <w:jc w:val="left"/>
        <w:rPr>
          <w:sz w:val="26"/>
          <w:szCs w:val="26"/>
        </w:rPr>
      </w:pPr>
      <w:r>
        <w:rPr>
          <w:sz w:val="26"/>
          <w:szCs w:val="26"/>
        </w:rPr>
        <w:tab/>
      </w:r>
      <w:r>
        <w:rPr>
          <w:sz w:val="26"/>
          <w:szCs w:val="26"/>
        </w:rPr>
        <w:tab/>
        <w:t>PPL</w:t>
      </w:r>
      <w:r w:rsidR="008D3260">
        <w:rPr>
          <w:sz w:val="26"/>
          <w:szCs w:val="26"/>
        </w:rPr>
        <w:t>’</w:t>
      </w:r>
      <w:r>
        <w:rPr>
          <w:sz w:val="26"/>
          <w:szCs w:val="26"/>
        </w:rPr>
        <w:t>s</w:t>
      </w:r>
      <w:r w:rsidR="00CD1C48" w:rsidRPr="003804C3">
        <w:rPr>
          <w:sz w:val="26"/>
          <w:szCs w:val="26"/>
        </w:rPr>
        <w:t xml:space="preserve"> second TOU </w:t>
      </w:r>
      <w:r w:rsidR="00D14008">
        <w:rPr>
          <w:sz w:val="26"/>
          <w:szCs w:val="26"/>
        </w:rPr>
        <w:t>program</w:t>
      </w:r>
      <w:r>
        <w:rPr>
          <w:sz w:val="26"/>
          <w:szCs w:val="26"/>
        </w:rPr>
        <w:t xml:space="preserve"> (</w:t>
      </w:r>
      <w:r w:rsidR="00CD1C48" w:rsidRPr="003804C3">
        <w:rPr>
          <w:sz w:val="26"/>
          <w:szCs w:val="26"/>
        </w:rPr>
        <w:t>Supplement No. 94</w:t>
      </w:r>
      <w:r>
        <w:rPr>
          <w:sz w:val="26"/>
          <w:szCs w:val="26"/>
        </w:rPr>
        <w:t>)</w:t>
      </w:r>
      <w:r w:rsidR="00CD1C48" w:rsidRPr="003804C3">
        <w:rPr>
          <w:sz w:val="26"/>
          <w:szCs w:val="26"/>
        </w:rPr>
        <w:t xml:space="preserve"> </w:t>
      </w:r>
      <w:r>
        <w:rPr>
          <w:sz w:val="26"/>
          <w:szCs w:val="26"/>
        </w:rPr>
        <w:t xml:space="preserve">implemented changes to the initial TOU </w:t>
      </w:r>
      <w:r w:rsidR="00D14008">
        <w:rPr>
          <w:sz w:val="26"/>
          <w:szCs w:val="26"/>
        </w:rPr>
        <w:t xml:space="preserve">program by, </w:t>
      </w:r>
      <w:r w:rsidR="00D14008">
        <w:rPr>
          <w:i/>
          <w:sz w:val="26"/>
          <w:szCs w:val="26"/>
        </w:rPr>
        <w:t>inter alia</w:t>
      </w:r>
      <w:r w:rsidR="00CB3204">
        <w:rPr>
          <w:i/>
          <w:sz w:val="26"/>
          <w:szCs w:val="26"/>
        </w:rPr>
        <w:t>,</w:t>
      </w:r>
      <w:r>
        <w:rPr>
          <w:sz w:val="26"/>
          <w:szCs w:val="26"/>
        </w:rPr>
        <w:t xml:space="preserve"> using spot market purchases under the DSP for TOU supply; </w:t>
      </w:r>
      <w:r w:rsidR="00EF7026">
        <w:rPr>
          <w:sz w:val="26"/>
          <w:szCs w:val="26"/>
        </w:rPr>
        <w:t xml:space="preserve">establishing </w:t>
      </w:r>
      <w:r>
        <w:rPr>
          <w:sz w:val="26"/>
          <w:szCs w:val="26"/>
        </w:rPr>
        <w:t xml:space="preserve">TOU rates </w:t>
      </w:r>
      <w:r w:rsidR="00414322">
        <w:rPr>
          <w:sz w:val="26"/>
          <w:szCs w:val="26"/>
        </w:rPr>
        <w:t>based upon</w:t>
      </w:r>
      <w:r>
        <w:rPr>
          <w:sz w:val="26"/>
          <w:szCs w:val="26"/>
        </w:rPr>
        <w:t xml:space="preserve"> </w:t>
      </w:r>
      <w:r w:rsidRPr="00435AE0">
        <w:rPr>
          <w:sz w:val="26"/>
          <w:szCs w:val="26"/>
        </w:rPr>
        <w:t>quotes on forward contracts for on-peak and off-peak wholesale energy within the PPL zone</w:t>
      </w:r>
      <w:r w:rsidR="00EF7026">
        <w:rPr>
          <w:sz w:val="26"/>
          <w:szCs w:val="26"/>
        </w:rPr>
        <w:t xml:space="preserve"> and the</w:t>
      </w:r>
      <w:r w:rsidR="00414322">
        <w:rPr>
          <w:sz w:val="26"/>
          <w:szCs w:val="26"/>
        </w:rPr>
        <w:t xml:space="preserve"> </w:t>
      </w:r>
      <w:r w:rsidR="00414322" w:rsidRPr="003804C3">
        <w:rPr>
          <w:sz w:val="26"/>
          <w:szCs w:val="26"/>
        </w:rPr>
        <w:t>histor</w:t>
      </w:r>
      <w:r w:rsidR="00EF7026">
        <w:rPr>
          <w:sz w:val="26"/>
          <w:szCs w:val="26"/>
        </w:rPr>
        <w:t>ical variation in PJM prices,</w:t>
      </w:r>
      <w:r w:rsidR="00414322">
        <w:rPr>
          <w:sz w:val="26"/>
          <w:szCs w:val="26"/>
        </w:rPr>
        <w:t xml:space="preserve"> adjusted to </w:t>
      </w:r>
      <w:r w:rsidR="00414322" w:rsidRPr="003804C3">
        <w:rPr>
          <w:sz w:val="26"/>
          <w:szCs w:val="26"/>
        </w:rPr>
        <w:t>reflect capacity</w:t>
      </w:r>
      <w:r w:rsidR="00EF7026">
        <w:rPr>
          <w:sz w:val="26"/>
          <w:szCs w:val="26"/>
        </w:rPr>
        <w:t xml:space="preserve"> costs,</w:t>
      </w:r>
      <w:r w:rsidR="00414322" w:rsidRPr="003804C3">
        <w:rPr>
          <w:sz w:val="26"/>
          <w:szCs w:val="26"/>
        </w:rPr>
        <w:t xml:space="preserve"> ancillary services, administrative costs, alternative energy credits, gross receipts, taxes and losses</w:t>
      </w:r>
      <w:r w:rsidR="00414322">
        <w:rPr>
          <w:sz w:val="26"/>
          <w:szCs w:val="26"/>
        </w:rPr>
        <w:t xml:space="preserve">.  PPL did not change the on-peak and off-peak hours and continued to operate the program within its DSP.  </w:t>
      </w:r>
      <w:r w:rsidR="00CD1C48" w:rsidRPr="003804C3">
        <w:rPr>
          <w:i/>
          <w:sz w:val="26"/>
          <w:szCs w:val="26"/>
        </w:rPr>
        <w:t>PPL Electric Utilities Corporation Supplement No. 94 to Tariff Electric – Pa. P.U.C. No. 201-</w:t>
      </w:r>
      <w:r w:rsidR="00CD1C48" w:rsidRPr="003804C3">
        <w:rPr>
          <w:i/>
          <w:sz w:val="26"/>
          <w:szCs w:val="26"/>
        </w:rPr>
        <w:lastRenderedPageBreak/>
        <w:t xml:space="preserve">Time of Use Rates, </w:t>
      </w:r>
      <w:r w:rsidR="00CD1C48" w:rsidRPr="003804C3">
        <w:rPr>
          <w:sz w:val="26"/>
          <w:szCs w:val="26"/>
        </w:rPr>
        <w:t>Docket No. R-2010-2201138 (Order entered December 2, 2010)</w:t>
      </w:r>
      <w:r w:rsidR="00414322">
        <w:rPr>
          <w:sz w:val="26"/>
          <w:szCs w:val="26"/>
        </w:rPr>
        <w:t>; R.D.</w:t>
      </w:r>
      <w:r w:rsidR="00124AFE">
        <w:rPr>
          <w:sz w:val="26"/>
          <w:szCs w:val="26"/>
        </w:rPr>
        <w:t> </w:t>
      </w:r>
      <w:r w:rsidR="00414322">
        <w:rPr>
          <w:sz w:val="26"/>
          <w:szCs w:val="26"/>
        </w:rPr>
        <w:t>at 10-11</w:t>
      </w:r>
      <w:r w:rsidR="00CD1C48" w:rsidRPr="003804C3">
        <w:rPr>
          <w:sz w:val="26"/>
          <w:szCs w:val="26"/>
        </w:rPr>
        <w:t>.</w:t>
      </w:r>
    </w:p>
    <w:p w:rsidR="00CD1C48" w:rsidRDefault="00CD1C48" w:rsidP="00006531">
      <w:pPr>
        <w:jc w:val="left"/>
        <w:rPr>
          <w:sz w:val="26"/>
          <w:szCs w:val="26"/>
        </w:rPr>
      </w:pPr>
    </w:p>
    <w:p w:rsidR="00CD1C48" w:rsidRDefault="00CD1C48" w:rsidP="00006531">
      <w:pPr>
        <w:jc w:val="left"/>
        <w:rPr>
          <w:sz w:val="26"/>
          <w:szCs w:val="26"/>
        </w:rPr>
      </w:pPr>
      <w:r w:rsidRPr="003804C3">
        <w:rPr>
          <w:sz w:val="26"/>
          <w:szCs w:val="26"/>
        </w:rPr>
        <w:tab/>
      </w:r>
      <w:r w:rsidRPr="003804C3">
        <w:rPr>
          <w:sz w:val="26"/>
          <w:szCs w:val="26"/>
        </w:rPr>
        <w:tab/>
        <w:t xml:space="preserve">The </w:t>
      </w:r>
      <w:r w:rsidR="005825AC">
        <w:rPr>
          <w:sz w:val="26"/>
          <w:szCs w:val="26"/>
        </w:rPr>
        <w:t xml:space="preserve">first Application Period for Supplement No. 94 </w:t>
      </w:r>
      <w:r w:rsidRPr="003804C3">
        <w:rPr>
          <w:sz w:val="26"/>
          <w:szCs w:val="26"/>
        </w:rPr>
        <w:t>ran from January 1, 2011 through May 31, 201</w:t>
      </w:r>
      <w:r>
        <w:rPr>
          <w:sz w:val="26"/>
          <w:szCs w:val="26"/>
        </w:rPr>
        <w:t>1</w:t>
      </w:r>
      <w:r w:rsidR="00086569">
        <w:rPr>
          <w:sz w:val="26"/>
          <w:szCs w:val="26"/>
        </w:rPr>
        <w:t>.  During this period b</w:t>
      </w:r>
      <w:r w:rsidRPr="003804C3">
        <w:rPr>
          <w:sz w:val="26"/>
          <w:szCs w:val="26"/>
        </w:rPr>
        <w:t xml:space="preserve">oth the on-peak and off-peak TOU rates were lower than the fixed price default service rate, meaning that customers could switch to TOU rates and save money without adjusting their usage.  As of May 2011, approximately 21,000 customers </w:t>
      </w:r>
      <w:r w:rsidR="00FD4B6F">
        <w:rPr>
          <w:sz w:val="26"/>
          <w:szCs w:val="26"/>
        </w:rPr>
        <w:t xml:space="preserve">had </w:t>
      </w:r>
      <w:r w:rsidRPr="003804C3">
        <w:rPr>
          <w:sz w:val="26"/>
          <w:szCs w:val="26"/>
        </w:rPr>
        <w:t>switched t</w:t>
      </w:r>
      <w:r w:rsidR="003F7BFF">
        <w:rPr>
          <w:sz w:val="26"/>
          <w:szCs w:val="26"/>
        </w:rPr>
        <w:t>o the TOU program.  PPL</w:t>
      </w:r>
      <w:r w:rsidR="00FD4B6F">
        <w:rPr>
          <w:sz w:val="26"/>
          <w:szCs w:val="26"/>
        </w:rPr>
        <w:t xml:space="preserve"> St</w:t>
      </w:r>
      <w:r w:rsidRPr="003804C3">
        <w:rPr>
          <w:sz w:val="26"/>
          <w:szCs w:val="26"/>
        </w:rPr>
        <w:t xml:space="preserve">. </w:t>
      </w:r>
      <w:r w:rsidR="00FD4B6F">
        <w:rPr>
          <w:sz w:val="26"/>
          <w:szCs w:val="26"/>
        </w:rPr>
        <w:t>1-R at 7; PPL</w:t>
      </w:r>
      <w:r>
        <w:rPr>
          <w:sz w:val="26"/>
          <w:szCs w:val="26"/>
        </w:rPr>
        <w:t xml:space="preserve"> M</w:t>
      </w:r>
      <w:r w:rsidR="00761568">
        <w:rPr>
          <w:sz w:val="26"/>
          <w:szCs w:val="26"/>
        </w:rPr>
        <w:t>.</w:t>
      </w:r>
      <w:r>
        <w:rPr>
          <w:sz w:val="26"/>
          <w:szCs w:val="26"/>
        </w:rPr>
        <w:t>B</w:t>
      </w:r>
      <w:r w:rsidR="00761568">
        <w:rPr>
          <w:sz w:val="26"/>
          <w:szCs w:val="26"/>
        </w:rPr>
        <w:t>.</w:t>
      </w:r>
      <w:r>
        <w:rPr>
          <w:sz w:val="26"/>
          <w:szCs w:val="26"/>
        </w:rPr>
        <w:t xml:space="preserve"> at 15; R.D. at 11.</w:t>
      </w:r>
    </w:p>
    <w:p w:rsidR="00FD4B6F" w:rsidRPr="003804C3" w:rsidRDefault="00FD4B6F" w:rsidP="00006531">
      <w:pPr>
        <w:jc w:val="left"/>
        <w:rPr>
          <w:sz w:val="26"/>
          <w:szCs w:val="26"/>
        </w:rPr>
      </w:pPr>
    </w:p>
    <w:p w:rsidR="00CD1C48" w:rsidRPr="003804C3" w:rsidRDefault="00086569" w:rsidP="00006531">
      <w:pPr>
        <w:jc w:val="left"/>
        <w:rPr>
          <w:sz w:val="26"/>
          <w:szCs w:val="26"/>
        </w:rPr>
      </w:pPr>
      <w:r>
        <w:rPr>
          <w:sz w:val="26"/>
          <w:szCs w:val="26"/>
        </w:rPr>
        <w:tab/>
      </w:r>
      <w:r>
        <w:rPr>
          <w:sz w:val="26"/>
          <w:szCs w:val="26"/>
        </w:rPr>
        <w:tab/>
        <w:t>The second Application Period for Supplement No. 94 ran f</w:t>
      </w:r>
      <w:r w:rsidR="00CD1C48" w:rsidRPr="003804C3">
        <w:rPr>
          <w:sz w:val="26"/>
          <w:szCs w:val="26"/>
        </w:rPr>
        <w:t>rom June 1, 2011 through August 31, 2011</w:t>
      </w:r>
      <w:r w:rsidR="00124AFE">
        <w:rPr>
          <w:sz w:val="26"/>
          <w:szCs w:val="26"/>
        </w:rPr>
        <w:t>.  During this period, b</w:t>
      </w:r>
      <w:r w:rsidR="00CD1C48" w:rsidRPr="003804C3">
        <w:rPr>
          <w:sz w:val="26"/>
          <w:szCs w:val="26"/>
        </w:rPr>
        <w:t xml:space="preserve">oth </w:t>
      </w:r>
      <w:r w:rsidR="00124AFE">
        <w:rPr>
          <w:sz w:val="26"/>
          <w:szCs w:val="26"/>
        </w:rPr>
        <w:t xml:space="preserve">the </w:t>
      </w:r>
      <w:r w:rsidR="00CD1C48" w:rsidRPr="003804C3">
        <w:rPr>
          <w:sz w:val="26"/>
          <w:szCs w:val="26"/>
        </w:rPr>
        <w:t>on-peak and off-peak TOU rates were higher than the fixed price def</w:t>
      </w:r>
      <w:r>
        <w:rPr>
          <w:sz w:val="26"/>
          <w:szCs w:val="26"/>
        </w:rPr>
        <w:t>ault service rate.  PPL</w:t>
      </w:r>
      <w:r w:rsidR="00CD1C48" w:rsidRPr="003804C3">
        <w:rPr>
          <w:sz w:val="26"/>
          <w:szCs w:val="26"/>
        </w:rPr>
        <w:t xml:space="preserve"> Ex</w:t>
      </w:r>
      <w:r>
        <w:rPr>
          <w:sz w:val="26"/>
          <w:szCs w:val="26"/>
        </w:rPr>
        <w:t>h.</w:t>
      </w:r>
      <w:r w:rsidR="00CD1C48" w:rsidRPr="003804C3">
        <w:rPr>
          <w:sz w:val="26"/>
          <w:szCs w:val="26"/>
        </w:rPr>
        <w:t xml:space="preserve"> </w:t>
      </w:r>
      <w:r w:rsidR="00CD24FE">
        <w:rPr>
          <w:sz w:val="26"/>
          <w:szCs w:val="26"/>
        </w:rPr>
        <w:t>1 at 2; PPL</w:t>
      </w:r>
      <w:r w:rsidR="00CD1C48" w:rsidRPr="003804C3">
        <w:rPr>
          <w:sz w:val="26"/>
          <w:szCs w:val="26"/>
        </w:rPr>
        <w:t xml:space="preserve"> M</w:t>
      </w:r>
      <w:r w:rsidR="00761568">
        <w:rPr>
          <w:sz w:val="26"/>
          <w:szCs w:val="26"/>
        </w:rPr>
        <w:t>.</w:t>
      </w:r>
      <w:r w:rsidR="00CD1C48" w:rsidRPr="003804C3">
        <w:rPr>
          <w:sz w:val="26"/>
          <w:szCs w:val="26"/>
        </w:rPr>
        <w:t>B</w:t>
      </w:r>
      <w:r w:rsidR="00761568">
        <w:rPr>
          <w:sz w:val="26"/>
          <w:szCs w:val="26"/>
        </w:rPr>
        <w:t>.</w:t>
      </w:r>
      <w:r w:rsidR="00CD1C48" w:rsidRPr="003804C3">
        <w:rPr>
          <w:sz w:val="26"/>
          <w:szCs w:val="26"/>
        </w:rPr>
        <w:t xml:space="preserve"> at</w:t>
      </w:r>
      <w:r w:rsidR="00124AFE">
        <w:rPr>
          <w:sz w:val="26"/>
          <w:szCs w:val="26"/>
        </w:rPr>
        <w:t> </w:t>
      </w:r>
      <w:r w:rsidR="00CD1C48" w:rsidRPr="003804C3">
        <w:rPr>
          <w:sz w:val="26"/>
          <w:szCs w:val="26"/>
        </w:rPr>
        <w:t xml:space="preserve">15.  </w:t>
      </w:r>
      <w:r w:rsidR="00761568">
        <w:rPr>
          <w:sz w:val="26"/>
          <w:szCs w:val="26"/>
        </w:rPr>
        <w:t>With</w:t>
      </w:r>
      <w:r w:rsidR="00CD1C48" w:rsidRPr="003804C3">
        <w:rPr>
          <w:sz w:val="26"/>
          <w:szCs w:val="26"/>
        </w:rPr>
        <w:t xml:space="preserve"> no advantage to customers, most dropped the TOU rate option and returned to fixed rate default service.  At the time of the hearing, the number of customers being served on the TOU sched</w:t>
      </w:r>
      <w:r>
        <w:rPr>
          <w:sz w:val="26"/>
          <w:szCs w:val="26"/>
        </w:rPr>
        <w:t>ule was approximately 3,200.  N.T</w:t>
      </w:r>
      <w:r w:rsidR="00CD1C48" w:rsidRPr="003804C3">
        <w:rPr>
          <w:sz w:val="26"/>
          <w:szCs w:val="26"/>
        </w:rPr>
        <w:t>.</w:t>
      </w:r>
      <w:r>
        <w:rPr>
          <w:sz w:val="26"/>
          <w:szCs w:val="26"/>
        </w:rPr>
        <w:t xml:space="preserve"> at</w:t>
      </w:r>
      <w:r w:rsidR="00CD1C48" w:rsidRPr="003804C3">
        <w:rPr>
          <w:sz w:val="26"/>
          <w:szCs w:val="26"/>
        </w:rPr>
        <w:t xml:space="preserve"> 27</w:t>
      </w:r>
      <w:r w:rsidR="00CD24FE">
        <w:rPr>
          <w:sz w:val="26"/>
          <w:szCs w:val="26"/>
        </w:rPr>
        <w:t>; PPL</w:t>
      </w:r>
      <w:r w:rsidR="00CD1C48">
        <w:rPr>
          <w:sz w:val="26"/>
          <w:szCs w:val="26"/>
        </w:rPr>
        <w:t xml:space="preserve"> M</w:t>
      </w:r>
      <w:r w:rsidR="00206449">
        <w:rPr>
          <w:sz w:val="26"/>
          <w:szCs w:val="26"/>
        </w:rPr>
        <w:t>.</w:t>
      </w:r>
      <w:r w:rsidR="00CD1C48">
        <w:rPr>
          <w:sz w:val="26"/>
          <w:szCs w:val="26"/>
        </w:rPr>
        <w:t>B</w:t>
      </w:r>
      <w:r w:rsidR="00206449">
        <w:rPr>
          <w:sz w:val="26"/>
          <w:szCs w:val="26"/>
        </w:rPr>
        <w:t>.</w:t>
      </w:r>
      <w:r w:rsidR="00CD1C48">
        <w:rPr>
          <w:sz w:val="26"/>
          <w:szCs w:val="26"/>
        </w:rPr>
        <w:t xml:space="preserve"> at 14; R.D. at 11.</w:t>
      </w:r>
    </w:p>
    <w:p w:rsidR="00CD1C48" w:rsidRPr="003804C3" w:rsidRDefault="00CD1C48" w:rsidP="00006531">
      <w:pPr>
        <w:jc w:val="left"/>
        <w:rPr>
          <w:sz w:val="26"/>
          <w:szCs w:val="26"/>
        </w:rPr>
      </w:pPr>
    </w:p>
    <w:p w:rsidR="00CD1C48" w:rsidRPr="003804C3" w:rsidRDefault="00CD1C48" w:rsidP="00006531">
      <w:pPr>
        <w:jc w:val="left"/>
        <w:rPr>
          <w:sz w:val="26"/>
          <w:szCs w:val="26"/>
        </w:rPr>
      </w:pPr>
      <w:r w:rsidRPr="003804C3">
        <w:rPr>
          <w:sz w:val="26"/>
          <w:szCs w:val="26"/>
        </w:rPr>
        <w:tab/>
      </w:r>
      <w:r w:rsidRPr="003804C3">
        <w:rPr>
          <w:sz w:val="26"/>
          <w:szCs w:val="26"/>
        </w:rPr>
        <w:tab/>
      </w:r>
      <w:r w:rsidR="00AE2050">
        <w:rPr>
          <w:sz w:val="26"/>
          <w:szCs w:val="26"/>
        </w:rPr>
        <w:t>PPL</w:t>
      </w:r>
      <w:r w:rsidRPr="003804C3">
        <w:rPr>
          <w:sz w:val="26"/>
          <w:szCs w:val="26"/>
        </w:rPr>
        <w:t xml:space="preserve"> re</w:t>
      </w:r>
      <w:r w:rsidR="0089331A">
        <w:rPr>
          <w:sz w:val="26"/>
          <w:szCs w:val="26"/>
        </w:rPr>
        <w:t>alized</w:t>
      </w:r>
      <w:r w:rsidRPr="003804C3">
        <w:rPr>
          <w:sz w:val="26"/>
          <w:szCs w:val="26"/>
        </w:rPr>
        <w:t xml:space="preserve"> a substantial undercollection</w:t>
      </w:r>
      <w:r w:rsidR="000B3111">
        <w:rPr>
          <w:rStyle w:val="FootnoteReference"/>
          <w:sz w:val="26"/>
          <w:szCs w:val="26"/>
        </w:rPr>
        <w:footnoteReference w:id="2"/>
      </w:r>
      <w:r w:rsidRPr="003804C3">
        <w:rPr>
          <w:sz w:val="26"/>
          <w:szCs w:val="26"/>
        </w:rPr>
        <w:t xml:space="preserve"> for its TOU program for the January 1, 2011 through May 31, 2011 application period.  </w:t>
      </w:r>
      <w:r w:rsidR="003F58F5">
        <w:rPr>
          <w:sz w:val="26"/>
          <w:szCs w:val="26"/>
        </w:rPr>
        <w:t>PPL</w:t>
      </w:r>
      <w:r w:rsidRPr="003804C3">
        <w:rPr>
          <w:sz w:val="26"/>
          <w:szCs w:val="26"/>
        </w:rPr>
        <w:t xml:space="preserve"> reported that the size of the undercollection and the reduced size of the customer base would have resulted in rates of approximately four times the fixed price default service rate.  </w:t>
      </w:r>
      <w:r w:rsidR="00124AFE">
        <w:rPr>
          <w:sz w:val="26"/>
          <w:szCs w:val="26"/>
        </w:rPr>
        <w:t>As such, t</w:t>
      </w:r>
      <w:r w:rsidRPr="003804C3">
        <w:rPr>
          <w:sz w:val="26"/>
          <w:szCs w:val="26"/>
        </w:rPr>
        <w:t>he Commission granted the Company</w:t>
      </w:r>
      <w:r w:rsidR="008D3260">
        <w:rPr>
          <w:sz w:val="26"/>
          <w:szCs w:val="26"/>
        </w:rPr>
        <w:t>’</w:t>
      </w:r>
      <w:r w:rsidRPr="003804C3">
        <w:rPr>
          <w:sz w:val="26"/>
          <w:szCs w:val="26"/>
        </w:rPr>
        <w:t>s</w:t>
      </w:r>
      <w:r w:rsidR="00124AFE">
        <w:rPr>
          <w:sz w:val="26"/>
          <w:szCs w:val="26"/>
        </w:rPr>
        <w:t xml:space="preserve"> </w:t>
      </w:r>
      <w:r w:rsidRPr="003804C3">
        <w:rPr>
          <w:sz w:val="26"/>
          <w:szCs w:val="26"/>
        </w:rPr>
        <w:t>request to</w:t>
      </w:r>
      <w:r w:rsidR="00124AFE">
        <w:rPr>
          <w:sz w:val="26"/>
          <w:szCs w:val="26"/>
        </w:rPr>
        <w:t>:</w:t>
      </w:r>
      <w:r w:rsidRPr="003804C3">
        <w:rPr>
          <w:sz w:val="26"/>
          <w:szCs w:val="26"/>
        </w:rPr>
        <w:t xml:space="preserve"> suspend the TOU rates that would have become</w:t>
      </w:r>
      <w:r w:rsidR="000208BE">
        <w:rPr>
          <w:sz w:val="26"/>
          <w:szCs w:val="26"/>
        </w:rPr>
        <w:t xml:space="preserve"> effective on September 1, 2011</w:t>
      </w:r>
      <w:r w:rsidR="00124AFE">
        <w:rPr>
          <w:sz w:val="26"/>
          <w:szCs w:val="26"/>
        </w:rPr>
        <w:t xml:space="preserve">; </w:t>
      </w:r>
      <w:r>
        <w:rPr>
          <w:sz w:val="26"/>
          <w:szCs w:val="26"/>
        </w:rPr>
        <w:t>maintain</w:t>
      </w:r>
      <w:r w:rsidRPr="003804C3">
        <w:rPr>
          <w:sz w:val="26"/>
          <w:szCs w:val="26"/>
        </w:rPr>
        <w:t xml:space="preserve"> the TOU rates in effect at that time</w:t>
      </w:r>
      <w:r w:rsidR="00124AFE">
        <w:rPr>
          <w:sz w:val="26"/>
          <w:szCs w:val="26"/>
        </w:rPr>
        <w:t xml:space="preserve">; and </w:t>
      </w:r>
      <w:r w:rsidRPr="003804C3">
        <w:rPr>
          <w:sz w:val="26"/>
          <w:szCs w:val="26"/>
        </w:rPr>
        <w:t>allow the Company to submit</w:t>
      </w:r>
      <w:r w:rsidR="000208BE">
        <w:rPr>
          <w:sz w:val="26"/>
          <w:szCs w:val="26"/>
        </w:rPr>
        <w:t xml:space="preserve"> a revised TOU program within thirty</w:t>
      </w:r>
      <w:r w:rsidRPr="003804C3">
        <w:rPr>
          <w:sz w:val="26"/>
          <w:szCs w:val="26"/>
        </w:rPr>
        <w:t xml:space="preserve"> days.  </w:t>
      </w:r>
      <w:r w:rsidRPr="000208BE">
        <w:rPr>
          <w:i/>
          <w:sz w:val="26"/>
          <w:szCs w:val="26"/>
        </w:rPr>
        <w:t>See</w:t>
      </w:r>
      <w:r w:rsidRPr="003804C3">
        <w:rPr>
          <w:sz w:val="26"/>
          <w:szCs w:val="26"/>
        </w:rPr>
        <w:t xml:space="preserve"> Docket No. M-2011-2258733 (Order entered August 25, 2011).</w:t>
      </w:r>
      <w:r>
        <w:rPr>
          <w:sz w:val="26"/>
          <w:szCs w:val="26"/>
        </w:rPr>
        <w:t xml:space="preserve">  R.D. at 11.</w:t>
      </w:r>
      <w:r w:rsidRPr="003804C3">
        <w:rPr>
          <w:sz w:val="26"/>
          <w:szCs w:val="26"/>
        </w:rPr>
        <w:t xml:space="preserve">  </w:t>
      </w:r>
    </w:p>
    <w:p w:rsidR="00CD1C48" w:rsidRPr="003804C3" w:rsidRDefault="00CD1C48" w:rsidP="00006531">
      <w:pPr>
        <w:pStyle w:val="BodyText2"/>
      </w:pPr>
      <w:r w:rsidRPr="003804C3">
        <w:lastRenderedPageBreak/>
        <w:tab/>
      </w:r>
      <w:r w:rsidRPr="003804C3">
        <w:tab/>
        <w:t xml:space="preserve">Pursuant to that Order, PPL filed </w:t>
      </w:r>
      <w:r w:rsidR="0089331A">
        <w:t>its third TOU program (Supplement No.</w:t>
      </w:r>
      <w:r w:rsidR="0094116C">
        <w:t> </w:t>
      </w:r>
      <w:r w:rsidR="0089331A">
        <w:t>110)</w:t>
      </w:r>
      <w:r>
        <w:t xml:space="preserve"> </w:t>
      </w:r>
      <w:r w:rsidR="0089331A">
        <w:t xml:space="preserve">proposing the following changes to the second TOU program: </w:t>
      </w:r>
      <w:r w:rsidR="00960B28">
        <w:t>o</w:t>
      </w:r>
      <w:r w:rsidR="0089331A">
        <w:t>n-peak and off-peak hours were changed to be consistent throughout the year</w:t>
      </w:r>
      <w:r w:rsidR="000208BE">
        <w:t xml:space="preserve"> rather than </w:t>
      </w:r>
      <w:r w:rsidR="0089331A">
        <w:t>seasonal; TOU</w:t>
      </w:r>
      <w:r w:rsidR="0094116C">
        <w:t> </w:t>
      </w:r>
      <w:r w:rsidR="0089331A">
        <w:t xml:space="preserve">rates </w:t>
      </w:r>
      <w:r w:rsidR="00960B28">
        <w:t>w</w:t>
      </w:r>
      <w:r w:rsidR="000208BE">
        <w:t>ere</w:t>
      </w:r>
      <w:r w:rsidR="00960B28">
        <w:t xml:space="preserve"> based upon the PTC with an added premium for on-peak hours and a discount for off-peak hours.  </w:t>
      </w:r>
      <w:r w:rsidR="008C27F9">
        <w:t>PPL St.</w:t>
      </w:r>
      <w:r w:rsidR="002B5775">
        <w:t xml:space="preserve"> 2 at 10; R.D. at 12.</w:t>
      </w:r>
    </w:p>
    <w:p w:rsidR="00CD1C48" w:rsidRPr="003804C3" w:rsidRDefault="00CD1C48" w:rsidP="00006531">
      <w:pPr>
        <w:spacing w:line="240" w:lineRule="auto"/>
        <w:ind w:left="1440"/>
        <w:jc w:val="left"/>
        <w:rPr>
          <w:sz w:val="26"/>
          <w:szCs w:val="26"/>
        </w:rPr>
      </w:pPr>
    </w:p>
    <w:p w:rsidR="00CD1C48" w:rsidRDefault="00CD1C48" w:rsidP="00006531">
      <w:pPr>
        <w:pStyle w:val="BodyText2"/>
      </w:pPr>
      <w:r w:rsidRPr="003804C3">
        <w:tab/>
      </w:r>
      <w:r w:rsidRPr="003804C3">
        <w:tab/>
      </w:r>
      <w:r w:rsidRPr="00D90919">
        <w:t xml:space="preserve">The advantage to the Company </w:t>
      </w:r>
      <w:r w:rsidR="008F2D2D">
        <w:t xml:space="preserve">under Supplement No. 110 </w:t>
      </w:r>
      <w:r w:rsidRPr="00D90919">
        <w:t xml:space="preserve">is that the under and over collection of default service costs will not vary with the enrollment </w:t>
      </w:r>
      <w:r w:rsidR="0094116C">
        <w:t>in</w:t>
      </w:r>
      <w:r w:rsidRPr="00D90919">
        <w:t xml:space="preserve"> the TOU program because the TOU rates are tied to the default service rate.  OCA St. 1 at 4; R.D. at 12.  In addition, for reconcil</w:t>
      </w:r>
      <w:r w:rsidR="008C27F9">
        <w:t>iation purposes, the Company wi</w:t>
      </w:r>
      <w:r w:rsidRPr="00D90919">
        <w:t>l</w:t>
      </w:r>
      <w:r w:rsidR="008C27F9">
        <w:t>l</w:t>
      </w:r>
      <w:r w:rsidRPr="00D90919">
        <w:t xml:space="preserve"> treat all TOU service</w:t>
      </w:r>
      <w:r w:rsidR="001F1916">
        <w:t>s</w:t>
      </w:r>
      <w:r w:rsidRPr="00D90919">
        <w:t xml:space="preserve"> as though </w:t>
      </w:r>
      <w:r w:rsidR="001F1916">
        <w:t xml:space="preserve">they </w:t>
      </w:r>
      <w:r w:rsidR="008F2D2D">
        <w:t>w</w:t>
      </w:r>
      <w:r w:rsidR="001F1916">
        <w:t>ere</w:t>
      </w:r>
      <w:r w:rsidR="008F2D2D">
        <w:t xml:space="preserve"> </w:t>
      </w:r>
      <w:r w:rsidRPr="00D90919">
        <w:t>billed at straight default service</w:t>
      </w:r>
      <w:r w:rsidR="008C27F9">
        <w:t xml:space="preserve"> rates.  PPL St</w:t>
      </w:r>
      <w:r w:rsidRPr="00D90919">
        <w:t>. 1 at 7; R.D. at 12.</w:t>
      </w:r>
    </w:p>
    <w:p w:rsidR="001B7637" w:rsidRDefault="001B7637" w:rsidP="00006531">
      <w:pPr>
        <w:pStyle w:val="BodyText2"/>
      </w:pPr>
    </w:p>
    <w:p w:rsidR="001B7637" w:rsidRPr="00D90919" w:rsidRDefault="001B7637" w:rsidP="00006531">
      <w:pPr>
        <w:pStyle w:val="BodyText2"/>
      </w:pPr>
      <w:r>
        <w:tab/>
      </w:r>
      <w:r>
        <w:tab/>
        <w:t>An evidentiary hearing was thereafter held on February 22, 2012.  Subsequent to the close of the record, the ALJ issued her Recommended Decision in which she denied the Company’s request to implement Supplement No. 110.  As noted, PPL, I&amp;E, and the OCA filed Exceptions.  PPL and the OCA filed Reply Exceptions.</w:t>
      </w:r>
    </w:p>
    <w:p w:rsidR="00CD1C48" w:rsidRPr="00D90919" w:rsidRDefault="00CD1C48" w:rsidP="00006531">
      <w:pPr>
        <w:jc w:val="left"/>
        <w:rPr>
          <w:sz w:val="26"/>
          <w:szCs w:val="26"/>
        </w:rPr>
      </w:pPr>
    </w:p>
    <w:p w:rsidR="009B51BB" w:rsidRDefault="00CD1C48" w:rsidP="00006531">
      <w:pPr>
        <w:jc w:val="left"/>
        <w:rPr>
          <w:sz w:val="26"/>
          <w:szCs w:val="26"/>
        </w:rPr>
      </w:pPr>
      <w:r w:rsidRPr="00D90919">
        <w:rPr>
          <w:sz w:val="26"/>
          <w:szCs w:val="26"/>
        </w:rPr>
        <w:tab/>
      </w:r>
      <w:r w:rsidRPr="00D90919">
        <w:rPr>
          <w:sz w:val="26"/>
          <w:szCs w:val="26"/>
        </w:rPr>
        <w:tab/>
      </w:r>
      <w:r w:rsidR="001F1916">
        <w:rPr>
          <w:sz w:val="26"/>
          <w:szCs w:val="26"/>
        </w:rPr>
        <w:t>Before we address the merits of the Exceptions to the Recommended Decision, we note, a</w:t>
      </w:r>
      <w:r w:rsidR="009B51BB" w:rsidRPr="00981D7C">
        <w:rPr>
          <w:sz w:val="26"/>
          <w:szCs w:val="26"/>
        </w:rPr>
        <w:t xml:space="preserve">s a preliminary matter, that any issue or Exception that we do not specifically address has been duly considered and will be denied without further discussion.  It is well settled that the Commission is not required to consider, expressly or at length, each contention or argument raised by the parties.  </w:t>
      </w:r>
      <w:r w:rsidR="009B51BB" w:rsidRPr="00981D7C">
        <w:rPr>
          <w:i/>
          <w:sz w:val="26"/>
          <w:szCs w:val="26"/>
        </w:rPr>
        <w:t>Consolidate</w:t>
      </w:r>
      <w:r w:rsidR="00400855">
        <w:rPr>
          <w:i/>
          <w:sz w:val="26"/>
          <w:szCs w:val="26"/>
        </w:rPr>
        <w:t>d Rail Corporation v. Pa. PUC</w:t>
      </w:r>
      <w:r w:rsidR="009B51BB" w:rsidRPr="00981D7C">
        <w:rPr>
          <w:sz w:val="26"/>
          <w:szCs w:val="26"/>
        </w:rPr>
        <w:t xml:space="preserve">, 625 A.2d 741 (Pa. Cmwlth. 1993); </w:t>
      </w:r>
      <w:r w:rsidR="009B51BB" w:rsidRPr="00981D7C">
        <w:rPr>
          <w:i/>
          <w:sz w:val="26"/>
          <w:szCs w:val="26"/>
        </w:rPr>
        <w:t>see also</w:t>
      </w:r>
      <w:r w:rsidR="009B51BB" w:rsidRPr="00981D7C">
        <w:rPr>
          <w:sz w:val="26"/>
          <w:szCs w:val="26"/>
        </w:rPr>
        <w:t xml:space="preserve">, </w:t>
      </w:r>
      <w:r w:rsidR="009B51BB" w:rsidRPr="00981D7C">
        <w:rPr>
          <w:i/>
          <w:sz w:val="26"/>
          <w:szCs w:val="26"/>
        </w:rPr>
        <w:t>generally</w:t>
      </w:r>
      <w:r w:rsidR="009B51BB" w:rsidRPr="00981D7C">
        <w:rPr>
          <w:sz w:val="26"/>
          <w:szCs w:val="26"/>
        </w:rPr>
        <w:t xml:space="preserve">, </w:t>
      </w:r>
      <w:r w:rsidR="009B51BB" w:rsidRPr="00981D7C">
        <w:rPr>
          <w:i/>
          <w:sz w:val="26"/>
          <w:szCs w:val="26"/>
        </w:rPr>
        <w:t>University of Pennsylvania v. Pa. PUC</w:t>
      </w:r>
      <w:r w:rsidR="009B51BB" w:rsidRPr="00981D7C">
        <w:rPr>
          <w:sz w:val="26"/>
          <w:szCs w:val="26"/>
        </w:rPr>
        <w:t>, 485 A.2d 1217 (Pa. Cmwlth. 1984).</w:t>
      </w:r>
    </w:p>
    <w:p w:rsidR="009B51BB" w:rsidRPr="00D90919" w:rsidRDefault="009B51BB" w:rsidP="00006531">
      <w:pPr>
        <w:jc w:val="left"/>
        <w:rPr>
          <w:sz w:val="26"/>
          <w:szCs w:val="26"/>
        </w:rPr>
      </w:pPr>
    </w:p>
    <w:p w:rsidR="009364B5" w:rsidRPr="003804C3" w:rsidRDefault="00CD1C48" w:rsidP="002F6D67">
      <w:pPr>
        <w:pStyle w:val="Heading2"/>
      </w:pPr>
      <w:bookmarkStart w:id="4" w:name="_Toc333991291"/>
      <w:r>
        <w:t>C</w:t>
      </w:r>
      <w:r w:rsidR="00917649" w:rsidRPr="003804C3">
        <w:t>.</w:t>
      </w:r>
      <w:r w:rsidR="00917649" w:rsidRPr="003804C3">
        <w:tab/>
        <w:t>Legal Standard</w:t>
      </w:r>
      <w:r w:rsidR="009364B5" w:rsidRPr="003804C3">
        <w:t xml:space="preserve"> for TOU Programs</w:t>
      </w:r>
      <w:bookmarkEnd w:id="4"/>
    </w:p>
    <w:p w:rsidR="009364B5" w:rsidRPr="003804C3" w:rsidRDefault="009364B5" w:rsidP="00DF7C0B">
      <w:pPr>
        <w:keepNext/>
        <w:contextualSpacing/>
        <w:jc w:val="left"/>
        <w:rPr>
          <w:sz w:val="26"/>
          <w:szCs w:val="26"/>
        </w:rPr>
      </w:pPr>
    </w:p>
    <w:p w:rsidR="008752B2" w:rsidRDefault="009364B5" w:rsidP="00006531">
      <w:pPr>
        <w:contextualSpacing/>
        <w:jc w:val="left"/>
        <w:rPr>
          <w:sz w:val="26"/>
          <w:szCs w:val="26"/>
        </w:rPr>
      </w:pPr>
      <w:r w:rsidRPr="003804C3">
        <w:rPr>
          <w:sz w:val="26"/>
          <w:szCs w:val="26"/>
        </w:rPr>
        <w:tab/>
      </w:r>
      <w:r w:rsidRPr="003804C3">
        <w:rPr>
          <w:sz w:val="26"/>
          <w:szCs w:val="26"/>
        </w:rPr>
        <w:tab/>
      </w:r>
      <w:r w:rsidR="00097D58">
        <w:rPr>
          <w:sz w:val="26"/>
          <w:szCs w:val="26"/>
        </w:rPr>
        <w:t>A</w:t>
      </w:r>
      <w:r w:rsidR="00097D58" w:rsidRPr="00097D58">
        <w:rPr>
          <w:sz w:val="26"/>
          <w:szCs w:val="26"/>
        </w:rPr>
        <w:t xml:space="preserve"> default service pr</w:t>
      </w:r>
      <w:r w:rsidR="00097D58">
        <w:rPr>
          <w:sz w:val="26"/>
          <w:szCs w:val="26"/>
        </w:rPr>
        <w:t>ovider is required to</w:t>
      </w:r>
      <w:r w:rsidR="00097D58" w:rsidRPr="00097D58">
        <w:rPr>
          <w:sz w:val="26"/>
          <w:szCs w:val="26"/>
        </w:rPr>
        <w:t xml:space="preserve"> submit to the </w:t>
      </w:r>
      <w:r w:rsidR="00187435">
        <w:rPr>
          <w:sz w:val="26"/>
          <w:szCs w:val="26"/>
        </w:rPr>
        <w:t>C</w:t>
      </w:r>
      <w:r w:rsidR="00097D58" w:rsidRPr="00097D58">
        <w:rPr>
          <w:sz w:val="26"/>
          <w:szCs w:val="26"/>
        </w:rPr>
        <w:t>ommission</w:t>
      </w:r>
      <w:r w:rsidR="00097D58">
        <w:rPr>
          <w:sz w:val="26"/>
          <w:szCs w:val="26"/>
        </w:rPr>
        <w:t xml:space="preserve"> for approval or modification,</w:t>
      </w:r>
      <w:r w:rsidR="00097D58" w:rsidRPr="00097D58">
        <w:rPr>
          <w:sz w:val="26"/>
          <w:szCs w:val="26"/>
        </w:rPr>
        <w:t xml:space="preserve"> one or more proposed </w:t>
      </w:r>
      <w:r w:rsidR="00097D58">
        <w:rPr>
          <w:sz w:val="26"/>
          <w:szCs w:val="26"/>
        </w:rPr>
        <w:t>TOU</w:t>
      </w:r>
      <w:r w:rsidR="00097D58" w:rsidRPr="00097D58">
        <w:rPr>
          <w:sz w:val="26"/>
          <w:szCs w:val="26"/>
        </w:rPr>
        <w:t xml:space="preserve"> and real-time pricing plans.  </w:t>
      </w:r>
      <w:r w:rsidR="00097D58">
        <w:rPr>
          <w:sz w:val="26"/>
          <w:szCs w:val="26"/>
        </w:rPr>
        <w:t>T</w:t>
      </w:r>
      <w:r w:rsidR="00097D58" w:rsidRPr="00097D58">
        <w:rPr>
          <w:sz w:val="26"/>
          <w:szCs w:val="26"/>
        </w:rPr>
        <w:t xml:space="preserve">he </w:t>
      </w:r>
      <w:r w:rsidR="00097D58" w:rsidRPr="00097D58">
        <w:rPr>
          <w:sz w:val="26"/>
          <w:szCs w:val="26"/>
        </w:rPr>
        <w:lastRenderedPageBreak/>
        <w:t xml:space="preserve">provider shall offer the </w:t>
      </w:r>
      <w:r w:rsidR="00097D58">
        <w:rPr>
          <w:sz w:val="26"/>
          <w:szCs w:val="26"/>
        </w:rPr>
        <w:t>TOU</w:t>
      </w:r>
      <w:r w:rsidR="00097D58" w:rsidRPr="00097D58">
        <w:rPr>
          <w:sz w:val="26"/>
          <w:szCs w:val="26"/>
        </w:rPr>
        <w:t xml:space="preserve"> rates and real-time price plan to all customer</w:t>
      </w:r>
      <w:r w:rsidR="00CB290F">
        <w:rPr>
          <w:sz w:val="26"/>
          <w:szCs w:val="26"/>
        </w:rPr>
        <w:t>s</w:t>
      </w:r>
      <w:r w:rsidR="00097D58" w:rsidRPr="00097D58">
        <w:rPr>
          <w:sz w:val="26"/>
          <w:szCs w:val="26"/>
        </w:rPr>
        <w:t xml:space="preserve"> that have been provided with smart meter technology</w:t>
      </w:r>
      <w:r w:rsidR="00F00239">
        <w:rPr>
          <w:sz w:val="26"/>
          <w:szCs w:val="26"/>
        </w:rPr>
        <w:t>.  6</w:t>
      </w:r>
      <w:r w:rsidR="00F00239" w:rsidRPr="003804C3">
        <w:rPr>
          <w:sz w:val="26"/>
          <w:szCs w:val="26"/>
        </w:rPr>
        <w:t>6 Pa. C.S. § 2807(f)(5</w:t>
      </w:r>
      <w:r w:rsidR="001F1916">
        <w:rPr>
          <w:sz w:val="26"/>
          <w:szCs w:val="26"/>
        </w:rPr>
        <w:t>); R.D. at 8.</w:t>
      </w:r>
    </w:p>
    <w:p w:rsidR="006D6E28" w:rsidRPr="006D6E28" w:rsidRDefault="006D6E28" w:rsidP="006D6E28">
      <w:pPr>
        <w:pStyle w:val="NormalWeb"/>
        <w:spacing w:line="232" w:lineRule="atLeast"/>
        <w:ind w:left="1440" w:right="1440"/>
        <w:rPr>
          <w:sz w:val="26"/>
          <w:szCs w:val="26"/>
        </w:rPr>
      </w:pPr>
      <w:r w:rsidRPr="006D6E28">
        <w:rPr>
          <w:sz w:val="26"/>
          <w:szCs w:val="26"/>
        </w:rPr>
        <w:t>(5)  By January 1, 2010, or at the end of the applicable generation rate cap period, whichever is later, a default service provider shall submit to the commission one or more proposed time-of-use rates and real-time price plans. The commission shall approve or modify the time-of-use rates and real-time price plan within six months of submittal. The default service provider shall offer the time-of-use rates and real-time price plan to all customers that have been provided with smart meter technology under paragraph (2)(iii). Residential or commercial customers may elect to participate in time-of-use rates or real-time pricing. The default service provider shall submit an annual report to the price programs and the efficacy of the programs in affecting energy demand and consumption and the effect on wholesale market prices.</w:t>
      </w:r>
    </w:p>
    <w:p w:rsidR="002F6D67" w:rsidRDefault="002F6D67" w:rsidP="00006531">
      <w:pPr>
        <w:contextualSpacing/>
        <w:jc w:val="left"/>
        <w:rPr>
          <w:sz w:val="26"/>
          <w:szCs w:val="26"/>
        </w:rPr>
      </w:pPr>
    </w:p>
    <w:p w:rsidR="006D6E28" w:rsidRDefault="006D6E28" w:rsidP="00006531">
      <w:pPr>
        <w:contextualSpacing/>
        <w:jc w:val="left"/>
        <w:rPr>
          <w:sz w:val="26"/>
          <w:szCs w:val="26"/>
        </w:rPr>
      </w:pPr>
      <w:r>
        <w:rPr>
          <w:sz w:val="26"/>
          <w:szCs w:val="26"/>
        </w:rPr>
        <w:t>6</w:t>
      </w:r>
      <w:r w:rsidRPr="003804C3">
        <w:rPr>
          <w:sz w:val="26"/>
          <w:szCs w:val="26"/>
        </w:rPr>
        <w:t>6 Pa. C.S. § 2807(f)(5</w:t>
      </w:r>
      <w:r>
        <w:rPr>
          <w:sz w:val="26"/>
          <w:szCs w:val="26"/>
        </w:rPr>
        <w:t>)</w:t>
      </w:r>
    </w:p>
    <w:p w:rsidR="003D0820" w:rsidRDefault="003D0820" w:rsidP="003D0820">
      <w:pPr>
        <w:ind w:left="2160" w:right="1440"/>
        <w:contextualSpacing/>
        <w:jc w:val="left"/>
        <w:rPr>
          <w:sz w:val="26"/>
          <w:szCs w:val="26"/>
        </w:rPr>
      </w:pPr>
    </w:p>
    <w:p w:rsidR="003D0820" w:rsidRPr="003D0820" w:rsidRDefault="003D0820" w:rsidP="003D0820">
      <w:pPr>
        <w:ind w:right="1440"/>
        <w:contextualSpacing/>
        <w:jc w:val="left"/>
        <w:rPr>
          <w:sz w:val="26"/>
          <w:szCs w:val="26"/>
        </w:rPr>
      </w:pPr>
      <w:r>
        <w:rPr>
          <w:sz w:val="26"/>
          <w:szCs w:val="26"/>
        </w:rPr>
        <w:tab/>
      </w:r>
      <w:r>
        <w:rPr>
          <w:sz w:val="26"/>
          <w:szCs w:val="26"/>
        </w:rPr>
        <w:tab/>
        <w:t>Section 2807(g) of the Act provides the following definition:</w:t>
      </w:r>
    </w:p>
    <w:p w:rsidR="003D0820" w:rsidRPr="003D0820" w:rsidRDefault="00DF7C0B" w:rsidP="003D0820">
      <w:pPr>
        <w:spacing w:line="232" w:lineRule="atLeast"/>
        <w:ind w:left="2160" w:right="1440" w:firstLine="436"/>
        <w:jc w:val="left"/>
        <w:rPr>
          <w:rFonts w:eastAsia="Times New Roman"/>
          <w:sz w:val="26"/>
          <w:szCs w:val="26"/>
        </w:rPr>
      </w:pPr>
      <w:r>
        <w:rPr>
          <w:rFonts w:eastAsia="Times New Roman"/>
          <w:b/>
          <w:bCs/>
          <w:sz w:val="26"/>
          <w:szCs w:val="26"/>
        </w:rPr>
        <w:t>(g)</w:t>
      </w:r>
      <w:r w:rsidR="003D0820" w:rsidRPr="003D0820">
        <w:rPr>
          <w:rFonts w:eastAsia="Times New Roman"/>
          <w:b/>
          <w:bCs/>
          <w:sz w:val="26"/>
          <w:szCs w:val="26"/>
        </w:rPr>
        <w:t> Definition.--</w:t>
      </w:r>
      <w:r w:rsidR="003D0820" w:rsidRPr="003D0820">
        <w:rPr>
          <w:rFonts w:eastAsia="Times New Roman"/>
          <w:sz w:val="26"/>
          <w:szCs w:val="26"/>
        </w:rPr>
        <w:t>As used in this section, the term "smart meter technology" means technology, including metering technology and network communications technology capable of bidirectional communication, that records electricity usage on at least an hourly basis, including related electric distribution system upgrades to enable the technology. The technology shall provide customers with direct access to and use of price and consumption information. The technology shall also:</w:t>
      </w:r>
    </w:p>
    <w:p w:rsidR="003D0820" w:rsidRPr="003D0820" w:rsidRDefault="003D0820" w:rsidP="003D0820">
      <w:pPr>
        <w:spacing w:line="232" w:lineRule="atLeast"/>
        <w:ind w:left="2160" w:right="1440" w:firstLine="577"/>
        <w:jc w:val="left"/>
        <w:rPr>
          <w:rFonts w:eastAsia="Times New Roman"/>
          <w:sz w:val="26"/>
          <w:szCs w:val="26"/>
        </w:rPr>
      </w:pPr>
      <w:r w:rsidRPr="003D0820">
        <w:rPr>
          <w:rFonts w:eastAsia="Times New Roman"/>
          <w:sz w:val="26"/>
          <w:szCs w:val="26"/>
        </w:rPr>
        <w:t>(1)  Directly provide customers with information on their hourly consumption.</w:t>
      </w:r>
    </w:p>
    <w:p w:rsidR="003D0820" w:rsidRPr="003D0820" w:rsidRDefault="003D0820" w:rsidP="003D0820">
      <w:pPr>
        <w:spacing w:line="232" w:lineRule="atLeast"/>
        <w:ind w:left="2160" w:right="1440" w:firstLine="577"/>
        <w:jc w:val="left"/>
        <w:rPr>
          <w:rFonts w:eastAsia="Times New Roman"/>
          <w:sz w:val="26"/>
          <w:szCs w:val="26"/>
        </w:rPr>
      </w:pPr>
      <w:r w:rsidRPr="003D0820">
        <w:rPr>
          <w:rFonts w:eastAsia="Times New Roman"/>
          <w:sz w:val="26"/>
          <w:szCs w:val="26"/>
        </w:rPr>
        <w:t>(2)  Enable time-of-use rates and real-time price programs.</w:t>
      </w:r>
    </w:p>
    <w:p w:rsidR="003D0820" w:rsidRPr="003D0820" w:rsidRDefault="003D0820" w:rsidP="003D0820">
      <w:pPr>
        <w:spacing w:line="232" w:lineRule="atLeast"/>
        <w:ind w:left="2160" w:right="1440" w:firstLine="577"/>
        <w:jc w:val="left"/>
        <w:rPr>
          <w:rFonts w:eastAsia="Times New Roman"/>
          <w:sz w:val="26"/>
          <w:szCs w:val="26"/>
        </w:rPr>
      </w:pPr>
      <w:r w:rsidRPr="003D0820">
        <w:rPr>
          <w:rFonts w:eastAsia="Times New Roman"/>
          <w:sz w:val="26"/>
          <w:szCs w:val="26"/>
        </w:rPr>
        <w:t>(3)  Effectively support the automatic control of the customer's electricity consumption by one or more of the following as selected by the customer:</w:t>
      </w:r>
    </w:p>
    <w:p w:rsidR="003D0820" w:rsidRPr="003D0820" w:rsidRDefault="003D0820" w:rsidP="003D0820">
      <w:pPr>
        <w:spacing w:line="232" w:lineRule="atLeast"/>
        <w:ind w:left="2160" w:right="1440" w:firstLine="577"/>
        <w:jc w:val="left"/>
        <w:rPr>
          <w:rFonts w:eastAsia="Times New Roman"/>
          <w:sz w:val="26"/>
          <w:szCs w:val="26"/>
        </w:rPr>
      </w:pPr>
      <w:r w:rsidRPr="003D0820">
        <w:rPr>
          <w:rFonts w:eastAsia="Times New Roman"/>
          <w:sz w:val="26"/>
          <w:szCs w:val="26"/>
        </w:rPr>
        <w:t>(i)  the customer;</w:t>
      </w:r>
    </w:p>
    <w:p w:rsidR="003D0820" w:rsidRPr="003D0820" w:rsidRDefault="003D0820" w:rsidP="003D0820">
      <w:pPr>
        <w:spacing w:line="232" w:lineRule="atLeast"/>
        <w:ind w:left="2160" w:right="1440" w:firstLine="577"/>
        <w:jc w:val="left"/>
        <w:rPr>
          <w:rFonts w:eastAsia="Times New Roman"/>
          <w:sz w:val="26"/>
          <w:szCs w:val="26"/>
        </w:rPr>
      </w:pPr>
      <w:r w:rsidRPr="003D0820">
        <w:rPr>
          <w:rFonts w:eastAsia="Times New Roman"/>
          <w:sz w:val="26"/>
          <w:szCs w:val="26"/>
        </w:rPr>
        <w:t>(ii)  the customer's utility; or</w:t>
      </w:r>
    </w:p>
    <w:p w:rsidR="003D0820" w:rsidRPr="003D0820" w:rsidRDefault="003D0820" w:rsidP="003D0820">
      <w:pPr>
        <w:spacing w:line="232" w:lineRule="atLeast"/>
        <w:ind w:left="2160" w:right="1440" w:firstLine="577"/>
        <w:jc w:val="left"/>
        <w:rPr>
          <w:rFonts w:eastAsia="Times New Roman"/>
          <w:sz w:val="26"/>
          <w:szCs w:val="26"/>
        </w:rPr>
      </w:pPr>
      <w:r w:rsidRPr="003D0820">
        <w:rPr>
          <w:rFonts w:eastAsia="Times New Roman"/>
          <w:sz w:val="26"/>
          <w:szCs w:val="26"/>
        </w:rPr>
        <w:lastRenderedPageBreak/>
        <w:t>(iii)  a third party engaged by the customer or the customer's utility.</w:t>
      </w:r>
    </w:p>
    <w:p w:rsidR="002F6D67" w:rsidRDefault="002F6D67" w:rsidP="00CC6150">
      <w:pPr>
        <w:spacing w:line="240" w:lineRule="auto"/>
        <w:ind w:right="1440"/>
        <w:jc w:val="left"/>
        <w:rPr>
          <w:sz w:val="26"/>
          <w:szCs w:val="26"/>
        </w:rPr>
      </w:pPr>
    </w:p>
    <w:p w:rsidR="003D0820" w:rsidRDefault="00CC6150" w:rsidP="002F6D67">
      <w:pPr>
        <w:spacing w:line="240" w:lineRule="auto"/>
        <w:ind w:right="1440"/>
        <w:jc w:val="left"/>
        <w:rPr>
          <w:sz w:val="26"/>
          <w:szCs w:val="26"/>
        </w:rPr>
      </w:pPr>
      <w:r>
        <w:rPr>
          <w:sz w:val="26"/>
          <w:szCs w:val="26"/>
        </w:rPr>
        <w:t>66 Pa. C.S. § 2807(g)</w:t>
      </w:r>
    </w:p>
    <w:p w:rsidR="00BD6723" w:rsidRDefault="00BD6723" w:rsidP="002F6D67">
      <w:pPr>
        <w:spacing w:line="240" w:lineRule="auto"/>
        <w:ind w:right="1440"/>
        <w:jc w:val="left"/>
        <w:rPr>
          <w:sz w:val="26"/>
          <w:szCs w:val="26"/>
        </w:rPr>
      </w:pPr>
    </w:p>
    <w:p w:rsidR="00BD6723" w:rsidRDefault="00BD6723" w:rsidP="002F6D67">
      <w:pPr>
        <w:spacing w:line="240" w:lineRule="auto"/>
        <w:ind w:right="1440"/>
        <w:jc w:val="left"/>
        <w:rPr>
          <w:sz w:val="26"/>
          <w:szCs w:val="26"/>
        </w:rPr>
      </w:pPr>
    </w:p>
    <w:p w:rsidR="00BD6723" w:rsidRPr="00EF59CE" w:rsidRDefault="00BD6723" w:rsidP="00D22F82">
      <w:pPr>
        <w:pStyle w:val="Heading2"/>
      </w:pPr>
      <w:bookmarkStart w:id="5" w:name="_Toc333991292"/>
      <w:r w:rsidRPr="00EF59CE">
        <w:t>D</w:t>
      </w:r>
      <w:r>
        <w:t>.</w:t>
      </w:r>
      <w:r w:rsidRPr="003804C3">
        <w:tab/>
      </w:r>
      <w:r>
        <w:t>Peak and Off-Peak Hours</w:t>
      </w:r>
      <w:bookmarkEnd w:id="5"/>
    </w:p>
    <w:p w:rsidR="00BD6723" w:rsidRPr="00E27F2B" w:rsidRDefault="00BD6723" w:rsidP="00BD6723">
      <w:pPr>
        <w:jc w:val="left"/>
        <w:rPr>
          <w:sz w:val="26"/>
          <w:szCs w:val="26"/>
        </w:rPr>
      </w:pPr>
    </w:p>
    <w:p w:rsidR="00BD6723" w:rsidRDefault="00BD6723" w:rsidP="00D22F82">
      <w:pPr>
        <w:pStyle w:val="Heading3"/>
      </w:pPr>
      <w:r>
        <w:tab/>
      </w:r>
      <w:r>
        <w:tab/>
      </w:r>
      <w:bookmarkStart w:id="6" w:name="_Toc333991293"/>
      <w:r>
        <w:t>1.</w:t>
      </w:r>
      <w:r w:rsidRPr="00E6583D">
        <w:tab/>
        <w:t>Positions of the Parties</w:t>
      </w:r>
      <w:bookmarkEnd w:id="6"/>
    </w:p>
    <w:p w:rsidR="00BD6723" w:rsidRPr="00E6583D" w:rsidRDefault="00BD6723" w:rsidP="00BD6723">
      <w:pPr>
        <w:jc w:val="left"/>
        <w:rPr>
          <w:sz w:val="26"/>
          <w:szCs w:val="26"/>
        </w:rPr>
      </w:pPr>
    </w:p>
    <w:p w:rsidR="00BD6723" w:rsidRDefault="00BD6723" w:rsidP="00BD6723">
      <w:pPr>
        <w:jc w:val="left"/>
        <w:rPr>
          <w:sz w:val="26"/>
          <w:szCs w:val="26"/>
        </w:rPr>
      </w:pPr>
      <w:r w:rsidRPr="003804C3">
        <w:rPr>
          <w:sz w:val="26"/>
          <w:szCs w:val="26"/>
        </w:rPr>
        <w:tab/>
      </w:r>
      <w:r w:rsidRPr="003804C3">
        <w:rPr>
          <w:sz w:val="26"/>
          <w:szCs w:val="26"/>
        </w:rPr>
        <w:tab/>
      </w:r>
      <w:r>
        <w:rPr>
          <w:sz w:val="26"/>
          <w:szCs w:val="26"/>
        </w:rPr>
        <w:t>PPL’s</w:t>
      </w:r>
      <w:r w:rsidRPr="003804C3">
        <w:rPr>
          <w:sz w:val="26"/>
          <w:szCs w:val="26"/>
        </w:rPr>
        <w:t xml:space="preserve"> proposal is to change</w:t>
      </w:r>
      <w:r>
        <w:rPr>
          <w:sz w:val="26"/>
          <w:szCs w:val="26"/>
        </w:rPr>
        <w:t xml:space="preserve"> from two seasonal peaks, summer and non-summer, to a constant peak time period of</w:t>
      </w:r>
      <w:r w:rsidRPr="003804C3">
        <w:rPr>
          <w:sz w:val="26"/>
          <w:szCs w:val="26"/>
        </w:rPr>
        <w:t xml:space="preserve"> 12:00 p</w:t>
      </w:r>
      <w:r>
        <w:rPr>
          <w:sz w:val="26"/>
          <w:szCs w:val="26"/>
        </w:rPr>
        <w:t>.</w:t>
      </w:r>
      <w:r w:rsidRPr="003804C3">
        <w:rPr>
          <w:sz w:val="26"/>
          <w:szCs w:val="26"/>
        </w:rPr>
        <w:t>m</w:t>
      </w:r>
      <w:r>
        <w:rPr>
          <w:sz w:val="26"/>
          <w:szCs w:val="26"/>
        </w:rPr>
        <w:t>.</w:t>
      </w:r>
      <w:r w:rsidRPr="003804C3">
        <w:rPr>
          <w:sz w:val="26"/>
          <w:szCs w:val="26"/>
        </w:rPr>
        <w:t xml:space="preserve"> to 7:00 p</w:t>
      </w:r>
      <w:r>
        <w:rPr>
          <w:sz w:val="26"/>
          <w:szCs w:val="26"/>
        </w:rPr>
        <w:t>.</w:t>
      </w:r>
      <w:r w:rsidRPr="003804C3">
        <w:rPr>
          <w:sz w:val="26"/>
          <w:szCs w:val="26"/>
        </w:rPr>
        <w:t>m</w:t>
      </w:r>
      <w:r>
        <w:rPr>
          <w:sz w:val="26"/>
          <w:szCs w:val="26"/>
        </w:rPr>
        <w:t xml:space="preserve">. for the residential class and from 7:00 a.m. to 7:00 p.m. for the small commercial and industrial class, </w:t>
      </w:r>
      <w:r w:rsidRPr="003804C3">
        <w:rPr>
          <w:sz w:val="26"/>
          <w:szCs w:val="26"/>
        </w:rPr>
        <w:t>year round.</w:t>
      </w:r>
      <w:r>
        <w:rPr>
          <w:sz w:val="26"/>
          <w:szCs w:val="26"/>
        </w:rPr>
        <w:t xml:space="preserve"> PPL St. 2 at 10.</w:t>
      </w:r>
      <w:r w:rsidRPr="003804C3">
        <w:rPr>
          <w:sz w:val="26"/>
          <w:szCs w:val="26"/>
        </w:rPr>
        <w:t xml:space="preserve">  </w:t>
      </w:r>
    </w:p>
    <w:p w:rsidR="00BD6723" w:rsidRDefault="00BD6723" w:rsidP="00BD6723">
      <w:pPr>
        <w:jc w:val="left"/>
        <w:rPr>
          <w:sz w:val="26"/>
          <w:szCs w:val="26"/>
        </w:rPr>
      </w:pPr>
    </w:p>
    <w:p w:rsidR="00BD6723" w:rsidRDefault="00BD6723" w:rsidP="00BD6723">
      <w:pPr>
        <w:jc w:val="left"/>
        <w:rPr>
          <w:sz w:val="26"/>
          <w:szCs w:val="26"/>
        </w:rPr>
      </w:pPr>
      <w:r>
        <w:rPr>
          <w:sz w:val="26"/>
          <w:szCs w:val="26"/>
        </w:rPr>
        <w:tab/>
      </w:r>
      <w:r>
        <w:rPr>
          <w:sz w:val="26"/>
          <w:szCs w:val="26"/>
        </w:rPr>
        <w:tab/>
        <w:t>PPL’s current TOU Peak Hours are:</w:t>
      </w:r>
    </w:p>
    <w:p w:rsidR="00BD6723" w:rsidRDefault="00BD6723" w:rsidP="00BD6723">
      <w:pPr>
        <w:jc w:val="left"/>
        <w:rPr>
          <w:sz w:val="26"/>
          <w:szCs w:val="26"/>
        </w:rPr>
      </w:pPr>
    </w:p>
    <w:tbl>
      <w:tblPr>
        <w:tblStyle w:val="TableGrid"/>
        <w:tblW w:w="0" w:type="auto"/>
        <w:tblLook w:val="04A0" w:firstRow="1" w:lastRow="0" w:firstColumn="1" w:lastColumn="0" w:noHBand="0" w:noVBand="1"/>
      </w:tblPr>
      <w:tblGrid>
        <w:gridCol w:w="3258"/>
        <w:gridCol w:w="3022"/>
        <w:gridCol w:w="3046"/>
      </w:tblGrid>
      <w:tr w:rsidR="00BD6723" w:rsidTr="00B67247">
        <w:trPr>
          <w:trHeight w:val="299"/>
        </w:trPr>
        <w:tc>
          <w:tcPr>
            <w:tcW w:w="3258" w:type="dxa"/>
          </w:tcPr>
          <w:p w:rsidR="00BD6723" w:rsidRPr="00D22F82" w:rsidRDefault="00BD6723" w:rsidP="00D22F82">
            <w:pPr>
              <w:rPr>
                <w:rFonts w:ascii="Times New Roman" w:hAnsi="Times New Roman" w:cs="Times New Roman"/>
                <w:b/>
                <w:sz w:val="26"/>
                <w:szCs w:val="26"/>
              </w:rPr>
            </w:pPr>
            <w:r w:rsidRPr="00D22F82">
              <w:rPr>
                <w:rFonts w:ascii="Times New Roman" w:hAnsi="Times New Roman" w:cs="Times New Roman"/>
                <w:b/>
                <w:sz w:val="26"/>
                <w:szCs w:val="26"/>
              </w:rPr>
              <w:t>Rate Schedule</w:t>
            </w:r>
          </w:p>
        </w:tc>
        <w:tc>
          <w:tcPr>
            <w:tcW w:w="3022" w:type="dxa"/>
          </w:tcPr>
          <w:p w:rsidR="00BD6723" w:rsidRPr="00D22F82" w:rsidRDefault="00BD6723" w:rsidP="00D22F82">
            <w:pPr>
              <w:rPr>
                <w:rFonts w:ascii="Times New Roman" w:hAnsi="Times New Roman" w:cs="Times New Roman"/>
                <w:b/>
                <w:sz w:val="26"/>
                <w:szCs w:val="26"/>
              </w:rPr>
            </w:pPr>
            <w:r w:rsidRPr="00D22F82">
              <w:rPr>
                <w:rFonts w:ascii="Times New Roman" w:hAnsi="Times New Roman" w:cs="Times New Roman"/>
                <w:b/>
                <w:sz w:val="26"/>
                <w:szCs w:val="26"/>
              </w:rPr>
              <w:t>Non-Summer</w:t>
            </w:r>
          </w:p>
        </w:tc>
        <w:tc>
          <w:tcPr>
            <w:tcW w:w="3046" w:type="dxa"/>
          </w:tcPr>
          <w:p w:rsidR="00BD6723" w:rsidRPr="00D22F82" w:rsidRDefault="00BD6723" w:rsidP="00D22F82">
            <w:pPr>
              <w:rPr>
                <w:rFonts w:ascii="Times New Roman" w:hAnsi="Times New Roman" w:cs="Times New Roman"/>
                <w:b/>
                <w:sz w:val="26"/>
                <w:szCs w:val="26"/>
              </w:rPr>
            </w:pPr>
            <w:r w:rsidRPr="00D22F82">
              <w:rPr>
                <w:rFonts w:ascii="Times New Roman" w:hAnsi="Times New Roman" w:cs="Times New Roman"/>
                <w:b/>
                <w:sz w:val="26"/>
                <w:szCs w:val="26"/>
              </w:rPr>
              <w:t>Summer</w:t>
            </w:r>
          </w:p>
        </w:tc>
      </w:tr>
      <w:tr w:rsidR="00BD6723" w:rsidTr="00B67247">
        <w:trPr>
          <w:trHeight w:val="299"/>
        </w:trPr>
        <w:tc>
          <w:tcPr>
            <w:tcW w:w="3258" w:type="dxa"/>
          </w:tcPr>
          <w:p w:rsidR="00BD6723" w:rsidRPr="00D22F82" w:rsidRDefault="00BD6723" w:rsidP="00B67247">
            <w:pPr>
              <w:rPr>
                <w:rFonts w:ascii="Times New Roman" w:hAnsi="Times New Roman" w:cs="Times New Roman"/>
                <w:sz w:val="26"/>
                <w:szCs w:val="26"/>
              </w:rPr>
            </w:pPr>
            <w:r w:rsidRPr="00D22F82">
              <w:rPr>
                <w:rFonts w:ascii="Times New Roman" w:hAnsi="Times New Roman" w:cs="Times New Roman"/>
                <w:sz w:val="26"/>
                <w:szCs w:val="26"/>
              </w:rPr>
              <w:t>RS</w:t>
            </w:r>
          </w:p>
        </w:tc>
        <w:tc>
          <w:tcPr>
            <w:tcW w:w="3022" w:type="dxa"/>
          </w:tcPr>
          <w:p w:rsidR="00BD6723" w:rsidRPr="00D22F82" w:rsidRDefault="00BD6723" w:rsidP="00B67247">
            <w:pPr>
              <w:rPr>
                <w:rFonts w:ascii="Times New Roman" w:hAnsi="Times New Roman" w:cs="Times New Roman"/>
                <w:sz w:val="26"/>
                <w:szCs w:val="26"/>
              </w:rPr>
            </w:pPr>
            <w:r w:rsidRPr="00D22F82">
              <w:rPr>
                <w:rFonts w:ascii="Times New Roman" w:hAnsi="Times New Roman" w:cs="Times New Roman"/>
                <w:sz w:val="26"/>
                <w:szCs w:val="26"/>
              </w:rPr>
              <w:t>5:00 PM to 7:00 PM</w:t>
            </w:r>
          </w:p>
        </w:tc>
        <w:tc>
          <w:tcPr>
            <w:tcW w:w="3046" w:type="dxa"/>
          </w:tcPr>
          <w:p w:rsidR="00BD6723" w:rsidRPr="00D22F82" w:rsidRDefault="00BD6723" w:rsidP="00B67247">
            <w:pPr>
              <w:rPr>
                <w:rFonts w:ascii="Times New Roman" w:hAnsi="Times New Roman" w:cs="Times New Roman"/>
                <w:sz w:val="26"/>
                <w:szCs w:val="26"/>
              </w:rPr>
            </w:pPr>
            <w:r w:rsidRPr="00D22F82">
              <w:rPr>
                <w:rFonts w:ascii="Times New Roman" w:hAnsi="Times New Roman" w:cs="Times New Roman"/>
                <w:sz w:val="26"/>
                <w:szCs w:val="26"/>
              </w:rPr>
              <w:t>1:00 PM to 6:00 PM</w:t>
            </w:r>
          </w:p>
        </w:tc>
      </w:tr>
      <w:tr w:rsidR="00BD6723" w:rsidTr="00B67247">
        <w:trPr>
          <w:trHeight w:val="285"/>
        </w:trPr>
        <w:tc>
          <w:tcPr>
            <w:tcW w:w="3258" w:type="dxa"/>
          </w:tcPr>
          <w:p w:rsidR="00BD6723" w:rsidRPr="00D22F82" w:rsidRDefault="00BD6723" w:rsidP="00B67247">
            <w:pPr>
              <w:rPr>
                <w:rFonts w:ascii="Times New Roman" w:hAnsi="Times New Roman" w:cs="Times New Roman"/>
                <w:sz w:val="26"/>
                <w:szCs w:val="26"/>
              </w:rPr>
            </w:pPr>
            <w:r w:rsidRPr="00D22F82">
              <w:rPr>
                <w:rFonts w:ascii="Times New Roman" w:hAnsi="Times New Roman" w:cs="Times New Roman"/>
                <w:sz w:val="26"/>
                <w:szCs w:val="26"/>
              </w:rPr>
              <w:t>RTS(R)</w:t>
            </w:r>
          </w:p>
        </w:tc>
        <w:tc>
          <w:tcPr>
            <w:tcW w:w="3022" w:type="dxa"/>
          </w:tcPr>
          <w:p w:rsidR="00BD6723" w:rsidRPr="00D22F82" w:rsidRDefault="00BD6723" w:rsidP="00B67247">
            <w:pPr>
              <w:rPr>
                <w:rFonts w:ascii="Times New Roman" w:hAnsi="Times New Roman" w:cs="Times New Roman"/>
                <w:sz w:val="26"/>
                <w:szCs w:val="26"/>
              </w:rPr>
            </w:pPr>
            <w:r w:rsidRPr="00D22F82">
              <w:rPr>
                <w:rFonts w:ascii="Times New Roman" w:hAnsi="Times New Roman" w:cs="Times New Roman"/>
                <w:sz w:val="26"/>
                <w:szCs w:val="26"/>
              </w:rPr>
              <w:t>5:00 PM to 9:00 PM</w:t>
            </w:r>
          </w:p>
        </w:tc>
        <w:tc>
          <w:tcPr>
            <w:tcW w:w="3046" w:type="dxa"/>
          </w:tcPr>
          <w:p w:rsidR="00BD6723" w:rsidRPr="00D22F82" w:rsidRDefault="00BD6723" w:rsidP="00B67247">
            <w:pPr>
              <w:rPr>
                <w:rFonts w:ascii="Times New Roman" w:hAnsi="Times New Roman" w:cs="Times New Roman"/>
                <w:sz w:val="26"/>
                <w:szCs w:val="26"/>
              </w:rPr>
            </w:pPr>
            <w:r w:rsidRPr="00D22F82">
              <w:rPr>
                <w:rFonts w:ascii="Times New Roman" w:hAnsi="Times New Roman" w:cs="Times New Roman"/>
                <w:sz w:val="26"/>
                <w:szCs w:val="26"/>
              </w:rPr>
              <w:t>1:00 PM to 6:00 PM</w:t>
            </w:r>
          </w:p>
        </w:tc>
      </w:tr>
      <w:tr w:rsidR="00BD6723" w:rsidTr="00B67247">
        <w:trPr>
          <w:trHeight w:val="909"/>
        </w:trPr>
        <w:tc>
          <w:tcPr>
            <w:tcW w:w="3258" w:type="dxa"/>
            <w:vAlign w:val="center"/>
          </w:tcPr>
          <w:p w:rsidR="00BD6723" w:rsidRPr="00D22F82" w:rsidRDefault="00BD6723" w:rsidP="00B67247">
            <w:pPr>
              <w:rPr>
                <w:rFonts w:ascii="Times New Roman" w:hAnsi="Times New Roman" w:cs="Times New Roman"/>
                <w:sz w:val="26"/>
                <w:szCs w:val="26"/>
              </w:rPr>
            </w:pPr>
            <w:r w:rsidRPr="00D22F82">
              <w:rPr>
                <w:rFonts w:ascii="Times New Roman" w:hAnsi="Times New Roman" w:cs="Times New Roman"/>
                <w:sz w:val="26"/>
                <w:szCs w:val="26"/>
              </w:rPr>
              <w:t>GS-1, GS-3(&lt;500kW), GH-1 (R), GH-2 (R), and IS-1 (R)</w:t>
            </w:r>
          </w:p>
        </w:tc>
        <w:tc>
          <w:tcPr>
            <w:tcW w:w="3022" w:type="dxa"/>
            <w:vAlign w:val="center"/>
          </w:tcPr>
          <w:p w:rsidR="00BD6723" w:rsidRPr="00D22F82" w:rsidRDefault="00BD6723" w:rsidP="00B67247">
            <w:pPr>
              <w:rPr>
                <w:rFonts w:ascii="Times New Roman" w:hAnsi="Times New Roman" w:cs="Times New Roman"/>
                <w:sz w:val="26"/>
                <w:szCs w:val="26"/>
              </w:rPr>
            </w:pPr>
            <w:r w:rsidRPr="00D22F82">
              <w:rPr>
                <w:rFonts w:ascii="Times New Roman" w:hAnsi="Times New Roman" w:cs="Times New Roman"/>
                <w:sz w:val="26"/>
                <w:szCs w:val="26"/>
              </w:rPr>
              <w:t>7:00 AM to 7:00 PM</w:t>
            </w:r>
          </w:p>
        </w:tc>
        <w:tc>
          <w:tcPr>
            <w:tcW w:w="3046" w:type="dxa"/>
            <w:vAlign w:val="center"/>
          </w:tcPr>
          <w:p w:rsidR="00BD6723" w:rsidRPr="00D22F82" w:rsidRDefault="00BD6723" w:rsidP="00B67247">
            <w:pPr>
              <w:rPr>
                <w:rFonts w:ascii="Times New Roman" w:hAnsi="Times New Roman" w:cs="Times New Roman"/>
                <w:sz w:val="26"/>
                <w:szCs w:val="26"/>
              </w:rPr>
            </w:pPr>
            <w:r w:rsidRPr="00D22F82">
              <w:rPr>
                <w:rFonts w:ascii="Times New Roman" w:hAnsi="Times New Roman" w:cs="Times New Roman"/>
                <w:sz w:val="26"/>
                <w:szCs w:val="26"/>
              </w:rPr>
              <w:t>7:00 AM to 7:00 PM</w:t>
            </w:r>
          </w:p>
        </w:tc>
      </w:tr>
    </w:tbl>
    <w:p w:rsidR="00BD6723" w:rsidRPr="003804C3" w:rsidRDefault="00BD6723" w:rsidP="00BD6723">
      <w:pPr>
        <w:jc w:val="left"/>
        <w:rPr>
          <w:sz w:val="26"/>
          <w:szCs w:val="26"/>
        </w:rPr>
      </w:pPr>
    </w:p>
    <w:p w:rsidR="00BD6723" w:rsidRDefault="00BD6723" w:rsidP="00BD6723">
      <w:pPr>
        <w:jc w:val="left"/>
        <w:rPr>
          <w:sz w:val="26"/>
          <w:szCs w:val="26"/>
        </w:rPr>
      </w:pPr>
      <w:r>
        <w:rPr>
          <w:i/>
          <w:sz w:val="26"/>
          <w:szCs w:val="26"/>
        </w:rPr>
        <w:t>See</w:t>
      </w:r>
      <w:r>
        <w:rPr>
          <w:sz w:val="26"/>
          <w:szCs w:val="26"/>
        </w:rPr>
        <w:t xml:space="preserve"> Supplement 116 to Electric Pa. P.U.C. No. 201, Seventh Revised Page No. 19Z.5C.</w:t>
      </w:r>
    </w:p>
    <w:p w:rsidR="00BD6723" w:rsidRPr="00BB0B29" w:rsidRDefault="00BD6723" w:rsidP="00BD6723">
      <w:pPr>
        <w:jc w:val="left"/>
        <w:rPr>
          <w:sz w:val="26"/>
          <w:szCs w:val="26"/>
        </w:rPr>
      </w:pPr>
    </w:p>
    <w:p w:rsidR="00EF59CE" w:rsidRDefault="00BD6723" w:rsidP="00BD6723">
      <w:pPr>
        <w:jc w:val="left"/>
        <w:rPr>
          <w:sz w:val="26"/>
          <w:szCs w:val="26"/>
        </w:rPr>
      </w:pPr>
      <w:r w:rsidRPr="00F24D17">
        <w:rPr>
          <w:sz w:val="26"/>
          <w:szCs w:val="26"/>
        </w:rPr>
        <w:tab/>
      </w:r>
      <w:r w:rsidRPr="00F24D17">
        <w:rPr>
          <w:sz w:val="26"/>
          <w:szCs w:val="26"/>
        </w:rPr>
        <w:tab/>
      </w:r>
      <w:r>
        <w:rPr>
          <w:sz w:val="26"/>
          <w:szCs w:val="26"/>
        </w:rPr>
        <w:t>PPL</w:t>
      </w:r>
      <w:r w:rsidRPr="00F24D17">
        <w:rPr>
          <w:sz w:val="26"/>
          <w:szCs w:val="26"/>
        </w:rPr>
        <w:t xml:space="preserve"> </w:t>
      </w:r>
      <w:r>
        <w:rPr>
          <w:sz w:val="26"/>
          <w:szCs w:val="26"/>
        </w:rPr>
        <w:t>explained</w:t>
      </w:r>
      <w:r w:rsidRPr="00F24D17">
        <w:rPr>
          <w:sz w:val="26"/>
          <w:szCs w:val="26"/>
        </w:rPr>
        <w:t xml:space="preserve"> that its proposal was designed around the applicable fixed price default service rate so that the TOU on-peak rate is higher, and the TOU off-peak rate is lower, than the fixed price default service rate.  PPL</w:t>
      </w:r>
      <w:r>
        <w:rPr>
          <w:sz w:val="26"/>
          <w:szCs w:val="26"/>
        </w:rPr>
        <w:t>’</w:t>
      </w:r>
      <w:r w:rsidRPr="00F24D17">
        <w:rPr>
          <w:sz w:val="26"/>
          <w:szCs w:val="26"/>
        </w:rPr>
        <w:t xml:space="preserve">s proposed TOU default service program adds a premium during on-peak periods and provides a discount </w:t>
      </w:r>
      <w:r>
        <w:rPr>
          <w:sz w:val="26"/>
          <w:szCs w:val="26"/>
        </w:rPr>
        <w:t>during</w:t>
      </w:r>
      <w:r w:rsidRPr="00F24D17">
        <w:rPr>
          <w:sz w:val="26"/>
          <w:szCs w:val="26"/>
        </w:rPr>
        <w:t xml:space="preserve"> off-peak periods.  </w:t>
      </w:r>
      <w:r>
        <w:rPr>
          <w:sz w:val="26"/>
          <w:szCs w:val="26"/>
        </w:rPr>
        <w:t>PPL asserted</w:t>
      </w:r>
      <w:r w:rsidRPr="00F24D17">
        <w:rPr>
          <w:sz w:val="26"/>
          <w:szCs w:val="26"/>
        </w:rPr>
        <w:t xml:space="preserve"> that this methodology will maintain the appropriate relationship between</w:t>
      </w:r>
      <w:r>
        <w:rPr>
          <w:sz w:val="26"/>
          <w:szCs w:val="26"/>
        </w:rPr>
        <w:t xml:space="preserve"> variable</w:t>
      </w:r>
      <w:r w:rsidRPr="00F24D17">
        <w:rPr>
          <w:sz w:val="26"/>
          <w:szCs w:val="26"/>
        </w:rPr>
        <w:t xml:space="preserve"> TOU rates and fixed price default service rates, and should </w:t>
      </w:r>
      <w:r w:rsidRPr="00F24D17">
        <w:rPr>
          <w:sz w:val="26"/>
          <w:szCs w:val="26"/>
        </w:rPr>
        <w:lastRenderedPageBreak/>
        <w:t>provide the appropriate incentive for customers to shift load from on-peak to off-</w:t>
      </w:r>
      <w:r>
        <w:rPr>
          <w:sz w:val="26"/>
          <w:szCs w:val="26"/>
        </w:rPr>
        <w:t>peak periods.  PPL St</w:t>
      </w:r>
      <w:r w:rsidRPr="00F24D17">
        <w:rPr>
          <w:sz w:val="26"/>
          <w:szCs w:val="26"/>
        </w:rPr>
        <w:t>. 2 at 7; R.D. at 13.</w:t>
      </w:r>
    </w:p>
    <w:p w:rsidR="00BD6723" w:rsidRPr="00F24D17" w:rsidRDefault="00BD6723" w:rsidP="00BD6723">
      <w:pPr>
        <w:jc w:val="left"/>
        <w:rPr>
          <w:sz w:val="26"/>
          <w:szCs w:val="26"/>
        </w:rPr>
      </w:pPr>
    </w:p>
    <w:p w:rsidR="00EF59CE" w:rsidRDefault="00EF59CE" w:rsidP="00006531">
      <w:pPr>
        <w:jc w:val="left"/>
        <w:rPr>
          <w:sz w:val="26"/>
          <w:szCs w:val="26"/>
        </w:rPr>
      </w:pPr>
      <w:r w:rsidRPr="003804C3">
        <w:rPr>
          <w:sz w:val="26"/>
          <w:szCs w:val="26"/>
        </w:rPr>
        <w:tab/>
      </w:r>
      <w:r w:rsidRPr="003804C3">
        <w:rPr>
          <w:sz w:val="26"/>
          <w:szCs w:val="26"/>
        </w:rPr>
        <w:tab/>
      </w:r>
      <w:r>
        <w:rPr>
          <w:sz w:val="26"/>
          <w:szCs w:val="26"/>
        </w:rPr>
        <w:t>PPL further explained that</w:t>
      </w:r>
      <w:r w:rsidRPr="003804C3">
        <w:rPr>
          <w:sz w:val="26"/>
          <w:szCs w:val="26"/>
        </w:rPr>
        <w:t xml:space="preserve"> in deciding upon</w:t>
      </w:r>
      <w:r>
        <w:rPr>
          <w:sz w:val="26"/>
          <w:szCs w:val="26"/>
        </w:rPr>
        <w:t xml:space="preserve"> the on-peak </w:t>
      </w:r>
      <w:r w:rsidR="001A1E85">
        <w:rPr>
          <w:sz w:val="26"/>
          <w:szCs w:val="26"/>
        </w:rPr>
        <w:t xml:space="preserve">proposed </w:t>
      </w:r>
      <w:r>
        <w:rPr>
          <w:sz w:val="26"/>
          <w:szCs w:val="26"/>
        </w:rPr>
        <w:t>periods, it evaluated</w:t>
      </w:r>
      <w:r w:rsidR="00F52209">
        <w:rPr>
          <w:sz w:val="26"/>
          <w:szCs w:val="26"/>
        </w:rPr>
        <w:t>:</w:t>
      </w:r>
      <w:r>
        <w:rPr>
          <w:sz w:val="26"/>
          <w:szCs w:val="26"/>
        </w:rPr>
        <w:t xml:space="preserve"> </w:t>
      </w:r>
      <w:r w:rsidR="00F52209">
        <w:rPr>
          <w:sz w:val="26"/>
          <w:szCs w:val="26"/>
        </w:rPr>
        <w:t xml:space="preserve">(1) </w:t>
      </w:r>
      <w:r>
        <w:rPr>
          <w:sz w:val="26"/>
          <w:szCs w:val="26"/>
        </w:rPr>
        <w:t xml:space="preserve">the level of premium or discount applied to the PTC designed to encourage load shifting or conservation; </w:t>
      </w:r>
      <w:r w:rsidR="00F52209">
        <w:rPr>
          <w:sz w:val="26"/>
          <w:szCs w:val="26"/>
        </w:rPr>
        <w:t xml:space="preserve">(2) </w:t>
      </w:r>
      <w:r>
        <w:rPr>
          <w:sz w:val="26"/>
          <w:szCs w:val="26"/>
        </w:rPr>
        <w:t>a reasonable time frame to encourage participation in the TOU program</w:t>
      </w:r>
      <w:r w:rsidR="001A1E85">
        <w:rPr>
          <w:sz w:val="26"/>
          <w:szCs w:val="26"/>
        </w:rPr>
        <w:t>;</w:t>
      </w:r>
      <w:r>
        <w:rPr>
          <w:sz w:val="26"/>
          <w:szCs w:val="26"/>
        </w:rPr>
        <w:t xml:space="preserve"> and </w:t>
      </w:r>
      <w:r w:rsidR="00F52209">
        <w:rPr>
          <w:sz w:val="26"/>
          <w:szCs w:val="26"/>
        </w:rPr>
        <w:t xml:space="preserve">(3) </w:t>
      </w:r>
      <w:r>
        <w:rPr>
          <w:sz w:val="26"/>
          <w:szCs w:val="26"/>
        </w:rPr>
        <w:t xml:space="preserve">how to frame the summer and winter peak load time periods.  </w:t>
      </w:r>
      <w:r w:rsidR="001A1E85">
        <w:rPr>
          <w:sz w:val="26"/>
          <w:szCs w:val="26"/>
        </w:rPr>
        <w:t>PPL St</w:t>
      </w:r>
      <w:r w:rsidRPr="003804C3">
        <w:rPr>
          <w:sz w:val="26"/>
          <w:szCs w:val="26"/>
        </w:rPr>
        <w:t>. 2 at 8</w:t>
      </w:r>
      <w:r>
        <w:rPr>
          <w:sz w:val="26"/>
          <w:szCs w:val="26"/>
        </w:rPr>
        <w:t>; R.D. at 13-14</w:t>
      </w:r>
      <w:r w:rsidRPr="003804C3">
        <w:rPr>
          <w:sz w:val="26"/>
          <w:szCs w:val="26"/>
        </w:rPr>
        <w:t>.</w:t>
      </w:r>
    </w:p>
    <w:p w:rsidR="00EF59CE" w:rsidRPr="003804C3" w:rsidRDefault="00EF59CE" w:rsidP="00006531">
      <w:pPr>
        <w:jc w:val="left"/>
        <w:rPr>
          <w:sz w:val="26"/>
          <w:szCs w:val="26"/>
        </w:rPr>
      </w:pPr>
    </w:p>
    <w:p w:rsidR="00EF59CE" w:rsidRDefault="00EF59CE" w:rsidP="00006531">
      <w:pPr>
        <w:pStyle w:val="BodyText2"/>
      </w:pPr>
      <w:r>
        <w:tab/>
      </w:r>
      <w:r>
        <w:tab/>
        <w:t xml:space="preserve">The </w:t>
      </w:r>
      <w:r w:rsidRPr="003804C3">
        <w:t xml:space="preserve">OCA and </w:t>
      </w:r>
      <w:r>
        <w:t xml:space="preserve">the </w:t>
      </w:r>
      <w:r w:rsidRPr="003804C3">
        <w:t>OSBA recommend</w:t>
      </w:r>
      <w:r>
        <w:t>ed</w:t>
      </w:r>
      <w:r w:rsidRPr="003804C3">
        <w:t xml:space="preserve"> that </w:t>
      </w:r>
      <w:r>
        <w:t>PPL adopt different peak periods for</w:t>
      </w:r>
      <w:r w:rsidRPr="003804C3">
        <w:t xml:space="preserve"> su</w:t>
      </w:r>
      <w:r>
        <w:t>mmer and non-summer</w:t>
      </w:r>
      <w:r w:rsidR="00667D55">
        <w:t>.  OCA St</w:t>
      </w:r>
      <w:r w:rsidRPr="003804C3">
        <w:t>. 1 at 6; OSBA St. 1 at 18</w:t>
      </w:r>
      <w:r>
        <w:t>; R.D. at 14</w:t>
      </w:r>
      <w:r w:rsidRPr="003804C3">
        <w:t xml:space="preserve">.  </w:t>
      </w:r>
      <w:r w:rsidR="00667D55">
        <w:t>T</w:t>
      </w:r>
      <w:r>
        <w:t xml:space="preserve">he </w:t>
      </w:r>
      <w:r w:rsidRPr="003804C3">
        <w:t>OCA</w:t>
      </w:r>
      <w:r w:rsidR="00667D55">
        <w:t xml:space="preserve"> argued</w:t>
      </w:r>
      <w:r>
        <w:t xml:space="preserve"> </w:t>
      </w:r>
      <w:r w:rsidRPr="003804C3">
        <w:t>that a TOU program should be designed to reflect time periods when energy costs are highest during the course of a day.  This would shift usage away from high cost periods, aiding the goal of reducing average energy cost</w:t>
      </w:r>
      <w:r w:rsidR="00667D55">
        <w:t>s</w:t>
      </w:r>
      <w:r w:rsidRPr="003804C3">
        <w:t>.  OCA M</w:t>
      </w:r>
      <w:r w:rsidR="00667D55">
        <w:t>.</w:t>
      </w:r>
      <w:r w:rsidRPr="003804C3">
        <w:t>B</w:t>
      </w:r>
      <w:r w:rsidR="00667D55">
        <w:t>.</w:t>
      </w:r>
      <w:r w:rsidRPr="003804C3">
        <w:t xml:space="preserve"> at 9</w:t>
      </w:r>
      <w:r>
        <w:t>; R.D. at 14</w:t>
      </w:r>
      <w:r w:rsidRPr="003804C3">
        <w:t xml:space="preserve">.  </w:t>
      </w:r>
      <w:r>
        <w:t>Based u</w:t>
      </w:r>
      <w:r w:rsidR="00137FB5">
        <w:t>pon its</w:t>
      </w:r>
      <w:r>
        <w:t xml:space="preserve"> analysis, the OCA determined </w:t>
      </w:r>
      <w:r w:rsidRPr="003804C3">
        <w:t>that</w:t>
      </w:r>
      <w:r w:rsidR="00667D55">
        <w:t>,</w:t>
      </w:r>
      <w:r w:rsidRPr="003804C3">
        <w:t xml:space="preserve"> in the summer, the highest peak loads occur between 11</w:t>
      </w:r>
      <w:r>
        <w:t>:00</w:t>
      </w:r>
      <w:r w:rsidRPr="003804C3">
        <w:t xml:space="preserve"> a</w:t>
      </w:r>
      <w:r>
        <w:t xml:space="preserve">.m. and 7:00 p.m., and accordingly, </w:t>
      </w:r>
      <w:r w:rsidRPr="003804C3">
        <w:t>recommend</w:t>
      </w:r>
      <w:r>
        <w:t>ed</w:t>
      </w:r>
      <w:r w:rsidRPr="003804C3">
        <w:t xml:space="preserve"> those hours for</w:t>
      </w:r>
      <w:r>
        <w:t xml:space="preserve"> the</w:t>
      </w:r>
      <w:r w:rsidR="00667D55">
        <w:t xml:space="preserve"> summer peak.  OCA St</w:t>
      </w:r>
      <w:r w:rsidRPr="003804C3">
        <w:t>. 1 at 6; OCA M</w:t>
      </w:r>
      <w:r w:rsidR="00667D55">
        <w:t>.</w:t>
      </w:r>
      <w:r w:rsidRPr="003804C3">
        <w:t>B</w:t>
      </w:r>
      <w:r w:rsidR="00667D55">
        <w:t>.</w:t>
      </w:r>
      <w:r w:rsidRPr="003804C3">
        <w:t xml:space="preserve"> at 10</w:t>
      </w:r>
      <w:r>
        <w:t>; R.D. at 14</w:t>
      </w:r>
      <w:r w:rsidRPr="003804C3">
        <w:t xml:space="preserve">.  </w:t>
      </w:r>
      <w:r>
        <w:t>Further, the OCA recommended that the n</w:t>
      </w:r>
      <w:r w:rsidRPr="003804C3">
        <w:t>on-summer peak should be 5</w:t>
      </w:r>
      <w:r>
        <w:t>:00</w:t>
      </w:r>
      <w:r w:rsidRPr="003804C3">
        <w:t xml:space="preserve"> p</w:t>
      </w:r>
      <w:r>
        <w:t>.</w:t>
      </w:r>
      <w:r w:rsidRPr="003804C3">
        <w:t>m</w:t>
      </w:r>
      <w:r>
        <w:t>.</w:t>
      </w:r>
      <w:r w:rsidRPr="003804C3">
        <w:t xml:space="preserve"> to 9</w:t>
      </w:r>
      <w:r>
        <w:t>:00</w:t>
      </w:r>
      <w:r w:rsidRPr="003804C3">
        <w:t xml:space="preserve"> p</w:t>
      </w:r>
      <w:r>
        <w:t>.</w:t>
      </w:r>
      <w:r w:rsidRPr="003804C3">
        <w:t xml:space="preserve">m.  </w:t>
      </w:r>
      <w:r>
        <w:t>According to the OCA, t</w:t>
      </w:r>
      <w:r w:rsidRPr="003804C3">
        <w:t xml:space="preserve">hese </w:t>
      </w:r>
      <w:r>
        <w:t xml:space="preserve">high usage </w:t>
      </w:r>
      <w:r w:rsidRPr="003804C3">
        <w:t>times are so different that</w:t>
      </w:r>
      <w:r>
        <w:t xml:space="preserve"> using two different peaks is</w:t>
      </w:r>
      <w:r w:rsidRPr="003804C3">
        <w:t xml:space="preserve"> justified.  OCA Stmt. 1 at 10</w:t>
      </w:r>
      <w:r>
        <w:t>; R.D. at 14</w:t>
      </w:r>
      <w:r w:rsidRPr="003804C3">
        <w:t xml:space="preserve">.  </w:t>
      </w:r>
      <w:r w:rsidR="00667D55">
        <w:t>T</w:t>
      </w:r>
      <w:r>
        <w:t>he OCA</w:t>
      </w:r>
      <w:r w:rsidR="00667D55">
        <w:t xml:space="preserve"> argued</w:t>
      </w:r>
      <w:r>
        <w:t xml:space="preserve"> that a</w:t>
      </w:r>
      <w:r w:rsidRPr="003804C3">
        <w:t xml:space="preserve"> two-peak system should not be overly complicated for customers who should be able to understand that heating and air conditioning will be used at different hours.  OCA M</w:t>
      </w:r>
      <w:r w:rsidR="00803531">
        <w:t>.</w:t>
      </w:r>
      <w:r w:rsidRPr="003804C3">
        <w:t>B</w:t>
      </w:r>
      <w:r w:rsidR="00803531">
        <w:t>.</w:t>
      </w:r>
      <w:r w:rsidRPr="003804C3">
        <w:t xml:space="preserve"> at 12</w:t>
      </w:r>
      <w:r>
        <w:t>; R.D. at 14</w:t>
      </w:r>
      <w:r w:rsidRPr="003804C3">
        <w:t>.</w:t>
      </w:r>
    </w:p>
    <w:p w:rsidR="00EF59CE" w:rsidRDefault="00EF59CE" w:rsidP="00006531">
      <w:pPr>
        <w:pStyle w:val="BodyText2"/>
      </w:pPr>
    </w:p>
    <w:p w:rsidR="00EF59CE" w:rsidRDefault="00C0647F" w:rsidP="00006531">
      <w:pPr>
        <w:pStyle w:val="BodyText2"/>
      </w:pPr>
      <w:r>
        <w:tab/>
      </w:r>
      <w:r>
        <w:tab/>
        <w:t xml:space="preserve">The OSBA argued </w:t>
      </w:r>
      <w:r w:rsidR="00EF59CE">
        <w:t>that there is no economic reason for establishing different on-peak and off-peak periods for regular re</w:t>
      </w:r>
      <w:r w:rsidR="00A0204C">
        <w:t xml:space="preserve">sidential, </w:t>
      </w:r>
      <w:r w:rsidR="00304D18">
        <w:t>residential service – Thermal Storage (</w:t>
      </w:r>
      <w:r w:rsidR="00A0204C">
        <w:t>RTS</w:t>
      </w:r>
      <w:r w:rsidR="00304D18">
        <w:t>)</w:t>
      </w:r>
      <w:r w:rsidR="00A0204C">
        <w:t xml:space="preserve"> </w:t>
      </w:r>
      <w:r w:rsidR="00513FEA">
        <w:t>Residential and Small</w:t>
      </w:r>
      <w:r w:rsidR="00EF59CE">
        <w:t xml:space="preserve"> C&amp;I TOU customers.</w:t>
      </w:r>
      <w:r w:rsidR="00A0204C">
        <w:t xml:space="preserve">  OSBA St</w:t>
      </w:r>
      <w:r w:rsidR="002D7B22">
        <w:t>. 1 at 16.</w:t>
      </w:r>
      <w:r w:rsidR="00EF59CE">
        <w:t xml:space="preserve">  </w:t>
      </w:r>
      <w:r w:rsidR="007A58A8">
        <w:t>According to the OSBA,</w:t>
      </w:r>
      <w:r w:rsidR="00EF59CE">
        <w:t xml:space="preserve"> variations in hourly energy prices on the wholesale market, as well as generation capacity costs, are based on overall market supply and demand conditions and are n</w:t>
      </w:r>
      <w:r w:rsidR="007A58A8">
        <w:t>ot differentiated by rate class;</w:t>
      </w:r>
      <w:r w:rsidR="00EF59CE">
        <w:t xml:space="preserve"> further, both </w:t>
      </w:r>
      <w:r w:rsidR="00513FEA">
        <w:t>Residential and Small</w:t>
      </w:r>
      <w:r w:rsidR="00EF59CE">
        <w:t xml:space="preserve"> </w:t>
      </w:r>
      <w:r w:rsidR="00EF59CE">
        <w:lastRenderedPageBreak/>
        <w:t>C&amp;I classes participat</w:t>
      </w:r>
      <w:r w:rsidR="007A58A8">
        <w:t>e in the same market.  OSBA St.</w:t>
      </w:r>
      <w:r w:rsidR="00EF59CE">
        <w:t xml:space="preserve"> 1 at 16-17.  Based upon this analysis, the OSBA asserted that the on-peak periods selected by PPL for both </w:t>
      </w:r>
      <w:r w:rsidR="00513FEA">
        <w:t>Residential and Small</w:t>
      </w:r>
      <w:r w:rsidR="00EF59CE">
        <w:t xml:space="preserve"> C&amp;I TOU service are inconsistent with market price patterns, either on a time-of-day basis or on a seasonal basis.  OSBA M.B. at 7.</w:t>
      </w:r>
    </w:p>
    <w:p w:rsidR="00EF59CE" w:rsidRDefault="00EF59CE" w:rsidP="00006531">
      <w:pPr>
        <w:pStyle w:val="BodyText2"/>
      </w:pPr>
    </w:p>
    <w:p w:rsidR="00EF59CE" w:rsidRPr="007804A8" w:rsidRDefault="00B33607" w:rsidP="00006531">
      <w:pPr>
        <w:pStyle w:val="BodyText2"/>
      </w:pPr>
      <w:r>
        <w:tab/>
      </w:r>
      <w:r>
        <w:tab/>
      </w:r>
      <w:r w:rsidR="0064685C">
        <w:t>Also, t</w:t>
      </w:r>
      <w:r>
        <w:t xml:space="preserve">he OSBA </w:t>
      </w:r>
      <w:r w:rsidR="0064685C">
        <w:t>was opposed to the</w:t>
      </w:r>
      <w:r w:rsidR="00EF59CE">
        <w:t xml:space="preserve"> temporary program as</w:t>
      </w:r>
      <w:r>
        <w:t xml:space="preserve"> offered by PPL and submitted</w:t>
      </w:r>
      <w:r w:rsidR="00EF59CE">
        <w:t xml:space="preserve"> that a permanent fix is preferred.  A</w:t>
      </w:r>
      <w:r>
        <w:t>ccording to the OSBA</w:t>
      </w:r>
      <w:r w:rsidR="00EF59CE">
        <w:t>, PPL</w:t>
      </w:r>
      <w:r w:rsidR="008D3260">
        <w:t>’</w:t>
      </w:r>
      <w:r>
        <w:t>s proposed</w:t>
      </w:r>
      <w:r w:rsidR="00EF59CE">
        <w:t xml:space="preserve"> TOU program would only serve to confuse residential customers, and such confusion should be avoided.  </w:t>
      </w:r>
      <w:r w:rsidR="00EF59CE">
        <w:rPr>
          <w:i/>
        </w:rPr>
        <w:t xml:space="preserve">Id. </w:t>
      </w:r>
      <w:r w:rsidR="00EF59CE">
        <w:t>at 8.  Regarding the smal</w:t>
      </w:r>
      <w:r>
        <w:t>l C&amp;I class, the OSBA recommended</w:t>
      </w:r>
      <w:r w:rsidR="00EF59CE">
        <w:t xml:space="preserve"> offering Real Time (RT) rates because RT rates match market rates to billing rates and</w:t>
      </w:r>
      <w:r w:rsidR="0064685C">
        <w:t>,</w:t>
      </w:r>
      <w:r w:rsidR="00EF59CE">
        <w:t xml:space="preserve"> therefore</w:t>
      </w:r>
      <w:r w:rsidR="0064685C">
        <w:t>,</w:t>
      </w:r>
      <w:r>
        <w:t xml:space="preserve"> are</w:t>
      </w:r>
      <w:r w:rsidR="00EF59CE">
        <w:t xml:space="preserve"> a more effective rate mechanism.  </w:t>
      </w:r>
      <w:r w:rsidR="00EF59CE">
        <w:rPr>
          <w:i/>
        </w:rPr>
        <w:t>Id.</w:t>
      </w:r>
    </w:p>
    <w:p w:rsidR="00EF59CE" w:rsidRDefault="00EF59CE" w:rsidP="00006531">
      <w:pPr>
        <w:pStyle w:val="BodyText2"/>
      </w:pPr>
    </w:p>
    <w:p w:rsidR="00EF59CE" w:rsidRPr="00B17005" w:rsidRDefault="00EF59CE" w:rsidP="00006531">
      <w:pPr>
        <w:pStyle w:val="BodyText2"/>
      </w:pPr>
      <w:r>
        <w:tab/>
      </w:r>
      <w:r>
        <w:tab/>
        <w:t>In the alternative, the OSBA recommended that PPL</w:t>
      </w:r>
      <w:r w:rsidR="008D3260">
        <w:t>’</w:t>
      </w:r>
      <w:r>
        <w:t xml:space="preserve">s TOU program be put out for bid to </w:t>
      </w:r>
      <w:r w:rsidR="00CF6C13">
        <w:t>Electric Generation Suppliers</w:t>
      </w:r>
      <w:r w:rsidR="00CF6C13">
        <w:rPr>
          <w:rStyle w:val="FootnoteReference"/>
        </w:rPr>
        <w:footnoteReference w:id="3"/>
      </w:r>
      <w:r w:rsidR="00CF6C13">
        <w:t xml:space="preserve"> (</w:t>
      </w:r>
      <w:r>
        <w:t>EGSs</w:t>
      </w:r>
      <w:r w:rsidR="00CF6C13">
        <w:t>)</w:t>
      </w:r>
      <w:r>
        <w:t>, subject to defin</w:t>
      </w:r>
      <w:r w:rsidR="0064685C">
        <w:t>ed on-peak and off-peak periods, as well as</w:t>
      </w:r>
      <w:r>
        <w:t xml:space="preserve"> certain other criteria.  </w:t>
      </w:r>
      <w:r>
        <w:rPr>
          <w:i/>
        </w:rPr>
        <w:t>Id.</w:t>
      </w:r>
      <w:r>
        <w:t xml:space="preserve"> at 9.  Lastly, the OSBA stated that</w:t>
      </w:r>
      <w:r w:rsidR="00A935E4">
        <w:t>,</w:t>
      </w:r>
      <w:r>
        <w:t xml:space="preserve"> in lieu of PPL</w:t>
      </w:r>
      <w:r w:rsidR="008D3260">
        <w:t>’</w:t>
      </w:r>
      <w:r>
        <w:t>s fl</w:t>
      </w:r>
      <w:r w:rsidR="00776BAB">
        <w:t>awed proposal, either of the OSBA</w:t>
      </w:r>
      <w:r w:rsidR="008D3260">
        <w:t>’</w:t>
      </w:r>
      <w:r>
        <w:t>s two alternative proposals should be adopt</w:t>
      </w:r>
      <w:r w:rsidR="00A935E4">
        <w:t>ed</w:t>
      </w:r>
      <w:r>
        <w:t xml:space="preserve"> by the Commission.  </w:t>
      </w:r>
      <w:r>
        <w:rPr>
          <w:i/>
        </w:rPr>
        <w:t>Id.</w:t>
      </w:r>
      <w:r>
        <w:t xml:space="preserve"> </w:t>
      </w:r>
    </w:p>
    <w:p w:rsidR="00EF59CE" w:rsidRDefault="00EF59CE" w:rsidP="00006531">
      <w:pPr>
        <w:jc w:val="left"/>
        <w:rPr>
          <w:sz w:val="26"/>
          <w:szCs w:val="26"/>
        </w:rPr>
      </w:pPr>
    </w:p>
    <w:p w:rsidR="00EF59CE" w:rsidRDefault="00A723D1" w:rsidP="00006531">
      <w:pPr>
        <w:jc w:val="left"/>
        <w:rPr>
          <w:sz w:val="26"/>
          <w:szCs w:val="26"/>
        </w:rPr>
      </w:pPr>
      <w:r>
        <w:rPr>
          <w:sz w:val="26"/>
          <w:szCs w:val="26"/>
        </w:rPr>
        <w:tab/>
      </w:r>
      <w:r>
        <w:rPr>
          <w:sz w:val="26"/>
          <w:szCs w:val="26"/>
        </w:rPr>
        <w:tab/>
        <w:t>The SEF</w:t>
      </w:r>
      <w:r w:rsidR="00EF59CE">
        <w:rPr>
          <w:sz w:val="26"/>
          <w:szCs w:val="26"/>
        </w:rPr>
        <w:t xml:space="preserve"> </w:t>
      </w:r>
      <w:r>
        <w:rPr>
          <w:sz w:val="26"/>
          <w:szCs w:val="26"/>
        </w:rPr>
        <w:t>argued that</w:t>
      </w:r>
      <w:r w:rsidR="00EF59CE">
        <w:rPr>
          <w:sz w:val="26"/>
          <w:szCs w:val="26"/>
        </w:rPr>
        <w:t xml:space="preserve"> that PPL committed a cri</w:t>
      </w:r>
      <w:r w:rsidR="00983A1C">
        <w:rPr>
          <w:sz w:val="26"/>
          <w:szCs w:val="26"/>
        </w:rPr>
        <w:t>tical error in the design of on</w:t>
      </w:r>
      <w:r w:rsidR="00983A1C">
        <w:rPr>
          <w:sz w:val="26"/>
          <w:szCs w:val="26"/>
        </w:rPr>
        <w:noBreakHyphen/>
      </w:r>
      <w:r w:rsidR="00EF59CE">
        <w:rPr>
          <w:sz w:val="26"/>
          <w:szCs w:val="26"/>
        </w:rPr>
        <w:t>peak periods.  SEF M.B. at 8.  The SEF stated that</w:t>
      </w:r>
      <w:r>
        <w:rPr>
          <w:sz w:val="26"/>
          <w:szCs w:val="26"/>
        </w:rPr>
        <w:t>,</w:t>
      </w:r>
      <w:r w:rsidR="00EF59CE">
        <w:rPr>
          <w:sz w:val="26"/>
          <w:szCs w:val="26"/>
        </w:rPr>
        <w:t xml:space="preserve"> even though the record clearly supports that the </w:t>
      </w:r>
      <w:r w:rsidR="00513FEA">
        <w:rPr>
          <w:sz w:val="26"/>
          <w:szCs w:val="26"/>
        </w:rPr>
        <w:t>Residential and Small</w:t>
      </w:r>
      <w:r w:rsidR="00EF59CE">
        <w:rPr>
          <w:sz w:val="26"/>
          <w:szCs w:val="26"/>
        </w:rPr>
        <w:t xml:space="preserve"> C&amp;I classes experience the same economic peaks, PPL proposed different on-peak hours for these two classes based upon their load shapes and not the market in which they both participate.  </w:t>
      </w:r>
      <w:r w:rsidR="00EF59CE">
        <w:rPr>
          <w:i/>
          <w:sz w:val="26"/>
          <w:szCs w:val="26"/>
        </w:rPr>
        <w:t>Id.</w:t>
      </w:r>
    </w:p>
    <w:p w:rsidR="00EF59CE" w:rsidRDefault="00EF59CE" w:rsidP="00006531">
      <w:pPr>
        <w:jc w:val="left"/>
        <w:rPr>
          <w:sz w:val="26"/>
          <w:szCs w:val="26"/>
        </w:rPr>
      </w:pPr>
    </w:p>
    <w:p w:rsidR="00EF59CE" w:rsidRDefault="00A723D1" w:rsidP="00006531">
      <w:pPr>
        <w:jc w:val="left"/>
        <w:rPr>
          <w:sz w:val="26"/>
          <w:szCs w:val="26"/>
        </w:rPr>
      </w:pPr>
      <w:r>
        <w:rPr>
          <w:sz w:val="26"/>
          <w:szCs w:val="26"/>
        </w:rPr>
        <w:tab/>
      </w:r>
      <w:r>
        <w:rPr>
          <w:sz w:val="26"/>
          <w:szCs w:val="26"/>
        </w:rPr>
        <w:tab/>
        <w:t>The SEF agreed</w:t>
      </w:r>
      <w:r w:rsidR="00EF59CE">
        <w:rPr>
          <w:sz w:val="26"/>
          <w:szCs w:val="26"/>
        </w:rPr>
        <w:t xml:space="preserve"> with the OSBA</w:t>
      </w:r>
      <w:r w:rsidR="008D3260">
        <w:rPr>
          <w:sz w:val="26"/>
          <w:szCs w:val="26"/>
        </w:rPr>
        <w:t>’</w:t>
      </w:r>
      <w:r>
        <w:rPr>
          <w:sz w:val="26"/>
          <w:szCs w:val="26"/>
        </w:rPr>
        <w:t>s position</w:t>
      </w:r>
      <w:r w:rsidR="00EF59CE">
        <w:rPr>
          <w:sz w:val="26"/>
          <w:szCs w:val="26"/>
        </w:rPr>
        <w:t xml:space="preserve"> that the Commission should direct PPL to hire, through a Commission approved RFP, a third party Conservation </w:t>
      </w:r>
      <w:r w:rsidR="00EF59CE">
        <w:rPr>
          <w:sz w:val="26"/>
          <w:szCs w:val="26"/>
        </w:rPr>
        <w:lastRenderedPageBreak/>
        <w:t xml:space="preserve">Service Provider or Wholesale Default Service Provider, to work with stakeholders to create a TOU program that will benefit ratepayers by </w:t>
      </w:r>
      <w:r w:rsidR="00696619">
        <w:rPr>
          <w:sz w:val="26"/>
          <w:szCs w:val="26"/>
        </w:rPr>
        <w:t xml:space="preserve">effectuating the intent of Act 129 to </w:t>
      </w:r>
      <w:r w:rsidR="00EF59CE">
        <w:rPr>
          <w:sz w:val="26"/>
          <w:szCs w:val="26"/>
        </w:rPr>
        <w:t>provid</w:t>
      </w:r>
      <w:r w:rsidR="00696619">
        <w:rPr>
          <w:sz w:val="26"/>
          <w:szCs w:val="26"/>
        </w:rPr>
        <w:t>e</w:t>
      </w:r>
      <w:r w:rsidR="00EF59CE">
        <w:rPr>
          <w:sz w:val="26"/>
          <w:szCs w:val="26"/>
        </w:rPr>
        <w:t xml:space="preserve"> the least cost to serve over time.  SEF M.B. at 12; SEF St</w:t>
      </w:r>
      <w:r>
        <w:rPr>
          <w:sz w:val="26"/>
          <w:szCs w:val="26"/>
        </w:rPr>
        <w:t>.</w:t>
      </w:r>
      <w:r w:rsidR="00EF59CE">
        <w:rPr>
          <w:sz w:val="26"/>
          <w:szCs w:val="26"/>
        </w:rPr>
        <w:t xml:space="preserve"> 1 at 15. </w:t>
      </w:r>
    </w:p>
    <w:p w:rsidR="009B51BB" w:rsidRPr="00784E57" w:rsidRDefault="009B51BB" w:rsidP="00006531">
      <w:pPr>
        <w:jc w:val="left"/>
        <w:rPr>
          <w:sz w:val="26"/>
          <w:szCs w:val="26"/>
        </w:rPr>
      </w:pPr>
    </w:p>
    <w:p w:rsidR="00EF59CE" w:rsidRPr="00165CCA" w:rsidRDefault="00EF59CE" w:rsidP="00006531">
      <w:pPr>
        <w:contextualSpacing/>
        <w:jc w:val="left"/>
        <w:rPr>
          <w:sz w:val="26"/>
          <w:szCs w:val="26"/>
        </w:rPr>
      </w:pPr>
      <w:r w:rsidRPr="00165CCA">
        <w:rPr>
          <w:sz w:val="26"/>
          <w:szCs w:val="26"/>
        </w:rPr>
        <w:tab/>
      </w:r>
      <w:r w:rsidRPr="00165CCA">
        <w:rPr>
          <w:sz w:val="26"/>
          <w:szCs w:val="26"/>
        </w:rPr>
        <w:tab/>
        <w:t>DR argued that PPL</w:t>
      </w:r>
      <w:r w:rsidR="008D3260">
        <w:rPr>
          <w:sz w:val="26"/>
          <w:szCs w:val="26"/>
        </w:rPr>
        <w:t>’</w:t>
      </w:r>
      <w:r w:rsidRPr="00165CCA">
        <w:rPr>
          <w:sz w:val="26"/>
          <w:szCs w:val="26"/>
        </w:rPr>
        <w:t xml:space="preserve">s proposal </w:t>
      </w:r>
      <w:r w:rsidR="00A723D1">
        <w:rPr>
          <w:sz w:val="26"/>
          <w:szCs w:val="26"/>
        </w:rPr>
        <w:t>should</w:t>
      </w:r>
      <w:r w:rsidRPr="00165CCA">
        <w:rPr>
          <w:sz w:val="26"/>
          <w:szCs w:val="26"/>
        </w:rPr>
        <w:t xml:space="preserve"> be approved</w:t>
      </w:r>
      <w:r>
        <w:rPr>
          <w:sz w:val="26"/>
          <w:szCs w:val="26"/>
        </w:rPr>
        <w:t xml:space="preserve"> as submitted,</w:t>
      </w:r>
      <w:r w:rsidRPr="00165CCA">
        <w:rPr>
          <w:sz w:val="26"/>
          <w:szCs w:val="26"/>
        </w:rPr>
        <w:t xml:space="preserve"> based on its compliance with 66 Pa. C.S. § 2807(f)(5), and that it has met that standard by proposing a rate structure that is differentiated based upon the time of day that energy is con</w:t>
      </w:r>
      <w:r>
        <w:rPr>
          <w:sz w:val="26"/>
          <w:szCs w:val="26"/>
        </w:rPr>
        <w:t>sumed.  DR M.B. at 3; R.D. at 8.</w:t>
      </w:r>
      <w:r w:rsidRPr="00165CCA">
        <w:rPr>
          <w:sz w:val="26"/>
          <w:szCs w:val="26"/>
        </w:rPr>
        <w:t xml:space="preserve">  </w:t>
      </w:r>
      <w:r>
        <w:rPr>
          <w:sz w:val="26"/>
          <w:szCs w:val="26"/>
        </w:rPr>
        <w:t>DR further explained that the statute defines a TOU rate</w:t>
      </w:r>
      <w:r w:rsidR="00A723D1">
        <w:rPr>
          <w:sz w:val="26"/>
          <w:szCs w:val="26"/>
        </w:rPr>
        <w:t xml:space="preserve"> as one</w:t>
      </w:r>
      <w:r>
        <w:rPr>
          <w:sz w:val="26"/>
          <w:szCs w:val="26"/>
        </w:rPr>
        <w:t xml:space="preserve"> that reflects costs of serving customers during different time periods, including off-peak and on-peak periods, but not as frequently as hourly.  66 Pa. C.S. § 2806.1(m).  Thus, DR</w:t>
      </w:r>
      <w:r w:rsidR="00A723D1">
        <w:rPr>
          <w:sz w:val="26"/>
          <w:szCs w:val="26"/>
        </w:rPr>
        <w:t xml:space="preserve"> submitted</w:t>
      </w:r>
      <w:r>
        <w:rPr>
          <w:sz w:val="26"/>
          <w:szCs w:val="26"/>
        </w:rPr>
        <w:t xml:space="preserve"> that TOU rates need not actually track market prices</w:t>
      </w:r>
      <w:r w:rsidR="00A723D1">
        <w:rPr>
          <w:sz w:val="26"/>
          <w:szCs w:val="26"/>
        </w:rPr>
        <w:t>,</w:t>
      </w:r>
      <w:r>
        <w:rPr>
          <w:sz w:val="26"/>
          <w:szCs w:val="26"/>
        </w:rPr>
        <w:t xml:space="preserve"> but rather, simply reflect the costs of serving customers during different time periods.  DR M.B. at 4.</w:t>
      </w:r>
    </w:p>
    <w:p w:rsidR="00D9241E" w:rsidRDefault="00D9241E" w:rsidP="00696619">
      <w:pPr>
        <w:jc w:val="left"/>
        <w:rPr>
          <w:sz w:val="26"/>
          <w:szCs w:val="26"/>
        </w:rPr>
      </w:pPr>
    </w:p>
    <w:p w:rsidR="00D9241E" w:rsidRPr="00D9241E" w:rsidRDefault="00D9241E" w:rsidP="002F6D67">
      <w:pPr>
        <w:pStyle w:val="Heading3"/>
      </w:pPr>
      <w:r>
        <w:tab/>
      </w:r>
      <w:r>
        <w:tab/>
      </w:r>
      <w:bookmarkStart w:id="7" w:name="_Toc333991294"/>
      <w:r w:rsidR="008C0729">
        <w:t>2</w:t>
      </w:r>
      <w:r w:rsidR="00EF59CE" w:rsidRPr="00D9241E">
        <w:t>.</w:t>
      </w:r>
      <w:r w:rsidR="00EF59CE" w:rsidRPr="00D9241E">
        <w:tab/>
      </w:r>
      <w:r w:rsidRPr="00D9241E">
        <w:t>The ALJ</w:t>
      </w:r>
      <w:r w:rsidR="008D3260">
        <w:t>’</w:t>
      </w:r>
      <w:r w:rsidRPr="00D9241E">
        <w:t>s Recommendation</w:t>
      </w:r>
      <w:bookmarkEnd w:id="7"/>
    </w:p>
    <w:p w:rsidR="00D9241E" w:rsidRPr="00D9241E" w:rsidRDefault="00D9241E" w:rsidP="00DF7C0B">
      <w:pPr>
        <w:keepNext/>
        <w:jc w:val="left"/>
        <w:rPr>
          <w:sz w:val="26"/>
          <w:szCs w:val="26"/>
        </w:rPr>
      </w:pPr>
    </w:p>
    <w:p w:rsidR="00D9241E" w:rsidRPr="00D9241E" w:rsidRDefault="00D9241E" w:rsidP="00006531">
      <w:pPr>
        <w:jc w:val="left"/>
        <w:rPr>
          <w:sz w:val="26"/>
          <w:szCs w:val="26"/>
        </w:rPr>
      </w:pPr>
      <w:r w:rsidRPr="00D9241E">
        <w:rPr>
          <w:sz w:val="26"/>
          <w:szCs w:val="26"/>
        </w:rPr>
        <w:tab/>
      </w:r>
      <w:r w:rsidRPr="00D9241E">
        <w:rPr>
          <w:sz w:val="26"/>
          <w:szCs w:val="26"/>
        </w:rPr>
        <w:tab/>
        <w:t>The ALJ found that PPL</w:t>
      </w:r>
      <w:r w:rsidR="008D3260">
        <w:rPr>
          <w:sz w:val="26"/>
          <w:szCs w:val="26"/>
        </w:rPr>
        <w:t>’</w:t>
      </w:r>
      <w:r w:rsidRPr="00D9241E">
        <w:rPr>
          <w:sz w:val="26"/>
          <w:szCs w:val="26"/>
        </w:rPr>
        <w:t>s overall prop</w:t>
      </w:r>
      <w:r w:rsidR="00E26AF9">
        <w:rPr>
          <w:sz w:val="26"/>
          <w:szCs w:val="26"/>
        </w:rPr>
        <w:t xml:space="preserve">osal seems to be geared toward </w:t>
      </w:r>
      <w:r w:rsidRPr="00D9241E">
        <w:rPr>
          <w:sz w:val="26"/>
          <w:szCs w:val="26"/>
        </w:rPr>
        <w:t xml:space="preserve">discouraging participation while protecting the Company from incurring future undercollections.  Considering </w:t>
      </w:r>
      <w:r w:rsidR="00F0127E">
        <w:rPr>
          <w:sz w:val="26"/>
          <w:szCs w:val="26"/>
        </w:rPr>
        <w:t>PPL</w:t>
      </w:r>
      <w:r w:rsidR="008D3260">
        <w:rPr>
          <w:sz w:val="26"/>
          <w:szCs w:val="26"/>
        </w:rPr>
        <w:t>’</w:t>
      </w:r>
      <w:r w:rsidRPr="00D9241E">
        <w:rPr>
          <w:sz w:val="26"/>
          <w:szCs w:val="26"/>
        </w:rPr>
        <w:t xml:space="preserve">s experience with the </w:t>
      </w:r>
      <w:r w:rsidR="0092150F">
        <w:rPr>
          <w:sz w:val="26"/>
          <w:szCs w:val="26"/>
        </w:rPr>
        <w:t>rates in effect during the first five months of 2011</w:t>
      </w:r>
      <w:r w:rsidRPr="00D9241E">
        <w:rPr>
          <w:sz w:val="26"/>
          <w:szCs w:val="26"/>
        </w:rPr>
        <w:t>, its reluctance to propose a b</w:t>
      </w:r>
      <w:r w:rsidR="0092150F">
        <w:rPr>
          <w:sz w:val="26"/>
          <w:szCs w:val="26"/>
        </w:rPr>
        <w:t>old, attractive, and thus risky</w:t>
      </w:r>
      <w:r w:rsidRPr="00D9241E">
        <w:rPr>
          <w:sz w:val="26"/>
          <w:szCs w:val="26"/>
        </w:rPr>
        <w:t xml:space="preserve"> program is understandable.  However, according to the ALJ</w:t>
      </w:r>
      <w:r w:rsidR="0092150F">
        <w:rPr>
          <w:sz w:val="26"/>
          <w:szCs w:val="26"/>
        </w:rPr>
        <w:t>,</w:t>
      </w:r>
      <w:r w:rsidRPr="00D9241E">
        <w:rPr>
          <w:sz w:val="26"/>
          <w:szCs w:val="26"/>
        </w:rPr>
        <w:t xml:space="preserve"> there is no evidence that PPL sought to develop anything other than a stop-gap program to meet the minimum standards required, that is, a </w:t>
      </w:r>
      <w:r w:rsidR="00075B3F">
        <w:rPr>
          <w:sz w:val="26"/>
          <w:szCs w:val="26"/>
        </w:rPr>
        <w:t>TOU</w:t>
      </w:r>
      <w:r w:rsidRPr="00D9241E">
        <w:rPr>
          <w:sz w:val="26"/>
          <w:szCs w:val="26"/>
        </w:rPr>
        <w:t xml:space="preserve"> program that offers rates </w:t>
      </w:r>
      <w:r w:rsidR="0092150F">
        <w:rPr>
          <w:sz w:val="26"/>
          <w:szCs w:val="26"/>
        </w:rPr>
        <w:t>t</w:t>
      </w:r>
      <w:r w:rsidRPr="00D9241E">
        <w:rPr>
          <w:sz w:val="26"/>
          <w:szCs w:val="26"/>
        </w:rPr>
        <w:t>h</w:t>
      </w:r>
      <w:r w:rsidR="0092150F">
        <w:rPr>
          <w:sz w:val="26"/>
          <w:szCs w:val="26"/>
        </w:rPr>
        <w:t>at</w:t>
      </w:r>
      <w:r w:rsidRPr="00D9241E">
        <w:rPr>
          <w:sz w:val="26"/>
          <w:szCs w:val="26"/>
        </w:rPr>
        <w:t xml:space="preserve"> are differentiated based upon the time of day that the energy is consumed.</w:t>
      </w:r>
      <w:r w:rsidRPr="00D9241E">
        <w:rPr>
          <w:sz w:val="26"/>
          <w:szCs w:val="26"/>
          <w:vertAlign w:val="superscript"/>
        </w:rPr>
        <w:footnoteReference w:id="4"/>
      </w:r>
      <w:r w:rsidRPr="00D9241E">
        <w:rPr>
          <w:sz w:val="26"/>
          <w:szCs w:val="26"/>
        </w:rPr>
        <w:t xml:space="preserve">  R.D. at 20.</w:t>
      </w:r>
    </w:p>
    <w:p w:rsidR="00D9241E" w:rsidRPr="00D9241E" w:rsidRDefault="00D9241E" w:rsidP="00006531">
      <w:pPr>
        <w:jc w:val="left"/>
        <w:rPr>
          <w:sz w:val="26"/>
          <w:szCs w:val="26"/>
        </w:rPr>
      </w:pPr>
    </w:p>
    <w:p w:rsidR="00D9241E" w:rsidRPr="00D9241E" w:rsidRDefault="00D9241E" w:rsidP="00006531">
      <w:pPr>
        <w:jc w:val="left"/>
        <w:rPr>
          <w:sz w:val="26"/>
          <w:szCs w:val="26"/>
        </w:rPr>
      </w:pPr>
      <w:r w:rsidRPr="00D9241E">
        <w:rPr>
          <w:sz w:val="26"/>
          <w:szCs w:val="26"/>
        </w:rPr>
        <w:tab/>
      </w:r>
      <w:r w:rsidRPr="00D9241E">
        <w:rPr>
          <w:sz w:val="26"/>
          <w:szCs w:val="26"/>
        </w:rPr>
        <w:tab/>
        <w:t>The ALJ further noted that PPL</w:t>
      </w:r>
      <w:r w:rsidR="008D3260">
        <w:rPr>
          <w:sz w:val="26"/>
          <w:szCs w:val="26"/>
        </w:rPr>
        <w:t>’</w:t>
      </w:r>
      <w:r w:rsidRPr="00D9241E">
        <w:rPr>
          <w:sz w:val="26"/>
          <w:szCs w:val="26"/>
        </w:rPr>
        <w:t>s proposal would be effective for less than one calendar year and there is another TOU proposal in PPL</w:t>
      </w:r>
      <w:r w:rsidR="008D3260">
        <w:rPr>
          <w:sz w:val="26"/>
          <w:szCs w:val="26"/>
        </w:rPr>
        <w:t>’</w:t>
      </w:r>
      <w:r w:rsidRPr="00D9241E">
        <w:rPr>
          <w:sz w:val="26"/>
          <w:szCs w:val="26"/>
        </w:rPr>
        <w:t>s pending</w:t>
      </w:r>
      <w:r w:rsidR="00283F30">
        <w:rPr>
          <w:sz w:val="26"/>
          <w:szCs w:val="26"/>
        </w:rPr>
        <w:t xml:space="preserve"> (Default Service </w:t>
      </w:r>
      <w:r w:rsidR="00283F30">
        <w:rPr>
          <w:sz w:val="26"/>
          <w:szCs w:val="26"/>
        </w:rPr>
        <w:lastRenderedPageBreak/>
        <w:t>Program)</w:t>
      </w:r>
      <w:r w:rsidRPr="00D9241E">
        <w:rPr>
          <w:sz w:val="26"/>
          <w:szCs w:val="26"/>
        </w:rPr>
        <w:t xml:space="preserve"> DSP case.  </w:t>
      </w:r>
      <w:r w:rsidRPr="00D9241E">
        <w:rPr>
          <w:i/>
          <w:sz w:val="26"/>
          <w:szCs w:val="26"/>
        </w:rPr>
        <w:t xml:space="preserve">Petition of PPL Electric Utilities Corporation for approval of a default service program and procurement plan for the period of June 1, 2013 through May 31, 2015, </w:t>
      </w:r>
      <w:r w:rsidR="00283F30">
        <w:rPr>
          <w:sz w:val="26"/>
          <w:szCs w:val="26"/>
        </w:rPr>
        <w:t>Docket No. P-2012</w:t>
      </w:r>
      <w:r w:rsidR="009D07D6">
        <w:rPr>
          <w:sz w:val="26"/>
          <w:szCs w:val="26"/>
        </w:rPr>
        <w:t>-2302074</w:t>
      </w:r>
      <w:r w:rsidRPr="00D9241E">
        <w:rPr>
          <w:sz w:val="26"/>
          <w:szCs w:val="26"/>
        </w:rPr>
        <w:t>.  (</w:t>
      </w:r>
      <w:r w:rsidRPr="00D9241E">
        <w:rPr>
          <w:i/>
          <w:sz w:val="26"/>
          <w:szCs w:val="26"/>
        </w:rPr>
        <w:t>2013 DSP</w:t>
      </w:r>
      <w:r w:rsidR="00A558F2">
        <w:rPr>
          <w:sz w:val="26"/>
          <w:szCs w:val="26"/>
        </w:rPr>
        <w:t>)</w:t>
      </w:r>
      <w:r w:rsidR="001E2A4A">
        <w:rPr>
          <w:sz w:val="26"/>
          <w:szCs w:val="26"/>
        </w:rPr>
        <w:t>.</w:t>
      </w:r>
      <w:r w:rsidR="00A558F2">
        <w:rPr>
          <w:sz w:val="26"/>
          <w:szCs w:val="26"/>
        </w:rPr>
        <w:t xml:space="preserve">  </w:t>
      </w:r>
      <w:r w:rsidR="001E2A4A">
        <w:rPr>
          <w:sz w:val="26"/>
          <w:szCs w:val="26"/>
        </w:rPr>
        <w:t>The effectiveness of the</w:t>
      </w:r>
      <w:r w:rsidR="00283F30">
        <w:rPr>
          <w:sz w:val="26"/>
          <w:szCs w:val="26"/>
        </w:rPr>
        <w:t xml:space="preserve"> proposed</w:t>
      </w:r>
      <w:r w:rsidRPr="00D9241E">
        <w:rPr>
          <w:sz w:val="26"/>
          <w:szCs w:val="26"/>
        </w:rPr>
        <w:t xml:space="preserve"> TOU program</w:t>
      </w:r>
      <w:r w:rsidR="001E2A4A">
        <w:rPr>
          <w:sz w:val="26"/>
          <w:szCs w:val="26"/>
        </w:rPr>
        <w:t>, at issue here,</w:t>
      </w:r>
      <w:r w:rsidRPr="00D9241E">
        <w:rPr>
          <w:sz w:val="26"/>
          <w:szCs w:val="26"/>
        </w:rPr>
        <w:t xml:space="preserve"> would not be evident until after the litigation of the </w:t>
      </w:r>
      <w:r w:rsidR="00283F30" w:rsidRPr="00283F30">
        <w:rPr>
          <w:i/>
          <w:sz w:val="26"/>
          <w:szCs w:val="26"/>
        </w:rPr>
        <w:t>2013</w:t>
      </w:r>
      <w:r w:rsidR="00075B3F">
        <w:rPr>
          <w:i/>
          <w:sz w:val="26"/>
          <w:szCs w:val="26"/>
        </w:rPr>
        <w:t xml:space="preserve"> </w:t>
      </w:r>
      <w:r w:rsidRPr="00283F30">
        <w:rPr>
          <w:i/>
          <w:sz w:val="26"/>
          <w:szCs w:val="26"/>
        </w:rPr>
        <w:t>DSP</w:t>
      </w:r>
      <w:r w:rsidRPr="00D9241E">
        <w:rPr>
          <w:sz w:val="26"/>
          <w:szCs w:val="26"/>
        </w:rPr>
        <w:t xml:space="preserve"> </w:t>
      </w:r>
      <w:r w:rsidR="00283F30">
        <w:rPr>
          <w:sz w:val="26"/>
          <w:szCs w:val="26"/>
        </w:rPr>
        <w:t>case is finished and</w:t>
      </w:r>
      <w:r w:rsidR="00075B3F">
        <w:rPr>
          <w:sz w:val="26"/>
          <w:szCs w:val="26"/>
        </w:rPr>
        <w:t>,</w:t>
      </w:r>
      <w:r w:rsidR="00283F30">
        <w:rPr>
          <w:sz w:val="26"/>
          <w:szCs w:val="26"/>
        </w:rPr>
        <w:t xml:space="preserve"> therefore</w:t>
      </w:r>
      <w:r w:rsidRPr="00D9241E">
        <w:rPr>
          <w:sz w:val="26"/>
          <w:szCs w:val="26"/>
        </w:rPr>
        <w:t xml:space="preserve"> the lessons learned will not be available in time to apply them.  What is certain is that the implementation of any new program incurs costs.  For the instant program, those costs would be for minimal or no benefit, considering the length of time that the program would run.  The</w:t>
      </w:r>
      <w:r w:rsidR="00075B3F">
        <w:rPr>
          <w:sz w:val="26"/>
          <w:szCs w:val="26"/>
        </w:rPr>
        <w:t>refore the</w:t>
      </w:r>
      <w:r w:rsidRPr="00D9241E">
        <w:rPr>
          <w:sz w:val="26"/>
          <w:szCs w:val="26"/>
        </w:rPr>
        <w:t xml:space="preserve"> ALJ</w:t>
      </w:r>
      <w:r w:rsidR="00283F30">
        <w:rPr>
          <w:sz w:val="26"/>
          <w:szCs w:val="26"/>
        </w:rPr>
        <w:t xml:space="preserve"> </w:t>
      </w:r>
      <w:r w:rsidRPr="00D9241E">
        <w:rPr>
          <w:sz w:val="26"/>
          <w:szCs w:val="26"/>
        </w:rPr>
        <w:t>concluded that PPL</w:t>
      </w:r>
      <w:r w:rsidR="008D3260">
        <w:rPr>
          <w:sz w:val="26"/>
          <w:szCs w:val="26"/>
        </w:rPr>
        <w:t>’</w:t>
      </w:r>
      <w:r w:rsidRPr="00D9241E">
        <w:rPr>
          <w:sz w:val="26"/>
          <w:szCs w:val="26"/>
        </w:rPr>
        <w:t xml:space="preserve">s proposed TOU program is not in the public interest and should be denied.  The ALJ encouraged the Parties to take their thoughtful and well-developed positions to the negotiations table in the pending </w:t>
      </w:r>
      <w:r w:rsidR="00283F30" w:rsidRPr="00283F30">
        <w:rPr>
          <w:i/>
          <w:sz w:val="26"/>
          <w:szCs w:val="26"/>
        </w:rPr>
        <w:t xml:space="preserve">2013 </w:t>
      </w:r>
      <w:r w:rsidRPr="00283F30">
        <w:rPr>
          <w:i/>
          <w:sz w:val="26"/>
          <w:szCs w:val="26"/>
        </w:rPr>
        <w:t>DSP</w:t>
      </w:r>
      <w:r w:rsidRPr="00D9241E">
        <w:rPr>
          <w:sz w:val="26"/>
          <w:szCs w:val="26"/>
        </w:rPr>
        <w:t xml:space="preserve"> case to develop the best TOU program possible for the Company</w:t>
      </w:r>
      <w:r w:rsidR="008D3260">
        <w:rPr>
          <w:sz w:val="26"/>
          <w:szCs w:val="26"/>
        </w:rPr>
        <w:t>’</w:t>
      </w:r>
      <w:r w:rsidRPr="00D9241E">
        <w:rPr>
          <w:sz w:val="26"/>
          <w:szCs w:val="26"/>
        </w:rPr>
        <w:t>s ratepayers.</w:t>
      </w:r>
      <w:r w:rsidR="00A558F2">
        <w:rPr>
          <w:sz w:val="26"/>
          <w:szCs w:val="26"/>
        </w:rPr>
        <w:t xml:space="preserve"> </w:t>
      </w:r>
      <w:r w:rsidRPr="00D9241E">
        <w:rPr>
          <w:sz w:val="26"/>
          <w:szCs w:val="26"/>
        </w:rPr>
        <w:t xml:space="preserve"> R.D. at 20.  </w:t>
      </w:r>
    </w:p>
    <w:p w:rsidR="00D9241E" w:rsidRPr="00D9241E" w:rsidRDefault="00D9241E" w:rsidP="00006531">
      <w:pPr>
        <w:jc w:val="left"/>
        <w:rPr>
          <w:sz w:val="26"/>
          <w:szCs w:val="26"/>
        </w:rPr>
      </w:pPr>
    </w:p>
    <w:p w:rsidR="00D9241E" w:rsidRDefault="00D9241E" w:rsidP="00006531">
      <w:pPr>
        <w:jc w:val="left"/>
        <w:rPr>
          <w:sz w:val="26"/>
          <w:szCs w:val="26"/>
        </w:rPr>
      </w:pPr>
      <w:r w:rsidRPr="00D9241E">
        <w:rPr>
          <w:sz w:val="26"/>
          <w:szCs w:val="26"/>
        </w:rPr>
        <w:tab/>
      </w:r>
      <w:r w:rsidRPr="00D9241E">
        <w:rPr>
          <w:sz w:val="26"/>
          <w:szCs w:val="26"/>
        </w:rPr>
        <w:tab/>
        <w:t>The ALJ also recommen</w:t>
      </w:r>
      <w:r w:rsidR="002E3352">
        <w:rPr>
          <w:sz w:val="26"/>
          <w:szCs w:val="26"/>
        </w:rPr>
        <w:t>ded that PPL request</w:t>
      </w:r>
      <w:r w:rsidR="00A558F2">
        <w:rPr>
          <w:sz w:val="26"/>
          <w:szCs w:val="26"/>
        </w:rPr>
        <w:t xml:space="preserve"> an extension </w:t>
      </w:r>
      <w:r w:rsidRPr="00D9241E">
        <w:rPr>
          <w:sz w:val="26"/>
          <w:szCs w:val="26"/>
        </w:rPr>
        <w:t>o</w:t>
      </w:r>
      <w:r w:rsidR="00A558F2">
        <w:rPr>
          <w:sz w:val="26"/>
          <w:szCs w:val="26"/>
        </w:rPr>
        <w:t>f</w:t>
      </w:r>
      <w:r w:rsidRPr="00D9241E">
        <w:rPr>
          <w:sz w:val="26"/>
          <w:szCs w:val="26"/>
        </w:rPr>
        <w:t xml:space="preserve"> its existing TOU Program, Tariff</w:t>
      </w:r>
      <w:r w:rsidR="00A558F2">
        <w:rPr>
          <w:sz w:val="26"/>
          <w:szCs w:val="26"/>
        </w:rPr>
        <w:t xml:space="preserve"> Supplement No. 94,</w:t>
      </w:r>
      <w:r w:rsidRPr="00D9241E">
        <w:rPr>
          <w:sz w:val="26"/>
          <w:szCs w:val="26"/>
        </w:rPr>
        <w:t xml:space="preserve"> </w:t>
      </w:r>
      <w:r w:rsidR="003E707E">
        <w:rPr>
          <w:sz w:val="26"/>
          <w:szCs w:val="26"/>
        </w:rPr>
        <w:t xml:space="preserve">so that it remains in effect </w:t>
      </w:r>
      <w:r w:rsidRPr="00D9241E">
        <w:rPr>
          <w:sz w:val="26"/>
          <w:szCs w:val="26"/>
        </w:rPr>
        <w:t xml:space="preserve">until the issuance of a final Commission Order in the </w:t>
      </w:r>
      <w:r w:rsidRPr="00D9241E">
        <w:rPr>
          <w:i/>
          <w:sz w:val="26"/>
          <w:szCs w:val="26"/>
        </w:rPr>
        <w:t>2013 DSP</w:t>
      </w:r>
      <w:r w:rsidR="00CC5E3A">
        <w:rPr>
          <w:sz w:val="26"/>
          <w:szCs w:val="26"/>
        </w:rPr>
        <w:t xml:space="preserve"> proceeding</w:t>
      </w:r>
      <w:r w:rsidRPr="00D9241E">
        <w:rPr>
          <w:sz w:val="26"/>
          <w:szCs w:val="26"/>
        </w:rPr>
        <w:t xml:space="preserve">.  </w:t>
      </w:r>
      <w:r w:rsidR="002E3352">
        <w:rPr>
          <w:sz w:val="26"/>
          <w:szCs w:val="26"/>
        </w:rPr>
        <w:t>F</w:t>
      </w:r>
      <w:r w:rsidRPr="00D9241E">
        <w:rPr>
          <w:sz w:val="26"/>
          <w:szCs w:val="26"/>
        </w:rPr>
        <w:t>urther,</w:t>
      </w:r>
      <w:r w:rsidR="002E3352">
        <w:rPr>
          <w:sz w:val="26"/>
          <w:szCs w:val="26"/>
        </w:rPr>
        <w:t xml:space="preserve"> the ALJ recommended</w:t>
      </w:r>
      <w:r w:rsidRPr="00D9241E">
        <w:rPr>
          <w:sz w:val="26"/>
          <w:szCs w:val="26"/>
        </w:rPr>
        <w:t xml:space="preserve"> that PPL </w:t>
      </w:r>
      <w:r w:rsidR="002E3352">
        <w:rPr>
          <w:sz w:val="26"/>
          <w:szCs w:val="26"/>
        </w:rPr>
        <w:t>be authorized to</w:t>
      </w:r>
      <w:r w:rsidRPr="00D9241E">
        <w:rPr>
          <w:sz w:val="26"/>
          <w:szCs w:val="26"/>
        </w:rPr>
        <w:t xml:space="preserve"> recover undercollections </w:t>
      </w:r>
      <w:r w:rsidR="003E7078">
        <w:rPr>
          <w:sz w:val="26"/>
          <w:szCs w:val="26"/>
        </w:rPr>
        <w:t>through</w:t>
      </w:r>
      <w:r w:rsidR="002E3352">
        <w:rPr>
          <w:sz w:val="26"/>
          <w:szCs w:val="26"/>
        </w:rPr>
        <w:t xml:space="preserve"> its</w:t>
      </w:r>
      <w:r w:rsidRPr="00D9241E">
        <w:rPr>
          <w:sz w:val="26"/>
          <w:szCs w:val="26"/>
        </w:rPr>
        <w:t xml:space="preserve"> TOU program from all DSP customers, by class, contingent upon a Commission finding on the p</w:t>
      </w:r>
      <w:r w:rsidR="003E7078">
        <w:rPr>
          <w:sz w:val="26"/>
          <w:szCs w:val="26"/>
        </w:rPr>
        <w:t>roprie</w:t>
      </w:r>
      <w:r w:rsidRPr="00D9241E">
        <w:rPr>
          <w:sz w:val="26"/>
          <w:szCs w:val="26"/>
        </w:rPr>
        <w:t>t</w:t>
      </w:r>
      <w:r w:rsidR="003E7078">
        <w:rPr>
          <w:sz w:val="26"/>
          <w:szCs w:val="26"/>
        </w:rPr>
        <w:t>y</w:t>
      </w:r>
      <w:r w:rsidRPr="00D9241E">
        <w:rPr>
          <w:sz w:val="26"/>
          <w:szCs w:val="26"/>
        </w:rPr>
        <w:t xml:space="preserve"> of those undercollections.  Lastly, the ALJ sustained the Complaints filed by the OCA and the OSBA.</w:t>
      </w:r>
    </w:p>
    <w:p w:rsidR="00983A1C" w:rsidRPr="00D9241E" w:rsidRDefault="00983A1C" w:rsidP="00006531">
      <w:pPr>
        <w:jc w:val="left"/>
        <w:rPr>
          <w:sz w:val="26"/>
          <w:szCs w:val="26"/>
        </w:rPr>
      </w:pPr>
    </w:p>
    <w:p w:rsidR="00EF59CE" w:rsidRDefault="002F6D67" w:rsidP="002F6D67">
      <w:pPr>
        <w:pStyle w:val="Heading3"/>
      </w:pPr>
      <w:r>
        <w:tab/>
      </w:r>
      <w:r>
        <w:tab/>
      </w:r>
      <w:bookmarkStart w:id="8" w:name="_Toc333991295"/>
      <w:r w:rsidR="008C0729">
        <w:t>3</w:t>
      </w:r>
      <w:r w:rsidR="00D9241E">
        <w:t>.</w:t>
      </w:r>
      <w:r w:rsidR="00D9241E">
        <w:tab/>
      </w:r>
      <w:r w:rsidR="00EF59CE">
        <w:t>Exceptions</w:t>
      </w:r>
      <w:bookmarkEnd w:id="8"/>
    </w:p>
    <w:p w:rsidR="00715946" w:rsidRDefault="00981D7C" w:rsidP="00DF7C0B">
      <w:pPr>
        <w:keepNext/>
        <w:jc w:val="left"/>
        <w:rPr>
          <w:sz w:val="26"/>
          <w:szCs w:val="26"/>
        </w:rPr>
      </w:pPr>
      <w:r>
        <w:rPr>
          <w:sz w:val="26"/>
          <w:szCs w:val="26"/>
        </w:rPr>
        <w:tab/>
      </w:r>
      <w:r>
        <w:rPr>
          <w:sz w:val="26"/>
          <w:szCs w:val="26"/>
        </w:rPr>
        <w:tab/>
      </w:r>
    </w:p>
    <w:p w:rsidR="00036086" w:rsidRPr="00981D7C" w:rsidRDefault="007C4A5B" w:rsidP="00006531">
      <w:pPr>
        <w:jc w:val="left"/>
        <w:rPr>
          <w:sz w:val="26"/>
          <w:szCs w:val="26"/>
        </w:rPr>
      </w:pPr>
      <w:r>
        <w:rPr>
          <w:sz w:val="26"/>
          <w:szCs w:val="26"/>
        </w:rPr>
        <w:tab/>
      </w:r>
      <w:r>
        <w:rPr>
          <w:sz w:val="26"/>
          <w:szCs w:val="26"/>
        </w:rPr>
        <w:tab/>
      </w:r>
      <w:r w:rsidR="007125A7">
        <w:rPr>
          <w:sz w:val="26"/>
          <w:szCs w:val="26"/>
        </w:rPr>
        <w:t>By way of Exception, PPL states its willingness to</w:t>
      </w:r>
      <w:r w:rsidR="00A96845">
        <w:rPr>
          <w:sz w:val="26"/>
          <w:szCs w:val="26"/>
        </w:rPr>
        <w:t xml:space="preserve"> exte</w:t>
      </w:r>
      <w:r w:rsidR="00453007">
        <w:rPr>
          <w:sz w:val="26"/>
          <w:szCs w:val="26"/>
        </w:rPr>
        <w:t>nd the current TOU program</w:t>
      </w:r>
      <w:r w:rsidR="00A96845">
        <w:rPr>
          <w:sz w:val="26"/>
          <w:szCs w:val="26"/>
        </w:rPr>
        <w:t xml:space="preserve"> through May 31, 2013</w:t>
      </w:r>
      <w:r w:rsidR="007125A7">
        <w:rPr>
          <w:sz w:val="26"/>
          <w:szCs w:val="26"/>
        </w:rPr>
        <w:t>, as recommended by the ALJ, with one condition</w:t>
      </w:r>
      <w:r w:rsidR="00A96845">
        <w:rPr>
          <w:sz w:val="26"/>
          <w:szCs w:val="26"/>
        </w:rPr>
        <w:t>.  PPL s</w:t>
      </w:r>
      <w:r w:rsidR="007125A7">
        <w:rPr>
          <w:sz w:val="26"/>
          <w:szCs w:val="26"/>
        </w:rPr>
        <w:t>eeks</w:t>
      </w:r>
      <w:r w:rsidR="00A96845">
        <w:rPr>
          <w:sz w:val="26"/>
          <w:szCs w:val="26"/>
        </w:rPr>
        <w:t xml:space="preserve"> permi</w:t>
      </w:r>
      <w:r w:rsidR="007125A7">
        <w:rPr>
          <w:sz w:val="26"/>
          <w:szCs w:val="26"/>
        </w:rPr>
        <w:t xml:space="preserve">ssion </w:t>
      </w:r>
      <w:r w:rsidR="00A96845">
        <w:rPr>
          <w:sz w:val="26"/>
          <w:szCs w:val="26"/>
        </w:rPr>
        <w:t>to recover TOU program undercollections from all default service customers, by class.  PPL Exc. at 3.</w:t>
      </w:r>
    </w:p>
    <w:p w:rsidR="00981D7C" w:rsidRDefault="00981D7C" w:rsidP="00006531">
      <w:pPr>
        <w:jc w:val="left"/>
        <w:rPr>
          <w:sz w:val="26"/>
          <w:szCs w:val="26"/>
        </w:rPr>
      </w:pPr>
    </w:p>
    <w:p w:rsidR="000A4E3F" w:rsidRDefault="000A4E3F" w:rsidP="00006531">
      <w:pPr>
        <w:jc w:val="left"/>
        <w:rPr>
          <w:sz w:val="26"/>
          <w:szCs w:val="26"/>
        </w:rPr>
      </w:pPr>
      <w:r>
        <w:rPr>
          <w:sz w:val="26"/>
          <w:szCs w:val="26"/>
        </w:rPr>
        <w:lastRenderedPageBreak/>
        <w:tab/>
      </w:r>
      <w:r>
        <w:rPr>
          <w:sz w:val="26"/>
          <w:szCs w:val="26"/>
        </w:rPr>
        <w:tab/>
      </w:r>
      <w:r w:rsidRPr="000A4E3F">
        <w:rPr>
          <w:sz w:val="26"/>
          <w:szCs w:val="26"/>
        </w:rPr>
        <w:t xml:space="preserve">The OCA </w:t>
      </w:r>
      <w:r w:rsidR="0059499A">
        <w:rPr>
          <w:sz w:val="26"/>
          <w:szCs w:val="26"/>
        </w:rPr>
        <w:t>e</w:t>
      </w:r>
      <w:r w:rsidR="007F01B8">
        <w:rPr>
          <w:sz w:val="26"/>
          <w:szCs w:val="26"/>
        </w:rPr>
        <w:t>xcept</w:t>
      </w:r>
      <w:r w:rsidR="0059499A">
        <w:rPr>
          <w:sz w:val="26"/>
          <w:szCs w:val="26"/>
        </w:rPr>
        <w:t>s</w:t>
      </w:r>
      <w:r>
        <w:rPr>
          <w:sz w:val="26"/>
          <w:szCs w:val="26"/>
        </w:rPr>
        <w:t xml:space="preserve"> to the ALJ</w:t>
      </w:r>
      <w:r w:rsidR="008D3260">
        <w:rPr>
          <w:sz w:val="26"/>
          <w:szCs w:val="26"/>
        </w:rPr>
        <w:t>’</w:t>
      </w:r>
      <w:r>
        <w:rPr>
          <w:sz w:val="26"/>
          <w:szCs w:val="26"/>
        </w:rPr>
        <w:t>s finding</w:t>
      </w:r>
      <w:r w:rsidRPr="000A4E3F">
        <w:rPr>
          <w:sz w:val="26"/>
          <w:szCs w:val="26"/>
        </w:rPr>
        <w:t xml:space="preserve"> that </w:t>
      </w:r>
      <w:r>
        <w:rPr>
          <w:sz w:val="26"/>
          <w:szCs w:val="26"/>
        </w:rPr>
        <w:t>PPL</w:t>
      </w:r>
      <w:r w:rsidR="008D3260">
        <w:rPr>
          <w:sz w:val="26"/>
          <w:szCs w:val="26"/>
        </w:rPr>
        <w:t>’</w:t>
      </w:r>
      <w:r>
        <w:rPr>
          <w:sz w:val="26"/>
          <w:szCs w:val="26"/>
        </w:rPr>
        <w:t>s</w:t>
      </w:r>
      <w:r w:rsidRPr="000A4E3F">
        <w:rPr>
          <w:sz w:val="26"/>
          <w:szCs w:val="26"/>
        </w:rPr>
        <w:t xml:space="preserve"> existing residential TOU program should be allowed to continue </w:t>
      </w:r>
      <w:r>
        <w:rPr>
          <w:sz w:val="26"/>
          <w:szCs w:val="26"/>
        </w:rPr>
        <w:t>in its current form without modification</w:t>
      </w:r>
      <w:r w:rsidRPr="000A4E3F">
        <w:rPr>
          <w:sz w:val="26"/>
          <w:szCs w:val="26"/>
        </w:rPr>
        <w:t>.</w:t>
      </w:r>
      <w:r>
        <w:rPr>
          <w:sz w:val="26"/>
          <w:szCs w:val="26"/>
        </w:rPr>
        <w:t xml:space="preserve">  OCA Exc. at 2-3.</w:t>
      </w:r>
      <w:r w:rsidRPr="000A4E3F">
        <w:rPr>
          <w:sz w:val="26"/>
          <w:szCs w:val="26"/>
        </w:rPr>
        <w:t xml:space="preserve">  </w:t>
      </w:r>
      <w:r w:rsidR="00B039CA">
        <w:rPr>
          <w:sz w:val="26"/>
          <w:szCs w:val="26"/>
        </w:rPr>
        <w:t>T</w:t>
      </w:r>
      <w:r w:rsidRPr="000A4E3F">
        <w:rPr>
          <w:sz w:val="26"/>
          <w:szCs w:val="26"/>
        </w:rPr>
        <w:t xml:space="preserve">he OCA submits that the Commission </w:t>
      </w:r>
      <w:r w:rsidR="0059499A">
        <w:rPr>
          <w:sz w:val="26"/>
          <w:szCs w:val="26"/>
        </w:rPr>
        <w:t xml:space="preserve">either </w:t>
      </w:r>
      <w:r w:rsidRPr="000A4E3F">
        <w:rPr>
          <w:sz w:val="26"/>
          <w:szCs w:val="26"/>
        </w:rPr>
        <w:t>should suspend the current residential TOU rate schedule and return the customers to the residential</w:t>
      </w:r>
      <w:r w:rsidR="00AA78E8">
        <w:rPr>
          <w:sz w:val="26"/>
          <w:szCs w:val="26"/>
        </w:rPr>
        <w:t xml:space="preserve"> default service</w:t>
      </w:r>
      <w:r w:rsidRPr="000A4E3F">
        <w:rPr>
          <w:sz w:val="26"/>
          <w:szCs w:val="26"/>
        </w:rPr>
        <w:t xml:space="preserve"> rate schedule, or leave the TOU rate schedule in place but set both the on-peak and the off-peak rates at the </w:t>
      </w:r>
      <w:r w:rsidR="0094699F">
        <w:rPr>
          <w:sz w:val="26"/>
          <w:szCs w:val="26"/>
        </w:rPr>
        <w:t>Residential Service (</w:t>
      </w:r>
      <w:r w:rsidRPr="000A4E3F">
        <w:rPr>
          <w:sz w:val="26"/>
          <w:szCs w:val="26"/>
        </w:rPr>
        <w:t>RS</w:t>
      </w:r>
      <w:r w:rsidR="0094699F">
        <w:rPr>
          <w:sz w:val="26"/>
          <w:szCs w:val="26"/>
        </w:rPr>
        <w:t>)</w:t>
      </w:r>
      <w:r w:rsidRPr="000A4E3F">
        <w:rPr>
          <w:sz w:val="26"/>
          <w:szCs w:val="26"/>
        </w:rPr>
        <w:t xml:space="preserve"> rate level until such time as new rates are determined for the program beginning June 1, 2013.</w:t>
      </w:r>
      <w:r w:rsidRPr="000A4E3F">
        <w:rPr>
          <w:sz w:val="26"/>
          <w:szCs w:val="26"/>
          <w:vertAlign w:val="superscript"/>
        </w:rPr>
        <w:footnoteReference w:id="5"/>
      </w:r>
      <w:r>
        <w:rPr>
          <w:sz w:val="26"/>
          <w:szCs w:val="26"/>
        </w:rPr>
        <w:t xml:space="preserve">  </w:t>
      </w:r>
      <w:r>
        <w:rPr>
          <w:i/>
          <w:sz w:val="26"/>
          <w:szCs w:val="26"/>
        </w:rPr>
        <w:t>Id</w:t>
      </w:r>
      <w:r>
        <w:rPr>
          <w:sz w:val="26"/>
          <w:szCs w:val="26"/>
        </w:rPr>
        <w:t>.</w:t>
      </w:r>
      <w:r w:rsidR="00D204C9">
        <w:rPr>
          <w:sz w:val="26"/>
          <w:szCs w:val="26"/>
        </w:rPr>
        <w:t xml:space="preserve"> at 4.</w:t>
      </w:r>
      <w:r w:rsidRPr="000A4E3F">
        <w:rPr>
          <w:sz w:val="26"/>
          <w:szCs w:val="26"/>
        </w:rPr>
        <w:t xml:space="preserve">  </w:t>
      </w:r>
      <w:r>
        <w:rPr>
          <w:sz w:val="26"/>
          <w:szCs w:val="26"/>
        </w:rPr>
        <w:t>The OCA contends that</w:t>
      </w:r>
      <w:r w:rsidR="0094699F">
        <w:rPr>
          <w:sz w:val="26"/>
          <w:szCs w:val="26"/>
        </w:rPr>
        <w:t>,</w:t>
      </w:r>
      <w:r>
        <w:rPr>
          <w:sz w:val="26"/>
          <w:szCs w:val="26"/>
        </w:rPr>
        <w:t xml:space="preserve"> i</w:t>
      </w:r>
      <w:r w:rsidRPr="000A4E3F">
        <w:rPr>
          <w:sz w:val="26"/>
          <w:szCs w:val="26"/>
        </w:rPr>
        <w:t xml:space="preserve">n the alternative, if the Commission wishes to move forward with a new TOU rate design at this </w:t>
      </w:r>
      <w:r w:rsidR="009D07D6" w:rsidRPr="000A4E3F">
        <w:rPr>
          <w:sz w:val="26"/>
          <w:szCs w:val="26"/>
        </w:rPr>
        <w:t>time</w:t>
      </w:r>
      <w:r w:rsidR="009D07D6">
        <w:rPr>
          <w:sz w:val="26"/>
          <w:szCs w:val="26"/>
        </w:rPr>
        <w:t xml:space="preserve"> that</w:t>
      </w:r>
      <w:r w:rsidRPr="000A4E3F">
        <w:rPr>
          <w:sz w:val="26"/>
          <w:szCs w:val="26"/>
        </w:rPr>
        <w:t xml:space="preserve"> the OCA</w:t>
      </w:r>
      <w:r w:rsidR="008D3260">
        <w:rPr>
          <w:sz w:val="26"/>
          <w:szCs w:val="26"/>
        </w:rPr>
        <w:t>’</w:t>
      </w:r>
      <w:r w:rsidRPr="000A4E3F">
        <w:rPr>
          <w:sz w:val="26"/>
          <w:szCs w:val="26"/>
        </w:rPr>
        <w:t xml:space="preserve">s proposed rate design for the residential </w:t>
      </w:r>
      <w:r>
        <w:rPr>
          <w:sz w:val="26"/>
          <w:szCs w:val="26"/>
        </w:rPr>
        <w:t xml:space="preserve">TOU program should be adopted.   </w:t>
      </w:r>
      <w:r>
        <w:rPr>
          <w:i/>
          <w:sz w:val="26"/>
          <w:szCs w:val="26"/>
        </w:rPr>
        <w:t>Id.</w:t>
      </w:r>
      <w:r w:rsidR="00D204C9">
        <w:rPr>
          <w:sz w:val="26"/>
          <w:szCs w:val="26"/>
        </w:rPr>
        <w:t xml:space="preserve"> at 5-7.</w:t>
      </w:r>
    </w:p>
    <w:p w:rsidR="006C521C" w:rsidRPr="006C521C" w:rsidRDefault="006C521C" w:rsidP="00006531">
      <w:pPr>
        <w:jc w:val="left"/>
        <w:rPr>
          <w:sz w:val="26"/>
          <w:szCs w:val="26"/>
        </w:rPr>
      </w:pPr>
    </w:p>
    <w:p w:rsidR="006C521C" w:rsidRPr="006C521C" w:rsidRDefault="006C521C" w:rsidP="00006531">
      <w:pPr>
        <w:jc w:val="left"/>
        <w:rPr>
          <w:sz w:val="26"/>
          <w:szCs w:val="26"/>
        </w:rPr>
      </w:pPr>
      <w:r w:rsidRPr="006C521C">
        <w:rPr>
          <w:sz w:val="26"/>
          <w:szCs w:val="26"/>
        </w:rPr>
        <w:tab/>
      </w:r>
      <w:r w:rsidRPr="006C521C">
        <w:rPr>
          <w:sz w:val="26"/>
          <w:szCs w:val="26"/>
        </w:rPr>
        <w:tab/>
        <w:t>The OCA further submits that</w:t>
      </w:r>
      <w:r w:rsidR="00C429DC">
        <w:rPr>
          <w:sz w:val="26"/>
          <w:szCs w:val="26"/>
        </w:rPr>
        <w:t>,</w:t>
      </w:r>
      <w:r w:rsidRPr="006C521C">
        <w:rPr>
          <w:sz w:val="26"/>
          <w:szCs w:val="26"/>
        </w:rPr>
        <w:t xml:space="preserve"> </w:t>
      </w:r>
      <w:r w:rsidRPr="006C521C">
        <w:rPr>
          <w:rFonts w:eastAsia="Calibri"/>
          <w:sz w:val="26"/>
          <w:szCs w:val="26"/>
        </w:rPr>
        <w:t>should the C</w:t>
      </w:r>
      <w:r>
        <w:rPr>
          <w:rFonts w:eastAsia="Calibri"/>
          <w:sz w:val="26"/>
          <w:szCs w:val="26"/>
        </w:rPr>
        <w:t>ommission determine</w:t>
      </w:r>
      <w:r w:rsidRPr="006C521C">
        <w:rPr>
          <w:rFonts w:eastAsia="Calibri"/>
          <w:sz w:val="26"/>
          <w:szCs w:val="26"/>
        </w:rPr>
        <w:t xml:space="preserve"> that implementing a new program for the period of time between now and June 1, 2013</w:t>
      </w:r>
      <w:r w:rsidR="00C429DC">
        <w:rPr>
          <w:rFonts w:eastAsia="Calibri"/>
          <w:sz w:val="26"/>
          <w:szCs w:val="26"/>
        </w:rPr>
        <w:t>,</w:t>
      </w:r>
      <w:r w:rsidRPr="006C521C">
        <w:rPr>
          <w:rFonts w:eastAsia="Calibri"/>
          <w:sz w:val="26"/>
          <w:szCs w:val="26"/>
        </w:rPr>
        <w:t xml:space="preserve"> is not cost-effective, it should not allow the current residential TOU r</w:t>
      </w:r>
      <w:r w:rsidR="00C429DC">
        <w:rPr>
          <w:rFonts w:eastAsia="Calibri"/>
          <w:sz w:val="26"/>
          <w:szCs w:val="26"/>
        </w:rPr>
        <w:t>ate design to remain in place because</w:t>
      </w:r>
      <w:r w:rsidRPr="006C521C">
        <w:rPr>
          <w:rFonts w:eastAsia="Calibri"/>
          <w:sz w:val="26"/>
          <w:szCs w:val="26"/>
        </w:rPr>
        <w:t xml:space="preserve"> it is harmful to customers, contrary to the goals of the smart metering provisions of Act 129</w:t>
      </w:r>
      <w:r w:rsidR="00CB368D">
        <w:rPr>
          <w:rFonts w:eastAsia="Calibri"/>
          <w:sz w:val="26"/>
          <w:szCs w:val="26"/>
        </w:rPr>
        <w:t xml:space="preserve"> (Act </w:t>
      </w:r>
      <w:r w:rsidR="00876A7B">
        <w:rPr>
          <w:rFonts w:eastAsia="Calibri"/>
          <w:sz w:val="26"/>
          <w:szCs w:val="26"/>
        </w:rPr>
        <w:t xml:space="preserve">129 of </w:t>
      </w:r>
      <w:r w:rsidR="00CB368D">
        <w:rPr>
          <w:rFonts w:eastAsia="Calibri"/>
          <w:sz w:val="26"/>
          <w:szCs w:val="26"/>
        </w:rPr>
        <w:t>2008</w:t>
      </w:r>
      <w:r w:rsidR="00876A7B">
        <w:rPr>
          <w:rFonts w:eastAsia="Calibri"/>
          <w:sz w:val="26"/>
          <w:szCs w:val="26"/>
        </w:rPr>
        <w:t xml:space="preserve">, Oct. 15, P.L. 1592, </w:t>
      </w:r>
      <w:r w:rsidR="00983A1C">
        <w:rPr>
          <w:rFonts w:eastAsia="Calibri"/>
          <w:sz w:val="26"/>
          <w:szCs w:val="26"/>
        </w:rPr>
        <w:t>No. 129 (Act 129) 66 Pa. C.S. §</w:t>
      </w:r>
      <w:r w:rsidR="00876A7B">
        <w:rPr>
          <w:rFonts w:eastAsia="Calibri"/>
          <w:sz w:val="26"/>
          <w:szCs w:val="26"/>
        </w:rPr>
        <w:t xml:space="preserve">§ 2803 </w:t>
      </w:r>
      <w:r w:rsidR="00876A7B">
        <w:rPr>
          <w:rFonts w:eastAsia="Calibri"/>
          <w:i/>
          <w:sz w:val="26"/>
          <w:szCs w:val="26"/>
        </w:rPr>
        <w:t>et seq.</w:t>
      </w:r>
      <w:r w:rsidR="00876A7B">
        <w:rPr>
          <w:rFonts w:eastAsia="Calibri"/>
          <w:sz w:val="26"/>
          <w:szCs w:val="26"/>
        </w:rPr>
        <w:t>))</w:t>
      </w:r>
      <w:r w:rsidRPr="006C521C">
        <w:rPr>
          <w:rFonts w:eastAsia="Calibri"/>
          <w:sz w:val="26"/>
          <w:szCs w:val="26"/>
        </w:rPr>
        <w:t xml:space="preserve"> and contrary to sound ratemaking principles.</w:t>
      </w:r>
      <w:r>
        <w:rPr>
          <w:rFonts w:eastAsia="Calibri"/>
          <w:sz w:val="26"/>
          <w:szCs w:val="26"/>
        </w:rPr>
        <w:t xml:space="preserve">  OCA Exc. at 4.</w:t>
      </w:r>
    </w:p>
    <w:p w:rsidR="006C521C" w:rsidRDefault="006C521C" w:rsidP="00006531">
      <w:pPr>
        <w:jc w:val="left"/>
        <w:rPr>
          <w:sz w:val="26"/>
          <w:szCs w:val="26"/>
        </w:rPr>
      </w:pPr>
    </w:p>
    <w:p w:rsidR="00CC23AA" w:rsidRDefault="007D341E" w:rsidP="00006531">
      <w:pPr>
        <w:jc w:val="left"/>
        <w:rPr>
          <w:sz w:val="26"/>
          <w:szCs w:val="26"/>
        </w:rPr>
      </w:pPr>
      <w:r>
        <w:rPr>
          <w:sz w:val="26"/>
          <w:szCs w:val="26"/>
        </w:rPr>
        <w:tab/>
      </w:r>
      <w:r>
        <w:rPr>
          <w:sz w:val="26"/>
          <w:szCs w:val="26"/>
        </w:rPr>
        <w:tab/>
      </w:r>
      <w:r w:rsidR="00CC5E43">
        <w:rPr>
          <w:sz w:val="26"/>
          <w:szCs w:val="26"/>
        </w:rPr>
        <w:t>In its Reply</w:t>
      </w:r>
      <w:r w:rsidR="00C429DC">
        <w:rPr>
          <w:sz w:val="26"/>
          <w:szCs w:val="26"/>
        </w:rPr>
        <w:t xml:space="preserve"> Exceptions,</w:t>
      </w:r>
      <w:r w:rsidR="00CC5E43">
        <w:rPr>
          <w:sz w:val="26"/>
          <w:szCs w:val="26"/>
        </w:rPr>
        <w:t xml:space="preserve"> PPL states</w:t>
      </w:r>
      <w:r w:rsidR="00C429DC">
        <w:rPr>
          <w:sz w:val="26"/>
          <w:szCs w:val="26"/>
        </w:rPr>
        <w:t xml:space="preserve"> that</w:t>
      </w:r>
      <w:r w:rsidR="00CC5E43">
        <w:rPr>
          <w:sz w:val="26"/>
          <w:szCs w:val="26"/>
        </w:rPr>
        <w:t xml:space="preserve"> both of the OCA</w:t>
      </w:r>
      <w:r w:rsidR="008D3260">
        <w:rPr>
          <w:sz w:val="26"/>
          <w:szCs w:val="26"/>
        </w:rPr>
        <w:t>’</w:t>
      </w:r>
      <w:r w:rsidR="00CC5E43">
        <w:rPr>
          <w:sz w:val="26"/>
          <w:szCs w:val="26"/>
        </w:rPr>
        <w:t>s</w:t>
      </w:r>
      <w:r w:rsidR="00CC5E43" w:rsidRPr="007170F1">
        <w:rPr>
          <w:sz w:val="26"/>
          <w:szCs w:val="26"/>
        </w:rPr>
        <w:t xml:space="preserve"> proposals arguably violate Act 129.</w:t>
      </w:r>
      <w:r w:rsidR="00CC5E43">
        <w:rPr>
          <w:sz w:val="26"/>
          <w:szCs w:val="26"/>
        </w:rPr>
        <w:t xml:space="preserve">  PPL R.Exc. at 2.</w:t>
      </w:r>
      <w:r w:rsidR="00CC5E43" w:rsidRPr="007170F1">
        <w:rPr>
          <w:sz w:val="26"/>
          <w:szCs w:val="26"/>
        </w:rPr>
        <w:t xml:space="preserve">  PPL is required to offer TOU rates that vary based on the time of day.</w:t>
      </w:r>
      <w:r w:rsidR="00CC5E43">
        <w:rPr>
          <w:sz w:val="26"/>
          <w:szCs w:val="26"/>
        </w:rPr>
        <w:t xml:space="preserve">  </w:t>
      </w:r>
      <w:r w:rsidR="00CC5E43">
        <w:rPr>
          <w:i/>
          <w:sz w:val="26"/>
          <w:szCs w:val="26"/>
        </w:rPr>
        <w:t>Id.</w:t>
      </w:r>
      <w:r w:rsidR="00CC5E43" w:rsidRPr="007170F1">
        <w:rPr>
          <w:sz w:val="26"/>
          <w:szCs w:val="26"/>
        </w:rPr>
        <w:t xml:space="preserve">  </w:t>
      </w:r>
      <w:r w:rsidR="00C24B10">
        <w:rPr>
          <w:sz w:val="26"/>
          <w:szCs w:val="26"/>
        </w:rPr>
        <w:t xml:space="preserve">It is </w:t>
      </w:r>
      <w:r w:rsidR="00CC5E43">
        <w:rPr>
          <w:sz w:val="26"/>
          <w:szCs w:val="26"/>
        </w:rPr>
        <w:t>PPL</w:t>
      </w:r>
      <w:r w:rsidR="008D3260">
        <w:rPr>
          <w:sz w:val="26"/>
          <w:szCs w:val="26"/>
        </w:rPr>
        <w:t>’</w:t>
      </w:r>
      <w:r w:rsidR="00C24B10">
        <w:rPr>
          <w:sz w:val="26"/>
          <w:szCs w:val="26"/>
        </w:rPr>
        <w:t>s</w:t>
      </w:r>
      <w:r w:rsidR="00CC5E43">
        <w:rPr>
          <w:sz w:val="26"/>
          <w:szCs w:val="26"/>
        </w:rPr>
        <w:t xml:space="preserve"> </w:t>
      </w:r>
      <w:r w:rsidR="00C24B10">
        <w:rPr>
          <w:sz w:val="26"/>
          <w:szCs w:val="26"/>
        </w:rPr>
        <w:t>position</w:t>
      </w:r>
      <w:r w:rsidR="00CC5E43">
        <w:rPr>
          <w:sz w:val="26"/>
          <w:szCs w:val="26"/>
        </w:rPr>
        <w:t xml:space="preserve"> that t</w:t>
      </w:r>
      <w:r w:rsidR="00CC5E43" w:rsidRPr="007170F1">
        <w:rPr>
          <w:sz w:val="26"/>
          <w:szCs w:val="26"/>
        </w:rPr>
        <w:t>he OCA</w:t>
      </w:r>
      <w:r w:rsidR="008D3260">
        <w:rPr>
          <w:sz w:val="26"/>
          <w:szCs w:val="26"/>
        </w:rPr>
        <w:t>’</w:t>
      </w:r>
      <w:r w:rsidR="00CC5E43" w:rsidRPr="007170F1">
        <w:rPr>
          <w:sz w:val="26"/>
          <w:szCs w:val="26"/>
        </w:rPr>
        <w:t>s first alternative</w:t>
      </w:r>
      <w:r w:rsidR="00CC5E43">
        <w:rPr>
          <w:sz w:val="26"/>
          <w:szCs w:val="26"/>
        </w:rPr>
        <w:t>, to replace the TOU rates with Rate RS until June 1, 2013,</w:t>
      </w:r>
      <w:r w:rsidR="00CC5E43" w:rsidRPr="007170F1">
        <w:rPr>
          <w:sz w:val="26"/>
          <w:szCs w:val="26"/>
        </w:rPr>
        <w:t xml:space="preserve"> </w:t>
      </w:r>
      <w:r w:rsidR="00C24B10">
        <w:rPr>
          <w:sz w:val="26"/>
          <w:szCs w:val="26"/>
        </w:rPr>
        <w:t>would</w:t>
      </w:r>
      <w:r w:rsidR="00CC5E43" w:rsidRPr="007170F1">
        <w:rPr>
          <w:sz w:val="26"/>
          <w:szCs w:val="26"/>
        </w:rPr>
        <w:t xml:space="preserve"> not</w:t>
      </w:r>
      <w:r w:rsidR="00C24B10">
        <w:rPr>
          <w:sz w:val="26"/>
          <w:szCs w:val="26"/>
        </w:rPr>
        <w:t xml:space="preserve"> offer rates that</w:t>
      </w:r>
      <w:r w:rsidR="00CC5E43" w:rsidRPr="007170F1">
        <w:rPr>
          <w:sz w:val="26"/>
          <w:szCs w:val="26"/>
        </w:rPr>
        <w:t xml:space="preserve"> vary by the time of day and</w:t>
      </w:r>
      <w:r w:rsidR="00244832">
        <w:rPr>
          <w:sz w:val="26"/>
          <w:szCs w:val="26"/>
        </w:rPr>
        <w:t>,</w:t>
      </w:r>
      <w:r w:rsidR="00CC5E43" w:rsidRPr="007170F1">
        <w:rPr>
          <w:sz w:val="26"/>
          <w:szCs w:val="26"/>
        </w:rPr>
        <w:t xml:space="preserve"> therefore, would appear to violate Act 129.</w:t>
      </w:r>
      <w:r w:rsidR="00CC5E43">
        <w:rPr>
          <w:sz w:val="26"/>
          <w:szCs w:val="26"/>
        </w:rPr>
        <w:t xml:space="preserve">  </w:t>
      </w:r>
      <w:r w:rsidR="00CC5E43">
        <w:rPr>
          <w:i/>
          <w:sz w:val="26"/>
          <w:szCs w:val="26"/>
        </w:rPr>
        <w:t>Id.</w:t>
      </w:r>
      <w:r w:rsidR="00CC5E43">
        <w:rPr>
          <w:sz w:val="26"/>
          <w:szCs w:val="26"/>
        </w:rPr>
        <w:t xml:space="preserve"> at 6.</w:t>
      </w:r>
      <w:r w:rsidR="00CC5E43" w:rsidRPr="007170F1">
        <w:rPr>
          <w:sz w:val="26"/>
          <w:szCs w:val="26"/>
        </w:rPr>
        <w:t xml:space="preserve">  </w:t>
      </w:r>
      <w:r w:rsidR="00C24B10">
        <w:rPr>
          <w:sz w:val="26"/>
          <w:szCs w:val="26"/>
        </w:rPr>
        <w:t>Further</w:t>
      </w:r>
      <w:r w:rsidR="00262363">
        <w:rPr>
          <w:sz w:val="26"/>
          <w:szCs w:val="26"/>
        </w:rPr>
        <w:t>,</w:t>
      </w:r>
      <w:r w:rsidR="00CC5E43">
        <w:rPr>
          <w:sz w:val="26"/>
          <w:szCs w:val="26"/>
        </w:rPr>
        <w:t xml:space="preserve"> according to PPL, t</w:t>
      </w:r>
      <w:r w:rsidR="00CC5E43" w:rsidRPr="007170F1">
        <w:rPr>
          <w:sz w:val="26"/>
          <w:szCs w:val="26"/>
        </w:rPr>
        <w:t>he OCA</w:t>
      </w:r>
      <w:r w:rsidR="008D3260">
        <w:rPr>
          <w:sz w:val="26"/>
          <w:szCs w:val="26"/>
        </w:rPr>
        <w:t>’</w:t>
      </w:r>
      <w:r w:rsidR="00CC5E43" w:rsidRPr="007170F1">
        <w:rPr>
          <w:sz w:val="26"/>
          <w:szCs w:val="26"/>
        </w:rPr>
        <w:t>s second proposal</w:t>
      </w:r>
      <w:r w:rsidR="00CC5E43">
        <w:rPr>
          <w:sz w:val="26"/>
          <w:szCs w:val="26"/>
        </w:rPr>
        <w:t>, to suspend the current TOU rate schedule and return customers to Rate RS until a new program is approved,</w:t>
      </w:r>
      <w:r w:rsidR="00CC5E43" w:rsidRPr="007170F1">
        <w:rPr>
          <w:sz w:val="26"/>
          <w:szCs w:val="26"/>
        </w:rPr>
        <w:t xml:space="preserve"> also appears to violate </w:t>
      </w:r>
      <w:r w:rsidR="00CC5E43" w:rsidRPr="007170F1">
        <w:rPr>
          <w:sz w:val="26"/>
          <w:szCs w:val="26"/>
        </w:rPr>
        <w:lastRenderedPageBreak/>
        <w:t>Act 129 because it would prevent PPL from offering TOU rates</w:t>
      </w:r>
      <w:r w:rsidR="00C24B10">
        <w:rPr>
          <w:sz w:val="26"/>
          <w:szCs w:val="26"/>
        </w:rPr>
        <w:t>, in any form,</w:t>
      </w:r>
      <w:r w:rsidR="00CC5E43" w:rsidRPr="007170F1">
        <w:rPr>
          <w:sz w:val="26"/>
          <w:szCs w:val="26"/>
        </w:rPr>
        <w:t xml:space="preserve"> to residential customers.</w:t>
      </w:r>
      <w:r w:rsidR="00CC5E43">
        <w:rPr>
          <w:sz w:val="26"/>
          <w:szCs w:val="26"/>
        </w:rPr>
        <w:t xml:space="preserve">  </w:t>
      </w:r>
      <w:r w:rsidR="00CC5E43">
        <w:rPr>
          <w:i/>
          <w:sz w:val="26"/>
          <w:szCs w:val="26"/>
        </w:rPr>
        <w:t>Id.</w:t>
      </w:r>
      <w:r w:rsidR="00CC5E43" w:rsidRPr="007170F1">
        <w:rPr>
          <w:sz w:val="26"/>
          <w:szCs w:val="26"/>
        </w:rPr>
        <w:t xml:space="preserve">  </w:t>
      </w:r>
    </w:p>
    <w:p w:rsidR="00CC23AA" w:rsidRDefault="00CC23AA" w:rsidP="00006531">
      <w:pPr>
        <w:jc w:val="left"/>
        <w:rPr>
          <w:sz w:val="26"/>
          <w:szCs w:val="26"/>
        </w:rPr>
      </w:pPr>
    </w:p>
    <w:p w:rsidR="00CC5E43" w:rsidRDefault="00CC23AA" w:rsidP="00006531">
      <w:pPr>
        <w:jc w:val="left"/>
        <w:rPr>
          <w:sz w:val="26"/>
          <w:szCs w:val="26"/>
        </w:rPr>
      </w:pPr>
      <w:r>
        <w:rPr>
          <w:sz w:val="26"/>
          <w:szCs w:val="26"/>
        </w:rPr>
        <w:tab/>
      </w:r>
      <w:r>
        <w:rPr>
          <w:sz w:val="26"/>
          <w:szCs w:val="26"/>
        </w:rPr>
        <w:tab/>
      </w:r>
      <w:r w:rsidR="00CC5E43">
        <w:rPr>
          <w:sz w:val="26"/>
          <w:szCs w:val="26"/>
        </w:rPr>
        <w:t>PPL notes that t</w:t>
      </w:r>
      <w:r w:rsidR="00CC5E43" w:rsidRPr="007170F1">
        <w:rPr>
          <w:sz w:val="26"/>
          <w:szCs w:val="26"/>
        </w:rPr>
        <w:t>he Commission does not need to decide whether the OCA</w:t>
      </w:r>
      <w:r w:rsidR="008D3260">
        <w:rPr>
          <w:sz w:val="26"/>
          <w:szCs w:val="26"/>
        </w:rPr>
        <w:t>’</w:t>
      </w:r>
      <w:r w:rsidR="00CC5E43" w:rsidRPr="007170F1">
        <w:rPr>
          <w:sz w:val="26"/>
          <w:szCs w:val="26"/>
        </w:rPr>
        <w:t>s prop</w:t>
      </w:r>
      <w:r w:rsidR="004636EC">
        <w:rPr>
          <w:sz w:val="26"/>
          <w:szCs w:val="26"/>
        </w:rPr>
        <w:t>osals violate Act 129, but</w:t>
      </w:r>
      <w:r w:rsidR="00CC5E43" w:rsidRPr="007170F1">
        <w:rPr>
          <w:sz w:val="26"/>
          <w:szCs w:val="26"/>
        </w:rPr>
        <w:t xml:space="preserve"> simply</w:t>
      </w:r>
      <w:r w:rsidR="004636EC">
        <w:rPr>
          <w:sz w:val="26"/>
          <w:szCs w:val="26"/>
        </w:rPr>
        <w:t xml:space="preserve"> should</w:t>
      </w:r>
      <w:r w:rsidR="00CC5E43" w:rsidRPr="007170F1">
        <w:rPr>
          <w:sz w:val="26"/>
          <w:szCs w:val="26"/>
        </w:rPr>
        <w:t xml:space="preserve"> reject them because they were raised for the first time in Exceptions.  See </w:t>
      </w:r>
      <w:r w:rsidR="004636EC">
        <w:rPr>
          <w:i/>
          <w:sz w:val="26"/>
          <w:szCs w:val="26"/>
        </w:rPr>
        <w:t>Pa. PUC</w:t>
      </w:r>
      <w:r w:rsidR="00CC5E43" w:rsidRPr="007170F1">
        <w:rPr>
          <w:i/>
          <w:sz w:val="26"/>
          <w:szCs w:val="26"/>
        </w:rPr>
        <w:t xml:space="preserve"> v. Columbia Gas of Pa.,</w:t>
      </w:r>
      <w:r w:rsidR="00CC5E43" w:rsidRPr="007170F1">
        <w:rPr>
          <w:sz w:val="26"/>
          <w:szCs w:val="26"/>
        </w:rPr>
        <w:t xml:space="preserve"> Docket No. R-2009-2</w:t>
      </w:r>
      <w:r w:rsidR="00244832">
        <w:rPr>
          <w:sz w:val="26"/>
          <w:szCs w:val="26"/>
        </w:rPr>
        <w:t>093219, 2009 Pa. PUC LEXIS 1843</w:t>
      </w:r>
      <w:r w:rsidR="00CC5E43" w:rsidRPr="007170F1">
        <w:rPr>
          <w:sz w:val="26"/>
          <w:szCs w:val="26"/>
        </w:rPr>
        <w:t xml:space="preserve"> </w:t>
      </w:r>
      <w:r w:rsidR="004636EC">
        <w:rPr>
          <w:sz w:val="26"/>
          <w:szCs w:val="26"/>
        </w:rPr>
        <w:t>(</w:t>
      </w:r>
      <w:r w:rsidR="00CC5E43" w:rsidRPr="007170F1">
        <w:rPr>
          <w:sz w:val="26"/>
          <w:szCs w:val="26"/>
        </w:rPr>
        <w:t>Order entered September 24, 2009</w:t>
      </w:r>
      <w:r w:rsidR="004636EC">
        <w:rPr>
          <w:sz w:val="26"/>
          <w:szCs w:val="26"/>
        </w:rPr>
        <w:t>)</w:t>
      </w:r>
      <w:r w:rsidR="00CC5E43" w:rsidRPr="007170F1">
        <w:rPr>
          <w:sz w:val="26"/>
          <w:szCs w:val="26"/>
        </w:rPr>
        <w:t xml:space="preserve">; </w:t>
      </w:r>
      <w:r w:rsidR="00826121">
        <w:rPr>
          <w:i/>
          <w:sz w:val="26"/>
          <w:szCs w:val="26"/>
        </w:rPr>
        <w:t>Pa. PUC</w:t>
      </w:r>
      <w:r w:rsidR="00CC5E43" w:rsidRPr="007170F1">
        <w:rPr>
          <w:i/>
          <w:sz w:val="26"/>
          <w:szCs w:val="26"/>
        </w:rPr>
        <w:t xml:space="preserve"> v. Pennsylvania Power and Light Company,</w:t>
      </w:r>
      <w:r w:rsidR="00244832">
        <w:rPr>
          <w:sz w:val="26"/>
          <w:szCs w:val="26"/>
        </w:rPr>
        <w:t xml:space="preserve"> 57 Pa. P.U.C. 559, 596-597</w:t>
      </w:r>
      <w:r w:rsidR="00CC5E43" w:rsidRPr="007170F1">
        <w:rPr>
          <w:sz w:val="26"/>
          <w:szCs w:val="26"/>
        </w:rPr>
        <w:t xml:space="preserve"> </w:t>
      </w:r>
      <w:r w:rsidR="004636EC">
        <w:rPr>
          <w:sz w:val="26"/>
          <w:szCs w:val="26"/>
        </w:rPr>
        <w:t>(</w:t>
      </w:r>
      <w:r w:rsidR="00CC5E43" w:rsidRPr="007170F1">
        <w:rPr>
          <w:sz w:val="26"/>
          <w:szCs w:val="26"/>
        </w:rPr>
        <w:t>Order entered August 19, 1983</w:t>
      </w:r>
      <w:r w:rsidR="004636EC">
        <w:rPr>
          <w:sz w:val="26"/>
          <w:szCs w:val="26"/>
        </w:rPr>
        <w:t>)</w:t>
      </w:r>
      <w:r w:rsidR="00CC5E43" w:rsidRPr="007170F1">
        <w:rPr>
          <w:sz w:val="26"/>
          <w:szCs w:val="26"/>
        </w:rPr>
        <w:t>.</w:t>
      </w:r>
      <w:r>
        <w:rPr>
          <w:sz w:val="26"/>
          <w:szCs w:val="26"/>
        </w:rPr>
        <w:t xml:space="preserve"> </w:t>
      </w:r>
      <w:r w:rsidR="00CC5E43">
        <w:rPr>
          <w:sz w:val="26"/>
          <w:szCs w:val="26"/>
        </w:rPr>
        <w:t xml:space="preserve"> </w:t>
      </w:r>
      <w:r w:rsidR="00CC5E43">
        <w:rPr>
          <w:i/>
          <w:sz w:val="26"/>
          <w:szCs w:val="26"/>
        </w:rPr>
        <w:t>Id</w:t>
      </w:r>
      <w:r w:rsidR="00CC5E43">
        <w:rPr>
          <w:sz w:val="26"/>
          <w:szCs w:val="26"/>
        </w:rPr>
        <w:t>.  Thus, PPL</w:t>
      </w:r>
      <w:r w:rsidR="008D3260">
        <w:rPr>
          <w:sz w:val="26"/>
          <w:szCs w:val="26"/>
        </w:rPr>
        <w:t>’</w:t>
      </w:r>
      <w:r w:rsidR="00CC5E43">
        <w:rPr>
          <w:sz w:val="26"/>
          <w:szCs w:val="26"/>
        </w:rPr>
        <w:t>s position is that the Commission should not adopt the OCA</w:t>
      </w:r>
      <w:r w:rsidR="008D3260">
        <w:rPr>
          <w:sz w:val="26"/>
          <w:szCs w:val="26"/>
        </w:rPr>
        <w:t>’</w:t>
      </w:r>
      <w:r w:rsidR="00CC5E43">
        <w:rPr>
          <w:sz w:val="26"/>
          <w:szCs w:val="26"/>
        </w:rPr>
        <w:t xml:space="preserve">s alternative proposals because they were improperly raised for the first time in Exceptions, and appear to be contrary to Act 129.  </w:t>
      </w:r>
      <w:r w:rsidR="00CC5E43">
        <w:rPr>
          <w:i/>
          <w:sz w:val="26"/>
          <w:szCs w:val="26"/>
        </w:rPr>
        <w:t>Id.</w:t>
      </w:r>
      <w:r w:rsidR="00CC5E43">
        <w:rPr>
          <w:sz w:val="26"/>
          <w:szCs w:val="26"/>
        </w:rPr>
        <w:t xml:space="preserve"> </w:t>
      </w:r>
    </w:p>
    <w:p w:rsidR="00271377" w:rsidRDefault="00271377" w:rsidP="00006531">
      <w:pPr>
        <w:jc w:val="left"/>
        <w:rPr>
          <w:sz w:val="26"/>
          <w:szCs w:val="26"/>
        </w:rPr>
      </w:pPr>
    </w:p>
    <w:p w:rsidR="006C521C" w:rsidRDefault="00CC5E43" w:rsidP="00006531">
      <w:pPr>
        <w:jc w:val="left"/>
        <w:rPr>
          <w:sz w:val="26"/>
          <w:szCs w:val="26"/>
        </w:rPr>
      </w:pPr>
      <w:r>
        <w:rPr>
          <w:sz w:val="26"/>
          <w:szCs w:val="26"/>
        </w:rPr>
        <w:tab/>
      </w:r>
      <w:r>
        <w:rPr>
          <w:sz w:val="26"/>
          <w:szCs w:val="26"/>
        </w:rPr>
        <w:tab/>
      </w:r>
      <w:r w:rsidR="00180A5C">
        <w:rPr>
          <w:sz w:val="26"/>
          <w:szCs w:val="26"/>
        </w:rPr>
        <w:t xml:space="preserve">In </w:t>
      </w:r>
      <w:r w:rsidR="004636EC">
        <w:rPr>
          <w:sz w:val="26"/>
          <w:szCs w:val="26"/>
        </w:rPr>
        <w:t xml:space="preserve">its </w:t>
      </w:r>
      <w:r w:rsidR="00180A5C">
        <w:rPr>
          <w:sz w:val="26"/>
          <w:szCs w:val="26"/>
        </w:rPr>
        <w:t>Reply</w:t>
      </w:r>
      <w:r w:rsidR="004636EC">
        <w:rPr>
          <w:sz w:val="26"/>
          <w:szCs w:val="26"/>
        </w:rPr>
        <w:t xml:space="preserve"> Exceptions</w:t>
      </w:r>
      <w:r w:rsidR="00180A5C">
        <w:rPr>
          <w:sz w:val="26"/>
          <w:szCs w:val="26"/>
        </w:rPr>
        <w:t>, the OCA</w:t>
      </w:r>
      <w:r w:rsidR="00180A5C" w:rsidRPr="00180A5C">
        <w:rPr>
          <w:sz w:val="26"/>
          <w:szCs w:val="26"/>
        </w:rPr>
        <w:t xml:space="preserve"> submits that the ALJ</w:t>
      </w:r>
      <w:r w:rsidR="008D3260">
        <w:rPr>
          <w:sz w:val="26"/>
          <w:szCs w:val="26"/>
        </w:rPr>
        <w:t>’</w:t>
      </w:r>
      <w:r w:rsidR="00180A5C" w:rsidRPr="00180A5C">
        <w:rPr>
          <w:sz w:val="26"/>
          <w:szCs w:val="26"/>
        </w:rPr>
        <w:t>s recommendation to delay the implementation of a new TOU program until June 1, 2013</w:t>
      </w:r>
      <w:r w:rsidR="004636EC">
        <w:rPr>
          <w:sz w:val="26"/>
          <w:szCs w:val="26"/>
        </w:rPr>
        <w:t>,</w:t>
      </w:r>
      <w:r w:rsidR="00180A5C" w:rsidRPr="00180A5C">
        <w:rPr>
          <w:sz w:val="26"/>
          <w:szCs w:val="26"/>
        </w:rPr>
        <w:t xml:space="preserve"> and allow the existing program to continue without change should not be adopted.  OCA Exc. at 3</w:t>
      </w:r>
      <w:r w:rsidR="00180A5C">
        <w:rPr>
          <w:sz w:val="26"/>
          <w:szCs w:val="26"/>
        </w:rPr>
        <w:t>; OCA R.Exc</w:t>
      </w:r>
      <w:r w:rsidR="00180A5C" w:rsidRPr="00180A5C">
        <w:rPr>
          <w:sz w:val="26"/>
          <w:szCs w:val="26"/>
        </w:rPr>
        <w:t>.</w:t>
      </w:r>
      <w:r w:rsidR="00180A5C">
        <w:rPr>
          <w:sz w:val="26"/>
          <w:szCs w:val="26"/>
        </w:rPr>
        <w:t xml:space="preserve"> at 2.</w:t>
      </w:r>
      <w:r w:rsidR="004636EC">
        <w:rPr>
          <w:sz w:val="26"/>
          <w:szCs w:val="26"/>
        </w:rPr>
        <w:t xml:space="preserve">  While the OCA does</w:t>
      </w:r>
      <w:r w:rsidR="00180A5C" w:rsidRPr="00180A5C">
        <w:rPr>
          <w:sz w:val="26"/>
          <w:szCs w:val="26"/>
        </w:rPr>
        <w:t xml:space="preserve"> not restate all of the arguments put forward in its Exceptions, it note</w:t>
      </w:r>
      <w:r w:rsidR="004636EC">
        <w:rPr>
          <w:sz w:val="26"/>
          <w:szCs w:val="26"/>
        </w:rPr>
        <w:t>s</w:t>
      </w:r>
      <w:r w:rsidR="00180A5C" w:rsidRPr="00180A5C">
        <w:rPr>
          <w:sz w:val="26"/>
          <w:szCs w:val="26"/>
        </w:rPr>
        <w:t xml:space="preserve"> that continuing the existing TOU program would subject the approximately 3,300 customers remaining on the TOU rate option to further harm even as these customers are seeking ways to reduce their energy bills through changes in their energy usage.  </w:t>
      </w:r>
      <w:r w:rsidR="00180A5C">
        <w:rPr>
          <w:i/>
          <w:sz w:val="26"/>
          <w:szCs w:val="26"/>
        </w:rPr>
        <w:t xml:space="preserve">Id.; </w:t>
      </w:r>
      <w:r w:rsidR="00180A5C" w:rsidRPr="00180A5C">
        <w:rPr>
          <w:sz w:val="26"/>
          <w:szCs w:val="26"/>
        </w:rPr>
        <w:t xml:space="preserve">OCA Exc. at 3-4; OCA M.B. at 6-19; OCA R.B. at 2-8.  </w:t>
      </w:r>
      <w:r w:rsidR="00322056">
        <w:rPr>
          <w:sz w:val="26"/>
          <w:szCs w:val="26"/>
        </w:rPr>
        <w:t>The OCA</w:t>
      </w:r>
      <w:r w:rsidR="00180A5C">
        <w:rPr>
          <w:sz w:val="26"/>
          <w:szCs w:val="26"/>
        </w:rPr>
        <w:t xml:space="preserve"> assert</w:t>
      </w:r>
      <w:r w:rsidR="004636EC">
        <w:rPr>
          <w:sz w:val="26"/>
          <w:szCs w:val="26"/>
        </w:rPr>
        <w:t>s</w:t>
      </w:r>
      <w:r w:rsidR="00180A5C">
        <w:rPr>
          <w:sz w:val="26"/>
          <w:szCs w:val="26"/>
        </w:rPr>
        <w:t xml:space="preserve"> that a</w:t>
      </w:r>
      <w:r w:rsidR="00180A5C" w:rsidRPr="00180A5C">
        <w:rPr>
          <w:sz w:val="26"/>
          <w:szCs w:val="26"/>
        </w:rPr>
        <w:t>llowing this to occur would be contrary to the goals of the smart metering provisions of Act 129 as well as contrary to sound ratemaking principles.</w:t>
      </w:r>
      <w:r w:rsidR="00180A5C">
        <w:rPr>
          <w:sz w:val="26"/>
          <w:szCs w:val="26"/>
        </w:rPr>
        <w:t xml:space="preserve">  OCA R.Exc. at</w:t>
      </w:r>
      <w:r w:rsidR="00271377">
        <w:rPr>
          <w:sz w:val="26"/>
          <w:szCs w:val="26"/>
        </w:rPr>
        <w:t> </w:t>
      </w:r>
      <w:r w:rsidR="00180A5C">
        <w:rPr>
          <w:sz w:val="26"/>
          <w:szCs w:val="26"/>
        </w:rPr>
        <w:t>2.</w:t>
      </w:r>
      <w:r w:rsidR="00180A5C" w:rsidRPr="00180A5C">
        <w:rPr>
          <w:sz w:val="26"/>
          <w:szCs w:val="26"/>
        </w:rPr>
        <w:t xml:space="preserve">  </w:t>
      </w:r>
      <w:r w:rsidR="00180A5C">
        <w:rPr>
          <w:sz w:val="26"/>
          <w:szCs w:val="26"/>
        </w:rPr>
        <w:t>F</w:t>
      </w:r>
      <w:r w:rsidR="00180A5C" w:rsidRPr="00180A5C">
        <w:rPr>
          <w:sz w:val="26"/>
          <w:szCs w:val="26"/>
        </w:rPr>
        <w:t xml:space="preserve">or these reasons </w:t>
      </w:r>
      <w:r w:rsidR="00180A5C">
        <w:rPr>
          <w:sz w:val="26"/>
          <w:szCs w:val="26"/>
        </w:rPr>
        <w:t xml:space="preserve">it is </w:t>
      </w:r>
      <w:r w:rsidR="00180A5C" w:rsidRPr="00180A5C">
        <w:rPr>
          <w:sz w:val="26"/>
          <w:szCs w:val="26"/>
        </w:rPr>
        <w:t>the OCA</w:t>
      </w:r>
      <w:r w:rsidR="008D3260">
        <w:rPr>
          <w:sz w:val="26"/>
          <w:szCs w:val="26"/>
        </w:rPr>
        <w:t>’</w:t>
      </w:r>
      <w:r w:rsidR="00180A5C">
        <w:rPr>
          <w:sz w:val="26"/>
          <w:szCs w:val="26"/>
        </w:rPr>
        <w:t>s</w:t>
      </w:r>
      <w:r w:rsidR="00180A5C" w:rsidRPr="00180A5C">
        <w:rPr>
          <w:sz w:val="26"/>
          <w:szCs w:val="26"/>
        </w:rPr>
        <w:t xml:space="preserve"> </w:t>
      </w:r>
      <w:r w:rsidR="00180A5C">
        <w:rPr>
          <w:sz w:val="26"/>
          <w:szCs w:val="26"/>
        </w:rPr>
        <w:t>position</w:t>
      </w:r>
      <w:r w:rsidR="00180A5C" w:rsidRPr="00180A5C">
        <w:rPr>
          <w:sz w:val="26"/>
          <w:szCs w:val="26"/>
        </w:rPr>
        <w:t xml:space="preserve"> that, if the Commission determines that implementing a new program </w:t>
      </w:r>
      <w:r w:rsidR="00271377">
        <w:rPr>
          <w:sz w:val="26"/>
          <w:szCs w:val="26"/>
        </w:rPr>
        <w:t xml:space="preserve">is not cost-effective </w:t>
      </w:r>
      <w:r w:rsidR="00180A5C" w:rsidRPr="00180A5C">
        <w:rPr>
          <w:sz w:val="26"/>
          <w:szCs w:val="26"/>
        </w:rPr>
        <w:t>between now and June 1, 2013</w:t>
      </w:r>
      <w:r w:rsidR="004636EC">
        <w:rPr>
          <w:sz w:val="26"/>
          <w:szCs w:val="26"/>
        </w:rPr>
        <w:t>,</w:t>
      </w:r>
      <w:r w:rsidR="00180A5C" w:rsidRPr="00180A5C">
        <w:rPr>
          <w:sz w:val="26"/>
          <w:szCs w:val="26"/>
        </w:rPr>
        <w:t xml:space="preserve"> it should not allow the residential TOU rates to remain in place at their current levels.</w:t>
      </w:r>
    </w:p>
    <w:p w:rsidR="00D30856" w:rsidRDefault="00D30856" w:rsidP="00006531">
      <w:pPr>
        <w:jc w:val="left"/>
        <w:rPr>
          <w:sz w:val="26"/>
          <w:szCs w:val="26"/>
        </w:rPr>
      </w:pPr>
    </w:p>
    <w:p w:rsidR="003F2EDE" w:rsidRPr="003F2EDE" w:rsidRDefault="00D30856" w:rsidP="002F6D67">
      <w:pPr>
        <w:pStyle w:val="Heading3"/>
      </w:pPr>
      <w:r>
        <w:lastRenderedPageBreak/>
        <w:tab/>
      </w:r>
      <w:r>
        <w:tab/>
      </w:r>
      <w:bookmarkStart w:id="9" w:name="_Toc333991296"/>
      <w:r w:rsidR="008C0729">
        <w:t>4</w:t>
      </w:r>
      <w:r w:rsidR="003F2EDE">
        <w:t>.</w:t>
      </w:r>
      <w:r w:rsidR="003F2EDE">
        <w:tab/>
        <w:t>Disposition</w:t>
      </w:r>
      <w:bookmarkEnd w:id="9"/>
    </w:p>
    <w:p w:rsidR="003F2EDE" w:rsidRDefault="003F2EDE" w:rsidP="00DF7C0B">
      <w:pPr>
        <w:keepNext/>
        <w:jc w:val="left"/>
        <w:rPr>
          <w:sz w:val="26"/>
          <w:szCs w:val="26"/>
        </w:rPr>
      </w:pPr>
    </w:p>
    <w:p w:rsidR="00CC23AA" w:rsidRDefault="003F2EDE" w:rsidP="00006531">
      <w:pPr>
        <w:jc w:val="left"/>
        <w:rPr>
          <w:sz w:val="26"/>
          <w:szCs w:val="26"/>
        </w:rPr>
      </w:pPr>
      <w:r>
        <w:rPr>
          <w:sz w:val="26"/>
          <w:szCs w:val="26"/>
        </w:rPr>
        <w:tab/>
      </w:r>
      <w:r>
        <w:rPr>
          <w:sz w:val="26"/>
          <w:szCs w:val="26"/>
        </w:rPr>
        <w:tab/>
      </w:r>
      <w:r w:rsidR="00CC23AA" w:rsidRPr="00CC23AA">
        <w:rPr>
          <w:sz w:val="26"/>
          <w:szCs w:val="26"/>
        </w:rPr>
        <w:t>On this issue, we agree with the ALJ</w:t>
      </w:r>
      <w:r w:rsidR="008D3260">
        <w:rPr>
          <w:sz w:val="26"/>
          <w:szCs w:val="26"/>
        </w:rPr>
        <w:t>’</w:t>
      </w:r>
      <w:r w:rsidR="00CC23AA" w:rsidRPr="00CC23AA">
        <w:rPr>
          <w:sz w:val="26"/>
          <w:szCs w:val="26"/>
        </w:rPr>
        <w:t xml:space="preserve">s </w:t>
      </w:r>
      <w:r w:rsidR="004636EC">
        <w:rPr>
          <w:sz w:val="26"/>
          <w:szCs w:val="26"/>
        </w:rPr>
        <w:t>recommendation</w:t>
      </w:r>
      <w:r w:rsidR="00CC23AA" w:rsidRPr="00CC23AA">
        <w:rPr>
          <w:sz w:val="26"/>
          <w:szCs w:val="26"/>
        </w:rPr>
        <w:t xml:space="preserve"> </w:t>
      </w:r>
      <w:r w:rsidR="004636EC">
        <w:rPr>
          <w:sz w:val="26"/>
          <w:szCs w:val="26"/>
        </w:rPr>
        <w:t>to</w:t>
      </w:r>
      <w:r w:rsidR="00CC23AA" w:rsidRPr="00CC23AA">
        <w:rPr>
          <w:sz w:val="26"/>
          <w:szCs w:val="26"/>
        </w:rPr>
        <w:t xml:space="preserve"> permit PPL</w:t>
      </w:r>
      <w:r w:rsidR="008D3260">
        <w:rPr>
          <w:sz w:val="26"/>
          <w:szCs w:val="26"/>
        </w:rPr>
        <w:t>’</w:t>
      </w:r>
      <w:r w:rsidR="00CC23AA" w:rsidRPr="00CC23AA">
        <w:rPr>
          <w:sz w:val="26"/>
          <w:szCs w:val="26"/>
        </w:rPr>
        <w:t xml:space="preserve">s current TOU program </w:t>
      </w:r>
      <w:r w:rsidR="005E6E88">
        <w:rPr>
          <w:sz w:val="26"/>
          <w:szCs w:val="26"/>
        </w:rPr>
        <w:t xml:space="preserve">and current rates </w:t>
      </w:r>
      <w:r w:rsidR="00CC23AA" w:rsidRPr="00CC23AA">
        <w:rPr>
          <w:sz w:val="26"/>
          <w:szCs w:val="26"/>
        </w:rPr>
        <w:t>to remain in</w:t>
      </w:r>
      <w:r w:rsidR="001758F8">
        <w:rPr>
          <w:sz w:val="26"/>
          <w:szCs w:val="26"/>
        </w:rPr>
        <w:t xml:space="preserve"> effect until June 1, 2013, which coincides with</w:t>
      </w:r>
      <w:r w:rsidR="00CC23AA" w:rsidRPr="00CC23AA">
        <w:rPr>
          <w:sz w:val="26"/>
          <w:szCs w:val="26"/>
        </w:rPr>
        <w:t xml:space="preserve"> </w:t>
      </w:r>
      <w:r w:rsidR="001758F8">
        <w:rPr>
          <w:sz w:val="26"/>
          <w:szCs w:val="26"/>
        </w:rPr>
        <w:t>the effective date of PPL</w:t>
      </w:r>
      <w:r w:rsidR="008D3260">
        <w:rPr>
          <w:sz w:val="26"/>
          <w:szCs w:val="26"/>
        </w:rPr>
        <w:t>’</w:t>
      </w:r>
      <w:r w:rsidR="001758F8">
        <w:rPr>
          <w:sz w:val="26"/>
          <w:szCs w:val="26"/>
        </w:rPr>
        <w:t>s</w:t>
      </w:r>
      <w:r w:rsidR="00CC23AA" w:rsidRPr="00CC23AA">
        <w:rPr>
          <w:sz w:val="26"/>
          <w:szCs w:val="26"/>
        </w:rPr>
        <w:t xml:space="preserve"> pending DSP proceeding.  This will provide current TOU program customers with some rate and program stability and could serve to lower the current TOU program undercollection.</w:t>
      </w:r>
      <w:r w:rsidR="00244832">
        <w:rPr>
          <w:sz w:val="26"/>
          <w:szCs w:val="26"/>
        </w:rPr>
        <w:t xml:space="preserve">  We also support the ALJ’s recommendation to allow recovery of the undercollection from all default service customers</w:t>
      </w:r>
      <w:r w:rsidR="00102560">
        <w:rPr>
          <w:sz w:val="26"/>
          <w:szCs w:val="26"/>
        </w:rPr>
        <w:t xml:space="preserve"> by class</w:t>
      </w:r>
      <w:r w:rsidR="00244832">
        <w:rPr>
          <w:sz w:val="26"/>
          <w:szCs w:val="26"/>
        </w:rPr>
        <w:t>, thus we grant PPL’s exception.</w:t>
      </w:r>
      <w:r w:rsidR="00CC23AA" w:rsidRPr="00CC23AA">
        <w:rPr>
          <w:sz w:val="26"/>
          <w:szCs w:val="26"/>
        </w:rPr>
        <w:t xml:space="preserve">  </w:t>
      </w:r>
      <w:r w:rsidR="00BE358C">
        <w:rPr>
          <w:sz w:val="26"/>
          <w:szCs w:val="26"/>
        </w:rPr>
        <w:t>Based upon the record of this proceeding we</w:t>
      </w:r>
      <w:r w:rsidR="00CC23AA" w:rsidRPr="00CC23AA">
        <w:rPr>
          <w:sz w:val="26"/>
          <w:szCs w:val="26"/>
        </w:rPr>
        <w:t xml:space="preserve"> agree with PPL that the OCA</w:t>
      </w:r>
      <w:r w:rsidR="008D3260">
        <w:rPr>
          <w:sz w:val="26"/>
          <w:szCs w:val="26"/>
        </w:rPr>
        <w:t>’</w:t>
      </w:r>
      <w:r w:rsidR="00BE358C">
        <w:rPr>
          <w:sz w:val="26"/>
          <w:szCs w:val="26"/>
        </w:rPr>
        <w:t>s proposals appear to be</w:t>
      </w:r>
      <w:r w:rsidR="00CC23AA" w:rsidRPr="00CC23AA">
        <w:rPr>
          <w:sz w:val="26"/>
          <w:szCs w:val="26"/>
        </w:rPr>
        <w:t xml:space="preserve"> in conflict with the Act and therefore </w:t>
      </w:r>
      <w:r w:rsidR="00BE358C">
        <w:rPr>
          <w:sz w:val="26"/>
          <w:szCs w:val="26"/>
        </w:rPr>
        <w:t>do</w:t>
      </w:r>
      <w:r w:rsidR="00CC23AA" w:rsidRPr="00CC23AA">
        <w:rPr>
          <w:sz w:val="26"/>
          <w:szCs w:val="26"/>
        </w:rPr>
        <w:t xml:space="preserve"> not consider them </w:t>
      </w:r>
      <w:r w:rsidR="00BE358C">
        <w:rPr>
          <w:sz w:val="26"/>
          <w:szCs w:val="26"/>
        </w:rPr>
        <w:t>to be</w:t>
      </w:r>
      <w:r w:rsidR="00CC23AA" w:rsidRPr="00CC23AA">
        <w:rPr>
          <w:sz w:val="26"/>
          <w:szCs w:val="26"/>
        </w:rPr>
        <w:t xml:space="preserve"> viable alternatives.  Based upon the above discussion we shall deny the OCA</w:t>
      </w:r>
      <w:r w:rsidR="008D3260">
        <w:rPr>
          <w:sz w:val="26"/>
          <w:szCs w:val="26"/>
        </w:rPr>
        <w:t>’</w:t>
      </w:r>
      <w:r w:rsidR="00CC23AA" w:rsidRPr="00CC23AA">
        <w:rPr>
          <w:sz w:val="26"/>
          <w:szCs w:val="26"/>
        </w:rPr>
        <w:t xml:space="preserve">s first </w:t>
      </w:r>
      <w:r w:rsidR="000A5FDF">
        <w:rPr>
          <w:sz w:val="26"/>
          <w:szCs w:val="26"/>
        </w:rPr>
        <w:t>Exception</w:t>
      </w:r>
      <w:r w:rsidR="00CC23AA" w:rsidRPr="00CC23AA">
        <w:rPr>
          <w:sz w:val="26"/>
          <w:szCs w:val="26"/>
        </w:rPr>
        <w:t>.</w:t>
      </w:r>
    </w:p>
    <w:p w:rsidR="002F6D67" w:rsidRDefault="002F6D67" w:rsidP="00006531">
      <w:pPr>
        <w:jc w:val="left"/>
        <w:rPr>
          <w:sz w:val="26"/>
          <w:szCs w:val="26"/>
        </w:rPr>
      </w:pPr>
    </w:p>
    <w:p w:rsidR="00CC23AA" w:rsidRPr="00CC23AA" w:rsidRDefault="00CC23AA" w:rsidP="00006531">
      <w:pPr>
        <w:jc w:val="left"/>
        <w:rPr>
          <w:sz w:val="26"/>
          <w:szCs w:val="26"/>
        </w:rPr>
      </w:pPr>
    </w:p>
    <w:p w:rsidR="0043356C" w:rsidRDefault="0043356C" w:rsidP="002F6D67">
      <w:pPr>
        <w:pStyle w:val="Heading2"/>
      </w:pPr>
      <w:bookmarkStart w:id="10" w:name="_Toc333991297"/>
      <w:r>
        <w:t>E.</w:t>
      </w:r>
      <w:r>
        <w:tab/>
        <w:t>TOU Rate Premium/Discount</w:t>
      </w:r>
      <w:bookmarkEnd w:id="10"/>
      <w:r>
        <w:t xml:space="preserve"> </w:t>
      </w:r>
    </w:p>
    <w:p w:rsidR="0043356C" w:rsidRDefault="008C0729" w:rsidP="00DF7C0B">
      <w:pPr>
        <w:keepNext/>
        <w:spacing w:line="240" w:lineRule="auto"/>
        <w:jc w:val="left"/>
        <w:rPr>
          <w:sz w:val="26"/>
          <w:szCs w:val="26"/>
        </w:rPr>
      </w:pPr>
      <w:r>
        <w:rPr>
          <w:sz w:val="26"/>
          <w:szCs w:val="26"/>
        </w:rPr>
        <w:tab/>
      </w:r>
    </w:p>
    <w:p w:rsidR="008C0729" w:rsidRPr="008C0729" w:rsidRDefault="008C0729" w:rsidP="002F6D67">
      <w:pPr>
        <w:pStyle w:val="Heading3"/>
      </w:pPr>
      <w:r w:rsidRPr="008C0729">
        <w:tab/>
      </w:r>
      <w:r w:rsidRPr="008C0729">
        <w:tab/>
      </w:r>
      <w:bookmarkStart w:id="11" w:name="_Toc333991298"/>
      <w:r w:rsidRPr="008C0729">
        <w:t>1.</w:t>
      </w:r>
      <w:r w:rsidRPr="008C0729">
        <w:tab/>
        <w:t>Positions of the Parties</w:t>
      </w:r>
      <w:bookmarkEnd w:id="11"/>
    </w:p>
    <w:p w:rsidR="008C0729" w:rsidRPr="005A23BF" w:rsidRDefault="008C0729" w:rsidP="00DF7C0B">
      <w:pPr>
        <w:keepNext/>
        <w:jc w:val="left"/>
        <w:rPr>
          <w:sz w:val="26"/>
          <w:szCs w:val="26"/>
        </w:rPr>
      </w:pPr>
    </w:p>
    <w:p w:rsidR="0067102C" w:rsidRPr="00256450" w:rsidRDefault="0067102C" w:rsidP="00006531">
      <w:pPr>
        <w:pStyle w:val="BodyText2"/>
      </w:pPr>
      <w:r>
        <w:tab/>
      </w:r>
      <w:r>
        <w:tab/>
      </w:r>
      <w:r w:rsidRPr="0067102C">
        <w:t>PPL</w:t>
      </w:r>
      <w:r w:rsidR="00EA0B58">
        <w:t xml:space="preserve"> argued</w:t>
      </w:r>
      <w:r w:rsidRPr="0067102C">
        <w:t xml:space="preserve"> that any reasonable TOU plan must be designed around the applicable fixed price default service rate so that the TOU on-peak rate is higher than the fixed price default service rate and the TOU off-peak rate is lower than the fixed price default service rate.  </w:t>
      </w:r>
      <w:r>
        <w:t>PPL</w:t>
      </w:r>
      <w:r w:rsidR="008D3260">
        <w:t>’</w:t>
      </w:r>
      <w:r w:rsidRPr="0067102C">
        <w:t>s proposed TOU pro</w:t>
      </w:r>
      <w:r>
        <w:t>gram adds a</w:t>
      </w:r>
      <w:r w:rsidRPr="0067102C">
        <w:t xml:space="preserve"> premium to the fixed price default service rate in on-peak periods a</w:t>
      </w:r>
      <w:r>
        <w:t>nd provides a</w:t>
      </w:r>
      <w:r w:rsidRPr="0067102C">
        <w:t xml:space="preserve"> discount f</w:t>
      </w:r>
      <w:r w:rsidR="00EA0B58">
        <w:t>rom</w:t>
      </w:r>
      <w:r w:rsidRPr="0067102C">
        <w:t xml:space="preserve"> the fixed price default service rate in off-peak periods.</w:t>
      </w:r>
      <w:r>
        <w:t xml:space="preserve">  According to PPL, t</w:t>
      </w:r>
      <w:r w:rsidRPr="0067102C">
        <w:t>his methodology will maintain the appropriate relationship between TOU rates and fixed price default service rates, and should provide the appropriate incentive for customers to shift load from on-peak to off-peak periods.</w:t>
      </w:r>
      <w:r>
        <w:t xml:space="preserve">  </w:t>
      </w:r>
      <w:r w:rsidR="00256450" w:rsidRPr="0067102C">
        <w:t>PPL St</w:t>
      </w:r>
      <w:r w:rsidR="00256450">
        <w:t>.</w:t>
      </w:r>
      <w:r w:rsidR="00256450" w:rsidRPr="0067102C">
        <w:t xml:space="preserve"> 2 at 7; R.D. at 13.</w:t>
      </w:r>
      <w:r w:rsidR="00BF39D4">
        <w:t xml:space="preserve"> </w:t>
      </w:r>
    </w:p>
    <w:p w:rsidR="00421A64" w:rsidRDefault="00421A64" w:rsidP="00006531">
      <w:pPr>
        <w:pStyle w:val="BodyText2"/>
      </w:pPr>
    </w:p>
    <w:p w:rsidR="00555E9D" w:rsidRDefault="005A23BF" w:rsidP="00BF39D4">
      <w:pPr>
        <w:keepNext/>
        <w:keepLines/>
        <w:tabs>
          <w:tab w:val="left" w:pos="3600"/>
          <w:tab w:val="left" w:pos="6480"/>
        </w:tabs>
        <w:spacing w:line="240" w:lineRule="auto"/>
        <w:ind w:firstLine="720"/>
        <w:jc w:val="left"/>
        <w:rPr>
          <w:sz w:val="26"/>
          <w:szCs w:val="26"/>
          <w:u w:val="single"/>
        </w:rPr>
      </w:pPr>
      <w:r w:rsidRPr="00A32084">
        <w:rPr>
          <w:sz w:val="26"/>
          <w:szCs w:val="26"/>
          <w:u w:val="single"/>
        </w:rPr>
        <w:lastRenderedPageBreak/>
        <w:t>PPL</w:t>
      </w:r>
      <w:r w:rsidR="008D3260">
        <w:rPr>
          <w:sz w:val="26"/>
          <w:szCs w:val="26"/>
          <w:u w:val="single"/>
        </w:rPr>
        <w:t>’</w:t>
      </w:r>
      <w:r w:rsidRPr="00A32084">
        <w:rPr>
          <w:sz w:val="26"/>
          <w:szCs w:val="26"/>
          <w:u w:val="single"/>
        </w:rPr>
        <w:t xml:space="preserve">s </w:t>
      </w:r>
      <w:r w:rsidR="007F6278">
        <w:rPr>
          <w:sz w:val="26"/>
          <w:szCs w:val="26"/>
          <w:u w:val="single"/>
        </w:rPr>
        <w:t>P</w:t>
      </w:r>
      <w:r w:rsidRPr="00A32084">
        <w:rPr>
          <w:sz w:val="26"/>
          <w:szCs w:val="26"/>
          <w:u w:val="single"/>
        </w:rPr>
        <w:t>roposal:</w:t>
      </w:r>
    </w:p>
    <w:p w:rsidR="005A23BF" w:rsidRPr="00FA5802" w:rsidRDefault="005A23BF" w:rsidP="00BF39D4">
      <w:pPr>
        <w:keepNext/>
        <w:keepLines/>
        <w:tabs>
          <w:tab w:val="left" w:pos="3600"/>
          <w:tab w:val="left" w:pos="6480"/>
        </w:tabs>
        <w:spacing w:line="240" w:lineRule="auto"/>
        <w:ind w:firstLine="720"/>
        <w:jc w:val="left"/>
        <w:rPr>
          <w:sz w:val="26"/>
          <w:szCs w:val="26"/>
        </w:rPr>
      </w:pPr>
      <w:r w:rsidRPr="00FA5802">
        <w:rPr>
          <w:sz w:val="26"/>
          <w:szCs w:val="26"/>
        </w:rPr>
        <w:tab/>
      </w:r>
      <w:r w:rsidRPr="00FA5802">
        <w:rPr>
          <w:sz w:val="26"/>
          <w:szCs w:val="26"/>
          <w:u w:val="single"/>
        </w:rPr>
        <w:t>On-Peak</w:t>
      </w:r>
      <w:r w:rsidRPr="00FA5802">
        <w:rPr>
          <w:sz w:val="26"/>
          <w:szCs w:val="26"/>
        </w:rPr>
        <w:tab/>
      </w:r>
      <w:r w:rsidRPr="00FA5802">
        <w:rPr>
          <w:sz w:val="26"/>
          <w:szCs w:val="26"/>
          <w:u w:val="single"/>
        </w:rPr>
        <w:t>Off-Peak</w:t>
      </w:r>
    </w:p>
    <w:p w:rsidR="005A23BF" w:rsidRPr="00FA5802" w:rsidRDefault="005A23BF" w:rsidP="00BF39D4">
      <w:pPr>
        <w:keepNext/>
        <w:keepLines/>
        <w:tabs>
          <w:tab w:val="left" w:pos="3600"/>
        </w:tabs>
        <w:spacing w:line="240" w:lineRule="auto"/>
        <w:ind w:left="900"/>
        <w:jc w:val="left"/>
        <w:rPr>
          <w:sz w:val="26"/>
          <w:szCs w:val="26"/>
        </w:rPr>
      </w:pPr>
      <w:r w:rsidRPr="00FA5802">
        <w:rPr>
          <w:sz w:val="26"/>
          <w:szCs w:val="26"/>
        </w:rPr>
        <w:t>Residential</w:t>
      </w:r>
      <w:r w:rsidRPr="00FA5802">
        <w:rPr>
          <w:sz w:val="26"/>
          <w:szCs w:val="26"/>
        </w:rPr>
        <w:tab/>
        <w:t>premium 20%</w:t>
      </w:r>
      <w:r w:rsidRPr="00FA5802">
        <w:rPr>
          <w:sz w:val="26"/>
          <w:szCs w:val="26"/>
        </w:rPr>
        <w:tab/>
      </w:r>
      <w:r w:rsidRPr="00FA5802">
        <w:rPr>
          <w:sz w:val="26"/>
          <w:szCs w:val="26"/>
        </w:rPr>
        <w:tab/>
        <w:t xml:space="preserve">discount </w:t>
      </w:r>
      <w:r>
        <w:rPr>
          <w:sz w:val="26"/>
          <w:szCs w:val="26"/>
        </w:rPr>
        <w:t>(</w:t>
      </w:r>
      <w:r w:rsidRPr="00FA5802">
        <w:rPr>
          <w:sz w:val="26"/>
          <w:szCs w:val="26"/>
        </w:rPr>
        <w:t>5%</w:t>
      </w:r>
      <w:r>
        <w:rPr>
          <w:sz w:val="26"/>
          <w:szCs w:val="26"/>
        </w:rPr>
        <w:t>)</w:t>
      </w:r>
    </w:p>
    <w:p w:rsidR="005A23BF" w:rsidRDefault="005A23BF" w:rsidP="00BF39D4">
      <w:pPr>
        <w:keepNext/>
        <w:keepLines/>
        <w:tabs>
          <w:tab w:val="left" w:pos="3600"/>
        </w:tabs>
        <w:spacing w:line="240" w:lineRule="auto"/>
        <w:ind w:left="900"/>
        <w:jc w:val="left"/>
        <w:rPr>
          <w:sz w:val="26"/>
          <w:szCs w:val="26"/>
        </w:rPr>
      </w:pPr>
      <w:r w:rsidRPr="00FA5802">
        <w:rPr>
          <w:sz w:val="26"/>
          <w:szCs w:val="26"/>
        </w:rPr>
        <w:t>Small C&amp;I</w:t>
      </w:r>
      <w:r w:rsidRPr="00FA5802">
        <w:rPr>
          <w:sz w:val="26"/>
          <w:szCs w:val="26"/>
        </w:rPr>
        <w:tab/>
        <w:t>premium 12%</w:t>
      </w:r>
      <w:r w:rsidRPr="00FA5802">
        <w:rPr>
          <w:sz w:val="26"/>
          <w:szCs w:val="26"/>
        </w:rPr>
        <w:tab/>
      </w:r>
      <w:r w:rsidRPr="00FA5802">
        <w:rPr>
          <w:sz w:val="26"/>
          <w:szCs w:val="26"/>
        </w:rPr>
        <w:tab/>
        <w:t xml:space="preserve">discount </w:t>
      </w:r>
      <w:r>
        <w:rPr>
          <w:sz w:val="26"/>
          <w:szCs w:val="26"/>
        </w:rPr>
        <w:t>(</w:t>
      </w:r>
      <w:r w:rsidRPr="00FA5802">
        <w:rPr>
          <w:sz w:val="26"/>
          <w:szCs w:val="26"/>
        </w:rPr>
        <w:t>8%</w:t>
      </w:r>
      <w:r>
        <w:rPr>
          <w:sz w:val="26"/>
          <w:szCs w:val="26"/>
        </w:rPr>
        <w:t>)</w:t>
      </w:r>
    </w:p>
    <w:p w:rsidR="005A23BF" w:rsidRPr="00FA5802" w:rsidRDefault="005A23BF" w:rsidP="00BF39D4">
      <w:pPr>
        <w:keepNext/>
        <w:keepLines/>
        <w:tabs>
          <w:tab w:val="left" w:pos="3600"/>
        </w:tabs>
        <w:spacing w:line="240" w:lineRule="auto"/>
        <w:ind w:left="900"/>
        <w:jc w:val="left"/>
        <w:rPr>
          <w:sz w:val="26"/>
          <w:szCs w:val="26"/>
        </w:rPr>
      </w:pPr>
    </w:p>
    <w:p w:rsidR="005A23BF" w:rsidRDefault="00CD30AD" w:rsidP="00BF39D4">
      <w:pPr>
        <w:pStyle w:val="BodyText2"/>
        <w:keepNext/>
        <w:keepLines/>
        <w:spacing w:line="240" w:lineRule="auto"/>
      </w:pPr>
      <w:r>
        <w:t>PPL St</w:t>
      </w:r>
      <w:r w:rsidR="005A23BF">
        <w:t>. 2 at 11; PPL M.B. at 20.</w:t>
      </w:r>
    </w:p>
    <w:p w:rsidR="005A23BF" w:rsidRPr="0067102C" w:rsidRDefault="005A23BF" w:rsidP="00BF39D4">
      <w:pPr>
        <w:jc w:val="left"/>
        <w:rPr>
          <w:sz w:val="26"/>
          <w:szCs w:val="26"/>
        </w:rPr>
      </w:pPr>
    </w:p>
    <w:p w:rsidR="0043356C" w:rsidRPr="000D5B04" w:rsidRDefault="008C0729" w:rsidP="00006531">
      <w:pPr>
        <w:jc w:val="left"/>
        <w:rPr>
          <w:sz w:val="26"/>
          <w:szCs w:val="26"/>
        </w:rPr>
      </w:pPr>
      <w:r>
        <w:rPr>
          <w:b/>
          <w:sz w:val="26"/>
          <w:szCs w:val="26"/>
        </w:rPr>
        <w:tab/>
      </w:r>
      <w:r>
        <w:rPr>
          <w:b/>
          <w:sz w:val="26"/>
          <w:szCs w:val="26"/>
        </w:rPr>
        <w:tab/>
      </w:r>
      <w:r w:rsidR="0043356C">
        <w:rPr>
          <w:sz w:val="26"/>
          <w:szCs w:val="26"/>
        </w:rPr>
        <w:t xml:space="preserve">The </w:t>
      </w:r>
      <w:r w:rsidR="0043356C" w:rsidRPr="003804C3">
        <w:rPr>
          <w:sz w:val="26"/>
          <w:szCs w:val="26"/>
        </w:rPr>
        <w:t>OCA</w:t>
      </w:r>
      <w:r w:rsidR="008D3260">
        <w:rPr>
          <w:sz w:val="26"/>
          <w:szCs w:val="26"/>
        </w:rPr>
        <w:t>’</w:t>
      </w:r>
      <w:r w:rsidR="005A23BF">
        <w:rPr>
          <w:sz w:val="26"/>
          <w:szCs w:val="26"/>
        </w:rPr>
        <w:t>s</w:t>
      </w:r>
      <w:r w:rsidR="0043356C" w:rsidRPr="003804C3">
        <w:rPr>
          <w:sz w:val="26"/>
          <w:szCs w:val="26"/>
        </w:rPr>
        <w:t xml:space="preserve"> </w:t>
      </w:r>
      <w:r w:rsidR="005A23BF">
        <w:rPr>
          <w:sz w:val="26"/>
          <w:szCs w:val="26"/>
        </w:rPr>
        <w:t xml:space="preserve">position is that </w:t>
      </w:r>
      <w:r w:rsidR="005F3E82">
        <w:rPr>
          <w:sz w:val="26"/>
          <w:szCs w:val="26"/>
        </w:rPr>
        <w:t>PPL</w:t>
      </w:r>
      <w:r w:rsidR="008D3260">
        <w:rPr>
          <w:sz w:val="26"/>
          <w:szCs w:val="26"/>
        </w:rPr>
        <w:t>’</w:t>
      </w:r>
      <w:r w:rsidR="005F3E82">
        <w:rPr>
          <w:sz w:val="26"/>
          <w:szCs w:val="26"/>
        </w:rPr>
        <w:t>s</w:t>
      </w:r>
      <w:r w:rsidR="0043356C" w:rsidRPr="003804C3">
        <w:rPr>
          <w:sz w:val="26"/>
          <w:szCs w:val="26"/>
        </w:rPr>
        <w:t xml:space="preserve"> proposal is not reasonably calculated to attract custo</w:t>
      </w:r>
      <w:r w:rsidR="005F3E82">
        <w:rPr>
          <w:sz w:val="26"/>
          <w:szCs w:val="26"/>
        </w:rPr>
        <w:t>mers and incent load shifting, because</w:t>
      </w:r>
      <w:r w:rsidR="0043356C" w:rsidRPr="003804C3">
        <w:rPr>
          <w:sz w:val="26"/>
          <w:szCs w:val="26"/>
        </w:rPr>
        <w:t xml:space="preserve"> it provides a limited opportunity for </w:t>
      </w:r>
      <w:r w:rsidR="005F3E82">
        <w:rPr>
          <w:sz w:val="26"/>
          <w:szCs w:val="26"/>
        </w:rPr>
        <w:t xml:space="preserve">customer </w:t>
      </w:r>
      <w:r w:rsidR="0043356C" w:rsidRPr="003804C3">
        <w:rPr>
          <w:sz w:val="26"/>
          <w:szCs w:val="26"/>
        </w:rPr>
        <w:t xml:space="preserve">saving.  </w:t>
      </w:r>
      <w:r w:rsidR="005F3E82">
        <w:rPr>
          <w:sz w:val="26"/>
          <w:szCs w:val="26"/>
        </w:rPr>
        <w:t>In addition, the premium and discount percentages</w:t>
      </w:r>
      <w:r w:rsidR="0043356C" w:rsidRPr="003804C3">
        <w:rPr>
          <w:sz w:val="26"/>
          <w:szCs w:val="26"/>
        </w:rPr>
        <w:t xml:space="preserve"> should reflect mark</w:t>
      </w:r>
      <w:r w:rsidR="005F3E82">
        <w:rPr>
          <w:sz w:val="26"/>
          <w:szCs w:val="26"/>
        </w:rPr>
        <w:t>et conditions during the on</w:t>
      </w:r>
      <w:r w:rsidR="0043356C" w:rsidRPr="003804C3">
        <w:rPr>
          <w:sz w:val="26"/>
          <w:szCs w:val="26"/>
        </w:rPr>
        <w:t xml:space="preserve"> and off-peak periods while providing incentives for</w:t>
      </w:r>
      <w:r w:rsidR="005F3E82">
        <w:rPr>
          <w:sz w:val="26"/>
          <w:szCs w:val="26"/>
        </w:rPr>
        <w:t xml:space="preserve"> customers to</w:t>
      </w:r>
      <w:r w:rsidR="0043356C" w:rsidRPr="003804C3">
        <w:rPr>
          <w:sz w:val="26"/>
          <w:szCs w:val="26"/>
        </w:rPr>
        <w:t xml:space="preserve"> shift</w:t>
      </w:r>
      <w:r w:rsidR="005F3E82">
        <w:rPr>
          <w:sz w:val="26"/>
          <w:szCs w:val="26"/>
        </w:rPr>
        <w:t xml:space="preserve"> their</w:t>
      </w:r>
      <w:r w:rsidR="0043356C" w:rsidRPr="003804C3">
        <w:rPr>
          <w:sz w:val="26"/>
          <w:szCs w:val="26"/>
        </w:rPr>
        <w:t xml:space="preserve"> usage</w:t>
      </w:r>
      <w:r w:rsidR="005F3E82">
        <w:rPr>
          <w:sz w:val="26"/>
          <w:szCs w:val="26"/>
        </w:rPr>
        <w:t xml:space="preserve"> to non-peak hours</w:t>
      </w:r>
      <w:r w:rsidR="00CD30AD">
        <w:rPr>
          <w:sz w:val="26"/>
          <w:szCs w:val="26"/>
        </w:rPr>
        <w:t>.  OCA St</w:t>
      </w:r>
      <w:r w:rsidR="0043356C" w:rsidRPr="003804C3">
        <w:rPr>
          <w:sz w:val="26"/>
          <w:szCs w:val="26"/>
        </w:rPr>
        <w:t>. 1 at 11; OCA M</w:t>
      </w:r>
      <w:r w:rsidR="00CD30AD">
        <w:rPr>
          <w:sz w:val="26"/>
          <w:szCs w:val="26"/>
        </w:rPr>
        <w:t>.</w:t>
      </w:r>
      <w:r w:rsidR="0043356C" w:rsidRPr="003804C3">
        <w:rPr>
          <w:sz w:val="26"/>
          <w:szCs w:val="26"/>
        </w:rPr>
        <w:t>B</w:t>
      </w:r>
      <w:r w:rsidR="00CD30AD">
        <w:rPr>
          <w:sz w:val="26"/>
          <w:szCs w:val="26"/>
        </w:rPr>
        <w:t>.</w:t>
      </w:r>
      <w:r w:rsidR="0043356C" w:rsidRPr="003804C3">
        <w:rPr>
          <w:sz w:val="26"/>
          <w:szCs w:val="26"/>
        </w:rPr>
        <w:t xml:space="preserve"> at 13</w:t>
      </w:r>
      <w:r w:rsidR="0043356C">
        <w:rPr>
          <w:sz w:val="26"/>
          <w:szCs w:val="26"/>
        </w:rPr>
        <w:t xml:space="preserve">; </w:t>
      </w:r>
      <w:r w:rsidR="000D5B04">
        <w:rPr>
          <w:sz w:val="26"/>
          <w:szCs w:val="26"/>
        </w:rPr>
        <w:t>R.D. at 15.</w:t>
      </w:r>
    </w:p>
    <w:p w:rsidR="00A32084" w:rsidRPr="00FA5802" w:rsidRDefault="00A32084" w:rsidP="00006531">
      <w:pPr>
        <w:spacing w:line="240" w:lineRule="auto"/>
        <w:jc w:val="left"/>
        <w:rPr>
          <w:sz w:val="26"/>
          <w:szCs w:val="26"/>
        </w:rPr>
      </w:pPr>
    </w:p>
    <w:p w:rsidR="0043356C" w:rsidRDefault="00262258" w:rsidP="00BF39D4">
      <w:pPr>
        <w:keepNext/>
        <w:keepLines/>
        <w:spacing w:line="240" w:lineRule="auto"/>
        <w:jc w:val="left"/>
        <w:rPr>
          <w:sz w:val="26"/>
          <w:szCs w:val="26"/>
          <w:u w:val="single"/>
        </w:rPr>
      </w:pPr>
      <w:r>
        <w:rPr>
          <w:sz w:val="26"/>
          <w:szCs w:val="26"/>
        </w:rPr>
        <w:tab/>
      </w:r>
      <w:r w:rsidR="0043356C" w:rsidRPr="00A32084">
        <w:rPr>
          <w:sz w:val="26"/>
          <w:szCs w:val="26"/>
          <w:u w:val="single"/>
        </w:rPr>
        <w:t>OCA</w:t>
      </w:r>
      <w:r w:rsidR="008D3260">
        <w:rPr>
          <w:sz w:val="26"/>
          <w:szCs w:val="26"/>
          <w:u w:val="single"/>
        </w:rPr>
        <w:t>’</w:t>
      </w:r>
      <w:r w:rsidR="0043356C" w:rsidRPr="00A32084">
        <w:rPr>
          <w:sz w:val="26"/>
          <w:szCs w:val="26"/>
          <w:u w:val="single"/>
        </w:rPr>
        <w:t xml:space="preserve">s </w:t>
      </w:r>
      <w:r w:rsidR="007F6278">
        <w:rPr>
          <w:sz w:val="26"/>
          <w:szCs w:val="26"/>
          <w:u w:val="single"/>
        </w:rPr>
        <w:t>P</w:t>
      </w:r>
      <w:r w:rsidR="0043356C" w:rsidRPr="00A32084">
        <w:rPr>
          <w:sz w:val="26"/>
          <w:szCs w:val="26"/>
          <w:u w:val="single"/>
        </w:rPr>
        <w:t>roposal</w:t>
      </w:r>
      <w:r w:rsidR="00F356CF" w:rsidRPr="00A32084">
        <w:rPr>
          <w:sz w:val="26"/>
          <w:szCs w:val="26"/>
          <w:u w:val="single"/>
        </w:rPr>
        <w:t xml:space="preserve"> (residential only)</w:t>
      </w:r>
      <w:r w:rsidR="0043356C" w:rsidRPr="00A32084">
        <w:rPr>
          <w:sz w:val="26"/>
          <w:szCs w:val="26"/>
          <w:u w:val="single"/>
        </w:rPr>
        <w:t>:</w:t>
      </w:r>
    </w:p>
    <w:p w:rsidR="00BF39D4" w:rsidRPr="00A32084" w:rsidRDefault="00BF39D4" w:rsidP="00BF39D4">
      <w:pPr>
        <w:keepNext/>
        <w:keepLines/>
        <w:spacing w:line="240" w:lineRule="auto"/>
        <w:jc w:val="left"/>
        <w:rPr>
          <w:sz w:val="26"/>
          <w:szCs w:val="26"/>
          <w:u w:val="single"/>
        </w:rPr>
      </w:pPr>
    </w:p>
    <w:p w:rsidR="0043356C" w:rsidRPr="003804C3" w:rsidRDefault="00F356CF" w:rsidP="00BF39D4">
      <w:pPr>
        <w:keepNext/>
        <w:keepLines/>
        <w:tabs>
          <w:tab w:val="left" w:pos="3600"/>
        </w:tabs>
        <w:spacing w:line="240" w:lineRule="auto"/>
        <w:ind w:left="900"/>
        <w:jc w:val="left"/>
        <w:rPr>
          <w:sz w:val="26"/>
          <w:szCs w:val="26"/>
        </w:rPr>
      </w:pPr>
      <w:r>
        <w:rPr>
          <w:sz w:val="26"/>
          <w:szCs w:val="26"/>
        </w:rPr>
        <w:t>Summer</w:t>
      </w:r>
      <w:r w:rsidR="0043356C">
        <w:rPr>
          <w:sz w:val="26"/>
          <w:szCs w:val="26"/>
        </w:rPr>
        <w:tab/>
      </w:r>
      <w:r w:rsidR="00D21125">
        <w:rPr>
          <w:sz w:val="26"/>
          <w:szCs w:val="26"/>
        </w:rPr>
        <w:t>premium 50%</w:t>
      </w:r>
      <w:r w:rsidR="00D21125">
        <w:rPr>
          <w:sz w:val="26"/>
          <w:szCs w:val="26"/>
        </w:rPr>
        <w:tab/>
      </w:r>
      <w:r w:rsidR="00D21125">
        <w:rPr>
          <w:sz w:val="26"/>
          <w:szCs w:val="26"/>
        </w:rPr>
        <w:tab/>
      </w:r>
      <w:r w:rsidR="00FA5802">
        <w:rPr>
          <w:sz w:val="26"/>
          <w:szCs w:val="26"/>
        </w:rPr>
        <w:t>discount (</w:t>
      </w:r>
      <w:r w:rsidR="0043356C" w:rsidRPr="003804C3">
        <w:rPr>
          <w:sz w:val="26"/>
          <w:szCs w:val="26"/>
        </w:rPr>
        <w:t>20%</w:t>
      </w:r>
      <w:r w:rsidR="00FA5802">
        <w:rPr>
          <w:sz w:val="26"/>
          <w:szCs w:val="26"/>
        </w:rPr>
        <w:t>)</w:t>
      </w:r>
    </w:p>
    <w:p w:rsidR="0043356C" w:rsidRDefault="0043356C" w:rsidP="00BF39D4">
      <w:pPr>
        <w:keepNext/>
        <w:keepLines/>
        <w:tabs>
          <w:tab w:val="left" w:pos="3600"/>
        </w:tabs>
        <w:spacing w:line="240" w:lineRule="auto"/>
        <w:ind w:left="900"/>
        <w:jc w:val="left"/>
        <w:rPr>
          <w:sz w:val="26"/>
          <w:szCs w:val="26"/>
        </w:rPr>
      </w:pPr>
      <w:r>
        <w:rPr>
          <w:sz w:val="26"/>
          <w:szCs w:val="26"/>
        </w:rPr>
        <w:t>Non-summer</w:t>
      </w:r>
      <w:r>
        <w:rPr>
          <w:sz w:val="26"/>
          <w:szCs w:val="26"/>
        </w:rPr>
        <w:tab/>
      </w:r>
      <w:r w:rsidR="00D21125">
        <w:rPr>
          <w:sz w:val="26"/>
          <w:szCs w:val="26"/>
        </w:rPr>
        <w:t>premium 25%</w:t>
      </w:r>
      <w:r w:rsidR="00D21125">
        <w:rPr>
          <w:sz w:val="26"/>
          <w:szCs w:val="26"/>
        </w:rPr>
        <w:tab/>
      </w:r>
      <w:r w:rsidR="00D21125">
        <w:rPr>
          <w:sz w:val="26"/>
          <w:szCs w:val="26"/>
        </w:rPr>
        <w:tab/>
      </w:r>
      <w:r w:rsidR="00FA5802">
        <w:rPr>
          <w:sz w:val="26"/>
          <w:szCs w:val="26"/>
        </w:rPr>
        <w:t>discount (</w:t>
      </w:r>
      <w:r w:rsidRPr="003804C3">
        <w:rPr>
          <w:sz w:val="26"/>
          <w:szCs w:val="26"/>
        </w:rPr>
        <w:t>4%</w:t>
      </w:r>
      <w:r w:rsidR="00FA5802">
        <w:rPr>
          <w:sz w:val="26"/>
          <w:szCs w:val="26"/>
        </w:rPr>
        <w:t>)</w:t>
      </w:r>
    </w:p>
    <w:p w:rsidR="005A23BF" w:rsidRPr="003804C3" w:rsidRDefault="005A23BF" w:rsidP="00BF39D4">
      <w:pPr>
        <w:keepNext/>
        <w:keepLines/>
        <w:tabs>
          <w:tab w:val="left" w:pos="3600"/>
        </w:tabs>
        <w:spacing w:line="240" w:lineRule="auto"/>
        <w:ind w:left="900"/>
        <w:jc w:val="left"/>
        <w:rPr>
          <w:sz w:val="26"/>
          <w:szCs w:val="26"/>
        </w:rPr>
      </w:pPr>
    </w:p>
    <w:p w:rsidR="0043356C" w:rsidRDefault="009D07D6" w:rsidP="00BF39D4">
      <w:pPr>
        <w:pStyle w:val="BodyText2"/>
        <w:keepNext/>
        <w:keepLines/>
      </w:pPr>
      <w:r>
        <w:t>OCA St</w:t>
      </w:r>
      <w:r w:rsidR="00262258" w:rsidRPr="003804C3">
        <w:t>. 1 at 14; OCA M</w:t>
      </w:r>
      <w:r w:rsidR="00555E9D">
        <w:t>.</w:t>
      </w:r>
      <w:r w:rsidR="00262258" w:rsidRPr="003804C3">
        <w:t>B</w:t>
      </w:r>
      <w:r w:rsidR="00555E9D">
        <w:t>.</w:t>
      </w:r>
      <w:r w:rsidR="00262258" w:rsidRPr="003804C3">
        <w:t xml:space="preserve"> at 15</w:t>
      </w:r>
      <w:r w:rsidR="00262258">
        <w:t xml:space="preserve">; </w:t>
      </w:r>
      <w:r w:rsidR="000D5B04">
        <w:t xml:space="preserve">R.D. </w:t>
      </w:r>
      <w:r w:rsidR="00262258">
        <w:t>at 16</w:t>
      </w:r>
      <w:r w:rsidR="00262258" w:rsidRPr="003804C3">
        <w:t>.</w:t>
      </w:r>
    </w:p>
    <w:p w:rsidR="00A32084" w:rsidRDefault="00A32084" w:rsidP="00006531">
      <w:pPr>
        <w:jc w:val="left"/>
        <w:rPr>
          <w:sz w:val="26"/>
          <w:szCs w:val="26"/>
        </w:rPr>
      </w:pPr>
    </w:p>
    <w:p w:rsidR="0043356C" w:rsidRDefault="0043356C" w:rsidP="00006531">
      <w:pPr>
        <w:pStyle w:val="BodyText2"/>
      </w:pPr>
      <w:r w:rsidRPr="003804C3">
        <w:tab/>
      </w:r>
      <w:r w:rsidRPr="003804C3">
        <w:tab/>
      </w:r>
      <w:r>
        <w:t xml:space="preserve">The </w:t>
      </w:r>
      <w:r w:rsidRPr="003804C3">
        <w:t xml:space="preserve">OCA believes that its plan will reduce </w:t>
      </w:r>
      <w:r w:rsidR="00BF39D4">
        <w:t>“</w:t>
      </w:r>
      <w:r w:rsidRPr="003804C3">
        <w:t>free riders</w:t>
      </w:r>
      <w:r w:rsidR="00BF39D4">
        <w:t>”</w:t>
      </w:r>
      <w:r w:rsidRPr="003804C3">
        <w:t xml:space="preserve"> as well, and can do so without penalties to participating ratepayers.  It </w:t>
      </w:r>
      <w:r w:rsidR="00BF39D4">
        <w:t xml:space="preserve">contends </w:t>
      </w:r>
      <w:r w:rsidRPr="003804C3">
        <w:t>that the Company</w:t>
      </w:r>
      <w:r w:rsidR="008D3260">
        <w:t>’</w:t>
      </w:r>
      <w:r w:rsidRPr="003804C3">
        <w:t>s plan is designed to penalize the customer who signs up for the TOU program but does not shift usage.  OC</w:t>
      </w:r>
      <w:r w:rsidR="00EC5126">
        <w:t>A St</w:t>
      </w:r>
      <w:r w:rsidR="00555E9D">
        <w:t>. 1 at 14-</w:t>
      </w:r>
      <w:r w:rsidRPr="003804C3">
        <w:t xml:space="preserve">15; </w:t>
      </w:r>
      <w:r w:rsidR="00EC5126">
        <w:t xml:space="preserve">OCA St. </w:t>
      </w:r>
      <w:r w:rsidRPr="003804C3">
        <w:t>1-S at 2-4; OCA R</w:t>
      </w:r>
      <w:r w:rsidR="00555E9D">
        <w:t>.</w:t>
      </w:r>
      <w:r w:rsidRPr="003804C3">
        <w:t>B</w:t>
      </w:r>
      <w:r w:rsidR="00555E9D">
        <w:t>.</w:t>
      </w:r>
      <w:r w:rsidRPr="003804C3">
        <w:t xml:space="preserve"> at 2</w:t>
      </w:r>
      <w:r>
        <w:t xml:space="preserve">; </w:t>
      </w:r>
      <w:r w:rsidR="000D5B04" w:rsidRPr="00EC5126">
        <w:t xml:space="preserve">R.D. </w:t>
      </w:r>
      <w:r w:rsidR="00262258" w:rsidRPr="00EC5126">
        <w:t>at 16.</w:t>
      </w:r>
      <w:r w:rsidRPr="003804C3">
        <w:t xml:space="preserve">  </w:t>
      </w:r>
    </w:p>
    <w:p w:rsidR="00D87827" w:rsidRPr="003804C3" w:rsidRDefault="00D87827" w:rsidP="00006531">
      <w:pPr>
        <w:jc w:val="left"/>
        <w:rPr>
          <w:sz w:val="26"/>
          <w:szCs w:val="26"/>
        </w:rPr>
      </w:pPr>
    </w:p>
    <w:p w:rsidR="0043356C" w:rsidRPr="003804C3" w:rsidRDefault="0043356C" w:rsidP="00006531">
      <w:pPr>
        <w:pStyle w:val="BodyText2"/>
      </w:pPr>
      <w:r w:rsidRPr="003804C3">
        <w:tab/>
      </w:r>
      <w:r w:rsidR="008C0729">
        <w:tab/>
      </w:r>
      <w:r w:rsidRPr="003804C3">
        <w:t xml:space="preserve">The OCA </w:t>
      </w:r>
      <w:r w:rsidR="00CC265E">
        <w:t xml:space="preserve">further </w:t>
      </w:r>
      <w:r w:rsidRPr="003804C3">
        <w:t>submi</w:t>
      </w:r>
      <w:r w:rsidR="00FF6B91">
        <w:t>t</w:t>
      </w:r>
      <w:r w:rsidRPr="003804C3">
        <w:t>t</w:t>
      </w:r>
      <w:r w:rsidR="00FF6B91">
        <w:t>ed</w:t>
      </w:r>
      <w:r w:rsidRPr="003804C3">
        <w:t xml:space="preserve"> that the Company</w:t>
      </w:r>
      <w:r w:rsidR="008D3260">
        <w:t>’</w:t>
      </w:r>
      <w:r w:rsidRPr="003804C3">
        <w:t>s position on this issue is flawed</w:t>
      </w:r>
      <w:r w:rsidR="00D87827">
        <w:t xml:space="preserve"> because PPL</w:t>
      </w:r>
      <w:r w:rsidRPr="003804C3">
        <w:t xml:space="preserve"> will not see any increase in the cost to serve the average customer that selects </w:t>
      </w:r>
      <w:r w:rsidR="00D87827">
        <w:t xml:space="preserve">the </w:t>
      </w:r>
      <w:r w:rsidRPr="003804C3">
        <w:t>TOU</w:t>
      </w:r>
      <w:r w:rsidR="00D87827">
        <w:t xml:space="preserve"> program</w:t>
      </w:r>
      <w:r w:rsidRPr="003804C3">
        <w:t xml:space="preserve"> if </w:t>
      </w:r>
      <w:r w:rsidR="00D87827">
        <w:t xml:space="preserve">that customer does </w:t>
      </w:r>
      <w:r w:rsidRPr="003804C3">
        <w:t xml:space="preserve">not shift load.  OCA </w:t>
      </w:r>
      <w:r w:rsidR="00FF6B91">
        <w:t>St. 1-S at 2-3.  The OCA submitted</w:t>
      </w:r>
      <w:r w:rsidRPr="003804C3">
        <w:t xml:space="preserve"> that PPL should not be permitted to create a level of excess revenues above the costs to serve TOU customers, simply to incent them to shift load to lower peak period.</w:t>
      </w:r>
      <w:r w:rsidR="0067254D">
        <w:t xml:space="preserve">  OCA St. 1-S at 2-3; R.D. at 17.</w:t>
      </w:r>
    </w:p>
    <w:p w:rsidR="0043356C" w:rsidRPr="003804C3" w:rsidRDefault="0043356C" w:rsidP="00006531">
      <w:pPr>
        <w:jc w:val="left"/>
        <w:rPr>
          <w:sz w:val="26"/>
          <w:szCs w:val="26"/>
        </w:rPr>
      </w:pPr>
    </w:p>
    <w:p w:rsidR="0043356C" w:rsidRDefault="0043356C" w:rsidP="00006531">
      <w:pPr>
        <w:pStyle w:val="BodyText2"/>
      </w:pPr>
      <w:r w:rsidRPr="003804C3">
        <w:lastRenderedPageBreak/>
        <w:tab/>
      </w:r>
      <w:r w:rsidRPr="003804C3">
        <w:tab/>
      </w:r>
      <w:r>
        <w:t xml:space="preserve">The </w:t>
      </w:r>
      <w:r w:rsidRPr="003804C3">
        <w:t>OCA recommend</w:t>
      </w:r>
      <w:r w:rsidR="00B741A8">
        <w:t>ed</w:t>
      </w:r>
      <w:r w:rsidRPr="003804C3">
        <w:t xml:space="preserve"> that a re</w:t>
      </w:r>
      <w:r w:rsidR="00F12FC5">
        <w:t>venue neutral methodology</w:t>
      </w:r>
      <w:r w:rsidRPr="003804C3">
        <w:t xml:space="preserve"> be adopted in this proceeding in order to match costs and savings with customer behavior.  OCA R</w:t>
      </w:r>
      <w:r w:rsidR="00D41C7D">
        <w:t>.</w:t>
      </w:r>
      <w:r w:rsidRPr="003804C3">
        <w:t>B</w:t>
      </w:r>
      <w:r w:rsidR="00D41C7D">
        <w:t>.</w:t>
      </w:r>
      <w:r w:rsidRPr="003804C3">
        <w:t xml:space="preserve"> at 5.  </w:t>
      </w:r>
      <w:r w:rsidR="00B741A8">
        <w:t>Further, it is the OCA</w:t>
      </w:r>
      <w:r w:rsidR="008D3260">
        <w:t>’</w:t>
      </w:r>
      <w:r w:rsidR="00B741A8">
        <w:t>s opinion that t</w:t>
      </w:r>
      <w:r w:rsidRPr="003804C3">
        <w:t>he TOU program should reflect actual cost savings but should not introduce costs where they are absent.  Customers should not be required to pay more for generation based on non-cost based considerations.  OCA M</w:t>
      </w:r>
      <w:r w:rsidR="00D41C7D">
        <w:t>.</w:t>
      </w:r>
      <w:r w:rsidRPr="003804C3">
        <w:t>B</w:t>
      </w:r>
      <w:r w:rsidR="00D41C7D">
        <w:t>.</w:t>
      </w:r>
      <w:r w:rsidRPr="003804C3">
        <w:t xml:space="preserve"> at 17</w:t>
      </w:r>
      <w:r>
        <w:t xml:space="preserve">; </w:t>
      </w:r>
      <w:r w:rsidR="00D41C7D">
        <w:t>R.D.</w:t>
      </w:r>
      <w:r>
        <w:t xml:space="preserve"> at 18.</w:t>
      </w:r>
    </w:p>
    <w:p w:rsidR="004E1330" w:rsidRDefault="004E1330" w:rsidP="00006531">
      <w:pPr>
        <w:jc w:val="left"/>
        <w:rPr>
          <w:sz w:val="26"/>
          <w:szCs w:val="26"/>
        </w:rPr>
      </w:pPr>
    </w:p>
    <w:p w:rsidR="004E1330" w:rsidRDefault="004E1330" w:rsidP="00006531">
      <w:pPr>
        <w:jc w:val="left"/>
        <w:rPr>
          <w:sz w:val="26"/>
          <w:szCs w:val="26"/>
        </w:rPr>
      </w:pPr>
      <w:r>
        <w:rPr>
          <w:sz w:val="26"/>
          <w:szCs w:val="26"/>
        </w:rPr>
        <w:tab/>
      </w:r>
      <w:r>
        <w:rPr>
          <w:sz w:val="26"/>
          <w:szCs w:val="26"/>
        </w:rPr>
        <w:tab/>
        <w:t>The SEF argued</w:t>
      </w:r>
      <w:r w:rsidRPr="003804C3">
        <w:rPr>
          <w:sz w:val="26"/>
          <w:szCs w:val="26"/>
        </w:rPr>
        <w:t xml:space="preserve"> that it does not oppose TOU pricing mechanisms in theory but that this one should be denied because the Company has failed to analyze the cost effectiveness, has failed to analyze the energy demand reduction, has failed to analyze energy consumption reductions, and has committed a critical error in the design of off-peak periods.</w:t>
      </w:r>
      <w:r w:rsidR="009B62E6">
        <w:rPr>
          <w:sz w:val="26"/>
          <w:szCs w:val="26"/>
        </w:rPr>
        <w:t xml:space="preserve">  SEF St</w:t>
      </w:r>
      <w:r>
        <w:rPr>
          <w:sz w:val="26"/>
          <w:szCs w:val="26"/>
        </w:rPr>
        <w:t>. 1 at 3; R.D. at 18-19.</w:t>
      </w:r>
      <w:r w:rsidRPr="003804C3">
        <w:rPr>
          <w:sz w:val="26"/>
          <w:szCs w:val="26"/>
        </w:rPr>
        <w:t xml:space="preserve">  </w:t>
      </w:r>
      <w:r>
        <w:rPr>
          <w:sz w:val="26"/>
          <w:szCs w:val="26"/>
        </w:rPr>
        <w:t>The SEF also contended that t</w:t>
      </w:r>
      <w:r w:rsidRPr="003804C3">
        <w:rPr>
          <w:sz w:val="26"/>
          <w:szCs w:val="26"/>
        </w:rPr>
        <w:t>here is no cost/benefit analysis, no projection of the impact on peak load contribution or total reduction in peak demand by rate schedule, and no analysis on energy de</w:t>
      </w:r>
      <w:r w:rsidR="009B62E6">
        <w:rPr>
          <w:sz w:val="26"/>
          <w:szCs w:val="26"/>
        </w:rPr>
        <w:t>mand by rate schedule.  SEF St</w:t>
      </w:r>
      <w:r w:rsidRPr="003804C3">
        <w:rPr>
          <w:sz w:val="26"/>
          <w:szCs w:val="26"/>
        </w:rPr>
        <w:t>. 1 at 3-12</w:t>
      </w:r>
      <w:r>
        <w:rPr>
          <w:sz w:val="26"/>
          <w:szCs w:val="26"/>
        </w:rPr>
        <w:t>; R.D. at 19</w:t>
      </w:r>
      <w:r w:rsidRPr="003804C3">
        <w:rPr>
          <w:sz w:val="26"/>
          <w:szCs w:val="26"/>
        </w:rPr>
        <w:t xml:space="preserve">.  As the Company is </w:t>
      </w:r>
      <w:r w:rsidR="00077CCF">
        <w:rPr>
          <w:sz w:val="26"/>
          <w:szCs w:val="26"/>
        </w:rPr>
        <w:t>proposing</w:t>
      </w:r>
      <w:r w:rsidRPr="003804C3">
        <w:rPr>
          <w:sz w:val="26"/>
          <w:szCs w:val="26"/>
        </w:rPr>
        <w:t xml:space="preserve"> a new TOU</w:t>
      </w:r>
      <w:r w:rsidR="00077CCF">
        <w:rPr>
          <w:sz w:val="26"/>
          <w:szCs w:val="26"/>
        </w:rPr>
        <w:t xml:space="preserve"> program as part of its pending </w:t>
      </w:r>
      <w:r w:rsidR="00077CCF">
        <w:rPr>
          <w:i/>
          <w:sz w:val="26"/>
          <w:szCs w:val="26"/>
        </w:rPr>
        <w:t>2013 DSP</w:t>
      </w:r>
      <w:r w:rsidR="00077CCF">
        <w:rPr>
          <w:sz w:val="26"/>
          <w:szCs w:val="26"/>
        </w:rPr>
        <w:t xml:space="preserve"> case, </w:t>
      </w:r>
      <w:r w:rsidR="00077CCF">
        <w:rPr>
          <w:i/>
          <w:sz w:val="26"/>
          <w:szCs w:val="26"/>
        </w:rPr>
        <w:t>supra</w:t>
      </w:r>
      <w:r w:rsidR="00077CCF">
        <w:rPr>
          <w:sz w:val="26"/>
          <w:szCs w:val="26"/>
        </w:rPr>
        <w:t>,</w:t>
      </w:r>
      <w:r w:rsidRPr="003804C3">
        <w:rPr>
          <w:sz w:val="26"/>
          <w:szCs w:val="26"/>
        </w:rPr>
        <w:t xml:space="preserve"> </w:t>
      </w:r>
      <w:r w:rsidR="00077CCF">
        <w:rPr>
          <w:sz w:val="26"/>
          <w:szCs w:val="26"/>
        </w:rPr>
        <w:t xml:space="preserve">the </w:t>
      </w:r>
      <w:r w:rsidRPr="003804C3">
        <w:rPr>
          <w:sz w:val="26"/>
          <w:szCs w:val="26"/>
        </w:rPr>
        <w:t>SEF recommends evaluation of the Company</w:t>
      </w:r>
      <w:r w:rsidR="008D3260">
        <w:rPr>
          <w:sz w:val="26"/>
          <w:szCs w:val="26"/>
        </w:rPr>
        <w:t>’</w:t>
      </w:r>
      <w:r w:rsidRPr="003804C3">
        <w:rPr>
          <w:sz w:val="26"/>
          <w:szCs w:val="26"/>
        </w:rPr>
        <w:t>s new TOU propo</w:t>
      </w:r>
      <w:r w:rsidR="00045023">
        <w:rPr>
          <w:sz w:val="26"/>
          <w:szCs w:val="26"/>
        </w:rPr>
        <w:t xml:space="preserve">sal in the context of that case.  </w:t>
      </w:r>
      <w:r w:rsidR="00077CCF">
        <w:rPr>
          <w:sz w:val="26"/>
          <w:szCs w:val="26"/>
        </w:rPr>
        <w:t>SEF St</w:t>
      </w:r>
      <w:r w:rsidRPr="003804C3">
        <w:rPr>
          <w:sz w:val="26"/>
          <w:szCs w:val="26"/>
        </w:rPr>
        <w:t>. 1 at 12</w:t>
      </w:r>
      <w:r>
        <w:rPr>
          <w:sz w:val="26"/>
          <w:szCs w:val="26"/>
        </w:rPr>
        <w:t>; R.D. at</w:t>
      </w:r>
      <w:r w:rsidR="00CC265E">
        <w:rPr>
          <w:sz w:val="26"/>
          <w:szCs w:val="26"/>
        </w:rPr>
        <w:t> </w:t>
      </w:r>
      <w:r>
        <w:rPr>
          <w:sz w:val="26"/>
          <w:szCs w:val="26"/>
        </w:rPr>
        <w:t>12</w:t>
      </w:r>
      <w:r w:rsidRPr="003804C3">
        <w:rPr>
          <w:sz w:val="26"/>
          <w:szCs w:val="26"/>
        </w:rPr>
        <w:t>.</w:t>
      </w:r>
    </w:p>
    <w:p w:rsidR="004E1330" w:rsidRPr="003804C3" w:rsidRDefault="004E1330" w:rsidP="00006531">
      <w:pPr>
        <w:spacing w:line="240" w:lineRule="auto"/>
        <w:ind w:right="1440"/>
        <w:jc w:val="left"/>
        <w:rPr>
          <w:sz w:val="26"/>
          <w:szCs w:val="26"/>
        </w:rPr>
      </w:pPr>
    </w:p>
    <w:p w:rsidR="000A4E3F" w:rsidRPr="006E02E7" w:rsidRDefault="006E02E7" w:rsidP="002F6D67">
      <w:pPr>
        <w:pStyle w:val="Heading3"/>
      </w:pPr>
      <w:r>
        <w:tab/>
      </w:r>
      <w:r w:rsidR="002F6D67">
        <w:tab/>
      </w:r>
      <w:bookmarkStart w:id="12" w:name="_Toc333991299"/>
      <w:r w:rsidR="005B65CE">
        <w:t>2</w:t>
      </w:r>
      <w:r>
        <w:t>.</w:t>
      </w:r>
      <w:r>
        <w:tab/>
        <w:t>ALJ</w:t>
      </w:r>
      <w:r w:rsidR="008D3260">
        <w:t>’</w:t>
      </w:r>
      <w:r>
        <w:t>s Recommendation</w:t>
      </w:r>
      <w:bookmarkEnd w:id="12"/>
    </w:p>
    <w:p w:rsidR="00207A5E" w:rsidRPr="006E02E7" w:rsidRDefault="00207A5E" w:rsidP="00DF7C0B">
      <w:pPr>
        <w:keepNext/>
        <w:jc w:val="left"/>
        <w:rPr>
          <w:sz w:val="26"/>
          <w:szCs w:val="26"/>
        </w:rPr>
      </w:pPr>
    </w:p>
    <w:p w:rsidR="000A5FDF" w:rsidRDefault="00FA660E" w:rsidP="00006531">
      <w:pPr>
        <w:jc w:val="left"/>
        <w:rPr>
          <w:sz w:val="26"/>
          <w:szCs w:val="26"/>
        </w:rPr>
      </w:pPr>
      <w:r w:rsidRPr="007F01B8">
        <w:rPr>
          <w:color w:val="FF0000"/>
          <w:sz w:val="26"/>
          <w:szCs w:val="26"/>
        </w:rPr>
        <w:tab/>
      </w:r>
      <w:r w:rsidRPr="007F01B8">
        <w:rPr>
          <w:color w:val="FF0000"/>
          <w:sz w:val="26"/>
          <w:szCs w:val="26"/>
        </w:rPr>
        <w:tab/>
      </w:r>
      <w:r w:rsidR="00C951A4">
        <w:rPr>
          <w:sz w:val="26"/>
          <w:szCs w:val="26"/>
        </w:rPr>
        <w:t xml:space="preserve">The ALJ </w:t>
      </w:r>
      <w:r w:rsidR="00C313D6">
        <w:rPr>
          <w:sz w:val="26"/>
          <w:szCs w:val="26"/>
        </w:rPr>
        <w:t xml:space="preserve">supports </w:t>
      </w:r>
      <w:r w:rsidR="00C951A4">
        <w:rPr>
          <w:sz w:val="26"/>
          <w:szCs w:val="26"/>
        </w:rPr>
        <w:t>the OCA</w:t>
      </w:r>
      <w:r w:rsidR="008D3260">
        <w:rPr>
          <w:sz w:val="26"/>
          <w:szCs w:val="26"/>
        </w:rPr>
        <w:t>’</w:t>
      </w:r>
      <w:r w:rsidR="00C951A4">
        <w:rPr>
          <w:sz w:val="26"/>
          <w:szCs w:val="26"/>
        </w:rPr>
        <w:t xml:space="preserve">s position that </w:t>
      </w:r>
      <w:r w:rsidR="00C951A4" w:rsidRPr="003804C3">
        <w:rPr>
          <w:sz w:val="26"/>
          <w:szCs w:val="26"/>
        </w:rPr>
        <w:t xml:space="preserve">that a revenue neutral methodology should be adopted in this proceeding in order to match costs and savings with customer behavior.  </w:t>
      </w:r>
      <w:r w:rsidR="00C951A4">
        <w:rPr>
          <w:sz w:val="26"/>
          <w:szCs w:val="26"/>
        </w:rPr>
        <w:t>R.D. at 18</w:t>
      </w:r>
      <w:r w:rsidR="00C951A4" w:rsidRPr="003804C3">
        <w:rPr>
          <w:sz w:val="26"/>
          <w:szCs w:val="26"/>
        </w:rPr>
        <w:t xml:space="preserve">.  The </w:t>
      </w:r>
      <w:r w:rsidR="00063B1D">
        <w:rPr>
          <w:sz w:val="26"/>
          <w:szCs w:val="26"/>
        </w:rPr>
        <w:t xml:space="preserve">ALJ also found that the </w:t>
      </w:r>
      <w:r w:rsidR="00C951A4" w:rsidRPr="003804C3">
        <w:rPr>
          <w:sz w:val="26"/>
          <w:szCs w:val="26"/>
        </w:rPr>
        <w:t>TOU program should</w:t>
      </w:r>
      <w:r w:rsidR="00C951A4">
        <w:rPr>
          <w:sz w:val="26"/>
          <w:szCs w:val="26"/>
        </w:rPr>
        <w:t xml:space="preserve"> also</w:t>
      </w:r>
      <w:r w:rsidR="00C951A4" w:rsidRPr="003804C3">
        <w:rPr>
          <w:sz w:val="26"/>
          <w:szCs w:val="26"/>
        </w:rPr>
        <w:t xml:space="preserve"> reflect actual cost savings but should not introduce costs where they are absent</w:t>
      </w:r>
      <w:r w:rsidR="00C951A4">
        <w:rPr>
          <w:sz w:val="26"/>
          <w:szCs w:val="26"/>
        </w:rPr>
        <w:t xml:space="preserve"> and </w:t>
      </w:r>
      <w:r w:rsidR="00077CCF">
        <w:rPr>
          <w:sz w:val="26"/>
          <w:szCs w:val="26"/>
        </w:rPr>
        <w:t xml:space="preserve">that </w:t>
      </w:r>
      <w:r w:rsidR="00C951A4">
        <w:rPr>
          <w:sz w:val="26"/>
          <w:szCs w:val="26"/>
        </w:rPr>
        <w:t>c</w:t>
      </w:r>
      <w:r w:rsidR="00C951A4" w:rsidRPr="003804C3">
        <w:rPr>
          <w:sz w:val="26"/>
          <w:szCs w:val="26"/>
        </w:rPr>
        <w:t>ustomers should not be required to pay more for generation based on non-cost based considerations</w:t>
      </w:r>
      <w:r w:rsidR="00C951A4">
        <w:rPr>
          <w:sz w:val="26"/>
          <w:szCs w:val="26"/>
        </w:rPr>
        <w:t xml:space="preserve">.  </w:t>
      </w:r>
      <w:r w:rsidR="00C951A4">
        <w:rPr>
          <w:i/>
          <w:sz w:val="26"/>
          <w:szCs w:val="26"/>
        </w:rPr>
        <w:t>Id.</w:t>
      </w:r>
    </w:p>
    <w:p w:rsidR="007455A9" w:rsidRDefault="007455A9" w:rsidP="00006531">
      <w:pPr>
        <w:jc w:val="left"/>
        <w:rPr>
          <w:sz w:val="26"/>
          <w:szCs w:val="26"/>
        </w:rPr>
      </w:pPr>
    </w:p>
    <w:p w:rsidR="005B65CE" w:rsidRDefault="005B65CE" w:rsidP="002F6D67">
      <w:pPr>
        <w:pStyle w:val="Heading3"/>
      </w:pPr>
      <w:r>
        <w:lastRenderedPageBreak/>
        <w:tab/>
      </w:r>
      <w:r w:rsidR="002F6D67">
        <w:tab/>
      </w:r>
      <w:bookmarkStart w:id="13" w:name="_Toc333991300"/>
      <w:r>
        <w:t>3.</w:t>
      </w:r>
      <w:r>
        <w:tab/>
        <w:t>Exceptions</w:t>
      </w:r>
      <w:bookmarkEnd w:id="13"/>
    </w:p>
    <w:p w:rsidR="005B65CE" w:rsidRPr="00152AF3" w:rsidRDefault="005B65CE" w:rsidP="00DF7C0B">
      <w:pPr>
        <w:keepNext/>
        <w:jc w:val="left"/>
        <w:rPr>
          <w:sz w:val="26"/>
          <w:szCs w:val="26"/>
        </w:rPr>
      </w:pPr>
    </w:p>
    <w:p w:rsidR="005B65CE" w:rsidRDefault="005B65CE" w:rsidP="00006531">
      <w:pPr>
        <w:jc w:val="left"/>
        <w:rPr>
          <w:rFonts w:eastAsia="Calibri"/>
          <w:sz w:val="26"/>
          <w:szCs w:val="26"/>
        </w:rPr>
      </w:pPr>
      <w:r w:rsidRPr="00152AF3">
        <w:rPr>
          <w:sz w:val="26"/>
          <w:szCs w:val="26"/>
        </w:rPr>
        <w:tab/>
      </w:r>
      <w:r w:rsidRPr="00152AF3">
        <w:rPr>
          <w:sz w:val="26"/>
          <w:szCs w:val="26"/>
        </w:rPr>
        <w:tab/>
      </w:r>
      <w:r w:rsidR="00152AF3">
        <w:rPr>
          <w:rFonts w:eastAsia="Calibri"/>
          <w:sz w:val="26"/>
          <w:szCs w:val="26"/>
        </w:rPr>
        <w:t>The</w:t>
      </w:r>
      <w:r w:rsidR="002D5B59" w:rsidRPr="00152AF3">
        <w:rPr>
          <w:rFonts w:eastAsia="Calibri"/>
          <w:sz w:val="26"/>
          <w:szCs w:val="26"/>
        </w:rPr>
        <w:t xml:space="preserve"> OCA submits that the Company</w:t>
      </w:r>
      <w:r w:rsidR="008D3260">
        <w:rPr>
          <w:rFonts w:eastAsia="Calibri"/>
          <w:sz w:val="26"/>
          <w:szCs w:val="26"/>
        </w:rPr>
        <w:t>’</w:t>
      </w:r>
      <w:r w:rsidR="002D5B59" w:rsidRPr="00152AF3">
        <w:rPr>
          <w:rFonts w:eastAsia="Calibri"/>
          <w:sz w:val="26"/>
          <w:szCs w:val="26"/>
        </w:rPr>
        <w:t>s foundation for a TOU rate structure that uses the default service rate as a base is appropriate, but</w:t>
      </w:r>
      <w:r w:rsidR="00CC265E">
        <w:rPr>
          <w:rFonts w:eastAsia="Calibri"/>
          <w:sz w:val="26"/>
          <w:szCs w:val="26"/>
        </w:rPr>
        <w:t xml:space="preserve"> asserts that t</w:t>
      </w:r>
      <w:r w:rsidR="006E1B36">
        <w:rPr>
          <w:rFonts w:eastAsia="Calibri"/>
          <w:sz w:val="26"/>
          <w:szCs w:val="26"/>
        </w:rPr>
        <w:t>he</w:t>
      </w:r>
      <w:r w:rsidR="00152AF3">
        <w:rPr>
          <w:rFonts w:eastAsia="Calibri"/>
          <w:sz w:val="26"/>
          <w:szCs w:val="26"/>
        </w:rPr>
        <w:t xml:space="preserve"> percentage </w:t>
      </w:r>
      <w:r w:rsidR="002D5B59" w:rsidRPr="00152AF3">
        <w:rPr>
          <w:rFonts w:eastAsia="Calibri"/>
          <w:sz w:val="26"/>
          <w:szCs w:val="26"/>
        </w:rPr>
        <w:t>discount</w:t>
      </w:r>
      <w:r w:rsidR="006E1B36">
        <w:rPr>
          <w:rFonts w:eastAsia="Calibri"/>
          <w:sz w:val="26"/>
          <w:szCs w:val="26"/>
        </w:rPr>
        <w:t>s</w:t>
      </w:r>
      <w:r w:rsidR="002D5B59" w:rsidRPr="00152AF3">
        <w:rPr>
          <w:rFonts w:eastAsia="Calibri"/>
          <w:sz w:val="26"/>
          <w:szCs w:val="26"/>
        </w:rPr>
        <w:t xml:space="preserve"> and premium</w:t>
      </w:r>
      <w:r w:rsidR="006E1B36">
        <w:rPr>
          <w:rFonts w:eastAsia="Calibri"/>
          <w:sz w:val="26"/>
          <w:szCs w:val="26"/>
        </w:rPr>
        <w:t>s</w:t>
      </w:r>
      <w:r w:rsidR="002D5B59" w:rsidRPr="00152AF3">
        <w:rPr>
          <w:rFonts w:eastAsia="Calibri"/>
          <w:sz w:val="26"/>
          <w:szCs w:val="26"/>
        </w:rPr>
        <w:t xml:space="preserve"> off</w:t>
      </w:r>
      <w:r w:rsidR="00152AF3">
        <w:rPr>
          <w:rFonts w:eastAsia="Calibri"/>
          <w:sz w:val="26"/>
          <w:szCs w:val="26"/>
        </w:rPr>
        <w:t xml:space="preserve">ered by PPL </w:t>
      </w:r>
      <w:r w:rsidR="002D5B59" w:rsidRPr="00152AF3">
        <w:rPr>
          <w:rFonts w:eastAsia="Calibri"/>
          <w:sz w:val="26"/>
          <w:szCs w:val="26"/>
        </w:rPr>
        <w:t>are not reasonable.</w:t>
      </w:r>
      <w:r w:rsidR="00152AF3">
        <w:rPr>
          <w:rFonts w:eastAsia="Calibri"/>
          <w:sz w:val="26"/>
          <w:szCs w:val="26"/>
        </w:rPr>
        <w:t xml:space="preserve">  OCA Exc. at 5.</w:t>
      </w:r>
      <w:r w:rsidR="002D5B59" w:rsidRPr="00152AF3">
        <w:rPr>
          <w:rFonts w:eastAsia="Calibri"/>
          <w:sz w:val="26"/>
          <w:szCs w:val="26"/>
        </w:rPr>
        <w:t xml:space="preserve">  The OCA submits that the proposed filing should be modified so as to encourage greater participation by, and benefits to, residential customers.  </w:t>
      </w:r>
      <w:r w:rsidR="00152AF3">
        <w:rPr>
          <w:rFonts w:eastAsia="Calibri"/>
          <w:i/>
          <w:sz w:val="26"/>
          <w:szCs w:val="26"/>
        </w:rPr>
        <w:t>Id.</w:t>
      </w:r>
    </w:p>
    <w:p w:rsidR="00AB4779" w:rsidRPr="00AB4779" w:rsidRDefault="00AB4779" w:rsidP="00006531">
      <w:pPr>
        <w:jc w:val="left"/>
        <w:rPr>
          <w:sz w:val="26"/>
          <w:szCs w:val="26"/>
        </w:rPr>
      </w:pPr>
    </w:p>
    <w:p w:rsidR="000A5FDF" w:rsidRDefault="000A5FDF" w:rsidP="002F6D67">
      <w:pPr>
        <w:pStyle w:val="Heading3"/>
      </w:pPr>
      <w:r>
        <w:tab/>
      </w:r>
      <w:r w:rsidR="002F6D67">
        <w:tab/>
      </w:r>
      <w:bookmarkStart w:id="14" w:name="_Toc333991301"/>
      <w:r w:rsidR="009B2746">
        <w:t>4</w:t>
      </w:r>
      <w:r>
        <w:t>.</w:t>
      </w:r>
      <w:r>
        <w:tab/>
        <w:t>Disposition</w:t>
      </w:r>
      <w:bookmarkEnd w:id="14"/>
    </w:p>
    <w:p w:rsidR="000A5FDF" w:rsidRDefault="000A5FDF" w:rsidP="00DF7C0B">
      <w:pPr>
        <w:keepNext/>
        <w:jc w:val="left"/>
        <w:rPr>
          <w:sz w:val="26"/>
          <w:szCs w:val="26"/>
        </w:rPr>
      </w:pPr>
    </w:p>
    <w:p w:rsidR="000A5FDF" w:rsidRDefault="000A5FDF" w:rsidP="00006531">
      <w:pPr>
        <w:jc w:val="left"/>
        <w:rPr>
          <w:sz w:val="26"/>
          <w:szCs w:val="26"/>
        </w:rPr>
      </w:pPr>
      <w:r>
        <w:rPr>
          <w:sz w:val="26"/>
          <w:szCs w:val="26"/>
        </w:rPr>
        <w:tab/>
      </w:r>
      <w:r>
        <w:rPr>
          <w:sz w:val="26"/>
          <w:szCs w:val="26"/>
        </w:rPr>
        <w:tab/>
        <w:t>We agree wit</w:t>
      </w:r>
      <w:r w:rsidR="002A6628">
        <w:rPr>
          <w:sz w:val="26"/>
          <w:szCs w:val="26"/>
        </w:rPr>
        <w:t>h the ALJ</w:t>
      </w:r>
      <w:r w:rsidR="008D3260">
        <w:rPr>
          <w:sz w:val="26"/>
          <w:szCs w:val="26"/>
        </w:rPr>
        <w:t>’</w:t>
      </w:r>
      <w:r w:rsidR="002A6628">
        <w:rPr>
          <w:sz w:val="26"/>
          <w:szCs w:val="26"/>
        </w:rPr>
        <w:t>s</w:t>
      </w:r>
      <w:r>
        <w:rPr>
          <w:sz w:val="26"/>
          <w:szCs w:val="26"/>
        </w:rPr>
        <w:t xml:space="preserve"> position on this issue.  An </w:t>
      </w:r>
      <w:r w:rsidR="002652F3">
        <w:rPr>
          <w:sz w:val="26"/>
          <w:szCs w:val="26"/>
        </w:rPr>
        <w:t>Electric Distribution Company (</w:t>
      </w:r>
      <w:r>
        <w:rPr>
          <w:sz w:val="26"/>
          <w:szCs w:val="26"/>
        </w:rPr>
        <w:t>EDC</w:t>
      </w:r>
      <w:r w:rsidR="002652F3">
        <w:rPr>
          <w:sz w:val="26"/>
          <w:szCs w:val="26"/>
        </w:rPr>
        <w:t>)</w:t>
      </w:r>
      <w:r>
        <w:rPr>
          <w:sz w:val="26"/>
          <w:szCs w:val="26"/>
        </w:rPr>
        <w:t xml:space="preserve"> may not implement a program </w:t>
      </w:r>
      <w:r w:rsidR="0026183D">
        <w:rPr>
          <w:sz w:val="26"/>
          <w:szCs w:val="26"/>
        </w:rPr>
        <w:t xml:space="preserve">that </w:t>
      </w:r>
      <w:r>
        <w:rPr>
          <w:sz w:val="26"/>
          <w:szCs w:val="26"/>
        </w:rPr>
        <w:t>would</w:t>
      </w:r>
      <w:r w:rsidRPr="003804C3">
        <w:rPr>
          <w:sz w:val="26"/>
          <w:szCs w:val="26"/>
        </w:rPr>
        <w:t xml:space="preserve"> introduce costs where they are absent</w:t>
      </w:r>
      <w:r>
        <w:rPr>
          <w:sz w:val="26"/>
          <w:szCs w:val="26"/>
        </w:rPr>
        <w:t xml:space="preserve"> and c</w:t>
      </w:r>
      <w:r w:rsidRPr="003804C3">
        <w:rPr>
          <w:sz w:val="26"/>
          <w:szCs w:val="26"/>
        </w:rPr>
        <w:t>ustomers should not be required to pay more for generation based on non-cost based considerations</w:t>
      </w:r>
      <w:r>
        <w:rPr>
          <w:sz w:val="26"/>
          <w:szCs w:val="26"/>
        </w:rPr>
        <w:t xml:space="preserve">.  Such a program would be inconsistent with basic ratemaking principles.  </w:t>
      </w:r>
      <w:r w:rsidR="00AA5FFC">
        <w:rPr>
          <w:sz w:val="26"/>
          <w:szCs w:val="26"/>
        </w:rPr>
        <w:t>We also support the SEF</w:t>
      </w:r>
      <w:r w:rsidR="008D3260">
        <w:rPr>
          <w:sz w:val="26"/>
          <w:szCs w:val="26"/>
        </w:rPr>
        <w:t>’</w:t>
      </w:r>
      <w:r w:rsidR="00AA5FFC">
        <w:rPr>
          <w:sz w:val="26"/>
          <w:szCs w:val="26"/>
        </w:rPr>
        <w:t xml:space="preserve">s rationale for not approving the instant proposal, </w:t>
      </w:r>
      <w:r w:rsidR="002652F3">
        <w:rPr>
          <w:sz w:val="26"/>
          <w:szCs w:val="26"/>
        </w:rPr>
        <w:t>and instead</w:t>
      </w:r>
      <w:r w:rsidR="003C4592">
        <w:rPr>
          <w:sz w:val="26"/>
          <w:szCs w:val="26"/>
        </w:rPr>
        <w:t xml:space="preserve"> address</w:t>
      </w:r>
      <w:r w:rsidR="002652F3">
        <w:rPr>
          <w:sz w:val="26"/>
          <w:szCs w:val="26"/>
        </w:rPr>
        <w:t>ing</w:t>
      </w:r>
      <w:r w:rsidR="00824013">
        <w:rPr>
          <w:sz w:val="26"/>
          <w:szCs w:val="26"/>
        </w:rPr>
        <w:t xml:space="preserve"> the TOU program</w:t>
      </w:r>
      <w:r w:rsidR="00AA5FFC">
        <w:rPr>
          <w:sz w:val="26"/>
          <w:szCs w:val="26"/>
        </w:rPr>
        <w:t xml:space="preserve"> within PPL</w:t>
      </w:r>
      <w:r w:rsidR="008D3260">
        <w:rPr>
          <w:sz w:val="26"/>
          <w:szCs w:val="26"/>
        </w:rPr>
        <w:t>’</w:t>
      </w:r>
      <w:r w:rsidR="00AA5FFC">
        <w:rPr>
          <w:sz w:val="26"/>
          <w:szCs w:val="26"/>
        </w:rPr>
        <w:t xml:space="preserve">s </w:t>
      </w:r>
      <w:r w:rsidR="00B67861">
        <w:rPr>
          <w:sz w:val="26"/>
          <w:szCs w:val="26"/>
        </w:rPr>
        <w:t>on</w:t>
      </w:r>
      <w:r w:rsidR="004E582C">
        <w:rPr>
          <w:sz w:val="26"/>
          <w:szCs w:val="26"/>
        </w:rPr>
        <w:t xml:space="preserve">going </w:t>
      </w:r>
      <w:r w:rsidR="00AA5FFC">
        <w:rPr>
          <w:sz w:val="26"/>
          <w:szCs w:val="26"/>
        </w:rPr>
        <w:t>DSP proceeding.  With regard to PPL</w:t>
      </w:r>
      <w:r w:rsidR="008D3260">
        <w:rPr>
          <w:sz w:val="26"/>
          <w:szCs w:val="26"/>
        </w:rPr>
        <w:t>’</w:t>
      </w:r>
      <w:r w:rsidR="00AA5FFC">
        <w:rPr>
          <w:sz w:val="26"/>
          <w:szCs w:val="26"/>
        </w:rPr>
        <w:t xml:space="preserve">s position </w:t>
      </w:r>
      <w:r w:rsidR="00AA5FFC" w:rsidRPr="0067102C">
        <w:rPr>
          <w:sz w:val="26"/>
          <w:szCs w:val="26"/>
        </w:rPr>
        <w:t>that any reasonable TOU plan must be designed around the applicable fixed price default service rate</w:t>
      </w:r>
      <w:r w:rsidR="00AA5FFC">
        <w:rPr>
          <w:sz w:val="26"/>
          <w:szCs w:val="26"/>
        </w:rPr>
        <w:t xml:space="preserve">, we are not persuaded by the </w:t>
      </w:r>
      <w:r w:rsidR="00667129">
        <w:rPr>
          <w:sz w:val="26"/>
          <w:szCs w:val="26"/>
        </w:rPr>
        <w:t>record in this proceeding that PPL</w:t>
      </w:r>
      <w:r w:rsidR="008D3260">
        <w:rPr>
          <w:sz w:val="26"/>
          <w:szCs w:val="26"/>
        </w:rPr>
        <w:t>’</w:t>
      </w:r>
      <w:r w:rsidR="00667129">
        <w:rPr>
          <w:sz w:val="26"/>
          <w:szCs w:val="26"/>
        </w:rPr>
        <w:t>s</w:t>
      </w:r>
      <w:r w:rsidR="00AA5FFC">
        <w:rPr>
          <w:sz w:val="26"/>
          <w:szCs w:val="26"/>
        </w:rPr>
        <w:t xml:space="preserve"> TOU </w:t>
      </w:r>
      <w:r w:rsidR="00667129">
        <w:rPr>
          <w:sz w:val="26"/>
          <w:szCs w:val="26"/>
        </w:rPr>
        <w:t>rates</w:t>
      </w:r>
      <w:r w:rsidR="00AA5FFC">
        <w:rPr>
          <w:sz w:val="26"/>
          <w:szCs w:val="26"/>
        </w:rPr>
        <w:t xml:space="preserve"> should be a derivation of the DSP rate.  </w:t>
      </w:r>
      <w:r w:rsidR="001F65B4">
        <w:rPr>
          <w:sz w:val="26"/>
          <w:szCs w:val="26"/>
        </w:rPr>
        <w:t>Based upon our prior disposition regarding extension of PPL</w:t>
      </w:r>
      <w:r w:rsidR="008D3260">
        <w:rPr>
          <w:sz w:val="26"/>
          <w:szCs w:val="26"/>
        </w:rPr>
        <w:t>’</w:t>
      </w:r>
      <w:r w:rsidR="001F65B4">
        <w:rPr>
          <w:sz w:val="26"/>
          <w:szCs w:val="26"/>
        </w:rPr>
        <w:t>s current TOU program until its DSP proceeding is concluded and becomes effective</w:t>
      </w:r>
      <w:r w:rsidR="00F45119">
        <w:rPr>
          <w:sz w:val="26"/>
          <w:szCs w:val="26"/>
        </w:rPr>
        <w:t>,</w:t>
      </w:r>
      <w:r>
        <w:rPr>
          <w:sz w:val="26"/>
          <w:szCs w:val="26"/>
        </w:rPr>
        <w:t xml:space="preserve"> </w:t>
      </w:r>
      <w:r w:rsidR="002A6628">
        <w:rPr>
          <w:sz w:val="26"/>
          <w:szCs w:val="26"/>
        </w:rPr>
        <w:t xml:space="preserve">we shall </w:t>
      </w:r>
      <w:r w:rsidR="003C4592">
        <w:rPr>
          <w:sz w:val="26"/>
          <w:szCs w:val="26"/>
        </w:rPr>
        <w:t>deny</w:t>
      </w:r>
      <w:r w:rsidR="007B1A5A">
        <w:rPr>
          <w:sz w:val="26"/>
          <w:szCs w:val="26"/>
        </w:rPr>
        <w:t xml:space="preserve"> the OCA</w:t>
      </w:r>
      <w:r w:rsidR="008D3260">
        <w:rPr>
          <w:sz w:val="26"/>
          <w:szCs w:val="26"/>
        </w:rPr>
        <w:t>’</w:t>
      </w:r>
      <w:r w:rsidR="007B1A5A">
        <w:rPr>
          <w:sz w:val="26"/>
          <w:szCs w:val="26"/>
        </w:rPr>
        <w:t>s Exception.</w:t>
      </w:r>
    </w:p>
    <w:p w:rsidR="009B2746" w:rsidRDefault="009B2746" w:rsidP="00006531">
      <w:pPr>
        <w:contextualSpacing/>
        <w:jc w:val="left"/>
        <w:rPr>
          <w:sz w:val="26"/>
          <w:szCs w:val="26"/>
        </w:rPr>
      </w:pPr>
    </w:p>
    <w:p w:rsidR="00B741A8" w:rsidRPr="00B741A8" w:rsidRDefault="00B741A8" w:rsidP="002F6D67">
      <w:pPr>
        <w:pStyle w:val="Heading2"/>
      </w:pPr>
      <w:bookmarkStart w:id="15" w:name="_Toc333991302"/>
      <w:r>
        <w:t>F</w:t>
      </w:r>
      <w:r w:rsidR="00085F47" w:rsidRPr="003804C3">
        <w:t>.</w:t>
      </w:r>
      <w:r w:rsidR="00085F47" w:rsidRPr="003804C3">
        <w:tab/>
      </w:r>
      <w:r w:rsidR="00244009">
        <w:t>R</w:t>
      </w:r>
      <w:r w:rsidR="003D6E8A" w:rsidRPr="003804C3">
        <w:t>ecovery</w:t>
      </w:r>
      <w:r w:rsidR="00244009">
        <w:t xml:space="preserve"> of Existing TOU Program </w:t>
      </w:r>
      <w:r w:rsidR="009B51BB">
        <w:t xml:space="preserve">Net </w:t>
      </w:r>
      <w:r w:rsidR="00244009">
        <w:t>Undercollections</w:t>
      </w:r>
      <w:bookmarkEnd w:id="15"/>
    </w:p>
    <w:p w:rsidR="003D6E8A" w:rsidRDefault="003D6E8A" w:rsidP="00DF7C0B">
      <w:pPr>
        <w:keepNext/>
        <w:spacing w:line="240" w:lineRule="auto"/>
        <w:contextualSpacing/>
        <w:jc w:val="left"/>
        <w:rPr>
          <w:sz w:val="26"/>
          <w:szCs w:val="26"/>
        </w:rPr>
      </w:pPr>
    </w:p>
    <w:p w:rsidR="00F64B5A" w:rsidRDefault="00F64B5A" w:rsidP="002F6D67">
      <w:pPr>
        <w:pStyle w:val="Heading3"/>
      </w:pPr>
      <w:r>
        <w:tab/>
      </w:r>
      <w:r w:rsidR="002F6D67">
        <w:tab/>
      </w:r>
      <w:bookmarkStart w:id="16" w:name="_Toc333991303"/>
      <w:r>
        <w:t>1.</w:t>
      </w:r>
      <w:r>
        <w:tab/>
        <w:t>Positions of the Parties</w:t>
      </w:r>
      <w:bookmarkEnd w:id="16"/>
    </w:p>
    <w:p w:rsidR="00F64B5A" w:rsidRPr="00F64B5A" w:rsidRDefault="00F64B5A" w:rsidP="007F6278">
      <w:pPr>
        <w:keepNext/>
        <w:contextualSpacing/>
        <w:jc w:val="left"/>
        <w:rPr>
          <w:sz w:val="26"/>
          <w:szCs w:val="26"/>
        </w:rPr>
      </w:pPr>
    </w:p>
    <w:p w:rsidR="00DE3616" w:rsidRDefault="003D6E8A" w:rsidP="00006531">
      <w:pPr>
        <w:contextualSpacing/>
        <w:jc w:val="left"/>
        <w:rPr>
          <w:sz w:val="26"/>
          <w:szCs w:val="26"/>
        </w:rPr>
      </w:pPr>
      <w:r w:rsidRPr="003804C3">
        <w:rPr>
          <w:b/>
          <w:sz w:val="26"/>
          <w:szCs w:val="26"/>
        </w:rPr>
        <w:tab/>
      </w:r>
      <w:r w:rsidRPr="003804C3">
        <w:rPr>
          <w:b/>
          <w:sz w:val="26"/>
          <w:szCs w:val="26"/>
        </w:rPr>
        <w:tab/>
      </w:r>
      <w:r w:rsidRPr="003804C3">
        <w:rPr>
          <w:sz w:val="26"/>
          <w:szCs w:val="26"/>
        </w:rPr>
        <w:t>The Company has asked for the Commission</w:t>
      </w:r>
      <w:r w:rsidR="008D3260">
        <w:rPr>
          <w:sz w:val="26"/>
          <w:szCs w:val="26"/>
        </w:rPr>
        <w:t>’</w:t>
      </w:r>
      <w:r w:rsidRPr="003804C3">
        <w:rPr>
          <w:sz w:val="26"/>
          <w:szCs w:val="26"/>
        </w:rPr>
        <w:t xml:space="preserve">s approval to </w:t>
      </w:r>
      <w:r w:rsidR="00BE0F7B" w:rsidRPr="003804C3">
        <w:rPr>
          <w:sz w:val="26"/>
          <w:szCs w:val="26"/>
        </w:rPr>
        <w:t>recover the existing TOU</w:t>
      </w:r>
      <w:r w:rsidR="00B741A8">
        <w:rPr>
          <w:sz w:val="26"/>
          <w:szCs w:val="26"/>
        </w:rPr>
        <w:t xml:space="preserve"> program</w:t>
      </w:r>
      <w:r w:rsidR="00BE0F7B" w:rsidRPr="003804C3">
        <w:rPr>
          <w:sz w:val="26"/>
          <w:szCs w:val="26"/>
        </w:rPr>
        <w:t xml:space="preserve"> undercollection</w:t>
      </w:r>
      <w:r w:rsidR="00F64B5A">
        <w:rPr>
          <w:sz w:val="26"/>
          <w:szCs w:val="26"/>
        </w:rPr>
        <w:t>s</w:t>
      </w:r>
      <w:r w:rsidR="00BE0F7B" w:rsidRPr="003804C3">
        <w:rPr>
          <w:sz w:val="26"/>
          <w:szCs w:val="26"/>
        </w:rPr>
        <w:t xml:space="preserve"> from all non-shopping customers.  The request was made first in </w:t>
      </w:r>
      <w:r w:rsidR="00BE0F7B" w:rsidRPr="003804C3">
        <w:rPr>
          <w:i/>
          <w:sz w:val="26"/>
          <w:szCs w:val="26"/>
        </w:rPr>
        <w:t xml:space="preserve">Petition of PPL Electric Utility Corporation  for Approval to Implement </w:t>
      </w:r>
      <w:r w:rsidR="00BE0F7B" w:rsidRPr="003804C3">
        <w:rPr>
          <w:i/>
          <w:sz w:val="26"/>
          <w:szCs w:val="26"/>
        </w:rPr>
        <w:lastRenderedPageBreak/>
        <w:t xml:space="preserve">a Reconciliation Rider for Default Service Supply, </w:t>
      </w:r>
      <w:r w:rsidR="0041790A">
        <w:rPr>
          <w:sz w:val="26"/>
          <w:szCs w:val="26"/>
        </w:rPr>
        <w:t xml:space="preserve">at Docket No. </w:t>
      </w:r>
      <w:r w:rsidR="00BE0F7B" w:rsidRPr="003804C3">
        <w:rPr>
          <w:sz w:val="26"/>
          <w:szCs w:val="26"/>
        </w:rPr>
        <w:t>P-2011-2256365,</w:t>
      </w:r>
      <w:r w:rsidR="0041790A">
        <w:rPr>
          <w:sz w:val="26"/>
          <w:szCs w:val="26"/>
        </w:rPr>
        <w:t xml:space="preserve"> (</w:t>
      </w:r>
      <w:r w:rsidR="00C52210">
        <w:rPr>
          <w:i/>
          <w:sz w:val="26"/>
          <w:szCs w:val="26"/>
        </w:rPr>
        <w:t>CTR</w:t>
      </w:r>
      <w:r w:rsidR="0041790A">
        <w:rPr>
          <w:i/>
          <w:sz w:val="26"/>
          <w:szCs w:val="26"/>
        </w:rPr>
        <w:t xml:space="preserve"> Proceeding</w:t>
      </w:r>
      <w:r w:rsidR="0041790A">
        <w:rPr>
          <w:sz w:val="26"/>
          <w:szCs w:val="26"/>
        </w:rPr>
        <w:t>).</w:t>
      </w:r>
      <w:r w:rsidR="0079578F">
        <w:rPr>
          <w:sz w:val="26"/>
          <w:szCs w:val="26"/>
        </w:rPr>
        <w:t xml:space="preserve">  R.D. at 20.</w:t>
      </w:r>
      <w:r w:rsidR="00B741A8">
        <w:rPr>
          <w:sz w:val="26"/>
          <w:szCs w:val="26"/>
        </w:rPr>
        <w:t xml:space="preserve">  By Order entered July 19, 2012, at </w:t>
      </w:r>
      <w:r w:rsidR="00D016B1">
        <w:rPr>
          <w:sz w:val="26"/>
          <w:szCs w:val="26"/>
        </w:rPr>
        <w:t xml:space="preserve">Docket No. </w:t>
      </w:r>
      <w:r w:rsidR="00D016B1" w:rsidRPr="00D016B1">
        <w:rPr>
          <w:sz w:val="26"/>
          <w:szCs w:val="26"/>
        </w:rPr>
        <w:t>P-2011-2256365</w:t>
      </w:r>
      <w:r w:rsidR="00D016B1">
        <w:rPr>
          <w:sz w:val="26"/>
          <w:szCs w:val="26"/>
        </w:rPr>
        <w:t>,</w:t>
      </w:r>
      <w:r w:rsidR="00B741A8">
        <w:rPr>
          <w:sz w:val="26"/>
          <w:szCs w:val="26"/>
        </w:rPr>
        <w:t xml:space="preserve"> the Commission</w:t>
      </w:r>
      <w:r w:rsidR="00F64B5A">
        <w:rPr>
          <w:sz w:val="26"/>
          <w:szCs w:val="26"/>
        </w:rPr>
        <w:t xml:space="preserve"> deferred the issue of whether the </w:t>
      </w:r>
      <w:r w:rsidR="00513FEA">
        <w:rPr>
          <w:sz w:val="26"/>
          <w:szCs w:val="26"/>
        </w:rPr>
        <w:t>Residential and Small</w:t>
      </w:r>
      <w:r w:rsidR="00F64B5A">
        <w:rPr>
          <w:sz w:val="26"/>
          <w:szCs w:val="26"/>
        </w:rPr>
        <w:t xml:space="preserve"> C&amp;I TOU Program </w:t>
      </w:r>
      <w:r w:rsidR="001B1F2F">
        <w:rPr>
          <w:sz w:val="26"/>
          <w:szCs w:val="26"/>
        </w:rPr>
        <w:t xml:space="preserve">net </w:t>
      </w:r>
      <w:r w:rsidR="006019CC">
        <w:rPr>
          <w:sz w:val="26"/>
          <w:szCs w:val="26"/>
        </w:rPr>
        <w:t>undercollection</w:t>
      </w:r>
      <w:r w:rsidR="00F64B5A">
        <w:rPr>
          <w:sz w:val="26"/>
          <w:szCs w:val="26"/>
        </w:rPr>
        <w:t>s were reasonably</w:t>
      </w:r>
      <w:r w:rsidR="00B741A8">
        <w:rPr>
          <w:sz w:val="26"/>
          <w:szCs w:val="26"/>
        </w:rPr>
        <w:t xml:space="preserve"> </w:t>
      </w:r>
      <w:r w:rsidR="00F64B5A">
        <w:rPr>
          <w:sz w:val="26"/>
          <w:szCs w:val="26"/>
        </w:rPr>
        <w:t>incurred</w:t>
      </w:r>
      <w:r w:rsidR="0041790A">
        <w:rPr>
          <w:sz w:val="26"/>
          <w:szCs w:val="26"/>
        </w:rPr>
        <w:t xml:space="preserve"> to the instant proceeding. </w:t>
      </w:r>
      <w:r w:rsidR="00F64B5A">
        <w:rPr>
          <w:sz w:val="26"/>
          <w:szCs w:val="26"/>
        </w:rPr>
        <w:t xml:space="preserve"> July 19, 2012 Order at 51.</w:t>
      </w:r>
      <w:r w:rsidR="00BE0F7B" w:rsidRPr="003804C3">
        <w:rPr>
          <w:sz w:val="26"/>
          <w:szCs w:val="26"/>
        </w:rPr>
        <w:t xml:space="preserve">  </w:t>
      </w:r>
    </w:p>
    <w:p w:rsidR="00EC6FEB" w:rsidRPr="003804C3" w:rsidRDefault="00EC6FEB" w:rsidP="00006531">
      <w:pPr>
        <w:jc w:val="left"/>
        <w:rPr>
          <w:sz w:val="26"/>
          <w:szCs w:val="26"/>
        </w:rPr>
      </w:pPr>
    </w:p>
    <w:p w:rsidR="00837604" w:rsidRPr="003804C3" w:rsidRDefault="00F05C8F" w:rsidP="00006531">
      <w:pPr>
        <w:contextualSpacing/>
        <w:jc w:val="left"/>
        <w:rPr>
          <w:sz w:val="26"/>
          <w:szCs w:val="26"/>
        </w:rPr>
      </w:pPr>
      <w:r>
        <w:rPr>
          <w:sz w:val="26"/>
          <w:szCs w:val="26"/>
        </w:rPr>
        <w:tab/>
      </w:r>
      <w:r>
        <w:rPr>
          <w:sz w:val="26"/>
          <w:szCs w:val="26"/>
        </w:rPr>
        <w:tab/>
        <w:t>DR argued</w:t>
      </w:r>
      <w:r w:rsidR="00837604" w:rsidRPr="003804C3">
        <w:rPr>
          <w:sz w:val="26"/>
          <w:szCs w:val="26"/>
        </w:rPr>
        <w:t xml:space="preserve"> that there is no basis in the record to support </w:t>
      </w:r>
      <w:r>
        <w:rPr>
          <w:sz w:val="26"/>
          <w:szCs w:val="26"/>
        </w:rPr>
        <w:t>PPL</w:t>
      </w:r>
      <w:r w:rsidR="008D3260">
        <w:rPr>
          <w:sz w:val="26"/>
          <w:szCs w:val="26"/>
        </w:rPr>
        <w:t>’</w:t>
      </w:r>
      <w:r w:rsidR="00837604" w:rsidRPr="003804C3">
        <w:rPr>
          <w:sz w:val="26"/>
          <w:szCs w:val="26"/>
        </w:rPr>
        <w:t>s recovery of prior period balances</w:t>
      </w:r>
      <w:r w:rsidR="001C23B6">
        <w:rPr>
          <w:sz w:val="26"/>
          <w:szCs w:val="26"/>
        </w:rPr>
        <w:t>.  In any case, DR argued</w:t>
      </w:r>
      <w:r w:rsidR="00DE3616" w:rsidRPr="003804C3">
        <w:rPr>
          <w:sz w:val="26"/>
          <w:szCs w:val="26"/>
        </w:rPr>
        <w:t xml:space="preserve"> that it is inappropriate to recover previously unrecovered TOU </w:t>
      </w:r>
      <w:r w:rsidR="001C23B6">
        <w:rPr>
          <w:sz w:val="26"/>
          <w:szCs w:val="26"/>
        </w:rPr>
        <w:t>cost</w:t>
      </w:r>
      <w:r w:rsidR="00DE3616" w:rsidRPr="003804C3">
        <w:rPr>
          <w:sz w:val="26"/>
          <w:szCs w:val="26"/>
        </w:rPr>
        <w:t>s fr</w:t>
      </w:r>
      <w:r w:rsidR="0087214B" w:rsidRPr="003804C3">
        <w:rPr>
          <w:sz w:val="26"/>
          <w:szCs w:val="26"/>
        </w:rPr>
        <w:t>o</w:t>
      </w:r>
      <w:r w:rsidR="00DE3616" w:rsidRPr="003804C3">
        <w:rPr>
          <w:sz w:val="26"/>
          <w:szCs w:val="26"/>
        </w:rPr>
        <w:t>m present-day shopping customers.  DR M</w:t>
      </w:r>
      <w:r w:rsidR="00795A3B">
        <w:rPr>
          <w:sz w:val="26"/>
          <w:szCs w:val="26"/>
        </w:rPr>
        <w:t>.</w:t>
      </w:r>
      <w:r w:rsidR="00DE3616" w:rsidRPr="003804C3">
        <w:rPr>
          <w:sz w:val="26"/>
          <w:szCs w:val="26"/>
        </w:rPr>
        <w:t>B</w:t>
      </w:r>
      <w:r w:rsidR="00795A3B">
        <w:rPr>
          <w:sz w:val="26"/>
          <w:szCs w:val="26"/>
        </w:rPr>
        <w:t>.</w:t>
      </w:r>
      <w:r w:rsidR="00DE3616" w:rsidRPr="003804C3">
        <w:rPr>
          <w:sz w:val="26"/>
          <w:szCs w:val="26"/>
        </w:rPr>
        <w:t xml:space="preserve"> at 5</w:t>
      </w:r>
      <w:r w:rsidR="00720F4A">
        <w:rPr>
          <w:sz w:val="26"/>
          <w:szCs w:val="26"/>
        </w:rPr>
        <w:t>; R.D. at 21</w:t>
      </w:r>
      <w:r w:rsidR="00DE3616" w:rsidRPr="003804C3">
        <w:rPr>
          <w:sz w:val="26"/>
          <w:szCs w:val="26"/>
        </w:rPr>
        <w:t xml:space="preserve">.  </w:t>
      </w:r>
    </w:p>
    <w:p w:rsidR="003D6E8A" w:rsidRPr="003804C3" w:rsidRDefault="003D6E8A" w:rsidP="00006531">
      <w:pPr>
        <w:contextualSpacing/>
        <w:jc w:val="left"/>
        <w:rPr>
          <w:sz w:val="26"/>
          <w:szCs w:val="26"/>
        </w:rPr>
      </w:pPr>
    </w:p>
    <w:p w:rsidR="006F3C7E" w:rsidRPr="003804C3" w:rsidRDefault="003D0DA6" w:rsidP="00006531">
      <w:pPr>
        <w:pStyle w:val="BodyText2"/>
        <w:contextualSpacing/>
      </w:pPr>
      <w:r w:rsidRPr="003804C3">
        <w:tab/>
      </w:r>
      <w:r w:rsidRPr="003804C3">
        <w:tab/>
      </w:r>
      <w:r w:rsidR="00720F4A">
        <w:t xml:space="preserve">The </w:t>
      </w:r>
      <w:r w:rsidRPr="003804C3">
        <w:t>OCA</w:t>
      </w:r>
      <w:r w:rsidR="001C23B6">
        <w:t xml:space="preserve"> argued</w:t>
      </w:r>
      <w:r w:rsidR="00BA7CC4">
        <w:t xml:space="preserve"> that establishi</w:t>
      </w:r>
      <w:r w:rsidR="001C23B6">
        <w:t>ng recovery of the prior over/</w:t>
      </w:r>
      <w:r w:rsidR="006019CC">
        <w:t>undercollection</w:t>
      </w:r>
      <w:r w:rsidR="00BA7CC4">
        <w:t xml:space="preserve">s would be </w:t>
      </w:r>
      <w:r w:rsidR="001C23B6">
        <w:t>premature, as the Commission had</w:t>
      </w:r>
      <w:r w:rsidRPr="003804C3">
        <w:t xml:space="preserve"> not ruled on </w:t>
      </w:r>
      <w:r w:rsidR="00BA7CC4">
        <w:t>PPL</w:t>
      </w:r>
      <w:r w:rsidR="008D3260">
        <w:t>’</w:t>
      </w:r>
      <w:r w:rsidR="00BA7CC4">
        <w:t>s</w:t>
      </w:r>
      <w:r w:rsidRPr="003804C3">
        <w:t xml:space="preserve"> </w:t>
      </w:r>
      <w:r w:rsidR="00C52210">
        <w:rPr>
          <w:i/>
        </w:rPr>
        <w:t>CTR</w:t>
      </w:r>
      <w:r w:rsidRPr="001C23B6">
        <w:rPr>
          <w:i/>
        </w:rPr>
        <w:t xml:space="preserve"> </w:t>
      </w:r>
      <w:r w:rsidR="001C23B6" w:rsidRPr="001C23B6">
        <w:rPr>
          <w:i/>
        </w:rPr>
        <w:t>Proceeding</w:t>
      </w:r>
      <w:r w:rsidR="001C23B6">
        <w:t xml:space="preserve"> at Docket No. P-2011-2256365</w:t>
      </w:r>
      <w:r w:rsidRPr="003804C3">
        <w:t>.  OCA M</w:t>
      </w:r>
      <w:r w:rsidR="00795A3B">
        <w:t>.</w:t>
      </w:r>
      <w:r w:rsidRPr="003804C3">
        <w:t>B</w:t>
      </w:r>
      <w:r w:rsidR="00795A3B">
        <w:t>.</w:t>
      </w:r>
      <w:r w:rsidRPr="003804C3">
        <w:t xml:space="preserve"> at 19</w:t>
      </w:r>
      <w:r w:rsidR="00720F4A">
        <w:t>; R.D. at 21</w:t>
      </w:r>
      <w:r w:rsidRPr="003804C3">
        <w:t>.</w:t>
      </w:r>
      <w:r w:rsidR="006F3C7E">
        <w:t xml:space="preserve">  </w:t>
      </w:r>
      <w:r w:rsidR="006F3C7E" w:rsidRPr="003804C3">
        <w:t xml:space="preserve">Going </w:t>
      </w:r>
      <w:r w:rsidR="006F3C7E">
        <w:t>forward, however, the OCA agreed</w:t>
      </w:r>
      <w:r w:rsidR="006F3C7E" w:rsidRPr="003804C3">
        <w:t xml:space="preserve"> with </w:t>
      </w:r>
      <w:r w:rsidR="009B4FA4">
        <w:t>PPL</w:t>
      </w:r>
      <w:r w:rsidR="008D3260">
        <w:t>’</w:t>
      </w:r>
      <w:r w:rsidR="006F3C7E" w:rsidRPr="003804C3">
        <w:t xml:space="preserve">s proposal to include the TOU over and </w:t>
      </w:r>
      <w:r w:rsidR="006019CC">
        <w:t>undercollection</w:t>
      </w:r>
      <w:r w:rsidR="006F3C7E" w:rsidRPr="003804C3">
        <w:t>s in the appropriate rate schedule reconciliations.  OCA M</w:t>
      </w:r>
      <w:r w:rsidR="00795A3B">
        <w:t>.</w:t>
      </w:r>
      <w:r w:rsidR="006F3C7E" w:rsidRPr="003804C3">
        <w:t>B</w:t>
      </w:r>
      <w:r w:rsidR="00795A3B">
        <w:t>.</w:t>
      </w:r>
      <w:r w:rsidR="006F3C7E" w:rsidRPr="003804C3">
        <w:t xml:space="preserve"> at 18-19</w:t>
      </w:r>
      <w:r w:rsidR="006F3C7E">
        <w:t>; R.D. at 22</w:t>
      </w:r>
      <w:r w:rsidR="006F3C7E" w:rsidRPr="003804C3">
        <w:t>.</w:t>
      </w:r>
    </w:p>
    <w:p w:rsidR="00DE3616" w:rsidRPr="003804C3" w:rsidRDefault="00DE3616" w:rsidP="00006531">
      <w:pPr>
        <w:contextualSpacing/>
        <w:jc w:val="left"/>
        <w:rPr>
          <w:sz w:val="26"/>
          <w:szCs w:val="26"/>
        </w:rPr>
      </w:pPr>
    </w:p>
    <w:p w:rsidR="006F3C7E" w:rsidRPr="003804C3" w:rsidRDefault="006F3C7E" w:rsidP="00006531">
      <w:pPr>
        <w:pStyle w:val="BodyText2"/>
        <w:contextualSpacing/>
      </w:pPr>
      <w:r>
        <w:tab/>
      </w:r>
      <w:r>
        <w:tab/>
        <w:t xml:space="preserve">The </w:t>
      </w:r>
      <w:r w:rsidRPr="003804C3">
        <w:t xml:space="preserve">OSBA </w:t>
      </w:r>
      <w:r w:rsidR="001C23B6">
        <w:t>generally</w:t>
      </w:r>
      <w:r w:rsidRPr="003804C3">
        <w:t xml:space="preserve"> support</w:t>
      </w:r>
      <w:r w:rsidR="001C23B6">
        <w:t>s</w:t>
      </w:r>
      <w:r w:rsidRPr="003804C3">
        <w:t xml:space="preserve"> recovering variances from the customers</w:t>
      </w:r>
      <w:r w:rsidR="001C23B6">
        <w:t xml:space="preserve"> who caused those variances; however,</w:t>
      </w:r>
      <w:r w:rsidRPr="003804C3">
        <w:t xml:space="preserve"> the circumstances surrounding the present TOU undercollection do not permit it here as most customers who were served by the TOU program when the undercollection occurred are no longer served by the TOU rate.  Therefore, in the present circumsta</w:t>
      </w:r>
      <w:r w:rsidR="00417546">
        <w:t>nces, the OSBA d</w:t>
      </w:r>
      <w:r w:rsidR="001C23B6">
        <w:t>id</w:t>
      </w:r>
      <w:r w:rsidR="00417546">
        <w:t xml:space="preserve"> not oppose </w:t>
      </w:r>
      <w:r w:rsidRPr="003804C3">
        <w:t xml:space="preserve">socializing the variances within the respective rate class default service </w:t>
      </w:r>
      <w:r w:rsidR="00417546">
        <w:t>groups.</w:t>
      </w:r>
      <w:r w:rsidRPr="003804C3">
        <w:t xml:space="preserve">  OSBA M</w:t>
      </w:r>
      <w:r w:rsidR="00795A3B">
        <w:t>.</w:t>
      </w:r>
      <w:r w:rsidRPr="003804C3">
        <w:t>B</w:t>
      </w:r>
      <w:r w:rsidR="00795A3B">
        <w:t>.</w:t>
      </w:r>
      <w:r w:rsidRPr="003804C3">
        <w:t xml:space="preserve"> at 7-8</w:t>
      </w:r>
      <w:r>
        <w:t>; R.D. at 22</w:t>
      </w:r>
      <w:r w:rsidRPr="003804C3">
        <w:t>.</w:t>
      </w:r>
    </w:p>
    <w:p w:rsidR="006F3C7E" w:rsidRDefault="006F3C7E" w:rsidP="00006531">
      <w:pPr>
        <w:contextualSpacing/>
        <w:jc w:val="left"/>
        <w:rPr>
          <w:sz w:val="26"/>
          <w:szCs w:val="26"/>
        </w:rPr>
      </w:pPr>
    </w:p>
    <w:p w:rsidR="00871A73" w:rsidRPr="002F7DBE" w:rsidRDefault="00F6674D" w:rsidP="00006531">
      <w:pPr>
        <w:contextualSpacing/>
        <w:jc w:val="left"/>
        <w:rPr>
          <w:i/>
          <w:sz w:val="26"/>
          <w:szCs w:val="26"/>
        </w:rPr>
      </w:pPr>
      <w:r>
        <w:rPr>
          <w:sz w:val="26"/>
          <w:szCs w:val="26"/>
        </w:rPr>
        <w:tab/>
      </w:r>
      <w:r>
        <w:rPr>
          <w:sz w:val="26"/>
          <w:szCs w:val="26"/>
        </w:rPr>
        <w:tab/>
        <w:t>I&amp;E</w:t>
      </w:r>
      <w:r w:rsidR="001C23B6">
        <w:rPr>
          <w:sz w:val="26"/>
          <w:szCs w:val="26"/>
        </w:rPr>
        <w:t xml:space="preserve"> argued</w:t>
      </w:r>
      <w:r>
        <w:rPr>
          <w:sz w:val="26"/>
          <w:szCs w:val="26"/>
        </w:rPr>
        <w:t xml:space="preserve"> that</w:t>
      </w:r>
      <w:r w:rsidRPr="00F6674D">
        <w:rPr>
          <w:sz w:val="26"/>
          <w:szCs w:val="26"/>
        </w:rPr>
        <w:t xml:space="preserve"> PPL has not demonstrated, with substantial evidence,</w:t>
      </w:r>
      <w:r>
        <w:rPr>
          <w:sz w:val="26"/>
          <w:szCs w:val="26"/>
        </w:rPr>
        <w:t xml:space="preserve"> </w:t>
      </w:r>
      <w:r w:rsidRPr="00F6674D">
        <w:rPr>
          <w:sz w:val="26"/>
          <w:szCs w:val="26"/>
        </w:rPr>
        <w:t>that its T</w:t>
      </w:r>
      <w:r w:rsidR="007B68EE">
        <w:rPr>
          <w:sz w:val="26"/>
          <w:szCs w:val="26"/>
        </w:rPr>
        <w:t>OU</w:t>
      </w:r>
      <w:r w:rsidRPr="00F6674D">
        <w:rPr>
          <w:sz w:val="26"/>
          <w:szCs w:val="26"/>
        </w:rPr>
        <w:t xml:space="preserve"> program contains all the </w:t>
      </w:r>
      <w:r w:rsidR="001C23B6">
        <w:rPr>
          <w:sz w:val="26"/>
          <w:szCs w:val="26"/>
        </w:rPr>
        <w:t xml:space="preserve">necessary </w:t>
      </w:r>
      <w:r w:rsidRPr="00F6674D">
        <w:rPr>
          <w:sz w:val="26"/>
          <w:szCs w:val="26"/>
        </w:rPr>
        <w:t>regulatory characteristics to</w:t>
      </w:r>
      <w:r>
        <w:rPr>
          <w:sz w:val="26"/>
          <w:szCs w:val="26"/>
        </w:rPr>
        <w:t xml:space="preserve"> </w:t>
      </w:r>
      <w:r w:rsidRPr="00F6674D">
        <w:rPr>
          <w:sz w:val="26"/>
          <w:szCs w:val="26"/>
        </w:rPr>
        <w:t xml:space="preserve">be considered default service. </w:t>
      </w:r>
      <w:r>
        <w:rPr>
          <w:sz w:val="26"/>
          <w:szCs w:val="26"/>
        </w:rPr>
        <w:t xml:space="preserve"> I&amp;E M.B. at 9.  </w:t>
      </w:r>
      <w:r w:rsidR="007B68EE">
        <w:rPr>
          <w:sz w:val="26"/>
          <w:szCs w:val="26"/>
        </w:rPr>
        <w:t>I&amp;E maintained</w:t>
      </w:r>
      <w:r w:rsidRPr="00F6674D">
        <w:rPr>
          <w:sz w:val="26"/>
          <w:szCs w:val="26"/>
        </w:rPr>
        <w:t xml:space="preserve"> that classic default service is</w:t>
      </w:r>
      <w:r>
        <w:rPr>
          <w:sz w:val="26"/>
          <w:szCs w:val="26"/>
        </w:rPr>
        <w:t xml:space="preserve"> </w:t>
      </w:r>
      <w:r w:rsidRPr="00F6674D">
        <w:rPr>
          <w:sz w:val="26"/>
          <w:szCs w:val="26"/>
        </w:rPr>
        <w:lastRenderedPageBreak/>
        <w:t>represented by the Company</w:t>
      </w:r>
      <w:r w:rsidR="008D3260">
        <w:rPr>
          <w:sz w:val="26"/>
          <w:szCs w:val="26"/>
        </w:rPr>
        <w:t>’</w:t>
      </w:r>
      <w:r w:rsidRPr="00F6674D">
        <w:rPr>
          <w:sz w:val="26"/>
          <w:szCs w:val="26"/>
        </w:rPr>
        <w:t xml:space="preserve">s fixed rate option. </w:t>
      </w:r>
      <w:r w:rsidR="007B68EE">
        <w:rPr>
          <w:sz w:val="26"/>
          <w:szCs w:val="26"/>
        </w:rPr>
        <w:t xml:space="preserve"> </w:t>
      </w:r>
      <w:r w:rsidR="007B68EE">
        <w:rPr>
          <w:i/>
          <w:sz w:val="26"/>
          <w:szCs w:val="26"/>
        </w:rPr>
        <w:t>Id.</w:t>
      </w:r>
      <w:r w:rsidR="007B68EE">
        <w:rPr>
          <w:sz w:val="26"/>
          <w:szCs w:val="26"/>
        </w:rPr>
        <w:t xml:space="preserve">  </w:t>
      </w:r>
      <w:r w:rsidRPr="00F6674D">
        <w:rPr>
          <w:sz w:val="26"/>
          <w:szCs w:val="26"/>
        </w:rPr>
        <w:t>As such, reasonable costs</w:t>
      </w:r>
      <w:r>
        <w:rPr>
          <w:sz w:val="26"/>
          <w:szCs w:val="26"/>
        </w:rPr>
        <w:t xml:space="preserve"> </w:t>
      </w:r>
      <w:r w:rsidRPr="00F6674D">
        <w:rPr>
          <w:sz w:val="26"/>
          <w:szCs w:val="26"/>
        </w:rPr>
        <w:t xml:space="preserve">associated with the fixed rate default service program </w:t>
      </w:r>
      <w:r w:rsidR="001C23B6">
        <w:rPr>
          <w:sz w:val="26"/>
          <w:szCs w:val="26"/>
        </w:rPr>
        <w:t>only</w:t>
      </w:r>
      <w:r w:rsidRPr="00F6674D">
        <w:rPr>
          <w:sz w:val="26"/>
          <w:szCs w:val="26"/>
        </w:rPr>
        <w:t xml:space="preserve"> are eligible for recovery on a full and current basis.</w:t>
      </w:r>
      <w:r>
        <w:rPr>
          <w:sz w:val="26"/>
          <w:szCs w:val="26"/>
        </w:rPr>
        <w:t xml:space="preserve">  </w:t>
      </w:r>
      <w:r w:rsidR="007B68EE">
        <w:rPr>
          <w:i/>
          <w:sz w:val="26"/>
          <w:szCs w:val="26"/>
        </w:rPr>
        <w:t>Id.</w:t>
      </w:r>
      <w:r w:rsidR="00B61A08">
        <w:rPr>
          <w:i/>
          <w:sz w:val="26"/>
          <w:szCs w:val="26"/>
        </w:rPr>
        <w:t xml:space="preserve">  </w:t>
      </w:r>
      <w:r w:rsidR="00871A73">
        <w:rPr>
          <w:sz w:val="26"/>
          <w:szCs w:val="26"/>
        </w:rPr>
        <w:t>I&amp;E further explained that</w:t>
      </w:r>
      <w:r w:rsidR="001C23B6">
        <w:rPr>
          <w:sz w:val="26"/>
          <w:szCs w:val="26"/>
        </w:rPr>
        <w:t>,</w:t>
      </w:r>
      <w:r w:rsidR="00871A73">
        <w:rPr>
          <w:sz w:val="26"/>
          <w:szCs w:val="26"/>
        </w:rPr>
        <w:t xml:space="preserve"> </w:t>
      </w:r>
      <w:r w:rsidR="00D62B5D">
        <w:rPr>
          <w:sz w:val="26"/>
          <w:szCs w:val="26"/>
        </w:rPr>
        <w:t>s</w:t>
      </w:r>
      <w:r w:rsidR="00871A73">
        <w:rPr>
          <w:sz w:val="26"/>
          <w:szCs w:val="26"/>
        </w:rPr>
        <w:t>ince</w:t>
      </w:r>
      <w:r w:rsidRPr="00F6674D">
        <w:rPr>
          <w:sz w:val="26"/>
          <w:szCs w:val="26"/>
        </w:rPr>
        <w:t xml:space="preserve"> </w:t>
      </w:r>
      <w:r w:rsidR="00871A73">
        <w:rPr>
          <w:sz w:val="26"/>
          <w:szCs w:val="26"/>
        </w:rPr>
        <w:t>PPL</w:t>
      </w:r>
      <w:r w:rsidRPr="00F6674D">
        <w:rPr>
          <w:sz w:val="26"/>
          <w:szCs w:val="26"/>
        </w:rPr>
        <w:t xml:space="preserve"> has </w:t>
      </w:r>
      <w:r w:rsidR="00871A73">
        <w:rPr>
          <w:sz w:val="26"/>
          <w:szCs w:val="26"/>
        </w:rPr>
        <w:t>not</w:t>
      </w:r>
      <w:r w:rsidRPr="00F6674D">
        <w:rPr>
          <w:sz w:val="26"/>
          <w:szCs w:val="26"/>
        </w:rPr>
        <w:t xml:space="preserve"> met the evidentiary standard in support of</w:t>
      </w:r>
      <w:r>
        <w:rPr>
          <w:sz w:val="26"/>
          <w:szCs w:val="26"/>
        </w:rPr>
        <w:t xml:space="preserve"> </w:t>
      </w:r>
      <w:r w:rsidRPr="00F6674D">
        <w:rPr>
          <w:sz w:val="26"/>
          <w:szCs w:val="26"/>
        </w:rPr>
        <w:t>the characterization of the TOU program as default service, any revenue</w:t>
      </w:r>
      <w:r>
        <w:rPr>
          <w:sz w:val="26"/>
          <w:szCs w:val="26"/>
        </w:rPr>
        <w:t xml:space="preserve"> </w:t>
      </w:r>
      <w:r w:rsidR="00212C49">
        <w:rPr>
          <w:sz w:val="26"/>
          <w:szCs w:val="26"/>
        </w:rPr>
        <w:t>discrepancies are at</w:t>
      </w:r>
      <w:r w:rsidRPr="00F6674D">
        <w:rPr>
          <w:sz w:val="26"/>
          <w:szCs w:val="26"/>
        </w:rPr>
        <w:t xml:space="preserve"> risk</w:t>
      </w:r>
      <w:r w:rsidR="00212C49">
        <w:rPr>
          <w:sz w:val="26"/>
          <w:szCs w:val="26"/>
        </w:rPr>
        <w:t>.  T</w:t>
      </w:r>
      <w:r w:rsidR="00D62B5D">
        <w:rPr>
          <w:sz w:val="26"/>
          <w:szCs w:val="26"/>
        </w:rPr>
        <w:t>hus</w:t>
      </w:r>
      <w:r w:rsidR="00212C49">
        <w:rPr>
          <w:sz w:val="26"/>
          <w:szCs w:val="26"/>
        </w:rPr>
        <w:t>, since</w:t>
      </w:r>
      <w:r w:rsidR="00D62B5D">
        <w:rPr>
          <w:sz w:val="26"/>
          <w:szCs w:val="26"/>
        </w:rPr>
        <w:t xml:space="preserve"> the </w:t>
      </w:r>
      <w:r w:rsidR="006019CC">
        <w:rPr>
          <w:sz w:val="26"/>
          <w:szCs w:val="26"/>
        </w:rPr>
        <w:t>undercollection</w:t>
      </w:r>
      <w:r w:rsidR="00D62B5D" w:rsidRPr="00F6674D">
        <w:rPr>
          <w:sz w:val="26"/>
          <w:szCs w:val="26"/>
        </w:rPr>
        <w:t xml:space="preserve"> sought by </w:t>
      </w:r>
      <w:r w:rsidR="00D62B5D">
        <w:rPr>
          <w:sz w:val="26"/>
          <w:szCs w:val="26"/>
        </w:rPr>
        <w:t>PPL</w:t>
      </w:r>
      <w:r w:rsidR="00D62B5D" w:rsidRPr="00F6674D">
        <w:rPr>
          <w:sz w:val="26"/>
          <w:szCs w:val="26"/>
        </w:rPr>
        <w:t xml:space="preserve"> is</w:t>
      </w:r>
      <w:r w:rsidR="00D62B5D">
        <w:rPr>
          <w:sz w:val="26"/>
          <w:szCs w:val="26"/>
        </w:rPr>
        <w:t xml:space="preserve"> </w:t>
      </w:r>
      <w:r w:rsidR="00D62B5D" w:rsidRPr="00F6674D">
        <w:rPr>
          <w:sz w:val="26"/>
          <w:szCs w:val="26"/>
        </w:rPr>
        <w:t>the result of its ill designed T</w:t>
      </w:r>
      <w:r w:rsidR="00B32FA5">
        <w:rPr>
          <w:sz w:val="26"/>
          <w:szCs w:val="26"/>
        </w:rPr>
        <w:t xml:space="preserve">OU program, </w:t>
      </w:r>
      <w:r w:rsidR="00D62B5D" w:rsidRPr="00F6674D">
        <w:rPr>
          <w:sz w:val="26"/>
          <w:szCs w:val="26"/>
        </w:rPr>
        <w:t>recovery should be denied.</w:t>
      </w:r>
      <w:r w:rsidR="00D62B5D">
        <w:rPr>
          <w:sz w:val="26"/>
          <w:szCs w:val="26"/>
        </w:rPr>
        <w:t xml:space="preserve">  </w:t>
      </w:r>
      <w:r w:rsidR="00D62B5D" w:rsidRPr="001C23B6">
        <w:rPr>
          <w:i/>
          <w:sz w:val="26"/>
          <w:szCs w:val="26"/>
        </w:rPr>
        <w:t>Id.</w:t>
      </w:r>
      <w:r w:rsidR="00535562">
        <w:rPr>
          <w:i/>
          <w:sz w:val="26"/>
          <w:szCs w:val="26"/>
        </w:rPr>
        <w:t xml:space="preserve"> </w:t>
      </w:r>
      <w:r w:rsidR="00535562" w:rsidRPr="00535562">
        <w:rPr>
          <w:sz w:val="26"/>
          <w:szCs w:val="26"/>
        </w:rPr>
        <w:t>at 10.</w:t>
      </w:r>
    </w:p>
    <w:p w:rsidR="00752CE4" w:rsidRDefault="00752CE4" w:rsidP="00006531">
      <w:pPr>
        <w:contextualSpacing/>
        <w:jc w:val="left"/>
        <w:rPr>
          <w:sz w:val="26"/>
          <w:szCs w:val="26"/>
        </w:rPr>
      </w:pPr>
    </w:p>
    <w:p w:rsidR="0012351C" w:rsidRDefault="00752CE4" w:rsidP="002F6D67">
      <w:pPr>
        <w:pStyle w:val="Heading3"/>
      </w:pPr>
      <w:r>
        <w:tab/>
      </w:r>
      <w:r w:rsidR="0012351C">
        <w:tab/>
      </w:r>
      <w:bookmarkStart w:id="17" w:name="_Toc333991304"/>
      <w:r w:rsidR="0012351C">
        <w:t>2.</w:t>
      </w:r>
      <w:r w:rsidR="0012351C">
        <w:tab/>
        <w:t>ALJ</w:t>
      </w:r>
      <w:r w:rsidR="008D3260">
        <w:t>’</w:t>
      </w:r>
      <w:r w:rsidR="0012351C">
        <w:t>s Recommendation</w:t>
      </w:r>
      <w:bookmarkEnd w:id="17"/>
    </w:p>
    <w:p w:rsidR="006C2A99" w:rsidRPr="00BC3649" w:rsidRDefault="006C2A99" w:rsidP="00DF7C0B">
      <w:pPr>
        <w:pStyle w:val="BodyText2"/>
        <w:keepNext/>
        <w:contextualSpacing/>
      </w:pPr>
    </w:p>
    <w:p w:rsidR="000A3286" w:rsidRPr="00FA5C4B" w:rsidRDefault="006C2A99" w:rsidP="00006531">
      <w:pPr>
        <w:contextualSpacing/>
        <w:jc w:val="left"/>
        <w:rPr>
          <w:sz w:val="26"/>
          <w:szCs w:val="26"/>
        </w:rPr>
      </w:pPr>
      <w:r w:rsidRPr="00A06237">
        <w:rPr>
          <w:color w:val="FF0000"/>
          <w:sz w:val="26"/>
          <w:szCs w:val="26"/>
        </w:rPr>
        <w:tab/>
      </w:r>
      <w:r w:rsidRPr="00A06237">
        <w:rPr>
          <w:color w:val="FF0000"/>
          <w:sz w:val="26"/>
          <w:szCs w:val="26"/>
        </w:rPr>
        <w:tab/>
      </w:r>
      <w:r w:rsidR="0043638B" w:rsidRPr="00BC3649">
        <w:rPr>
          <w:sz w:val="26"/>
          <w:szCs w:val="26"/>
        </w:rPr>
        <w:t>The</w:t>
      </w:r>
      <w:r w:rsidR="00BC3649">
        <w:rPr>
          <w:sz w:val="26"/>
          <w:szCs w:val="26"/>
        </w:rPr>
        <w:t xml:space="preserve"> ALJ found the</w:t>
      </w:r>
      <w:r w:rsidR="0043638B" w:rsidRPr="00BC3649">
        <w:rPr>
          <w:sz w:val="26"/>
          <w:szCs w:val="26"/>
        </w:rPr>
        <w:t xml:space="preserve"> reasoning offered by </w:t>
      </w:r>
      <w:r w:rsidR="00BC3649">
        <w:rPr>
          <w:sz w:val="26"/>
          <w:szCs w:val="26"/>
        </w:rPr>
        <w:t>PPL to be</w:t>
      </w:r>
      <w:r w:rsidR="0043638B" w:rsidRPr="00BC3649">
        <w:rPr>
          <w:sz w:val="26"/>
          <w:szCs w:val="26"/>
        </w:rPr>
        <w:t xml:space="preserve"> </w:t>
      </w:r>
      <w:r w:rsidRPr="00BC3649">
        <w:rPr>
          <w:sz w:val="26"/>
          <w:szCs w:val="26"/>
        </w:rPr>
        <w:t xml:space="preserve">persuasive and </w:t>
      </w:r>
      <w:r w:rsidR="00BC3649">
        <w:rPr>
          <w:sz w:val="26"/>
          <w:szCs w:val="26"/>
        </w:rPr>
        <w:t>recommended its</w:t>
      </w:r>
      <w:r w:rsidRPr="00BC3649">
        <w:rPr>
          <w:sz w:val="26"/>
          <w:szCs w:val="26"/>
        </w:rPr>
        <w:t xml:space="preserve"> adopt</w:t>
      </w:r>
      <w:r w:rsidR="00BC3649">
        <w:rPr>
          <w:sz w:val="26"/>
          <w:szCs w:val="26"/>
        </w:rPr>
        <w:t>ion</w:t>
      </w:r>
      <w:r w:rsidRPr="00BC3649">
        <w:rPr>
          <w:sz w:val="26"/>
          <w:szCs w:val="26"/>
        </w:rPr>
        <w:t xml:space="preserve"> here.</w:t>
      </w:r>
      <w:r w:rsidR="00BC3649">
        <w:rPr>
          <w:sz w:val="26"/>
          <w:szCs w:val="26"/>
        </w:rPr>
        <w:t xml:space="preserve">  R.D. at 22.</w:t>
      </w:r>
      <w:r w:rsidRPr="00BC3649">
        <w:rPr>
          <w:sz w:val="26"/>
          <w:szCs w:val="26"/>
        </w:rPr>
        <w:t xml:space="preserve">  </w:t>
      </w:r>
      <w:r w:rsidR="00BC3649">
        <w:rPr>
          <w:sz w:val="26"/>
          <w:szCs w:val="26"/>
        </w:rPr>
        <w:t>PPL</w:t>
      </w:r>
      <w:r w:rsidR="008D3260">
        <w:rPr>
          <w:sz w:val="26"/>
          <w:szCs w:val="26"/>
        </w:rPr>
        <w:t>’</w:t>
      </w:r>
      <w:r w:rsidR="00BC3649">
        <w:rPr>
          <w:sz w:val="26"/>
          <w:szCs w:val="26"/>
        </w:rPr>
        <w:t>s</w:t>
      </w:r>
      <w:r w:rsidR="000A3286" w:rsidRPr="00BC3649">
        <w:rPr>
          <w:sz w:val="26"/>
          <w:szCs w:val="26"/>
        </w:rPr>
        <w:t xml:space="preserve"> proposed reconciliation methodology, including recovering existing </w:t>
      </w:r>
      <w:r w:rsidR="006019CC">
        <w:rPr>
          <w:sz w:val="26"/>
          <w:szCs w:val="26"/>
        </w:rPr>
        <w:t>undercollection</w:t>
      </w:r>
      <w:r w:rsidR="000A3286" w:rsidRPr="00BC3649">
        <w:rPr>
          <w:sz w:val="26"/>
          <w:szCs w:val="26"/>
        </w:rPr>
        <w:t>s from all default service customers in the respective service groups, is reasonable because all customers benefit from TOU rates over time.</w:t>
      </w:r>
      <w:r w:rsidR="00BC3649">
        <w:rPr>
          <w:sz w:val="26"/>
          <w:szCs w:val="26"/>
        </w:rPr>
        <w:t xml:space="preserve">  </w:t>
      </w:r>
      <w:r w:rsidR="00BC3649">
        <w:rPr>
          <w:i/>
          <w:sz w:val="26"/>
          <w:szCs w:val="26"/>
        </w:rPr>
        <w:t>Id.</w:t>
      </w:r>
      <w:r w:rsidR="00BC3649">
        <w:rPr>
          <w:sz w:val="26"/>
          <w:szCs w:val="26"/>
        </w:rPr>
        <w:t xml:space="preserve"> at 23.</w:t>
      </w:r>
      <w:r w:rsidR="000A3286" w:rsidRPr="00BC3649">
        <w:rPr>
          <w:sz w:val="26"/>
          <w:szCs w:val="26"/>
        </w:rPr>
        <w:t xml:space="preserve">  Shifting energy use from on-peak periods to off-peak periods ultimat</w:t>
      </w:r>
      <w:r w:rsidR="00341342">
        <w:rPr>
          <w:sz w:val="26"/>
          <w:szCs w:val="26"/>
        </w:rPr>
        <w:t>ely will reduce the cost of</w:t>
      </w:r>
      <w:r w:rsidR="000A3286" w:rsidRPr="00BC3649">
        <w:rPr>
          <w:sz w:val="26"/>
          <w:szCs w:val="26"/>
        </w:rPr>
        <w:t xml:space="preserve"> energy for all customers.  </w:t>
      </w:r>
      <w:r w:rsidR="00BC3649">
        <w:rPr>
          <w:i/>
          <w:sz w:val="26"/>
          <w:szCs w:val="26"/>
        </w:rPr>
        <w:t>Id.</w:t>
      </w:r>
      <w:r w:rsidR="00BC3649">
        <w:rPr>
          <w:sz w:val="26"/>
          <w:szCs w:val="26"/>
        </w:rPr>
        <w:t xml:space="preserve">  </w:t>
      </w:r>
      <w:r w:rsidR="000A3286" w:rsidRPr="00BC3649">
        <w:rPr>
          <w:sz w:val="26"/>
          <w:szCs w:val="26"/>
        </w:rPr>
        <w:t>That reduction in the cost of energy should be reflected in a lower default service rate for all non-shopping customers because customer load shapes will reflect lower usage during on-peak periods.</w:t>
      </w:r>
      <w:r w:rsidR="00BC3649">
        <w:rPr>
          <w:sz w:val="26"/>
          <w:szCs w:val="26"/>
        </w:rPr>
        <w:t xml:space="preserve">  </w:t>
      </w:r>
      <w:r w:rsidR="00BC3649">
        <w:rPr>
          <w:i/>
          <w:sz w:val="26"/>
          <w:szCs w:val="26"/>
        </w:rPr>
        <w:t>Id.</w:t>
      </w:r>
      <w:r w:rsidR="000A3286" w:rsidRPr="00BC3649">
        <w:rPr>
          <w:sz w:val="26"/>
          <w:szCs w:val="26"/>
        </w:rPr>
        <w:t xml:space="preserve">  It is important to remember that all </w:t>
      </w:r>
      <w:r w:rsidR="00513FEA">
        <w:rPr>
          <w:sz w:val="26"/>
          <w:szCs w:val="26"/>
        </w:rPr>
        <w:t>Residential and Small</w:t>
      </w:r>
      <w:r w:rsidR="000A3286" w:rsidRPr="00BC3649">
        <w:rPr>
          <w:sz w:val="26"/>
          <w:szCs w:val="26"/>
        </w:rPr>
        <w:t xml:space="preserve"> C&amp;I customers have the option of participating in the TOU default rate option, which has the potential to lower their costs immediately.  </w:t>
      </w:r>
      <w:r w:rsidR="00FA5C4B">
        <w:rPr>
          <w:i/>
          <w:sz w:val="26"/>
          <w:szCs w:val="26"/>
        </w:rPr>
        <w:t>Id.</w:t>
      </w:r>
      <w:r w:rsidR="000A3286" w:rsidRPr="00FA5C4B">
        <w:rPr>
          <w:sz w:val="26"/>
          <w:szCs w:val="26"/>
        </w:rPr>
        <w:t xml:space="preserve">  </w:t>
      </w:r>
    </w:p>
    <w:p w:rsidR="000A3286" w:rsidRDefault="000A3286" w:rsidP="00006531">
      <w:pPr>
        <w:contextualSpacing/>
        <w:jc w:val="left"/>
        <w:rPr>
          <w:sz w:val="26"/>
          <w:szCs w:val="26"/>
        </w:rPr>
      </w:pPr>
    </w:p>
    <w:p w:rsidR="00DA784E" w:rsidRPr="00DA784E" w:rsidRDefault="000A3286" w:rsidP="002F6D67">
      <w:pPr>
        <w:pStyle w:val="Heading3"/>
      </w:pPr>
      <w:r w:rsidRPr="00A06237">
        <w:rPr>
          <w:color w:val="FF0000"/>
        </w:rPr>
        <w:tab/>
      </w:r>
      <w:r w:rsidRPr="00A06237">
        <w:rPr>
          <w:color w:val="FF0000"/>
        </w:rPr>
        <w:tab/>
      </w:r>
      <w:bookmarkStart w:id="18" w:name="_Toc333991305"/>
      <w:r w:rsidR="00DA784E">
        <w:t>3.</w:t>
      </w:r>
      <w:r w:rsidR="00DA784E">
        <w:tab/>
        <w:t>Exceptions</w:t>
      </w:r>
      <w:bookmarkEnd w:id="18"/>
    </w:p>
    <w:p w:rsidR="004B4994" w:rsidRPr="004B4994" w:rsidRDefault="004B4994" w:rsidP="007F6278">
      <w:pPr>
        <w:pStyle w:val="BodyText2"/>
        <w:keepNext/>
        <w:contextualSpacing/>
      </w:pPr>
    </w:p>
    <w:p w:rsidR="004B4994" w:rsidRDefault="004B4994" w:rsidP="00006531">
      <w:pPr>
        <w:contextualSpacing/>
        <w:jc w:val="left"/>
        <w:rPr>
          <w:sz w:val="26"/>
          <w:szCs w:val="26"/>
        </w:rPr>
      </w:pPr>
      <w:r w:rsidRPr="004B4994">
        <w:rPr>
          <w:sz w:val="26"/>
          <w:szCs w:val="26"/>
        </w:rPr>
        <w:tab/>
      </w:r>
      <w:r w:rsidRPr="004B4994">
        <w:rPr>
          <w:sz w:val="26"/>
          <w:szCs w:val="26"/>
        </w:rPr>
        <w:tab/>
        <w:t>The OCA submits that it is inappropriate to consider PPL</w:t>
      </w:r>
      <w:r w:rsidR="008D3260">
        <w:rPr>
          <w:sz w:val="26"/>
          <w:szCs w:val="26"/>
        </w:rPr>
        <w:t>’</w:t>
      </w:r>
      <w:r w:rsidRPr="004B4994">
        <w:rPr>
          <w:sz w:val="26"/>
          <w:szCs w:val="26"/>
        </w:rPr>
        <w:t xml:space="preserve">s request for recovery of this historic undercollection in this </w:t>
      </w:r>
      <w:r w:rsidR="00A75334">
        <w:rPr>
          <w:sz w:val="26"/>
          <w:szCs w:val="26"/>
        </w:rPr>
        <w:t>proceeding</w:t>
      </w:r>
      <w:r w:rsidRPr="004B4994">
        <w:rPr>
          <w:sz w:val="26"/>
          <w:szCs w:val="26"/>
        </w:rPr>
        <w:t xml:space="preserve">.  </w:t>
      </w:r>
      <w:r w:rsidR="00FA0BFB">
        <w:rPr>
          <w:sz w:val="26"/>
          <w:szCs w:val="26"/>
        </w:rPr>
        <w:t>H</w:t>
      </w:r>
      <w:r w:rsidRPr="004B4994">
        <w:rPr>
          <w:sz w:val="26"/>
          <w:szCs w:val="26"/>
        </w:rPr>
        <w:t>owever</w:t>
      </w:r>
      <w:r w:rsidRPr="00E7777A">
        <w:rPr>
          <w:sz w:val="26"/>
          <w:szCs w:val="26"/>
        </w:rPr>
        <w:t xml:space="preserve">, the OCA continues to recommend that the recovery of this historic undercollection be </w:t>
      </w:r>
      <w:r w:rsidR="00A75334">
        <w:rPr>
          <w:sz w:val="26"/>
          <w:szCs w:val="26"/>
        </w:rPr>
        <w:t xml:space="preserve">collected </w:t>
      </w:r>
      <w:r w:rsidRPr="00E7777A">
        <w:rPr>
          <w:sz w:val="26"/>
          <w:szCs w:val="26"/>
        </w:rPr>
        <w:t>from a broad customer base due to the unique nature of this situation.</w:t>
      </w:r>
      <w:r w:rsidRPr="004B4994">
        <w:rPr>
          <w:sz w:val="26"/>
          <w:szCs w:val="26"/>
        </w:rPr>
        <w:t xml:space="preserve">  The OCA stated in the </w:t>
      </w:r>
      <w:r w:rsidR="00C52210">
        <w:rPr>
          <w:i/>
          <w:sz w:val="26"/>
          <w:szCs w:val="26"/>
        </w:rPr>
        <w:t>CTR</w:t>
      </w:r>
      <w:r w:rsidR="00A75334" w:rsidRPr="00A75334">
        <w:rPr>
          <w:i/>
          <w:sz w:val="26"/>
          <w:szCs w:val="26"/>
        </w:rPr>
        <w:t xml:space="preserve"> Proceeding</w:t>
      </w:r>
      <w:r w:rsidRPr="004B4994">
        <w:rPr>
          <w:sz w:val="26"/>
          <w:szCs w:val="26"/>
        </w:rPr>
        <w:t xml:space="preserve"> that </w:t>
      </w:r>
      <w:r w:rsidR="00E7777A">
        <w:rPr>
          <w:sz w:val="26"/>
          <w:szCs w:val="26"/>
        </w:rPr>
        <w:t>PPL</w:t>
      </w:r>
      <w:r w:rsidRPr="004B4994">
        <w:rPr>
          <w:sz w:val="26"/>
          <w:szCs w:val="26"/>
        </w:rPr>
        <w:t xml:space="preserve"> should be permitted to recover this extraordinary, historical </w:t>
      </w:r>
      <w:r w:rsidRPr="00E7777A">
        <w:rPr>
          <w:sz w:val="26"/>
          <w:szCs w:val="26"/>
        </w:rPr>
        <w:lastRenderedPageBreak/>
        <w:t>undercollection</w:t>
      </w:r>
      <w:r w:rsidR="00A75334">
        <w:rPr>
          <w:sz w:val="26"/>
          <w:szCs w:val="26"/>
        </w:rPr>
        <w:t>,</w:t>
      </w:r>
      <w:r w:rsidRPr="00E7777A">
        <w:rPr>
          <w:sz w:val="26"/>
          <w:szCs w:val="26"/>
        </w:rPr>
        <w:t xml:space="preserve"> but in no case would it be reasonable to collect these substantial costs from just a few thousand remaining TOU customers.</w:t>
      </w:r>
      <w:r w:rsidR="00E7777A">
        <w:rPr>
          <w:sz w:val="26"/>
          <w:szCs w:val="26"/>
        </w:rPr>
        <w:t xml:space="preserve">  OCA Exc. at 9-10.</w:t>
      </w:r>
    </w:p>
    <w:p w:rsidR="004F671B" w:rsidRDefault="004F671B" w:rsidP="00006531">
      <w:pPr>
        <w:contextualSpacing/>
        <w:jc w:val="left"/>
        <w:rPr>
          <w:sz w:val="26"/>
          <w:szCs w:val="26"/>
        </w:rPr>
      </w:pPr>
    </w:p>
    <w:p w:rsidR="002F7DBE" w:rsidRDefault="002F7DBE" w:rsidP="00006531">
      <w:pPr>
        <w:contextualSpacing/>
        <w:jc w:val="left"/>
        <w:rPr>
          <w:sz w:val="26"/>
          <w:szCs w:val="26"/>
        </w:rPr>
      </w:pPr>
      <w:r>
        <w:rPr>
          <w:sz w:val="26"/>
          <w:szCs w:val="26"/>
        </w:rPr>
        <w:tab/>
      </w:r>
      <w:r>
        <w:rPr>
          <w:sz w:val="26"/>
          <w:szCs w:val="26"/>
        </w:rPr>
        <w:tab/>
        <w:t>I&amp;E</w:t>
      </w:r>
      <w:r w:rsidR="009517B2">
        <w:rPr>
          <w:sz w:val="26"/>
          <w:szCs w:val="26"/>
        </w:rPr>
        <w:t xml:space="preserve"> argues</w:t>
      </w:r>
      <w:r>
        <w:rPr>
          <w:sz w:val="26"/>
          <w:szCs w:val="26"/>
        </w:rPr>
        <w:t xml:space="preserve"> that t</w:t>
      </w:r>
      <w:r w:rsidRPr="000C5122">
        <w:rPr>
          <w:sz w:val="26"/>
          <w:szCs w:val="26"/>
        </w:rPr>
        <w:t xml:space="preserve">he ALJ erred in </w:t>
      </w:r>
      <w:r>
        <w:rPr>
          <w:sz w:val="26"/>
          <w:szCs w:val="26"/>
        </w:rPr>
        <w:t>finding</w:t>
      </w:r>
      <w:r w:rsidRPr="000C5122">
        <w:rPr>
          <w:sz w:val="26"/>
          <w:szCs w:val="26"/>
        </w:rPr>
        <w:t xml:space="preserve"> that </w:t>
      </w:r>
      <w:r>
        <w:rPr>
          <w:sz w:val="26"/>
          <w:szCs w:val="26"/>
        </w:rPr>
        <w:t>PPL</w:t>
      </w:r>
      <w:r w:rsidR="008D3260">
        <w:rPr>
          <w:sz w:val="26"/>
          <w:szCs w:val="26"/>
        </w:rPr>
        <w:t>’</w:t>
      </w:r>
      <w:r w:rsidRPr="000C5122">
        <w:rPr>
          <w:sz w:val="26"/>
          <w:szCs w:val="26"/>
        </w:rPr>
        <w:t xml:space="preserve">s deficiency in revenue should be recovered from </w:t>
      </w:r>
      <w:r>
        <w:rPr>
          <w:sz w:val="26"/>
          <w:szCs w:val="26"/>
        </w:rPr>
        <w:t>all default service customers</w:t>
      </w:r>
      <w:r w:rsidRPr="000C5122">
        <w:rPr>
          <w:sz w:val="26"/>
          <w:szCs w:val="26"/>
        </w:rPr>
        <w:t>.</w:t>
      </w:r>
      <w:r>
        <w:rPr>
          <w:sz w:val="26"/>
          <w:szCs w:val="26"/>
        </w:rPr>
        <w:t xml:space="preserve">  I&amp;E Exc. at 8.</w:t>
      </w:r>
      <w:r w:rsidRPr="000C5122">
        <w:rPr>
          <w:sz w:val="26"/>
          <w:szCs w:val="26"/>
        </w:rPr>
        <w:t xml:space="preserve">  </w:t>
      </w:r>
      <w:r>
        <w:rPr>
          <w:sz w:val="26"/>
          <w:szCs w:val="26"/>
        </w:rPr>
        <w:t xml:space="preserve">I&amp;E excepts to </w:t>
      </w:r>
      <w:r w:rsidRPr="000C5122">
        <w:rPr>
          <w:sz w:val="26"/>
          <w:szCs w:val="26"/>
        </w:rPr>
        <w:t>this</w:t>
      </w:r>
      <w:r>
        <w:rPr>
          <w:sz w:val="26"/>
          <w:szCs w:val="26"/>
        </w:rPr>
        <w:t xml:space="preserve"> ALJ</w:t>
      </w:r>
      <w:r w:rsidRPr="000C5122">
        <w:rPr>
          <w:sz w:val="26"/>
          <w:szCs w:val="26"/>
        </w:rPr>
        <w:t xml:space="preserve"> recommendation </w:t>
      </w:r>
      <w:r>
        <w:rPr>
          <w:sz w:val="26"/>
          <w:szCs w:val="26"/>
        </w:rPr>
        <w:t xml:space="preserve">because it </w:t>
      </w:r>
      <w:r w:rsidRPr="000C5122">
        <w:rPr>
          <w:sz w:val="26"/>
          <w:szCs w:val="26"/>
        </w:rPr>
        <w:t xml:space="preserve">exonerates </w:t>
      </w:r>
      <w:r>
        <w:rPr>
          <w:sz w:val="26"/>
          <w:szCs w:val="26"/>
        </w:rPr>
        <w:t>PPL</w:t>
      </w:r>
      <w:r w:rsidRPr="000C5122">
        <w:rPr>
          <w:sz w:val="26"/>
          <w:szCs w:val="26"/>
        </w:rPr>
        <w:t xml:space="preserve"> from the results of a flawed program and places the burden on innocent ratepayers.</w:t>
      </w:r>
      <w:r>
        <w:rPr>
          <w:sz w:val="26"/>
          <w:szCs w:val="26"/>
        </w:rPr>
        <w:t xml:space="preserve">  </w:t>
      </w:r>
      <w:r>
        <w:rPr>
          <w:i/>
          <w:sz w:val="26"/>
          <w:szCs w:val="26"/>
        </w:rPr>
        <w:t>Id.</w:t>
      </w:r>
      <w:r w:rsidRPr="000C5122">
        <w:rPr>
          <w:sz w:val="26"/>
          <w:szCs w:val="26"/>
        </w:rPr>
        <w:t xml:space="preserve">  </w:t>
      </w:r>
      <w:r>
        <w:rPr>
          <w:sz w:val="26"/>
          <w:szCs w:val="26"/>
        </w:rPr>
        <w:t xml:space="preserve">Further, </w:t>
      </w:r>
      <w:r w:rsidRPr="000C5122">
        <w:rPr>
          <w:sz w:val="26"/>
          <w:szCs w:val="26"/>
        </w:rPr>
        <w:t xml:space="preserve">I&amp;E maintains that this is not sound regulatory policy and should be denied.  </w:t>
      </w:r>
      <w:r>
        <w:rPr>
          <w:i/>
          <w:sz w:val="26"/>
          <w:szCs w:val="26"/>
        </w:rPr>
        <w:t>Id.</w:t>
      </w:r>
    </w:p>
    <w:p w:rsidR="00C91F05" w:rsidRDefault="00C91F05" w:rsidP="00006531">
      <w:pPr>
        <w:contextualSpacing/>
        <w:jc w:val="left"/>
        <w:rPr>
          <w:sz w:val="26"/>
          <w:szCs w:val="26"/>
        </w:rPr>
      </w:pPr>
    </w:p>
    <w:p w:rsidR="00836061" w:rsidRDefault="00836061" w:rsidP="00006531">
      <w:pPr>
        <w:contextualSpacing/>
        <w:jc w:val="left"/>
        <w:rPr>
          <w:sz w:val="26"/>
          <w:szCs w:val="26"/>
        </w:rPr>
      </w:pPr>
      <w:r>
        <w:rPr>
          <w:sz w:val="26"/>
          <w:szCs w:val="26"/>
        </w:rPr>
        <w:tab/>
      </w:r>
      <w:r>
        <w:rPr>
          <w:sz w:val="26"/>
          <w:szCs w:val="26"/>
        </w:rPr>
        <w:tab/>
        <w:t xml:space="preserve">In Reply, PPL states that </w:t>
      </w:r>
      <w:r w:rsidR="00A84AE0">
        <w:rPr>
          <w:sz w:val="26"/>
          <w:szCs w:val="26"/>
        </w:rPr>
        <w:t>c</w:t>
      </w:r>
      <w:r w:rsidRPr="00836061">
        <w:rPr>
          <w:sz w:val="26"/>
          <w:szCs w:val="26"/>
        </w:rPr>
        <w:t>ontrary to I&amp;E</w:t>
      </w:r>
      <w:r w:rsidR="008D3260">
        <w:rPr>
          <w:sz w:val="26"/>
          <w:szCs w:val="26"/>
        </w:rPr>
        <w:t>’</w:t>
      </w:r>
      <w:r w:rsidRPr="00836061">
        <w:rPr>
          <w:sz w:val="26"/>
          <w:szCs w:val="26"/>
        </w:rPr>
        <w:t>s assertions, the issue of whether a TOU rate option is a default service option is a</w:t>
      </w:r>
      <w:r w:rsidR="00824013">
        <w:rPr>
          <w:sz w:val="26"/>
          <w:szCs w:val="26"/>
        </w:rPr>
        <w:t xml:space="preserve"> matter</w:t>
      </w:r>
      <w:r w:rsidRPr="00836061">
        <w:rPr>
          <w:sz w:val="26"/>
          <w:szCs w:val="26"/>
        </w:rPr>
        <w:t xml:space="preserve"> of statutory interpretation </w:t>
      </w:r>
      <w:r w:rsidR="009517B2">
        <w:rPr>
          <w:sz w:val="26"/>
          <w:szCs w:val="26"/>
        </w:rPr>
        <w:t>rather</w:t>
      </w:r>
      <w:r w:rsidRPr="00836061">
        <w:rPr>
          <w:sz w:val="26"/>
          <w:szCs w:val="26"/>
        </w:rPr>
        <w:t xml:space="preserve"> </w:t>
      </w:r>
      <w:r w:rsidR="009517B2">
        <w:rPr>
          <w:sz w:val="26"/>
          <w:szCs w:val="26"/>
        </w:rPr>
        <w:t>th</w:t>
      </w:r>
      <w:r w:rsidRPr="00836061">
        <w:rPr>
          <w:sz w:val="26"/>
          <w:szCs w:val="26"/>
        </w:rPr>
        <w:t>an</w:t>
      </w:r>
      <w:r w:rsidR="009517B2">
        <w:rPr>
          <w:sz w:val="26"/>
          <w:szCs w:val="26"/>
        </w:rPr>
        <w:t xml:space="preserve"> an</w:t>
      </w:r>
      <w:r w:rsidRPr="00836061">
        <w:rPr>
          <w:sz w:val="26"/>
          <w:szCs w:val="26"/>
        </w:rPr>
        <w:t xml:space="preserve"> issue of substantial evidence.  </w:t>
      </w:r>
      <w:r>
        <w:rPr>
          <w:sz w:val="26"/>
          <w:szCs w:val="26"/>
        </w:rPr>
        <w:t>PPL R.Exc at 11.</w:t>
      </w:r>
    </w:p>
    <w:p w:rsidR="00836061" w:rsidRDefault="00836061" w:rsidP="00006531">
      <w:pPr>
        <w:contextualSpacing/>
        <w:jc w:val="left"/>
        <w:rPr>
          <w:sz w:val="26"/>
          <w:szCs w:val="26"/>
        </w:rPr>
      </w:pPr>
      <w:r>
        <w:rPr>
          <w:sz w:val="26"/>
          <w:szCs w:val="26"/>
        </w:rPr>
        <w:tab/>
      </w:r>
      <w:r>
        <w:rPr>
          <w:sz w:val="26"/>
          <w:szCs w:val="26"/>
        </w:rPr>
        <w:tab/>
      </w:r>
      <w:r w:rsidRPr="00836061">
        <w:rPr>
          <w:sz w:val="26"/>
          <w:szCs w:val="26"/>
        </w:rPr>
        <w:t>PPL, as a default service provider, is required to offer a TOU program under Act No. 129, which provides, in pertinent part, as follows:</w:t>
      </w:r>
    </w:p>
    <w:p w:rsidR="00836061" w:rsidRPr="00836061" w:rsidRDefault="00836061" w:rsidP="00006531">
      <w:pPr>
        <w:contextualSpacing/>
        <w:jc w:val="left"/>
        <w:rPr>
          <w:sz w:val="26"/>
          <w:szCs w:val="26"/>
        </w:rPr>
      </w:pPr>
    </w:p>
    <w:p w:rsidR="00836061" w:rsidRDefault="00836061" w:rsidP="00006531">
      <w:pPr>
        <w:spacing w:line="240" w:lineRule="auto"/>
        <w:ind w:left="1440" w:right="1440"/>
        <w:contextualSpacing/>
        <w:jc w:val="left"/>
        <w:rPr>
          <w:sz w:val="26"/>
          <w:szCs w:val="26"/>
        </w:rPr>
      </w:pPr>
      <w:r w:rsidRPr="00836061">
        <w:rPr>
          <w:sz w:val="26"/>
          <w:szCs w:val="26"/>
        </w:rPr>
        <w:t xml:space="preserve">By January 1, 2010, or at the end of the applicable generation rate cap period, whichever is later, a </w:t>
      </w:r>
      <w:r w:rsidRPr="00836061">
        <w:rPr>
          <w:i/>
          <w:sz w:val="26"/>
          <w:szCs w:val="26"/>
        </w:rPr>
        <w:t>default service provider</w:t>
      </w:r>
      <w:r w:rsidRPr="00836061">
        <w:rPr>
          <w:sz w:val="26"/>
          <w:szCs w:val="26"/>
        </w:rPr>
        <w:t xml:space="preserve"> shall submit to the commission one or more proposed time-of-use rates and real-time price plans. . . . The </w:t>
      </w:r>
      <w:r w:rsidRPr="00836061">
        <w:rPr>
          <w:i/>
          <w:sz w:val="26"/>
          <w:szCs w:val="26"/>
        </w:rPr>
        <w:t>default service provider</w:t>
      </w:r>
      <w:r w:rsidRPr="00836061">
        <w:rPr>
          <w:sz w:val="26"/>
          <w:szCs w:val="26"/>
        </w:rPr>
        <w:t xml:space="preserve"> shall offer the time-of-use rates and real-time price plan to all customers that have been provided with smart meter technology. . . . Residential or commercial customers may elect to participate in time-of-use rates or real-time pricing.  The </w:t>
      </w:r>
      <w:r w:rsidRPr="00836061">
        <w:rPr>
          <w:i/>
          <w:sz w:val="26"/>
          <w:szCs w:val="26"/>
        </w:rPr>
        <w:t>default service provider</w:t>
      </w:r>
      <w:r w:rsidRPr="00836061">
        <w:rPr>
          <w:sz w:val="26"/>
          <w:szCs w:val="26"/>
        </w:rPr>
        <w:t xml:space="preserve"> shall submit an annual report to the price programs and the efficacy of the programs in affecting energy demand and consumption and the effect on wholesale market prices.</w:t>
      </w:r>
    </w:p>
    <w:p w:rsidR="00836061" w:rsidRPr="00836061" w:rsidRDefault="00836061" w:rsidP="00006531">
      <w:pPr>
        <w:spacing w:line="240" w:lineRule="auto"/>
        <w:ind w:left="1440" w:right="1440"/>
        <w:contextualSpacing/>
        <w:jc w:val="left"/>
        <w:rPr>
          <w:sz w:val="26"/>
          <w:szCs w:val="26"/>
        </w:rPr>
      </w:pPr>
    </w:p>
    <w:p w:rsidR="00836061" w:rsidRDefault="00414157" w:rsidP="00006531">
      <w:pPr>
        <w:contextualSpacing/>
        <w:jc w:val="left"/>
        <w:rPr>
          <w:sz w:val="26"/>
          <w:szCs w:val="26"/>
        </w:rPr>
      </w:pPr>
      <w:r>
        <w:rPr>
          <w:sz w:val="26"/>
          <w:szCs w:val="26"/>
        </w:rPr>
        <w:t xml:space="preserve">PPL M.B. at 36; </w:t>
      </w:r>
      <w:r w:rsidR="00836061" w:rsidRPr="00836061">
        <w:rPr>
          <w:sz w:val="26"/>
          <w:szCs w:val="26"/>
        </w:rPr>
        <w:t xml:space="preserve">66 Pa. C.S. § 2807(f)(5) (emphasis added).  </w:t>
      </w:r>
    </w:p>
    <w:p w:rsidR="00836061" w:rsidRDefault="00836061" w:rsidP="00006531">
      <w:pPr>
        <w:contextualSpacing/>
        <w:jc w:val="left"/>
        <w:rPr>
          <w:sz w:val="26"/>
          <w:szCs w:val="26"/>
        </w:rPr>
      </w:pPr>
    </w:p>
    <w:p w:rsidR="00836061" w:rsidRPr="00836061" w:rsidRDefault="00836061" w:rsidP="00006531">
      <w:pPr>
        <w:contextualSpacing/>
        <w:jc w:val="left"/>
        <w:rPr>
          <w:sz w:val="26"/>
          <w:szCs w:val="26"/>
        </w:rPr>
      </w:pPr>
      <w:r>
        <w:rPr>
          <w:sz w:val="26"/>
          <w:szCs w:val="26"/>
        </w:rPr>
        <w:tab/>
      </w:r>
      <w:r>
        <w:rPr>
          <w:sz w:val="26"/>
          <w:szCs w:val="26"/>
        </w:rPr>
        <w:tab/>
      </w:r>
      <w:r w:rsidRPr="00836061">
        <w:rPr>
          <w:sz w:val="26"/>
          <w:szCs w:val="26"/>
        </w:rPr>
        <w:t xml:space="preserve">Under Act 129, a TOU program is a default service option that is provided by a default service provider.  </w:t>
      </w:r>
      <w:r w:rsidR="00452E38">
        <w:rPr>
          <w:sz w:val="26"/>
          <w:szCs w:val="26"/>
        </w:rPr>
        <w:t>T</w:t>
      </w:r>
      <w:r w:rsidRPr="00836061">
        <w:rPr>
          <w:sz w:val="26"/>
          <w:szCs w:val="26"/>
        </w:rPr>
        <w:t xml:space="preserve">he Commission recently confirmed that default service under 66 Pa. C.S. § 2807(f)(5) </w:t>
      </w:r>
      <w:r w:rsidR="001B1BDF">
        <w:rPr>
          <w:sz w:val="26"/>
          <w:szCs w:val="26"/>
        </w:rPr>
        <w:t xml:space="preserve">is only </w:t>
      </w:r>
      <w:r w:rsidRPr="00836061">
        <w:rPr>
          <w:sz w:val="26"/>
          <w:szCs w:val="26"/>
        </w:rPr>
        <w:t xml:space="preserve">provided by a default service provider, </w:t>
      </w:r>
      <w:r w:rsidR="001B1BDF">
        <w:rPr>
          <w:sz w:val="26"/>
          <w:szCs w:val="26"/>
        </w:rPr>
        <w:t xml:space="preserve">and is </w:t>
      </w:r>
      <w:r w:rsidRPr="00836061">
        <w:rPr>
          <w:sz w:val="26"/>
          <w:szCs w:val="26"/>
        </w:rPr>
        <w:t xml:space="preserve">not a </w:t>
      </w:r>
      <w:r w:rsidRPr="00836061">
        <w:rPr>
          <w:sz w:val="26"/>
          <w:szCs w:val="26"/>
        </w:rPr>
        <w:lastRenderedPageBreak/>
        <w:t xml:space="preserve">transmission or distribution rate option provided by an </w:t>
      </w:r>
      <w:r w:rsidR="001B1BDF">
        <w:rPr>
          <w:sz w:val="26"/>
          <w:szCs w:val="26"/>
        </w:rPr>
        <w:t>EDC</w:t>
      </w:r>
      <w:r w:rsidRPr="00836061">
        <w:rPr>
          <w:sz w:val="26"/>
          <w:szCs w:val="26"/>
        </w:rPr>
        <w:t xml:space="preserve">.  </w:t>
      </w:r>
      <w:r w:rsidRPr="00836061">
        <w:rPr>
          <w:i/>
          <w:sz w:val="26"/>
          <w:szCs w:val="26"/>
        </w:rPr>
        <w:t>Petition of PECO Energy Company for Approval of Its Initial Dynamic Pricing and Customer Acceptance Plan</w:t>
      </w:r>
      <w:r w:rsidRPr="00836061">
        <w:rPr>
          <w:sz w:val="26"/>
          <w:szCs w:val="26"/>
        </w:rPr>
        <w:t>, Docket No. M-2009-2123944, 2011 Pa. P.U.C. LEXIS 5 (</w:t>
      </w:r>
      <w:r w:rsidR="001B1BDF">
        <w:rPr>
          <w:sz w:val="26"/>
          <w:szCs w:val="26"/>
        </w:rPr>
        <w:t xml:space="preserve">Order entered </w:t>
      </w:r>
      <w:r w:rsidRPr="00836061">
        <w:rPr>
          <w:sz w:val="26"/>
          <w:szCs w:val="26"/>
        </w:rPr>
        <w:t xml:space="preserve">April </w:t>
      </w:r>
      <w:r w:rsidR="0033089C">
        <w:rPr>
          <w:sz w:val="26"/>
          <w:szCs w:val="26"/>
        </w:rPr>
        <w:t>1</w:t>
      </w:r>
      <w:r w:rsidRPr="00836061">
        <w:rPr>
          <w:sz w:val="26"/>
          <w:szCs w:val="26"/>
        </w:rPr>
        <w:t>5, 2011</w:t>
      </w:r>
      <w:r w:rsidR="00A964B7">
        <w:rPr>
          <w:sz w:val="26"/>
          <w:szCs w:val="26"/>
        </w:rPr>
        <w:t xml:space="preserve"> at 20-21</w:t>
      </w:r>
      <w:r w:rsidRPr="00836061">
        <w:rPr>
          <w:sz w:val="26"/>
          <w:szCs w:val="26"/>
        </w:rPr>
        <w:t>).</w:t>
      </w:r>
    </w:p>
    <w:p w:rsidR="00836061" w:rsidRDefault="00836061" w:rsidP="00006531">
      <w:pPr>
        <w:contextualSpacing/>
        <w:jc w:val="left"/>
        <w:rPr>
          <w:sz w:val="26"/>
          <w:szCs w:val="26"/>
        </w:rPr>
      </w:pPr>
    </w:p>
    <w:p w:rsidR="00551700" w:rsidRDefault="00551700" w:rsidP="00006531">
      <w:pPr>
        <w:contextualSpacing/>
        <w:jc w:val="left"/>
        <w:rPr>
          <w:sz w:val="26"/>
          <w:szCs w:val="26"/>
        </w:rPr>
      </w:pPr>
      <w:r>
        <w:rPr>
          <w:sz w:val="26"/>
          <w:szCs w:val="26"/>
        </w:rPr>
        <w:tab/>
      </w:r>
      <w:r>
        <w:rPr>
          <w:sz w:val="26"/>
          <w:szCs w:val="26"/>
        </w:rPr>
        <w:tab/>
        <w:t>PPL asserts that I&amp;E</w:t>
      </w:r>
      <w:r w:rsidR="008D3260">
        <w:rPr>
          <w:sz w:val="26"/>
          <w:szCs w:val="26"/>
        </w:rPr>
        <w:t>’</w:t>
      </w:r>
      <w:r>
        <w:rPr>
          <w:sz w:val="26"/>
          <w:szCs w:val="26"/>
        </w:rPr>
        <w:t xml:space="preserve">s </w:t>
      </w:r>
      <w:r w:rsidRPr="00836061">
        <w:rPr>
          <w:sz w:val="26"/>
          <w:szCs w:val="26"/>
        </w:rPr>
        <w:t>argument is inconsistent with the Code.  Under the Code, a default service provider provides generation service to customers who:</w:t>
      </w:r>
    </w:p>
    <w:p w:rsidR="00551700" w:rsidRPr="00836061" w:rsidRDefault="00551700" w:rsidP="00006531">
      <w:pPr>
        <w:contextualSpacing/>
        <w:jc w:val="left"/>
        <w:rPr>
          <w:sz w:val="26"/>
          <w:szCs w:val="26"/>
        </w:rPr>
      </w:pPr>
    </w:p>
    <w:p w:rsidR="00551700" w:rsidRPr="00836061" w:rsidRDefault="00551700" w:rsidP="00006531">
      <w:pPr>
        <w:spacing w:line="240" w:lineRule="auto"/>
        <w:ind w:left="1440" w:right="1440"/>
        <w:contextualSpacing/>
        <w:jc w:val="left"/>
        <w:rPr>
          <w:sz w:val="26"/>
          <w:szCs w:val="26"/>
        </w:rPr>
      </w:pPr>
      <w:r w:rsidRPr="00836061">
        <w:rPr>
          <w:sz w:val="26"/>
          <w:szCs w:val="26"/>
        </w:rPr>
        <w:t>(1)</w:t>
      </w:r>
      <w:r w:rsidRPr="00836061">
        <w:rPr>
          <w:sz w:val="26"/>
          <w:szCs w:val="26"/>
        </w:rPr>
        <w:tab/>
        <w:t>contract for electric power, including energy and capacity, and the chosen electric generation supplier does not supply the service, or</w:t>
      </w:r>
    </w:p>
    <w:p w:rsidR="00551700" w:rsidRDefault="00551700" w:rsidP="00006531">
      <w:pPr>
        <w:spacing w:line="240" w:lineRule="auto"/>
        <w:ind w:left="1440" w:right="1440"/>
        <w:contextualSpacing/>
        <w:jc w:val="left"/>
        <w:rPr>
          <w:sz w:val="26"/>
          <w:szCs w:val="26"/>
        </w:rPr>
      </w:pPr>
      <w:r w:rsidRPr="00836061">
        <w:rPr>
          <w:b/>
          <w:sz w:val="26"/>
          <w:szCs w:val="26"/>
        </w:rPr>
        <w:t>(2)</w:t>
      </w:r>
      <w:r w:rsidRPr="00836061">
        <w:rPr>
          <w:b/>
          <w:sz w:val="26"/>
          <w:szCs w:val="26"/>
        </w:rPr>
        <w:tab/>
        <w:t>do not choose an alternative generation supplier.</w:t>
      </w:r>
    </w:p>
    <w:p w:rsidR="00551700" w:rsidRPr="009777E3" w:rsidRDefault="00551700" w:rsidP="00006531">
      <w:pPr>
        <w:spacing w:line="240" w:lineRule="auto"/>
        <w:ind w:left="1440" w:right="1440"/>
        <w:contextualSpacing/>
        <w:jc w:val="left"/>
        <w:rPr>
          <w:sz w:val="26"/>
          <w:szCs w:val="26"/>
        </w:rPr>
      </w:pPr>
    </w:p>
    <w:p w:rsidR="00551700" w:rsidRDefault="00414157" w:rsidP="00006531">
      <w:pPr>
        <w:contextualSpacing/>
        <w:jc w:val="left"/>
        <w:rPr>
          <w:sz w:val="26"/>
          <w:szCs w:val="26"/>
        </w:rPr>
      </w:pPr>
      <w:r>
        <w:rPr>
          <w:sz w:val="26"/>
          <w:szCs w:val="26"/>
        </w:rPr>
        <w:t xml:space="preserve">PPL M.B. at 37; </w:t>
      </w:r>
      <w:r w:rsidR="00551700" w:rsidRPr="00836061">
        <w:rPr>
          <w:sz w:val="26"/>
          <w:szCs w:val="26"/>
        </w:rPr>
        <w:t>66 Pa. C.S. § 2803 (emphasis supplied).</w:t>
      </w:r>
    </w:p>
    <w:p w:rsidR="00836061" w:rsidRPr="00795A3B" w:rsidRDefault="009777E3" w:rsidP="00006531">
      <w:pPr>
        <w:contextualSpacing/>
        <w:jc w:val="left"/>
        <w:rPr>
          <w:sz w:val="26"/>
          <w:szCs w:val="26"/>
        </w:rPr>
      </w:pPr>
      <w:r>
        <w:rPr>
          <w:sz w:val="26"/>
          <w:szCs w:val="26"/>
        </w:rPr>
        <w:tab/>
      </w:r>
      <w:r>
        <w:rPr>
          <w:sz w:val="26"/>
          <w:szCs w:val="26"/>
        </w:rPr>
        <w:tab/>
      </w:r>
      <w:r w:rsidR="00836061" w:rsidRPr="00836061">
        <w:rPr>
          <w:sz w:val="26"/>
          <w:szCs w:val="26"/>
        </w:rPr>
        <w:t xml:space="preserve">Therefore, </w:t>
      </w:r>
      <w:r w:rsidR="00551700">
        <w:rPr>
          <w:sz w:val="26"/>
          <w:szCs w:val="26"/>
        </w:rPr>
        <w:t>PPL</w:t>
      </w:r>
      <w:r w:rsidR="008D3260">
        <w:rPr>
          <w:sz w:val="26"/>
          <w:szCs w:val="26"/>
        </w:rPr>
        <w:t>’</w:t>
      </w:r>
      <w:r w:rsidR="00551700">
        <w:rPr>
          <w:sz w:val="26"/>
          <w:szCs w:val="26"/>
        </w:rPr>
        <w:t xml:space="preserve">s position is that </w:t>
      </w:r>
      <w:r w:rsidR="00836061" w:rsidRPr="00836061">
        <w:rPr>
          <w:sz w:val="26"/>
          <w:szCs w:val="26"/>
        </w:rPr>
        <w:t xml:space="preserve">under the </w:t>
      </w:r>
      <w:r w:rsidR="00383DA6">
        <w:rPr>
          <w:sz w:val="26"/>
          <w:szCs w:val="26"/>
        </w:rPr>
        <w:t>Code, the relevant factor</w:t>
      </w:r>
      <w:r w:rsidR="00836061" w:rsidRPr="00836061">
        <w:rPr>
          <w:sz w:val="26"/>
          <w:szCs w:val="26"/>
        </w:rPr>
        <w:t xml:space="preserve"> is not whether the customer chooses the TOU rate option, but whether the customer chooses an EGS.  If the customer does not choose an EGS, the customer is taking default service.</w:t>
      </w:r>
      <w:r>
        <w:rPr>
          <w:sz w:val="26"/>
          <w:szCs w:val="26"/>
        </w:rPr>
        <w:t xml:space="preserve">  </w:t>
      </w:r>
      <w:r>
        <w:rPr>
          <w:i/>
          <w:sz w:val="26"/>
          <w:szCs w:val="26"/>
        </w:rPr>
        <w:t>Id.</w:t>
      </w:r>
    </w:p>
    <w:p w:rsidR="00414157" w:rsidRPr="00795A3B" w:rsidRDefault="00414157" w:rsidP="00006531">
      <w:pPr>
        <w:contextualSpacing/>
        <w:jc w:val="left"/>
        <w:rPr>
          <w:sz w:val="26"/>
          <w:szCs w:val="26"/>
        </w:rPr>
      </w:pPr>
    </w:p>
    <w:p w:rsidR="00DA784E" w:rsidRDefault="002F7DBE" w:rsidP="002F6D67">
      <w:pPr>
        <w:pStyle w:val="Heading3"/>
      </w:pPr>
      <w:r>
        <w:tab/>
      </w:r>
      <w:r w:rsidR="002F6D67">
        <w:tab/>
      </w:r>
      <w:bookmarkStart w:id="19" w:name="_Toc333991306"/>
      <w:r>
        <w:t>4.</w:t>
      </w:r>
      <w:r>
        <w:tab/>
        <w:t>Disposition</w:t>
      </w:r>
      <w:bookmarkEnd w:id="19"/>
    </w:p>
    <w:p w:rsidR="002F7DBE" w:rsidRPr="004D3C4C" w:rsidRDefault="002F7DBE" w:rsidP="007F6278">
      <w:pPr>
        <w:keepNext/>
        <w:contextualSpacing/>
        <w:jc w:val="left"/>
        <w:rPr>
          <w:sz w:val="26"/>
          <w:szCs w:val="26"/>
        </w:rPr>
      </w:pPr>
    </w:p>
    <w:p w:rsidR="00B0306E" w:rsidRDefault="00B0306E" w:rsidP="00006531">
      <w:pPr>
        <w:jc w:val="left"/>
        <w:rPr>
          <w:sz w:val="26"/>
          <w:szCs w:val="26"/>
        </w:rPr>
      </w:pPr>
      <w:r>
        <w:rPr>
          <w:sz w:val="26"/>
          <w:szCs w:val="26"/>
        </w:rPr>
        <w:tab/>
      </w:r>
      <w:r>
        <w:rPr>
          <w:sz w:val="26"/>
          <w:szCs w:val="26"/>
        </w:rPr>
        <w:tab/>
        <w:t>The resolution of whether a TOU program is a default service offering is pivotal in deciding the customer base from which the historic under</w:t>
      </w:r>
      <w:r w:rsidR="00414157">
        <w:rPr>
          <w:sz w:val="26"/>
          <w:szCs w:val="26"/>
        </w:rPr>
        <w:t>collections may be recovered.  66 Pa. C.S. § 2807(f)(5</w:t>
      </w:r>
      <w:r w:rsidR="009D07D6">
        <w:rPr>
          <w:sz w:val="26"/>
          <w:szCs w:val="26"/>
        </w:rPr>
        <w:t>) states</w:t>
      </w:r>
      <w:r w:rsidR="00414157">
        <w:rPr>
          <w:sz w:val="26"/>
          <w:szCs w:val="26"/>
        </w:rPr>
        <w:t xml:space="preserve"> in part:</w:t>
      </w:r>
    </w:p>
    <w:p w:rsidR="00B0306E" w:rsidRDefault="00B0306E" w:rsidP="00006531">
      <w:pPr>
        <w:jc w:val="left"/>
        <w:rPr>
          <w:sz w:val="26"/>
          <w:szCs w:val="26"/>
        </w:rPr>
      </w:pPr>
    </w:p>
    <w:p w:rsidR="00B0306E" w:rsidRDefault="00414157" w:rsidP="00006531">
      <w:pPr>
        <w:pStyle w:val="BlockText"/>
      </w:pPr>
      <w:r>
        <w:t xml:space="preserve"> </w:t>
      </w:r>
      <w:r w:rsidR="00FA2278" w:rsidRPr="002B5C49">
        <w:t>. . . a default service provider shall submit to the commission one or more proposed time-of-use rates and real-time price plans. . . . The default service provider shall offer the time-of-use rates and real-time price plan to all customers that have been provid</w:t>
      </w:r>
      <w:r w:rsidR="00B0306E">
        <w:t>ed with smart meter technology</w:t>
      </w:r>
      <w:r>
        <w:t>.</w:t>
      </w:r>
      <w:r w:rsidR="00FA2278" w:rsidRPr="002B5C49">
        <w:t xml:space="preserve"> </w:t>
      </w:r>
    </w:p>
    <w:p w:rsidR="00B0306E" w:rsidRDefault="00B0306E" w:rsidP="00006531">
      <w:pPr>
        <w:jc w:val="left"/>
        <w:rPr>
          <w:sz w:val="26"/>
          <w:szCs w:val="26"/>
        </w:rPr>
      </w:pPr>
    </w:p>
    <w:p w:rsidR="00064BF7" w:rsidRDefault="004D3C4C" w:rsidP="00064BF7">
      <w:pPr>
        <w:pStyle w:val="BodyText2"/>
      </w:pPr>
      <w:r>
        <w:tab/>
      </w:r>
      <w:r>
        <w:tab/>
      </w:r>
      <w:r w:rsidR="00414157">
        <w:t xml:space="preserve">The </w:t>
      </w:r>
      <w:r>
        <w:t>statute clearly states that</w:t>
      </w:r>
      <w:r w:rsidR="00414157">
        <w:t>,</w:t>
      </w:r>
      <w:r>
        <w:t xml:space="preserve"> unless a customer switches to an EGS for its generation supply, </w:t>
      </w:r>
      <w:r w:rsidR="00414157">
        <w:t>the default service provider</w:t>
      </w:r>
      <w:r>
        <w:t xml:space="preserve"> is required to provide service to that </w:t>
      </w:r>
      <w:r>
        <w:lastRenderedPageBreak/>
        <w:t>customer, as a default service customer.</w:t>
      </w:r>
      <w:r w:rsidR="00E56278">
        <w:t xml:space="preserve">  The nature of default service is not limited by the statute.  Further, the statute requires a default service provider, such as PPL</w:t>
      </w:r>
      <w:r w:rsidR="00414157">
        <w:t>,</w:t>
      </w:r>
      <w:r w:rsidR="00E56278">
        <w:t xml:space="preserve"> to offer to its non-shopping, or default service customers, a TOU program.  Thus, based upon the language in the statute, we agree with PPL</w:t>
      </w:r>
      <w:r w:rsidR="008D3260">
        <w:t>’</w:t>
      </w:r>
      <w:r w:rsidR="00E56278">
        <w:t>s position that the TOU program is</w:t>
      </w:r>
      <w:r w:rsidR="00414157">
        <w:t xml:space="preserve"> a form of</w:t>
      </w:r>
      <w:r w:rsidR="00E56278">
        <w:t xml:space="preserve"> default service.</w:t>
      </w:r>
      <w:r>
        <w:t xml:space="preserve">  </w:t>
      </w:r>
      <w:r w:rsidR="00ED3DF7">
        <w:t xml:space="preserve">Accordingly, </w:t>
      </w:r>
      <w:r w:rsidR="00E56278">
        <w:t>we shall grant PPL</w:t>
      </w:r>
      <w:r w:rsidR="008D3260">
        <w:t>’</w:t>
      </w:r>
      <w:r w:rsidR="00E56278">
        <w:t>s request</w:t>
      </w:r>
      <w:r w:rsidR="00ED3DF7">
        <w:t xml:space="preserve"> to recover undercollected TOU program costs by spreading these costs over all default service customer billings.  Based on the record developed herein and the clear language of the statute, PPL</w:t>
      </w:r>
      <w:r w:rsidR="008D3260">
        <w:t>’</w:t>
      </w:r>
      <w:r w:rsidR="00ED3DF7">
        <w:t>s request is granted and the Exception</w:t>
      </w:r>
      <w:r w:rsidR="0089163D">
        <w:t>s</w:t>
      </w:r>
      <w:r w:rsidR="00414157">
        <w:t xml:space="preserve"> of I&amp;E on this issue are</w:t>
      </w:r>
      <w:r w:rsidR="00857932">
        <w:t xml:space="preserve"> denied.  Further, the OCA</w:t>
      </w:r>
      <w:r w:rsidR="008D3260">
        <w:t>’</w:t>
      </w:r>
      <w:r w:rsidR="00857932">
        <w:t>s Exceptions are denied, in part, and granted, in part, consistent with this Opinion and Order.</w:t>
      </w:r>
      <w:r w:rsidR="00694009">
        <w:t xml:space="preserve">  </w:t>
      </w:r>
      <w:r w:rsidR="00064BF7">
        <w:t>Before concluding this issue, we note that the ALJ recommended an audit of PPL’s prior net undercollected TOU costs before recovery may begin.  R.D. at 25-26.  We similarly will direct that the Bureau of Audits review PPL’s undercollection to determine the accuracy of the amount claimed and the consistency of PPL’s accounting methodology with Commission directives.  F</w:t>
      </w:r>
      <w:r w:rsidR="00064BF7" w:rsidRPr="003804C3">
        <w:t>ollowing certification by the Commission</w:t>
      </w:r>
      <w:r w:rsidR="00064BF7">
        <w:t>’</w:t>
      </w:r>
      <w:r w:rsidR="00064BF7" w:rsidRPr="003804C3">
        <w:t xml:space="preserve">s Bureau of Audits that the amount of the </w:t>
      </w:r>
      <w:r w:rsidR="00064BF7">
        <w:t xml:space="preserve">net </w:t>
      </w:r>
      <w:r w:rsidR="00064BF7" w:rsidRPr="003804C3">
        <w:t>underc</w:t>
      </w:r>
      <w:r w:rsidR="00064BF7">
        <w:t>ollection claimed is correct,</w:t>
      </w:r>
      <w:r w:rsidR="00064BF7" w:rsidRPr="003804C3">
        <w:t xml:space="preserve"> the accounting method used is consistent with Commission directives</w:t>
      </w:r>
      <w:r w:rsidR="00064BF7">
        <w:t xml:space="preserve"> and the allocation among rate classes is appropriate, PPL may begin recovery of its TOU undercollection.</w:t>
      </w:r>
    </w:p>
    <w:p w:rsidR="00B41BA6" w:rsidRDefault="00B41BA6" w:rsidP="00006531">
      <w:pPr>
        <w:pStyle w:val="BodyText2"/>
      </w:pPr>
    </w:p>
    <w:p w:rsidR="0049186C" w:rsidRDefault="0049186C" w:rsidP="002F6D67">
      <w:pPr>
        <w:pStyle w:val="Heading1"/>
      </w:pPr>
      <w:bookmarkStart w:id="20" w:name="_Toc333991307"/>
      <w:r w:rsidRPr="0049186C">
        <w:t>III.</w:t>
      </w:r>
      <w:r w:rsidR="00751C6C">
        <w:t xml:space="preserve"> </w:t>
      </w:r>
      <w:r>
        <w:t>Conclusion</w:t>
      </w:r>
      <w:bookmarkEnd w:id="20"/>
    </w:p>
    <w:p w:rsidR="00751C6C" w:rsidRDefault="00751C6C" w:rsidP="00DF7C0B">
      <w:pPr>
        <w:pStyle w:val="BodyText2"/>
        <w:keepNext/>
      </w:pPr>
    </w:p>
    <w:p w:rsidR="00B41BA6" w:rsidRPr="005E4C2A" w:rsidRDefault="00751C6C" w:rsidP="00006531">
      <w:pPr>
        <w:pStyle w:val="BodyText2"/>
      </w:pPr>
      <w:r>
        <w:tab/>
      </w:r>
      <w:r>
        <w:tab/>
      </w:r>
      <w:r w:rsidR="00AD2A5B" w:rsidRPr="00AD2A5B">
        <w:t>Consistent with the discussion</w:t>
      </w:r>
      <w:r w:rsidR="007C3076">
        <w:t>,</w:t>
      </w:r>
      <w:r w:rsidR="00AD2A5B" w:rsidRPr="00AD2A5B">
        <w:t xml:space="preserve"> </w:t>
      </w:r>
      <w:r w:rsidR="00AD2A5B" w:rsidRPr="00AD2A5B">
        <w:rPr>
          <w:i/>
        </w:rPr>
        <w:t>supra</w:t>
      </w:r>
      <w:r w:rsidR="00AD2A5B" w:rsidRPr="00AD2A5B">
        <w:t>, and based upon our review of the record before us</w:t>
      </w:r>
      <w:r w:rsidR="007C3076">
        <w:t xml:space="preserve">, we shall grant the Exceptions of the various Parties, in part, and deny them, in part, and adopt </w:t>
      </w:r>
      <w:r w:rsidR="007C3076" w:rsidRPr="007C3076">
        <w:t xml:space="preserve">the </w:t>
      </w:r>
      <w:r w:rsidR="007C3076">
        <w:t xml:space="preserve">ALJ’s Recommended Decision to the extent it is consistent with this Opinion and Order.  In making this determination, we conclude that </w:t>
      </w:r>
      <w:r w:rsidR="00103E64">
        <w:t>Supplement No. 110 to Tariff</w:t>
      </w:r>
      <w:r w:rsidR="00D4130E">
        <w:t>-Electric Pa. P.U.C. No. 201, which</w:t>
      </w:r>
      <w:r w:rsidR="00103E64">
        <w:t xml:space="preserve"> contain</w:t>
      </w:r>
      <w:r w:rsidR="00D4130E">
        <w:t>s</w:t>
      </w:r>
      <w:r w:rsidR="00103E64">
        <w:t xml:space="preserve"> proposed changes in rates, rules, and regulations to implement a new TOU program for </w:t>
      </w:r>
      <w:r w:rsidR="00D4130E">
        <w:t>PPL’s</w:t>
      </w:r>
      <w:r w:rsidR="00103E64">
        <w:t xml:space="preserve"> </w:t>
      </w:r>
      <w:r w:rsidR="00513FEA">
        <w:t>Residential and Small</w:t>
      </w:r>
      <w:r w:rsidR="00414157">
        <w:t xml:space="preserve"> C&amp;I</w:t>
      </w:r>
      <w:r w:rsidR="00103E64">
        <w:t xml:space="preserve"> customers</w:t>
      </w:r>
      <w:r w:rsidR="00AD2A5B" w:rsidRPr="00AD2A5B">
        <w:t xml:space="preserve"> is</w:t>
      </w:r>
      <w:r w:rsidR="00103E64">
        <w:t xml:space="preserve"> not in the public interest</w:t>
      </w:r>
      <w:r w:rsidR="00D4130E">
        <w:t>, and as such, we shall not permit it to become effective</w:t>
      </w:r>
      <w:r w:rsidR="005E4C2A">
        <w:rPr>
          <w:spacing w:val="-3"/>
        </w:rPr>
        <w:t>;</w:t>
      </w:r>
      <w:r w:rsidR="005E4C2A">
        <w:t xml:space="preserve"> </w:t>
      </w:r>
      <w:r w:rsidR="00B41BA6" w:rsidRPr="003804C3">
        <w:rPr>
          <w:b/>
        </w:rPr>
        <w:t>THEREFORE,</w:t>
      </w:r>
    </w:p>
    <w:p w:rsidR="00B41BA6" w:rsidRPr="003804C3" w:rsidRDefault="00B41BA6" w:rsidP="00006531">
      <w:pPr>
        <w:jc w:val="left"/>
        <w:rPr>
          <w:b/>
          <w:sz w:val="26"/>
          <w:szCs w:val="26"/>
        </w:rPr>
      </w:pPr>
    </w:p>
    <w:p w:rsidR="00B41BA6" w:rsidRPr="003804C3" w:rsidRDefault="00B41BA6" w:rsidP="00006531">
      <w:pPr>
        <w:jc w:val="left"/>
        <w:rPr>
          <w:b/>
          <w:sz w:val="26"/>
          <w:szCs w:val="26"/>
        </w:rPr>
      </w:pPr>
      <w:r w:rsidRPr="003804C3">
        <w:rPr>
          <w:b/>
          <w:sz w:val="26"/>
          <w:szCs w:val="26"/>
        </w:rPr>
        <w:lastRenderedPageBreak/>
        <w:tab/>
      </w:r>
      <w:r w:rsidRPr="003804C3">
        <w:rPr>
          <w:b/>
          <w:sz w:val="26"/>
          <w:szCs w:val="26"/>
        </w:rPr>
        <w:tab/>
        <w:t xml:space="preserve">IT IS </w:t>
      </w:r>
      <w:r w:rsidR="003804C3" w:rsidRPr="003804C3">
        <w:rPr>
          <w:b/>
          <w:sz w:val="26"/>
          <w:szCs w:val="26"/>
        </w:rPr>
        <w:t>ORDERD</w:t>
      </w:r>
      <w:r w:rsidRPr="003804C3">
        <w:rPr>
          <w:b/>
          <w:sz w:val="26"/>
          <w:szCs w:val="26"/>
        </w:rPr>
        <w:t>:</w:t>
      </w:r>
    </w:p>
    <w:p w:rsidR="00B41BA6" w:rsidRDefault="00B41BA6" w:rsidP="0039204D">
      <w:pPr>
        <w:jc w:val="left"/>
        <w:rPr>
          <w:sz w:val="26"/>
          <w:szCs w:val="26"/>
        </w:rPr>
      </w:pPr>
    </w:p>
    <w:p w:rsidR="0039204D" w:rsidRPr="00010C07" w:rsidRDefault="00E11898" w:rsidP="0039204D">
      <w:pPr>
        <w:jc w:val="left"/>
        <w:rPr>
          <w:sz w:val="26"/>
          <w:szCs w:val="26"/>
        </w:rPr>
      </w:pPr>
      <w:r>
        <w:rPr>
          <w:sz w:val="26"/>
          <w:szCs w:val="26"/>
        </w:rPr>
        <w:tab/>
      </w:r>
      <w:r>
        <w:rPr>
          <w:sz w:val="26"/>
          <w:szCs w:val="26"/>
        </w:rPr>
        <w:tab/>
      </w:r>
      <w:r w:rsidR="0039204D" w:rsidRPr="00010C07">
        <w:rPr>
          <w:sz w:val="26"/>
          <w:szCs w:val="26"/>
        </w:rPr>
        <w:t>1.</w:t>
      </w:r>
      <w:r w:rsidR="0039204D" w:rsidRPr="00010C07">
        <w:rPr>
          <w:sz w:val="26"/>
          <w:szCs w:val="26"/>
        </w:rPr>
        <w:tab/>
        <w:t>That the Exceptions filed by PPL Electric Utilities Corporation, seeking clarification of the Administrative Law Judge’s Recommended Decision, are granted consistent with this Opinion and Order.</w:t>
      </w:r>
    </w:p>
    <w:p w:rsidR="0039204D" w:rsidRPr="00010C07" w:rsidRDefault="0039204D" w:rsidP="0039204D">
      <w:pPr>
        <w:jc w:val="left"/>
        <w:rPr>
          <w:sz w:val="26"/>
          <w:szCs w:val="26"/>
        </w:rPr>
      </w:pPr>
    </w:p>
    <w:p w:rsidR="0039204D" w:rsidRPr="00010C07" w:rsidRDefault="0039204D" w:rsidP="0039204D">
      <w:pPr>
        <w:jc w:val="left"/>
        <w:rPr>
          <w:sz w:val="26"/>
          <w:szCs w:val="26"/>
        </w:rPr>
      </w:pPr>
      <w:r w:rsidRPr="00010C07">
        <w:rPr>
          <w:sz w:val="26"/>
          <w:szCs w:val="26"/>
        </w:rPr>
        <w:tab/>
      </w:r>
      <w:r w:rsidRPr="00010C07">
        <w:rPr>
          <w:sz w:val="26"/>
          <w:szCs w:val="26"/>
        </w:rPr>
        <w:tab/>
        <w:t>2.</w:t>
      </w:r>
      <w:r w:rsidRPr="00010C07">
        <w:rPr>
          <w:sz w:val="26"/>
          <w:szCs w:val="26"/>
        </w:rPr>
        <w:tab/>
        <w:t>That the Exceptions filed by the Office of Consumer Advocate are granted, in part, and denied, in part, consistent with this Opinion and Order.</w:t>
      </w:r>
    </w:p>
    <w:p w:rsidR="0039204D" w:rsidRPr="00010C07" w:rsidRDefault="0039204D" w:rsidP="0039204D">
      <w:pPr>
        <w:jc w:val="left"/>
        <w:rPr>
          <w:sz w:val="26"/>
          <w:szCs w:val="26"/>
        </w:rPr>
      </w:pPr>
    </w:p>
    <w:p w:rsidR="0039204D" w:rsidRPr="00010C07" w:rsidRDefault="0039204D" w:rsidP="0039204D">
      <w:pPr>
        <w:jc w:val="left"/>
        <w:rPr>
          <w:sz w:val="26"/>
          <w:szCs w:val="26"/>
        </w:rPr>
      </w:pPr>
      <w:r w:rsidRPr="00010C07">
        <w:rPr>
          <w:sz w:val="26"/>
          <w:szCs w:val="26"/>
        </w:rPr>
        <w:tab/>
      </w:r>
      <w:r w:rsidRPr="00010C07">
        <w:rPr>
          <w:sz w:val="26"/>
          <w:szCs w:val="26"/>
        </w:rPr>
        <w:tab/>
        <w:t>3.</w:t>
      </w:r>
      <w:r w:rsidRPr="00010C07">
        <w:rPr>
          <w:sz w:val="26"/>
          <w:szCs w:val="26"/>
        </w:rPr>
        <w:tab/>
        <w:t>That the Exceptions filed by the Bureau of Investigation and Enforcement are denied, consistent with this Opinion and Order.</w:t>
      </w:r>
    </w:p>
    <w:p w:rsidR="0039204D" w:rsidRPr="00010C07" w:rsidRDefault="0039204D" w:rsidP="0039204D">
      <w:pPr>
        <w:jc w:val="left"/>
        <w:rPr>
          <w:sz w:val="26"/>
          <w:szCs w:val="26"/>
        </w:rPr>
      </w:pPr>
    </w:p>
    <w:p w:rsidR="0039204D" w:rsidRPr="00010C07" w:rsidRDefault="0039204D" w:rsidP="0039204D">
      <w:pPr>
        <w:jc w:val="left"/>
        <w:rPr>
          <w:sz w:val="26"/>
          <w:szCs w:val="26"/>
        </w:rPr>
      </w:pPr>
      <w:r w:rsidRPr="00010C07">
        <w:rPr>
          <w:sz w:val="26"/>
          <w:szCs w:val="26"/>
        </w:rPr>
        <w:tab/>
      </w:r>
      <w:r w:rsidRPr="00010C07">
        <w:rPr>
          <w:sz w:val="26"/>
          <w:szCs w:val="26"/>
        </w:rPr>
        <w:tab/>
        <w:t>4.</w:t>
      </w:r>
      <w:r w:rsidRPr="00010C07">
        <w:rPr>
          <w:sz w:val="26"/>
          <w:szCs w:val="26"/>
        </w:rPr>
        <w:tab/>
        <w:t>That the request of PPL Electric Utilities Corporation to implement Supplement No. 110 to the Company’s Tariff-Electric Pa. P.U.C. No. 201, which was filed on September 26, 2011, is denied, and Supplement No. 110 to the Company’s Tariff-Electric Pa. P.U.C. No. 201 is not permitted to go into effect.</w:t>
      </w:r>
    </w:p>
    <w:p w:rsidR="0039204D" w:rsidRPr="00010C07" w:rsidRDefault="0039204D" w:rsidP="0039204D">
      <w:pPr>
        <w:jc w:val="left"/>
        <w:rPr>
          <w:sz w:val="26"/>
          <w:szCs w:val="26"/>
        </w:rPr>
      </w:pPr>
    </w:p>
    <w:p w:rsidR="0039204D" w:rsidRDefault="0039204D" w:rsidP="0039204D">
      <w:pPr>
        <w:jc w:val="left"/>
        <w:rPr>
          <w:sz w:val="26"/>
          <w:szCs w:val="26"/>
        </w:rPr>
      </w:pPr>
      <w:r w:rsidRPr="00010C07">
        <w:rPr>
          <w:sz w:val="26"/>
          <w:szCs w:val="26"/>
        </w:rPr>
        <w:tab/>
      </w:r>
      <w:r w:rsidRPr="00010C07">
        <w:rPr>
          <w:sz w:val="26"/>
          <w:szCs w:val="26"/>
        </w:rPr>
        <w:tab/>
        <w:t>5.</w:t>
      </w:r>
      <w:r w:rsidRPr="00010C07">
        <w:rPr>
          <w:sz w:val="26"/>
          <w:szCs w:val="26"/>
        </w:rPr>
        <w:tab/>
        <w:t xml:space="preserve">That PPL Electric Utilities Corporation shall file an extension to its existing Time of Use Program to extend its application until the issuance of the final Commission Order in </w:t>
      </w:r>
      <w:r w:rsidRPr="00010C07">
        <w:rPr>
          <w:i/>
          <w:sz w:val="26"/>
          <w:szCs w:val="26"/>
        </w:rPr>
        <w:t xml:space="preserve">Petition of PPL Electric Utilities Corporation for Approval of a Default Service Program and Procurement Plan for the Period June 1, 2013 through May 31, 2015, </w:t>
      </w:r>
      <w:r w:rsidRPr="00010C07">
        <w:rPr>
          <w:sz w:val="26"/>
          <w:szCs w:val="26"/>
        </w:rPr>
        <w:t xml:space="preserve">at Docket No. P-2012-2302074.  </w:t>
      </w:r>
    </w:p>
    <w:p w:rsidR="0039204D" w:rsidRPr="00010C07" w:rsidRDefault="0039204D" w:rsidP="0039204D">
      <w:pPr>
        <w:jc w:val="left"/>
        <w:rPr>
          <w:sz w:val="26"/>
          <w:szCs w:val="26"/>
        </w:rPr>
      </w:pPr>
    </w:p>
    <w:p w:rsidR="0039204D" w:rsidRPr="00010C07" w:rsidRDefault="0039204D" w:rsidP="0039204D">
      <w:pPr>
        <w:jc w:val="left"/>
        <w:rPr>
          <w:sz w:val="26"/>
          <w:szCs w:val="26"/>
        </w:rPr>
      </w:pPr>
      <w:r>
        <w:rPr>
          <w:sz w:val="26"/>
          <w:szCs w:val="26"/>
        </w:rPr>
        <w:tab/>
      </w:r>
      <w:r>
        <w:rPr>
          <w:sz w:val="26"/>
          <w:szCs w:val="26"/>
        </w:rPr>
        <w:tab/>
        <w:t>6</w:t>
      </w:r>
      <w:r w:rsidRPr="00010C07">
        <w:rPr>
          <w:sz w:val="26"/>
          <w:szCs w:val="26"/>
        </w:rPr>
        <w:t>.</w:t>
      </w:r>
      <w:r w:rsidRPr="00010C07">
        <w:rPr>
          <w:sz w:val="26"/>
          <w:szCs w:val="26"/>
        </w:rPr>
        <w:tab/>
        <w:t>That the Complaint filed by the Office of Consumer Advocate at Docket No. C-2011-2267808, is dismissed.</w:t>
      </w:r>
    </w:p>
    <w:p w:rsidR="0039204D" w:rsidRPr="00010C07" w:rsidRDefault="0039204D" w:rsidP="0039204D">
      <w:pPr>
        <w:jc w:val="left"/>
        <w:rPr>
          <w:sz w:val="26"/>
          <w:szCs w:val="26"/>
        </w:rPr>
      </w:pPr>
    </w:p>
    <w:p w:rsidR="0039204D" w:rsidRPr="00010C07" w:rsidRDefault="0039204D" w:rsidP="0039204D">
      <w:pPr>
        <w:jc w:val="left"/>
        <w:rPr>
          <w:sz w:val="26"/>
          <w:szCs w:val="26"/>
        </w:rPr>
      </w:pPr>
      <w:r w:rsidRPr="00010C07">
        <w:rPr>
          <w:sz w:val="26"/>
          <w:szCs w:val="26"/>
        </w:rPr>
        <w:tab/>
      </w:r>
      <w:r w:rsidRPr="00010C07">
        <w:rPr>
          <w:sz w:val="26"/>
          <w:szCs w:val="26"/>
        </w:rPr>
        <w:tab/>
      </w:r>
      <w:r>
        <w:rPr>
          <w:sz w:val="26"/>
          <w:szCs w:val="26"/>
        </w:rPr>
        <w:t>7</w:t>
      </w:r>
      <w:r w:rsidRPr="00010C07">
        <w:rPr>
          <w:sz w:val="26"/>
          <w:szCs w:val="26"/>
        </w:rPr>
        <w:t>.</w:t>
      </w:r>
      <w:r w:rsidRPr="00010C07">
        <w:rPr>
          <w:sz w:val="26"/>
          <w:szCs w:val="26"/>
        </w:rPr>
        <w:tab/>
        <w:t>That the Complaint filed by the Office of Small Business Advocate at Docket No. C-2011-2268983, is dismissed.</w:t>
      </w:r>
    </w:p>
    <w:p w:rsidR="0039204D" w:rsidRPr="00010C07" w:rsidRDefault="0039204D" w:rsidP="0039204D">
      <w:pPr>
        <w:jc w:val="left"/>
        <w:rPr>
          <w:sz w:val="26"/>
          <w:szCs w:val="26"/>
        </w:rPr>
      </w:pPr>
    </w:p>
    <w:p w:rsidR="0039204D" w:rsidRPr="00010C07" w:rsidRDefault="0039204D" w:rsidP="0039204D">
      <w:pPr>
        <w:jc w:val="left"/>
        <w:rPr>
          <w:sz w:val="26"/>
          <w:szCs w:val="26"/>
        </w:rPr>
      </w:pPr>
      <w:r>
        <w:rPr>
          <w:sz w:val="26"/>
          <w:szCs w:val="26"/>
        </w:rPr>
        <w:lastRenderedPageBreak/>
        <w:tab/>
      </w:r>
      <w:r>
        <w:rPr>
          <w:sz w:val="26"/>
          <w:szCs w:val="26"/>
        </w:rPr>
        <w:tab/>
        <w:t>8</w:t>
      </w:r>
      <w:r w:rsidRPr="00010C07">
        <w:rPr>
          <w:sz w:val="26"/>
          <w:szCs w:val="26"/>
        </w:rPr>
        <w:t>.</w:t>
      </w:r>
      <w:r w:rsidRPr="00010C07">
        <w:rPr>
          <w:sz w:val="26"/>
          <w:szCs w:val="26"/>
        </w:rPr>
        <w:tab/>
        <w:t>That the matter of whether the amount of the net undercollection claimed for recovery from default service customers on a class basis is correct and the accounting method used is consistent with all prior Commission directives is referred to the Commission’s Bureau of Audits for the appropriate determination consistent with this Opinion and Order.</w:t>
      </w:r>
    </w:p>
    <w:p w:rsidR="0039204D" w:rsidRPr="00010C07" w:rsidRDefault="0039204D" w:rsidP="0039204D">
      <w:pPr>
        <w:jc w:val="left"/>
        <w:rPr>
          <w:sz w:val="26"/>
          <w:szCs w:val="26"/>
        </w:rPr>
      </w:pPr>
    </w:p>
    <w:p w:rsidR="0039204D" w:rsidRPr="00010C07" w:rsidRDefault="0039204D" w:rsidP="0039204D">
      <w:pPr>
        <w:jc w:val="left"/>
        <w:rPr>
          <w:sz w:val="26"/>
          <w:szCs w:val="26"/>
        </w:rPr>
      </w:pPr>
      <w:r w:rsidRPr="00010C07">
        <w:rPr>
          <w:sz w:val="26"/>
          <w:szCs w:val="26"/>
        </w:rPr>
        <w:tab/>
      </w:r>
      <w:r w:rsidRPr="00010C07">
        <w:rPr>
          <w:sz w:val="26"/>
          <w:szCs w:val="26"/>
        </w:rPr>
        <w:tab/>
      </w:r>
      <w:r>
        <w:rPr>
          <w:sz w:val="26"/>
          <w:szCs w:val="26"/>
        </w:rPr>
        <w:t>9</w:t>
      </w:r>
      <w:r w:rsidRPr="00010C07">
        <w:rPr>
          <w:sz w:val="26"/>
          <w:szCs w:val="26"/>
        </w:rPr>
        <w:t>.</w:t>
      </w:r>
      <w:r w:rsidRPr="00010C07">
        <w:rPr>
          <w:sz w:val="26"/>
          <w:szCs w:val="26"/>
        </w:rPr>
        <w:tab/>
        <w:t>That PPL Electric Utilities Corporation may recover the net undercollection of its prior period TOU program from all default service customers, by customer class, following certification by the Commission’s Bureau of Audits to the Commission’s Secretary’s Bureau that the amount of the net undercollection claimed is correct and the accounting method used is consistent with Commission directives.</w:t>
      </w:r>
    </w:p>
    <w:p w:rsidR="0039204D" w:rsidRPr="00010C07" w:rsidRDefault="0039204D" w:rsidP="0039204D">
      <w:pPr>
        <w:jc w:val="left"/>
        <w:rPr>
          <w:sz w:val="26"/>
          <w:szCs w:val="26"/>
          <w:u w:val="single"/>
        </w:rPr>
      </w:pPr>
    </w:p>
    <w:p w:rsidR="0039204D" w:rsidRPr="00010C07" w:rsidRDefault="0039204D" w:rsidP="0039204D">
      <w:pPr>
        <w:pStyle w:val="BodyText2"/>
      </w:pPr>
      <w:r w:rsidRPr="00010C07">
        <w:tab/>
      </w:r>
      <w:r w:rsidRPr="00010C07">
        <w:tab/>
        <w:t>10.</w:t>
      </w:r>
      <w:r w:rsidRPr="00010C07">
        <w:tab/>
        <w:t>That following certification by the Commission’s Bureau of Audits that the amount of the net undercollection claimed is correct, the accounting method used is consistent with Commission directives and PPL has received Commission approval of a tariff supplement, to be effective upon one day’s notice, to commence collection of the net undercollection, this record shall be marked closed.</w:t>
      </w:r>
    </w:p>
    <w:p w:rsidR="0039204D" w:rsidRPr="00010C07" w:rsidRDefault="0039204D" w:rsidP="0039204D">
      <w:pPr>
        <w:jc w:val="left"/>
      </w:pPr>
    </w:p>
    <w:p w:rsidR="003804C3" w:rsidRPr="005F77DC" w:rsidRDefault="006F4F06" w:rsidP="00DF7C0B">
      <w:pPr>
        <w:tabs>
          <w:tab w:val="left" w:pos="-720"/>
        </w:tabs>
        <w:suppressAutoHyphens/>
        <w:spacing w:line="240" w:lineRule="auto"/>
        <w:ind w:left="4410"/>
        <w:jc w:val="left"/>
        <w:rPr>
          <w:sz w:val="26"/>
          <w:szCs w:val="26"/>
        </w:rPr>
      </w:pPr>
      <w:r>
        <w:rPr>
          <w:noProof/>
        </w:rPr>
        <w:drawing>
          <wp:anchor distT="0" distB="0" distL="114300" distR="114300" simplePos="0" relativeHeight="251658240" behindDoc="1" locked="0" layoutInCell="1" allowOverlap="1" wp14:anchorId="1CF1916D" wp14:editId="7A64D158">
            <wp:simplePos x="0" y="0"/>
            <wp:positionH relativeFrom="column">
              <wp:posOffset>2580640</wp:posOffset>
            </wp:positionH>
            <wp:positionV relativeFrom="paragraph">
              <wp:posOffset>40640</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804C3" w:rsidRPr="005F77DC">
        <w:rPr>
          <w:b/>
          <w:sz w:val="26"/>
          <w:szCs w:val="26"/>
        </w:rPr>
        <w:t>BY THE COMMISSION,</w:t>
      </w:r>
    </w:p>
    <w:p w:rsidR="003804C3" w:rsidRPr="005F77DC" w:rsidRDefault="003804C3" w:rsidP="00DF7C0B">
      <w:pPr>
        <w:tabs>
          <w:tab w:val="left" w:pos="-720"/>
        </w:tabs>
        <w:suppressAutoHyphens/>
        <w:spacing w:line="240" w:lineRule="auto"/>
        <w:ind w:left="5040"/>
        <w:jc w:val="left"/>
        <w:rPr>
          <w:sz w:val="26"/>
          <w:szCs w:val="26"/>
        </w:rPr>
      </w:pPr>
    </w:p>
    <w:p w:rsidR="00DF7C0B" w:rsidRDefault="00DF7C0B" w:rsidP="00D21B46">
      <w:pPr>
        <w:tabs>
          <w:tab w:val="left" w:pos="-720"/>
        </w:tabs>
        <w:suppressAutoHyphens/>
        <w:spacing w:line="240" w:lineRule="auto"/>
        <w:ind w:left="4410"/>
        <w:jc w:val="left"/>
        <w:rPr>
          <w:sz w:val="26"/>
          <w:szCs w:val="26"/>
        </w:rPr>
      </w:pPr>
    </w:p>
    <w:p w:rsidR="00DF7C0B" w:rsidRDefault="00DF7C0B" w:rsidP="00D21B46">
      <w:pPr>
        <w:tabs>
          <w:tab w:val="left" w:pos="-720"/>
        </w:tabs>
        <w:suppressAutoHyphens/>
        <w:spacing w:line="240" w:lineRule="auto"/>
        <w:ind w:left="4410"/>
        <w:jc w:val="left"/>
        <w:rPr>
          <w:sz w:val="26"/>
          <w:szCs w:val="26"/>
        </w:rPr>
      </w:pPr>
    </w:p>
    <w:p w:rsidR="003804C3" w:rsidRPr="005F77DC" w:rsidRDefault="003804C3" w:rsidP="00D21B46">
      <w:pPr>
        <w:tabs>
          <w:tab w:val="left" w:pos="-720"/>
        </w:tabs>
        <w:suppressAutoHyphens/>
        <w:spacing w:line="240" w:lineRule="auto"/>
        <w:ind w:left="4410"/>
        <w:jc w:val="left"/>
        <w:rPr>
          <w:sz w:val="26"/>
          <w:szCs w:val="26"/>
        </w:rPr>
      </w:pPr>
      <w:r w:rsidRPr="005F77DC">
        <w:rPr>
          <w:sz w:val="26"/>
          <w:szCs w:val="26"/>
        </w:rPr>
        <w:t>Rosemary Chiavetta</w:t>
      </w:r>
    </w:p>
    <w:p w:rsidR="003804C3" w:rsidRPr="005F77DC" w:rsidRDefault="003804C3" w:rsidP="00D21B46">
      <w:pPr>
        <w:tabs>
          <w:tab w:val="left" w:pos="-720"/>
        </w:tabs>
        <w:suppressAutoHyphens/>
        <w:spacing w:line="240" w:lineRule="auto"/>
        <w:ind w:left="4410"/>
        <w:jc w:val="left"/>
        <w:rPr>
          <w:sz w:val="26"/>
          <w:szCs w:val="26"/>
        </w:rPr>
      </w:pPr>
      <w:r w:rsidRPr="005F77DC">
        <w:rPr>
          <w:sz w:val="26"/>
          <w:szCs w:val="26"/>
        </w:rPr>
        <w:t>Secretary</w:t>
      </w:r>
    </w:p>
    <w:p w:rsidR="00DF7C0B" w:rsidRPr="005F77DC" w:rsidRDefault="00DF7C0B" w:rsidP="00DF7C0B">
      <w:pPr>
        <w:tabs>
          <w:tab w:val="left" w:pos="-720"/>
        </w:tabs>
        <w:suppressAutoHyphens/>
        <w:spacing w:line="240" w:lineRule="auto"/>
        <w:jc w:val="left"/>
        <w:rPr>
          <w:sz w:val="26"/>
          <w:szCs w:val="26"/>
        </w:rPr>
      </w:pPr>
    </w:p>
    <w:p w:rsidR="003804C3" w:rsidRPr="005F77DC" w:rsidRDefault="003804C3" w:rsidP="00006531">
      <w:pPr>
        <w:tabs>
          <w:tab w:val="left" w:pos="-720"/>
        </w:tabs>
        <w:suppressAutoHyphens/>
        <w:jc w:val="left"/>
        <w:rPr>
          <w:sz w:val="26"/>
          <w:szCs w:val="26"/>
        </w:rPr>
      </w:pPr>
      <w:r w:rsidRPr="005F77DC">
        <w:rPr>
          <w:sz w:val="26"/>
          <w:szCs w:val="26"/>
        </w:rPr>
        <w:t>(SEAL)</w:t>
      </w:r>
    </w:p>
    <w:p w:rsidR="003804C3" w:rsidRPr="005F77DC" w:rsidRDefault="003804C3" w:rsidP="00006531">
      <w:pPr>
        <w:tabs>
          <w:tab w:val="left" w:pos="-720"/>
        </w:tabs>
        <w:suppressAutoHyphens/>
        <w:jc w:val="left"/>
        <w:rPr>
          <w:sz w:val="26"/>
          <w:szCs w:val="26"/>
        </w:rPr>
      </w:pPr>
      <w:r w:rsidRPr="005F77DC">
        <w:rPr>
          <w:sz w:val="26"/>
          <w:szCs w:val="26"/>
        </w:rPr>
        <w:t xml:space="preserve">ORDER ADOPTED:  </w:t>
      </w:r>
      <w:r w:rsidR="00331A3B">
        <w:rPr>
          <w:sz w:val="26"/>
          <w:szCs w:val="26"/>
        </w:rPr>
        <w:t>August 30</w:t>
      </w:r>
      <w:r w:rsidRPr="005F77DC">
        <w:rPr>
          <w:sz w:val="26"/>
          <w:szCs w:val="26"/>
        </w:rPr>
        <w:t>, 2012</w:t>
      </w:r>
    </w:p>
    <w:p w:rsidR="003804C3" w:rsidRPr="00F048FE" w:rsidRDefault="003804C3" w:rsidP="00DF7C0B">
      <w:pPr>
        <w:tabs>
          <w:tab w:val="left" w:pos="-720"/>
        </w:tabs>
        <w:suppressAutoHyphens/>
        <w:jc w:val="left"/>
        <w:rPr>
          <w:sz w:val="26"/>
          <w:szCs w:val="26"/>
        </w:rPr>
      </w:pPr>
      <w:r w:rsidRPr="005F77DC">
        <w:rPr>
          <w:sz w:val="26"/>
          <w:szCs w:val="26"/>
        </w:rPr>
        <w:t xml:space="preserve">ORDER ENTERED:  </w:t>
      </w:r>
      <w:r w:rsidR="006F4F06">
        <w:rPr>
          <w:sz w:val="26"/>
          <w:szCs w:val="26"/>
        </w:rPr>
        <w:t>August 30, 2012</w:t>
      </w:r>
      <w:bookmarkStart w:id="21" w:name="_GoBack"/>
      <w:bookmarkEnd w:id="21"/>
    </w:p>
    <w:sectPr w:rsidR="003804C3" w:rsidRPr="00F048FE" w:rsidSect="007474A5">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BF9" w:rsidRDefault="00D17BF9">
      <w:pPr>
        <w:spacing w:line="240" w:lineRule="auto"/>
      </w:pPr>
      <w:r>
        <w:separator/>
      </w:r>
    </w:p>
  </w:endnote>
  <w:endnote w:type="continuationSeparator" w:id="0">
    <w:p w:rsidR="00D17BF9" w:rsidRDefault="00D17B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9510475"/>
      <w:docPartObj>
        <w:docPartGallery w:val="Page Numbers (Bottom of Page)"/>
        <w:docPartUnique/>
      </w:docPartObj>
    </w:sdtPr>
    <w:sdtEndPr>
      <w:rPr>
        <w:noProof/>
        <w:sz w:val="26"/>
        <w:szCs w:val="26"/>
      </w:rPr>
    </w:sdtEndPr>
    <w:sdtContent>
      <w:p w:rsidR="00837604" w:rsidRPr="009606F4" w:rsidRDefault="00837604" w:rsidP="00085F47">
        <w:pPr>
          <w:pStyle w:val="Footer"/>
          <w:rPr>
            <w:sz w:val="26"/>
            <w:szCs w:val="26"/>
          </w:rPr>
        </w:pPr>
        <w:r w:rsidRPr="009606F4">
          <w:rPr>
            <w:sz w:val="26"/>
            <w:szCs w:val="26"/>
          </w:rPr>
          <w:fldChar w:fldCharType="begin"/>
        </w:r>
        <w:r w:rsidRPr="009606F4">
          <w:rPr>
            <w:sz w:val="26"/>
            <w:szCs w:val="26"/>
          </w:rPr>
          <w:instrText xml:space="preserve"> PAGE   \* MERGEFORMAT </w:instrText>
        </w:r>
        <w:r w:rsidRPr="009606F4">
          <w:rPr>
            <w:sz w:val="26"/>
            <w:szCs w:val="26"/>
          </w:rPr>
          <w:fldChar w:fldCharType="separate"/>
        </w:r>
        <w:r w:rsidR="006F4F06">
          <w:rPr>
            <w:noProof/>
            <w:sz w:val="26"/>
            <w:szCs w:val="26"/>
          </w:rPr>
          <w:t>25</w:t>
        </w:r>
        <w:r w:rsidRPr="009606F4">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BF9" w:rsidRDefault="00D17BF9" w:rsidP="002D34B2">
      <w:pPr>
        <w:spacing w:line="240" w:lineRule="auto"/>
        <w:jc w:val="left"/>
      </w:pPr>
      <w:r>
        <w:separator/>
      </w:r>
    </w:p>
  </w:footnote>
  <w:footnote w:type="continuationSeparator" w:id="0">
    <w:p w:rsidR="00D17BF9" w:rsidRDefault="00D17BF9">
      <w:pPr>
        <w:spacing w:line="240" w:lineRule="auto"/>
      </w:pPr>
      <w:r>
        <w:continuationSeparator/>
      </w:r>
    </w:p>
  </w:footnote>
  <w:footnote w:type="continuationNotice" w:id="1">
    <w:p w:rsidR="00D17BF9" w:rsidRDefault="00D17BF9">
      <w:pPr>
        <w:spacing w:line="240" w:lineRule="auto"/>
      </w:pPr>
    </w:p>
  </w:footnote>
  <w:footnote w:id="2">
    <w:p w:rsidR="000B3111" w:rsidRPr="000B3111" w:rsidRDefault="000B3111" w:rsidP="000B3111">
      <w:pPr>
        <w:pStyle w:val="FootnoteText"/>
        <w:jc w:val="left"/>
        <w:rPr>
          <w:sz w:val="26"/>
          <w:szCs w:val="26"/>
        </w:rPr>
      </w:pPr>
      <w:r>
        <w:rPr>
          <w:sz w:val="26"/>
          <w:szCs w:val="26"/>
        </w:rPr>
        <w:tab/>
      </w:r>
      <w:r w:rsidRPr="000B3111">
        <w:rPr>
          <w:rStyle w:val="FootnoteReference"/>
          <w:sz w:val="26"/>
          <w:szCs w:val="26"/>
        </w:rPr>
        <w:footnoteRef/>
      </w:r>
      <w:r>
        <w:rPr>
          <w:sz w:val="26"/>
          <w:szCs w:val="26"/>
        </w:rPr>
        <w:tab/>
        <w:t>The residential class undercollection is approximately $1.9 million while the small C&amp;I undercollection is approximately $8,000.  PPL St. No 1 at 8.</w:t>
      </w:r>
      <w:r w:rsidRPr="000B3111">
        <w:rPr>
          <w:sz w:val="26"/>
          <w:szCs w:val="26"/>
        </w:rPr>
        <w:t xml:space="preserve"> </w:t>
      </w:r>
    </w:p>
  </w:footnote>
  <w:footnote w:id="3">
    <w:p w:rsidR="00CF6C13" w:rsidRPr="00CF6C13" w:rsidRDefault="00CF6C13" w:rsidP="00CF6C13">
      <w:pPr>
        <w:pStyle w:val="FootnoteText"/>
        <w:jc w:val="left"/>
        <w:rPr>
          <w:sz w:val="26"/>
          <w:szCs w:val="26"/>
        </w:rPr>
      </w:pPr>
      <w:r>
        <w:rPr>
          <w:sz w:val="26"/>
          <w:szCs w:val="26"/>
        </w:rPr>
        <w:tab/>
      </w:r>
      <w:r w:rsidRPr="00CF6C13">
        <w:rPr>
          <w:rStyle w:val="FootnoteReference"/>
          <w:sz w:val="26"/>
          <w:szCs w:val="26"/>
        </w:rPr>
        <w:footnoteRef/>
      </w:r>
      <w:r>
        <w:rPr>
          <w:sz w:val="26"/>
          <w:szCs w:val="26"/>
        </w:rPr>
        <w:tab/>
        <w:t>A licensed supplier of generation, other than a retail customer’s default service provider.</w:t>
      </w:r>
      <w:r w:rsidRPr="00CF6C13">
        <w:rPr>
          <w:sz w:val="26"/>
          <w:szCs w:val="26"/>
        </w:rPr>
        <w:t xml:space="preserve"> </w:t>
      </w:r>
      <w:r>
        <w:rPr>
          <w:sz w:val="26"/>
          <w:szCs w:val="26"/>
        </w:rPr>
        <w:t xml:space="preserve">  </w:t>
      </w:r>
      <w:r>
        <w:rPr>
          <w:i/>
          <w:sz w:val="26"/>
          <w:szCs w:val="26"/>
        </w:rPr>
        <w:t>See</w:t>
      </w:r>
      <w:r>
        <w:rPr>
          <w:sz w:val="26"/>
          <w:szCs w:val="26"/>
        </w:rPr>
        <w:t xml:space="preserve"> 66 Pa. C. S. § 2803 – Definitions.</w:t>
      </w:r>
    </w:p>
  </w:footnote>
  <w:footnote w:id="4">
    <w:p w:rsidR="00D9241E" w:rsidRPr="004E2F09" w:rsidRDefault="00D9241E" w:rsidP="00D9241E">
      <w:pPr>
        <w:pStyle w:val="FootnoteText"/>
        <w:jc w:val="left"/>
        <w:rPr>
          <w:sz w:val="26"/>
          <w:szCs w:val="26"/>
        </w:rPr>
      </w:pPr>
      <w:r>
        <w:rPr>
          <w:sz w:val="26"/>
          <w:szCs w:val="26"/>
        </w:rPr>
        <w:tab/>
      </w:r>
      <w:r w:rsidRPr="004E2F09">
        <w:rPr>
          <w:rStyle w:val="FootnoteReference"/>
          <w:sz w:val="26"/>
          <w:szCs w:val="26"/>
        </w:rPr>
        <w:footnoteRef/>
      </w:r>
      <w:r w:rsidRPr="004E2F09">
        <w:rPr>
          <w:sz w:val="26"/>
          <w:szCs w:val="26"/>
        </w:rPr>
        <w:t xml:space="preserve"> </w:t>
      </w:r>
      <w:r w:rsidRPr="004E2F09">
        <w:rPr>
          <w:sz w:val="26"/>
          <w:szCs w:val="26"/>
        </w:rPr>
        <w:tab/>
      </w:r>
      <w:r w:rsidRPr="004E2F09">
        <w:rPr>
          <w:i/>
          <w:sz w:val="26"/>
          <w:szCs w:val="26"/>
        </w:rPr>
        <w:t>See</w:t>
      </w:r>
      <w:r w:rsidRPr="004E2F09">
        <w:rPr>
          <w:sz w:val="26"/>
          <w:szCs w:val="26"/>
        </w:rPr>
        <w:t>, for example, the Company's denial of having evaluated its own data or the programs of other utilities or reports in developing this program.  Epstein M</w:t>
      </w:r>
      <w:r w:rsidR="009B0307">
        <w:rPr>
          <w:sz w:val="26"/>
          <w:szCs w:val="26"/>
        </w:rPr>
        <w:t>.</w:t>
      </w:r>
      <w:r w:rsidRPr="004E2F09">
        <w:rPr>
          <w:sz w:val="26"/>
          <w:szCs w:val="26"/>
        </w:rPr>
        <w:t>B</w:t>
      </w:r>
      <w:r w:rsidR="009B0307">
        <w:rPr>
          <w:sz w:val="26"/>
          <w:szCs w:val="26"/>
        </w:rPr>
        <w:t>.</w:t>
      </w:r>
      <w:r w:rsidRPr="004E2F09">
        <w:rPr>
          <w:sz w:val="26"/>
          <w:szCs w:val="26"/>
        </w:rPr>
        <w:t xml:space="preserve"> at 14.  </w:t>
      </w:r>
    </w:p>
  </w:footnote>
  <w:footnote w:id="5">
    <w:p w:rsidR="000A4E3F" w:rsidRPr="000A4E3F" w:rsidRDefault="000A4E3F" w:rsidP="000A4E3F">
      <w:pPr>
        <w:pStyle w:val="FootnoteText"/>
        <w:jc w:val="both"/>
        <w:rPr>
          <w:sz w:val="26"/>
          <w:szCs w:val="26"/>
        </w:rPr>
      </w:pPr>
      <w:r>
        <w:rPr>
          <w:sz w:val="26"/>
          <w:szCs w:val="26"/>
        </w:rPr>
        <w:tab/>
      </w:r>
      <w:r w:rsidRPr="000A4E3F">
        <w:rPr>
          <w:rStyle w:val="FootnoteReference"/>
          <w:sz w:val="26"/>
          <w:szCs w:val="26"/>
        </w:rPr>
        <w:footnoteRef/>
      </w:r>
      <w:r w:rsidRPr="000A4E3F">
        <w:rPr>
          <w:sz w:val="26"/>
          <w:szCs w:val="26"/>
        </w:rPr>
        <w:t xml:space="preserve"> </w:t>
      </w:r>
      <w:r w:rsidRPr="000A4E3F">
        <w:rPr>
          <w:sz w:val="26"/>
          <w:szCs w:val="26"/>
        </w:rPr>
        <w:tab/>
        <w:t>Leaving the residential TOU rate schedule in place but adjusting the on-peak and off-peak rates would mean that customers would not have to re-enter the program on June 1, 2013</w:t>
      </w:r>
      <w:r w:rsidR="00C429DC">
        <w:rPr>
          <w:sz w:val="26"/>
          <w:szCs w:val="26"/>
        </w:rPr>
        <w:t>,</w:t>
      </w:r>
      <w:r w:rsidRPr="000A4E3F">
        <w:rPr>
          <w:sz w:val="26"/>
          <w:szCs w:val="26"/>
        </w:rPr>
        <w:t xml:space="preserve"> when a new rate plan is established for the TOU program.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2526B2E"/>
    <w:lvl w:ilvl="0">
      <w:start w:val="1"/>
      <w:numFmt w:val="bullet"/>
      <w:pStyle w:val="ListBullet2"/>
      <w:lvlText w:val=""/>
      <w:lvlJc w:val="left"/>
      <w:pPr>
        <w:tabs>
          <w:tab w:val="num" w:pos="720"/>
        </w:tabs>
        <w:ind w:left="720" w:hanging="360"/>
      </w:pPr>
      <w:rPr>
        <w:rFonts w:ascii="Symbol" w:hAnsi="Symbol" w:hint="default"/>
        <w:sz w:val="20"/>
      </w:rPr>
    </w:lvl>
  </w:abstractNum>
  <w:abstractNum w:abstractNumId="1">
    <w:nsid w:val="FFFFFF89"/>
    <w:multiLevelType w:val="singleLevel"/>
    <w:tmpl w:val="BCEE9A4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456B629B"/>
    <w:multiLevelType w:val="multilevel"/>
    <w:tmpl w:val="B8869C40"/>
    <w:name w:val="zzmpPleading2||Pleading2|2|1|1|1|0|45||1|0|32||1|0|32||1|0|32||1|0|32||1|0|32||1|0|32||1|0|32||1|0|32||"/>
    <w:lvl w:ilvl="0">
      <w:start w:val="1"/>
      <w:numFmt w:val="upperRoman"/>
      <w:pStyle w:val="Pleading2L1"/>
      <w:lvlText w:val="%1."/>
      <w:lvlJc w:val="left"/>
      <w:pPr>
        <w:tabs>
          <w:tab w:val="num" w:pos="0"/>
        </w:tabs>
        <w:ind w:left="0" w:firstLine="0"/>
      </w:pPr>
      <w:rPr>
        <w:rFonts w:ascii="Times New Roman" w:hAnsi="Times New Roman"/>
        <w:b/>
        <w:i w:val="0"/>
        <w:caps w:val="0"/>
        <w:smallCaps w:val="0"/>
        <w:strike w:val="0"/>
        <w:dstrike w:val="0"/>
        <w:outline w:val="0"/>
        <w:shadow w:val="0"/>
        <w:emboss w:val="0"/>
        <w:imprint w:val="0"/>
        <w:vanish w:val="0"/>
        <w:sz w:val="24"/>
        <w:u w:val="none"/>
        <w:vertAlign w:val="baseline"/>
      </w:rPr>
    </w:lvl>
    <w:lvl w:ilvl="1">
      <w:start w:val="1"/>
      <w:numFmt w:val="upperLetter"/>
      <w:pStyle w:val="Pleading2L2"/>
      <w:lvlText w:val="%2."/>
      <w:lvlJc w:val="left"/>
      <w:pPr>
        <w:tabs>
          <w:tab w:val="num" w:pos="2250"/>
        </w:tabs>
        <w:ind w:left="153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2">
      <w:start w:val="1"/>
      <w:numFmt w:val="decimal"/>
      <w:lvlRestart w:val="0"/>
      <w:pStyle w:val="Pleading2L3"/>
      <w:lvlText w:val="%3."/>
      <w:lvlJc w:val="left"/>
      <w:pPr>
        <w:tabs>
          <w:tab w:val="num" w:pos="2970"/>
        </w:tabs>
        <w:ind w:left="225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3">
      <w:start w:val="1"/>
      <w:numFmt w:val="lowerLetter"/>
      <w:pStyle w:val="Pleading2L4"/>
      <w:lvlText w:val="%4."/>
      <w:lvlJc w:val="left"/>
      <w:pPr>
        <w:tabs>
          <w:tab w:val="num" w:pos="2880"/>
        </w:tabs>
        <w:ind w:left="216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4">
      <w:start w:val="1"/>
      <w:numFmt w:val="decimal"/>
      <w:pStyle w:val="Pleading2L5"/>
      <w:lvlText w:val="(%5)"/>
      <w:lvlJc w:val="left"/>
      <w:pPr>
        <w:tabs>
          <w:tab w:val="num" w:pos="2880"/>
        </w:tabs>
        <w:ind w:left="2880" w:hanging="720"/>
      </w:pPr>
      <w:rPr>
        <w:rFonts w:ascii="Times New Roman" w:hAnsi="Times New Roman"/>
        <w:caps w:val="0"/>
        <w:smallCaps w:val="0"/>
        <w:strike w:val="0"/>
        <w:dstrike w:val="0"/>
        <w:outline w:val="0"/>
        <w:shadow w:val="0"/>
        <w:emboss w:val="0"/>
        <w:imprint w:val="0"/>
        <w:vanish w:val="0"/>
        <w:sz w:val="24"/>
        <w:u w:val="none"/>
        <w:vertAlign w:val="baseline"/>
      </w:rPr>
    </w:lvl>
    <w:lvl w:ilvl="5">
      <w:start w:val="1"/>
      <w:numFmt w:val="lowerLetter"/>
      <w:pStyle w:val="Pleading2L6"/>
      <w:lvlText w:val="(%6)"/>
      <w:lvlJc w:val="left"/>
      <w:pPr>
        <w:tabs>
          <w:tab w:val="num" w:pos="3600"/>
        </w:tabs>
        <w:ind w:left="360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6">
      <w:start w:val="1"/>
      <w:numFmt w:val="lowerRoman"/>
      <w:pStyle w:val="Pleading2L7"/>
      <w:lvlText w:val="(%7)"/>
      <w:lvlJc w:val="left"/>
      <w:pPr>
        <w:tabs>
          <w:tab w:val="num" w:pos="4320"/>
        </w:tabs>
        <w:ind w:left="432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7">
      <w:start w:val="1"/>
      <w:numFmt w:val="lowerLetter"/>
      <w:pStyle w:val="Pleading2L8"/>
      <w:lvlText w:val="%8)"/>
      <w:lvlJc w:val="left"/>
      <w:pPr>
        <w:tabs>
          <w:tab w:val="num" w:pos="5040"/>
        </w:tabs>
        <w:ind w:left="504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8">
      <w:start w:val="1"/>
      <w:numFmt w:val="lowerRoman"/>
      <w:pStyle w:val="Pleading2L9"/>
      <w:lvlText w:val="%9)"/>
      <w:lvlJc w:val="left"/>
      <w:pPr>
        <w:tabs>
          <w:tab w:val="num" w:pos="5760"/>
        </w:tabs>
        <w:ind w:left="576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4B6"/>
    <w:rsid w:val="00000BE6"/>
    <w:rsid w:val="00001E3A"/>
    <w:rsid w:val="00001EF6"/>
    <w:rsid w:val="000028EA"/>
    <w:rsid w:val="00003D11"/>
    <w:rsid w:val="000045C4"/>
    <w:rsid w:val="00004AA3"/>
    <w:rsid w:val="00005558"/>
    <w:rsid w:val="00006531"/>
    <w:rsid w:val="00006A82"/>
    <w:rsid w:val="000079FE"/>
    <w:rsid w:val="00012104"/>
    <w:rsid w:val="00012655"/>
    <w:rsid w:val="0001305A"/>
    <w:rsid w:val="00013479"/>
    <w:rsid w:val="0001430C"/>
    <w:rsid w:val="00016E55"/>
    <w:rsid w:val="0001747F"/>
    <w:rsid w:val="0002023D"/>
    <w:rsid w:val="00020760"/>
    <w:rsid w:val="000208BE"/>
    <w:rsid w:val="0002105C"/>
    <w:rsid w:val="0002110E"/>
    <w:rsid w:val="00022B3F"/>
    <w:rsid w:val="00025D7A"/>
    <w:rsid w:val="00026A69"/>
    <w:rsid w:val="000304BF"/>
    <w:rsid w:val="00030BEE"/>
    <w:rsid w:val="00032379"/>
    <w:rsid w:val="0003306B"/>
    <w:rsid w:val="00033303"/>
    <w:rsid w:val="000338CD"/>
    <w:rsid w:val="00035BB8"/>
    <w:rsid w:val="00036086"/>
    <w:rsid w:val="00036D57"/>
    <w:rsid w:val="000372C5"/>
    <w:rsid w:val="00037484"/>
    <w:rsid w:val="000377F5"/>
    <w:rsid w:val="00037E0F"/>
    <w:rsid w:val="00040EB6"/>
    <w:rsid w:val="00041A30"/>
    <w:rsid w:val="00042776"/>
    <w:rsid w:val="00044B8B"/>
    <w:rsid w:val="00044FC0"/>
    <w:rsid w:val="00045023"/>
    <w:rsid w:val="0004643F"/>
    <w:rsid w:val="000466BF"/>
    <w:rsid w:val="00046714"/>
    <w:rsid w:val="00046940"/>
    <w:rsid w:val="000478E2"/>
    <w:rsid w:val="000541C0"/>
    <w:rsid w:val="0005423F"/>
    <w:rsid w:val="00055078"/>
    <w:rsid w:val="00055CC5"/>
    <w:rsid w:val="000576ED"/>
    <w:rsid w:val="000605B6"/>
    <w:rsid w:val="00061278"/>
    <w:rsid w:val="00062F68"/>
    <w:rsid w:val="000634EB"/>
    <w:rsid w:val="00063801"/>
    <w:rsid w:val="00063968"/>
    <w:rsid w:val="00063B1D"/>
    <w:rsid w:val="00064BF7"/>
    <w:rsid w:val="0006752D"/>
    <w:rsid w:val="000676B2"/>
    <w:rsid w:val="00067CBC"/>
    <w:rsid w:val="00070AA1"/>
    <w:rsid w:val="00071A36"/>
    <w:rsid w:val="00072595"/>
    <w:rsid w:val="000728FA"/>
    <w:rsid w:val="00072D46"/>
    <w:rsid w:val="00073BE1"/>
    <w:rsid w:val="00074065"/>
    <w:rsid w:val="00075B3F"/>
    <w:rsid w:val="00076092"/>
    <w:rsid w:val="000779CB"/>
    <w:rsid w:val="00077CCF"/>
    <w:rsid w:val="00082363"/>
    <w:rsid w:val="000852E5"/>
    <w:rsid w:val="00085A52"/>
    <w:rsid w:val="00085F47"/>
    <w:rsid w:val="00086449"/>
    <w:rsid w:val="00086569"/>
    <w:rsid w:val="000877B4"/>
    <w:rsid w:val="000902E3"/>
    <w:rsid w:val="0009043B"/>
    <w:rsid w:val="00091DF7"/>
    <w:rsid w:val="00091F08"/>
    <w:rsid w:val="0009220F"/>
    <w:rsid w:val="00092B4E"/>
    <w:rsid w:val="00092E44"/>
    <w:rsid w:val="0009318F"/>
    <w:rsid w:val="000931F7"/>
    <w:rsid w:val="00093241"/>
    <w:rsid w:val="00093562"/>
    <w:rsid w:val="00093E43"/>
    <w:rsid w:val="00094E20"/>
    <w:rsid w:val="00096B3F"/>
    <w:rsid w:val="00097D58"/>
    <w:rsid w:val="00097D77"/>
    <w:rsid w:val="000A2192"/>
    <w:rsid w:val="000A3286"/>
    <w:rsid w:val="000A4551"/>
    <w:rsid w:val="000A4E3F"/>
    <w:rsid w:val="000A4E7A"/>
    <w:rsid w:val="000A5DEA"/>
    <w:rsid w:val="000A5FDF"/>
    <w:rsid w:val="000A652E"/>
    <w:rsid w:val="000A65A9"/>
    <w:rsid w:val="000A770B"/>
    <w:rsid w:val="000B0F96"/>
    <w:rsid w:val="000B1BFC"/>
    <w:rsid w:val="000B2D0C"/>
    <w:rsid w:val="000B3111"/>
    <w:rsid w:val="000B339A"/>
    <w:rsid w:val="000B5A9D"/>
    <w:rsid w:val="000B7111"/>
    <w:rsid w:val="000B7299"/>
    <w:rsid w:val="000C0311"/>
    <w:rsid w:val="000C2696"/>
    <w:rsid w:val="000C2A2B"/>
    <w:rsid w:val="000C34F3"/>
    <w:rsid w:val="000C4163"/>
    <w:rsid w:val="000C4FBE"/>
    <w:rsid w:val="000C5122"/>
    <w:rsid w:val="000C5976"/>
    <w:rsid w:val="000C6B6E"/>
    <w:rsid w:val="000C6EF0"/>
    <w:rsid w:val="000C7A4F"/>
    <w:rsid w:val="000D1727"/>
    <w:rsid w:val="000D29BA"/>
    <w:rsid w:val="000D3E49"/>
    <w:rsid w:val="000D4DBB"/>
    <w:rsid w:val="000D5763"/>
    <w:rsid w:val="000D5B04"/>
    <w:rsid w:val="000D7E43"/>
    <w:rsid w:val="000E2B61"/>
    <w:rsid w:val="000E2F36"/>
    <w:rsid w:val="000E44C4"/>
    <w:rsid w:val="000E49E6"/>
    <w:rsid w:val="000E4A42"/>
    <w:rsid w:val="000E503F"/>
    <w:rsid w:val="000E6827"/>
    <w:rsid w:val="000E71B3"/>
    <w:rsid w:val="000E7515"/>
    <w:rsid w:val="000E7EF5"/>
    <w:rsid w:val="000F1890"/>
    <w:rsid w:val="000F2E5F"/>
    <w:rsid w:val="000F3819"/>
    <w:rsid w:val="000F38AC"/>
    <w:rsid w:val="000F47F1"/>
    <w:rsid w:val="000F51F1"/>
    <w:rsid w:val="000F6695"/>
    <w:rsid w:val="000F678B"/>
    <w:rsid w:val="000F680A"/>
    <w:rsid w:val="000F78BE"/>
    <w:rsid w:val="0010080E"/>
    <w:rsid w:val="001021FB"/>
    <w:rsid w:val="00102560"/>
    <w:rsid w:val="00102A11"/>
    <w:rsid w:val="00102A77"/>
    <w:rsid w:val="0010345F"/>
    <w:rsid w:val="00103E64"/>
    <w:rsid w:val="00103F42"/>
    <w:rsid w:val="0010420D"/>
    <w:rsid w:val="00104518"/>
    <w:rsid w:val="0010550F"/>
    <w:rsid w:val="00106251"/>
    <w:rsid w:val="00106EE8"/>
    <w:rsid w:val="001077F1"/>
    <w:rsid w:val="00113B1B"/>
    <w:rsid w:val="001155EF"/>
    <w:rsid w:val="00115BB6"/>
    <w:rsid w:val="00116578"/>
    <w:rsid w:val="001170B8"/>
    <w:rsid w:val="0012035F"/>
    <w:rsid w:val="00120D02"/>
    <w:rsid w:val="00120DAF"/>
    <w:rsid w:val="00120DE8"/>
    <w:rsid w:val="00121291"/>
    <w:rsid w:val="001219A5"/>
    <w:rsid w:val="0012343C"/>
    <w:rsid w:val="0012351C"/>
    <w:rsid w:val="00124101"/>
    <w:rsid w:val="00124AFE"/>
    <w:rsid w:val="00124D49"/>
    <w:rsid w:val="00126739"/>
    <w:rsid w:val="0012770C"/>
    <w:rsid w:val="0013068D"/>
    <w:rsid w:val="00130A2C"/>
    <w:rsid w:val="00132DE6"/>
    <w:rsid w:val="00135526"/>
    <w:rsid w:val="001369A9"/>
    <w:rsid w:val="00137FB5"/>
    <w:rsid w:val="00140273"/>
    <w:rsid w:val="0014105E"/>
    <w:rsid w:val="0014149A"/>
    <w:rsid w:val="00143142"/>
    <w:rsid w:val="00143C25"/>
    <w:rsid w:val="00144D2D"/>
    <w:rsid w:val="00145327"/>
    <w:rsid w:val="00150084"/>
    <w:rsid w:val="0015053C"/>
    <w:rsid w:val="00150BAA"/>
    <w:rsid w:val="001513F6"/>
    <w:rsid w:val="00151E76"/>
    <w:rsid w:val="00152794"/>
    <w:rsid w:val="00152AF3"/>
    <w:rsid w:val="00152FD8"/>
    <w:rsid w:val="001537E3"/>
    <w:rsid w:val="00153C39"/>
    <w:rsid w:val="00154F0C"/>
    <w:rsid w:val="0015569F"/>
    <w:rsid w:val="00155E87"/>
    <w:rsid w:val="0015737B"/>
    <w:rsid w:val="00157490"/>
    <w:rsid w:val="00157E46"/>
    <w:rsid w:val="001627EF"/>
    <w:rsid w:val="00162A12"/>
    <w:rsid w:val="00162D2F"/>
    <w:rsid w:val="0016332A"/>
    <w:rsid w:val="001633C3"/>
    <w:rsid w:val="0016435F"/>
    <w:rsid w:val="0016521D"/>
    <w:rsid w:val="001658B2"/>
    <w:rsid w:val="00165CCA"/>
    <w:rsid w:val="00170FE6"/>
    <w:rsid w:val="00171416"/>
    <w:rsid w:val="00172857"/>
    <w:rsid w:val="00172B0B"/>
    <w:rsid w:val="00172E8C"/>
    <w:rsid w:val="00173570"/>
    <w:rsid w:val="00173C70"/>
    <w:rsid w:val="00174D28"/>
    <w:rsid w:val="00174F16"/>
    <w:rsid w:val="00174F7E"/>
    <w:rsid w:val="00175791"/>
    <w:rsid w:val="0017580D"/>
    <w:rsid w:val="001758F8"/>
    <w:rsid w:val="00175F76"/>
    <w:rsid w:val="00176528"/>
    <w:rsid w:val="00176C44"/>
    <w:rsid w:val="00180A5C"/>
    <w:rsid w:val="00181AB1"/>
    <w:rsid w:val="001822CA"/>
    <w:rsid w:val="00183719"/>
    <w:rsid w:val="001857EA"/>
    <w:rsid w:val="00186328"/>
    <w:rsid w:val="001868F5"/>
    <w:rsid w:val="00187435"/>
    <w:rsid w:val="00190B2C"/>
    <w:rsid w:val="00191522"/>
    <w:rsid w:val="00192EB5"/>
    <w:rsid w:val="001951BD"/>
    <w:rsid w:val="00195C2B"/>
    <w:rsid w:val="001966CB"/>
    <w:rsid w:val="001969A7"/>
    <w:rsid w:val="00196C5A"/>
    <w:rsid w:val="0019791B"/>
    <w:rsid w:val="00197E5D"/>
    <w:rsid w:val="001A01C0"/>
    <w:rsid w:val="001A0F84"/>
    <w:rsid w:val="001A103D"/>
    <w:rsid w:val="001A1644"/>
    <w:rsid w:val="001A19C5"/>
    <w:rsid w:val="001A1E85"/>
    <w:rsid w:val="001A216A"/>
    <w:rsid w:val="001A33F5"/>
    <w:rsid w:val="001A3A31"/>
    <w:rsid w:val="001A3D48"/>
    <w:rsid w:val="001A5421"/>
    <w:rsid w:val="001A6541"/>
    <w:rsid w:val="001A7F95"/>
    <w:rsid w:val="001B06B8"/>
    <w:rsid w:val="001B1B1D"/>
    <w:rsid w:val="001B1BDF"/>
    <w:rsid w:val="001B1F2F"/>
    <w:rsid w:val="001B3572"/>
    <w:rsid w:val="001B3D6F"/>
    <w:rsid w:val="001B477B"/>
    <w:rsid w:val="001B4B2B"/>
    <w:rsid w:val="001B4EC8"/>
    <w:rsid w:val="001B6470"/>
    <w:rsid w:val="001B760E"/>
    <w:rsid w:val="001B7637"/>
    <w:rsid w:val="001C0410"/>
    <w:rsid w:val="001C054D"/>
    <w:rsid w:val="001C2234"/>
    <w:rsid w:val="001C23B6"/>
    <w:rsid w:val="001C537D"/>
    <w:rsid w:val="001C5B14"/>
    <w:rsid w:val="001C64B4"/>
    <w:rsid w:val="001C65CD"/>
    <w:rsid w:val="001D05DB"/>
    <w:rsid w:val="001D0876"/>
    <w:rsid w:val="001D0F91"/>
    <w:rsid w:val="001D15DD"/>
    <w:rsid w:val="001D17CA"/>
    <w:rsid w:val="001D1F1B"/>
    <w:rsid w:val="001D4223"/>
    <w:rsid w:val="001D556B"/>
    <w:rsid w:val="001D6EFE"/>
    <w:rsid w:val="001D7177"/>
    <w:rsid w:val="001E2642"/>
    <w:rsid w:val="001E2A4A"/>
    <w:rsid w:val="001E3344"/>
    <w:rsid w:val="001E3C9A"/>
    <w:rsid w:val="001E5447"/>
    <w:rsid w:val="001E5B04"/>
    <w:rsid w:val="001E5DF5"/>
    <w:rsid w:val="001E604F"/>
    <w:rsid w:val="001E6CB9"/>
    <w:rsid w:val="001E76FD"/>
    <w:rsid w:val="001E79A7"/>
    <w:rsid w:val="001F0835"/>
    <w:rsid w:val="001F09A7"/>
    <w:rsid w:val="001F1049"/>
    <w:rsid w:val="001F1139"/>
    <w:rsid w:val="001F1916"/>
    <w:rsid w:val="001F1D55"/>
    <w:rsid w:val="001F2A33"/>
    <w:rsid w:val="001F33A3"/>
    <w:rsid w:val="001F4882"/>
    <w:rsid w:val="001F49C0"/>
    <w:rsid w:val="001F49E7"/>
    <w:rsid w:val="001F4AE5"/>
    <w:rsid w:val="001F4DA0"/>
    <w:rsid w:val="001F65B4"/>
    <w:rsid w:val="001F6E43"/>
    <w:rsid w:val="001F6F77"/>
    <w:rsid w:val="001F7393"/>
    <w:rsid w:val="001F74FC"/>
    <w:rsid w:val="001F77B2"/>
    <w:rsid w:val="002004A8"/>
    <w:rsid w:val="002019B1"/>
    <w:rsid w:val="00201E65"/>
    <w:rsid w:val="00202978"/>
    <w:rsid w:val="00205C33"/>
    <w:rsid w:val="00206449"/>
    <w:rsid w:val="00207A5E"/>
    <w:rsid w:val="0021162B"/>
    <w:rsid w:val="002125E4"/>
    <w:rsid w:val="00212C49"/>
    <w:rsid w:val="002131B7"/>
    <w:rsid w:val="00214E49"/>
    <w:rsid w:val="00215381"/>
    <w:rsid w:val="00215BA6"/>
    <w:rsid w:val="002163B7"/>
    <w:rsid w:val="00216C32"/>
    <w:rsid w:val="00216F76"/>
    <w:rsid w:val="0021750E"/>
    <w:rsid w:val="002178EA"/>
    <w:rsid w:val="0022017F"/>
    <w:rsid w:val="002205EC"/>
    <w:rsid w:val="00220826"/>
    <w:rsid w:val="00220D97"/>
    <w:rsid w:val="00221A88"/>
    <w:rsid w:val="00223256"/>
    <w:rsid w:val="002232A1"/>
    <w:rsid w:val="002241D0"/>
    <w:rsid w:val="00224756"/>
    <w:rsid w:val="0022478F"/>
    <w:rsid w:val="00227A4A"/>
    <w:rsid w:val="00230CC6"/>
    <w:rsid w:val="00232082"/>
    <w:rsid w:val="002337D7"/>
    <w:rsid w:val="00234DEB"/>
    <w:rsid w:val="0023584A"/>
    <w:rsid w:val="00236C44"/>
    <w:rsid w:val="00240343"/>
    <w:rsid w:val="002403E6"/>
    <w:rsid w:val="00241757"/>
    <w:rsid w:val="002422D0"/>
    <w:rsid w:val="00243580"/>
    <w:rsid w:val="00244009"/>
    <w:rsid w:val="00244832"/>
    <w:rsid w:val="00245181"/>
    <w:rsid w:val="002451F7"/>
    <w:rsid w:val="002455CC"/>
    <w:rsid w:val="00246523"/>
    <w:rsid w:val="0024777B"/>
    <w:rsid w:val="00247CE0"/>
    <w:rsid w:val="002502F2"/>
    <w:rsid w:val="00250571"/>
    <w:rsid w:val="00250FBA"/>
    <w:rsid w:val="00251E5A"/>
    <w:rsid w:val="00252DB6"/>
    <w:rsid w:val="00252F2A"/>
    <w:rsid w:val="0025351B"/>
    <w:rsid w:val="002543DB"/>
    <w:rsid w:val="002546D8"/>
    <w:rsid w:val="002557C7"/>
    <w:rsid w:val="002558A3"/>
    <w:rsid w:val="00255930"/>
    <w:rsid w:val="00255ABE"/>
    <w:rsid w:val="00256450"/>
    <w:rsid w:val="00256505"/>
    <w:rsid w:val="00257011"/>
    <w:rsid w:val="00260459"/>
    <w:rsid w:val="002606D7"/>
    <w:rsid w:val="00260712"/>
    <w:rsid w:val="00260814"/>
    <w:rsid w:val="0026183D"/>
    <w:rsid w:val="00262258"/>
    <w:rsid w:val="00262363"/>
    <w:rsid w:val="00262A17"/>
    <w:rsid w:val="00262AF8"/>
    <w:rsid w:val="002639BA"/>
    <w:rsid w:val="00263AD5"/>
    <w:rsid w:val="002652F3"/>
    <w:rsid w:val="002654B6"/>
    <w:rsid w:val="0026705F"/>
    <w:rsid w:val="002704DD"/>
    <w:rsid w:val="00270AF3"/>
    <w:rsid w:val="00271377"/>
    <w:rsid w:val="0027207B"/>
    <w:rsid w:val="0027210A"/>
    <w:rsid w:val="002748C2"/>
    <w:rsid w:val="002752C3"/>
    <w:rsid w:val="00275659"/>
    <w:rsid w:val="002761E2"/>
    <w:rsid w:val="00276609"/>
    <w:rsid w:val="00277591"/>
    <w:rsid w:val="00283282"/>
    <w:rsid w:val="00283F30"/>
    <w:rsid w:val="00284760"/>
    <w:rsid w:val="00286A34"/>
    <w:rsid w:val="002871C2"/>
    <w:rsid w:val="00287CB1"/>
    <w:rsid w:val="002907C8"/>
    <w:rsid w:val="0029096F"/>
    <w:rsid w:val="00290AD2"/>
    <w:rsid w:val="0029353E"/>
    <w:rsid w:val="00293F4E"/>
    <w:rsid w:val="002946E7"/>
    <w:rsid w:val="0029667D"/>
    <w:rsid w:val="00296B74"/>
    <w:rsid w:val="00297286"/>
    <w:rsid w:val="002A05C6"/>
    <w:rsid w:val="002A1522"/>
    <w:rsid w:val="002A17F4"/>
    <w:rsid w:val="002A1DF1"/>
    <w:rsid w:val="002A4E7E"/>
    <w:rsid w:val="002A5360"/>
    <w:rsid w:val="002A5ACB"/>
    <w:rsid w:val="002A5F4D"/>
    <w:rsid w:val="002A6628"/>
    <w:rsid w:val="002A70E9"/>
    <w:rsid w:val="002A7A0A"/>
    <w:rsid w:val="002B012B"/>
    <w:rsid w:val="002B0D61"/>
    <w:rsid w:val="002B2AF4"/>
    <w:rsid w:val="002B3E20"/>
    <w:rsid w:val="002B541A"/>
    <w:rsid w:val="002B5775"/>
    <w:rsid w:val="002B5C49"/>
    <w:rsid w:val="002B67BA"/>
    <w:rsid w:val="002B754D"/>
    <w:rsid w:val="002B7BAA"/>
    <w:rsid w:val="002C0694"/>
    <w:rsid w:val="002C1023"/>
    <w:rsid w:val="002C4F02"/>
    <w:rsid w:val="002C66E4"/>
    <w:rsid w:val="002C69AD"/>
    <w:rsid w:val="002D0E4D"/>
    <w:rsid w:val="002D11F2"/>
    <w:rsid w:val="002D1339"/>
    <w:rsid w:val="002D1E71"/>
    <w:rsid w:val="002D29B0"/>
    <w:rsid w:val="002D34B2"/>
    <w:rsid w:val="002D5B59"/>
    <w:rsid w:val="002D6B36"/>
    <w:rsid w:val="002D7136"/>
    <w:rsid w:val="002D7978"/>
    <w:rsid w:val="002D7B22"/>
    <w:rsid w:val="002E2283"/>
    <w:rsid w:val="002E2CAD"/>
    <w:rsid w:val="002E32C2"/>
    <w:rsid w:val="002E3352"/>
    <w:rsid w:val="002E474A"/>
    <w:rsid w:val="002E5790"/>
    <w:rsid w:val="002E6CB4"/>
    <w:rsid w:val="002E7DDB"/>
    <w:rsid w:val="002F085C"/>
    <w:rsid w:val="002F21B6"/>
    <w:rsid w:val="002F222D"/>
    <w:rsid w:val="002F2A4A"/>
    <w:rsid w:val="002F42FC"/>
    <w:rsid w:val="002F5C03"/>
    <w:rsid w:val="002F6D67"/>
    <w:rsid w:val="002F6F4F"/>
    <w:rsid w:val="002F75DA"/>
    <w:rsid w:val="002F7DBE"/>
    <w:rsid w:val="00300E23"/>
    <w:rsid w:val="00303526"/>
    <w:rsid w:val="00303761"/>
    <w:rsid w:val="00304AA1"/>
    <w:rsid w:val="00304D18"/>
    <w:rsid w:val="00304DC1"/>
    <w:rsid w:val="0030682B"/>
    <w:rsid w:val="00306C33"/>
    <w:rsid w:val="00311531"/>
    <w:rsid w:val="003115D2"/>
    <w:rsid w:val="00312F06"/>
    <w:rsid w:val="00313595"/>
    <w:rsid w:val="0031425A"/>
    <w:rsid w:val="00314713"/>
    <w:rsid w:val="003149F5"/>
    <w:rsid w:val="003151E4"/>
    <w:rsid w:val="003156D7"/>
    <w:rsid w:val="00317261"/>
    <w:rsid w:val="00320CE7"/>
    <w:rsid w:val="0032130D"/>
    <w:rsid w:val="00321DB1"/>
    <w:rsid w:val="00322056"/>
    <w:rsid w:val="00326EEE"/>
    <w:rsid w:val="00326F3E"/>
    <w:rsid w:val="0033089C"/>
    <w:rsid w:val="00330A67"/>
    <w:rsid w:val="00331A3B"/>
    <w:rsid w:val="00332A51"/>
    <w:rsid w:val="00332E08"/>
    <w:rsid w:val="00333126"/>
    <w:rsid w:val="00333ADD"/>
    <w:rsid w:val="00334F62"/>
    <w:rsid w:val="00335F83"/>
    <w:rsid w:val="00336496"/>
    <w:rsid w:val="003364EB"/>
    <w:rsid w:val="00336CE8"/>
    <w:rsid w:val="00341342"/>
    <w:rsid w:val="003424F1"/>
    <w:rsid w:val="003425CF"/>
    <w:rsid w:val="0034272B"/>
    <w:rsid w:val="00342BFE"/>
    <w:rsid w:val="00344C34"/>
    <w:rsid w:val="00345C65"/>
    <w:rsid w:val="00346679"/>
    <w:rsid w:val="003470E8"/>
    <w:rsid w:val="003477E3"/>
    <w:rsid w:val="0035100D"/>
    <w:rsid w:val="003534EB"/>
    <w:rsid w:val="00353D25"/>
    <w:rsid w:val="00354574"/>
    <w:rsid w:val="00354BD0"/>
    <w:rsid w:val="003550C3"/>
    <w:rsid w:val="00356988"/>
    <w:rsid w:val="003601E1"/>
    <w:rsid w:val="00360F5F"/>
    <w:rsid w:val="0036124A"/>
    <w:rsid w:val="003613D8"/>
    <w:rsid w:val="0036153E"/>
    <w:rsid w:val="00361714"/>
    <w:rsid w:val="0036237C"/>
    <w:rsid w:val="003625F5"/>
    <w:rsid w:val="003637CE"/>
    <w:rsid w:val="003643C9"/>
    <w:rsid w:val="003657F1"/>
    <w:rsid w:val="00365826"/>
    <w:rsid w:val="00365A2F"/>
    <w:rsid w:val="00366696"/>
    <w:rsid w:val="0036754C"/>
    <w:rsid w:val="00371980"/>
    <w:rsid w:val="00371CC5"/>
    <w:rsid w:val="00372B1E"/>
    <w:rsid w:val="00374579"/>
    <w:rsid w:val="0037459A"/>
    <w:rsid w:val="00375678"/>
    <w:rsid w:val="00375889"/>
    <w:rsid w:val="003760EB"/>
    <w:rsid w:val="00376C41"/>
    <w:rsid w:val="003804C3"/>
    <w:rsid w:val="00380892"/>
    <w:rsid w:val="00381B05"/>
    <w:rsid w:val="00383321"/>
    <w:rsid w:val="00383DA6"/>
    <w:rsid w:val="003850C6"/>
    <w:rsid w:val="00385BF0"/>
    <w:rsid w:val="00385DAD"/>
    <w:rsid w:val="00386626"/>
    <w:rsid w:val="003866E7"/>
    <w:rsid w:val="003904E2"/>
    <w:rsid w:val="003908D7"/>
    <w:rsid w:val="00390929"/>
    <w:rsid w:val="00390DBB"/>
    <w:rsid w:val="00391CFF"/>
    <w:rsid w:val="00391EBB"/>
    <w:rsid w:val="0039204D"/>
    <w:rsid w:val="003922EB"/>
    <w:rsid w:val="003924CC"/>
    <w:rsid w:val="00396333"/>
    <w:rsid w:val="00396ADD"/>
    <w:rsid w:val="0039716B"/>
    <w:rsid w:val="00397B15"/>
    <w:rsid w:val="003A0B9C"/>
    <w:rsid w:val="003A0E5A"/>
    <w:rsid w:val="003A0F8D"/>
    <w:rsid w:val="003A5E83"/>
    <w:rsid w:val="003A645E"/>
    <w:rsid w:val="003A6A5F"/>
    <w:rsid w:val="003A7581"/>
    <w:rsid w:val="003A799D"/>
    <w:rsid w:val="003B1EA5"/>
    <w:rsid w:val="003B2E77"/>
    <w:rsid w:val="003B3E39"/>
    <w:rsid w:val="003B3FDD"/>
    <w:rsid w:val="003B455B"/>
    <w:rsid w:val="003B4D40"/>
    <w:rsid w:val="003B5D19"/>
    <w:rsid w:val="003B610B"/>
    <w:rsid w:val="003C2164"/>
    <w:rsid w:val="003C34F1"/>
    <w:rsid w:val="003C38C3"/>
    <w:rsid w:val="003C4592"/>
    <w:rsid w:val="003C47E8"/>
    <w:rsid w:val="003C5102"/>
    <w:rsid w:val="003C5586"/>
    <w:rsid w:val="003C610C"/>
    <w:rsid w:val="003C6962"/>
    <w:rsid w:val="003C6F65"/>
    <w:rsid w:val="003D0820"/>
    <w:rsid w:val="003D0B48"/>
    <w:rsid w:val="003D0DA6"/>
    <w:rsid w:val="003D1F46"/>
    <w:rsid w:val="003D41CF"/>
    <w:rsid w:val="003D5045"/>
    <w:rsid w:val="003D62CB"/>
    <w:rsid w:val="003D6E8A"/>
    <w:rsid w:val="003E1442"/>
    <w:rsid w:val="003E2B14"/>
    <w:rsid w:val="003E2FDE"/>
    <w:rsid w:val="003E3B3C"/>
    <w:rsid w:val="003E447A"/>
    <w:rsid w:val="003E5240"/>
    <w:rsid w:val="003E5E3F"/>
    <w:rsid w:val="003E7078"/>
    <w:rsid w:val="003E707E"/>
    <w:rsid w:val="003E7E85"/>
    <w:rsid w:val="003F01A7"/>
    <w:rsid w:val="003F2E62"/>
    <w:rsid w:val="003F2EDE"/>
    <w:rsid w:val="003F3925"/>
    <w:rsid w:val="003F425B"/>
    <w:rsid w:val="003F58F5"/>
    <w:rsid w:val="003F5ACC"/>
    <w:rsid w:val="003F7BFF"/>
    <w:rsid w:val="00400855"/>
    <w:rsid w:val="00401386"/>
    <w:rsid w:val="004017C5"/>
    <w:rsid w:val="00401B6A"/>
    <w:rsid w:val="004047B1"/>
    <w:rsid w:val="00404E55"/>
    <w:rsid w:val="0040584C"/>
    <w:rsid w:val="00406807"/>
    <w:rsid w:val="00406B81"/>
    <w:rsid w:val="004078EF"/>
    <w:rsid w:val="00407C2F"/>
    <w:rsid w:val="0041082C"/>
    <w:rsid w:val="00411425"/>
    <w:rsid w:val="00413B28"/>
    <w:rsid w:val="00413BA5"/>
    <w:rsid w:val="00413DAC"/>
    <w:rsid w:val="00414157"/>
    <w:rsid w:val="00414322"/>
    <w:rsid w:val="0041623E"/>
    <w:rsid w:val="00416A3B"/>
    <w:rsid w:val="00416AB2"/>
    <w:rsid w:val="00417546"/>
    <w:rsid w:val="0041790A"/>
    <w:rsid w:val="00421203"/>
    <w:rsid w:val="004212AA"/>
    <w:rsid w:val="00421A64"/>
    <w:rsid w:val="004222CB"/>
    <w:rsid w:val="00423359"/>
    <w:rsid w:val="00425C94"/>
    <w:rsid w:val="00426277"/>
    <w:rsid w:val="004262B3"/>
    <w:rsid w:val="00426605"/>
    <w:rsid w:val="00427CA9"/>
    <w:rsid w:val="00431130"/>
    <w:rsid w:val="0043182D"/>
    <w:rsid w:val="00431DD2"/>
    <w:rsid w:val="00432190"/>
    <w:rsid w:val="0043356C"/>
    <w:rsid w:val="00433AE5"/>
    <w:rsid w:val="0043485A"/>
    <w:rsid w:val="00434FD6"/>
    <w:rsid w:val="00435AE0"/>
    <w:rsid w:val="0043638B"/>
    <w:rsid w:val="004370D7"/>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232"/>
    <w:rsid w:val="00452E38"/>
    <w:rsid w:val="00452EEE"/>
    <w:rsid w:val="00453007"/>
    <w:rsid w:val="0045300F"/>
    <w:rsid w:val="00453A6E"/>
    <w:rsid w:val="00454158"/>
    <w:rsid w:val="00454723"/>
    <w:rsid w:val="00455691"/>
    <w:rsid w:val="004565C0"/>
    <w:rsid w:val="00460024"/>
    <w:rsid w:val="00460031"/>
    <w:rsid w:val="00460140"/>
    <w:rsid w:val="0046238B"/>
    <w:rsid w:val="004625E8"/>
    <w:rsid w:val="004636EC"/>
    <w:rsid w:val="00464B18"/>
    <w:rsid w:val="00465D71"/>
    <w:rsid w:val="00466D15"/>
    <w:rsid w:val="0047070D"/>
    <w:rsid w:val="00475488"/>
    <w:rsid w:val="0047588D"/>
    <w:rsid w:val="00477A71"/>
    <w:rsid w:val="004811A2"/>
    <w:rsid w:val="00481269"/>
    <w:rsid w:val="004833CE"/>
    <w:rsid w:val="004839FC"/>
    <w:rsid w:val="00483C70"/>
    <w:rsid w:val="00484589"/>
    <w:rsid w:val="00484BCE"/>
    <w:rsid w:val="00487534"/>
    <w:rsid w:val="00487E8F"/>
    <w:rsid w:val="0049186C"/>
    <w:rsid w:val="00491F39"/>
    <w:rsid w:val="004938B5"/>
    <w:rsid w:val="004939E6"/>
    <w:rsid w:val="00493AC3"/>
    <w:rsid w:val="00493EE6"/>
    <w:rsid w:val="0049422F"/>
    <w:rsid w:val="0049475D"/>
    <w:rsid w:val="00494D08"/>
    <w:rsid w:val="0049575D"/>
    <w:rsid w:val="00495BBE"/>
    <w:rsid w:val="00496D95"/>
    <w:rsid w:val="00496DB8"/>
    <w:rsid w:val="004A0F1D"/>
    <w:rsid w:val="004A11A6"/>
    <w:rsid w:val="004A1719"/>
    <w:rsid w:val="004A1729"/>
    <w:rsid w:val="004A21F4"/>
    <w:rsid w:val="004A3363"/>
    <w:rsid w:val="004A4076"/>
    <w:rsid w:val="004A4B6C"/>
    <w:rsid w:val="004A5318"/>
    <w:rsid w:val="004A56C8"/>
    <w:rsid w:val="004A5A04"/>
    <w:rsid w:val="004A5D57"/>
    <w:rsid w:val="004A741E"/>
    <w:rsid w:val="004B0321"/>
    <w:rsid w:val="004B05E3"/>
    <w:rsid w:val="004B1ADE"/>
    <w:rsid w:val="004B1EEE"/>
    <w:rsid w:val="004B2625"/>
    <w:rsid w:val="004B4994"/>
    <w:rsid w:val="004B5481"/>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2ABA"/>
    <w:rsid w:val="004D38F8"/>
    <w:rsid w:val="004D3C4C"/>
    <w:rsid w:val="004D4A68"/>
    <w:rsid w:val="004D5646"/>
    <w:rsid w:val="004D6D13"/>
    <w:rsid w:val="004D6DCE"/>
    <w:rsid w:val="004D7DD4"/>
    <w:rsid w:val="004E1330"/>
    <w:rsid w:val="004E1662"/>
    <w:rsid w:val="004E1B61"/>
    <w:rsid w:val="004E1FD5"/>
    <w:rsid w:val="004E23ED"/>
    <w:rsid w:val="004E2F09"/>
    <w:rsid w:val="004E429F"/>
    <w:rsid w:val="004E5804"/>
    <w:rsid w:val="004E582C"/>
    <w:rsid w:val="004E60E4"/>
    <w:rsid w:val="004F160A"/>
    <w:rsid w:val="004F2F62"/>
    <w:rsid w:val="004F37CB"/>
    <w:rsid w:val="004F45CA"/>
    <w:rsid w:val="004F4A26"/>
    <w:rsid w:val="004F5216"/>
    <w:rsid w:val="004F616B"/>
    <w:rsid w:val="004F64E4"/>
    <w:rsid w:val="004F671B"/>
    <w:rsid w:val="004F7E39"/>
    <w:rsid w:val="00500A53"/>
    <w:rsid w:val="005012B6"/>
    <w:rsid w:val="00503634"/>
    <w:rsid w:val="00504D2D"/>
    <w:rsid w:val="00504F92"/>
    <w:rsid w:val="00505551"/>
    <w:rsid w:val="005078B3"/>
    <w:rsid w:val="00510A28"/>
    <w:rsid w:val="00511C54"/>
    <w:rsid w:val="0051292E"/>
    <w:rsid w:val="00513FEA"/>
    <w:rsid w:val="00515AC5"/>
    <w:rsid w:val="00516207"/>
    <w:rsid w:val="00520C27"/>
    <w:rsid w:val="00521B57"/>
    <w:rsid w:val="00522DE9"/>
    <w:rsid w:val="00522EF8"/>
    <w:rsid w:val="0052386D"/>
    <w:rsid w:val="0052399F"/>
    <w:rsid w:val="00523F60"/>
    <w:rsid w:val="00523FBA"/>
    <w:rsid w:val="00524079"/>
    <w:rsid w:val="00524B39"/>
    <w:rsid w:val="005255C0"/>
    <w:rsid w:val="005258BD"/>
    <w:rsid w:val="00526890"/>
    <w:rsid w:val="0052764F"/>
    <w:rsid w:val="00527AFE"/>
    <w:rsid w:val="00530F8F"/>
    <w:rsid w:val="0053192B"/>
    <w:rsid w:val="005328F4"/>
    <w:rsid w:val="005336C3"/>
    <w:rsid w:val="00535220"/>
    <w:rsid w:val="00535562"/>
    <w:rsid w:val="00536ABE"/>
    <w:rsid w:val="00540B74"/>
    <w:rsid w:val="00540B8B"/>
    <w:rsid w:val="00540ED6"/>
    <w:rsid w:val="00541835"/>
    <w:rsid w:val="00541C1D"/>
    <w:rsid w:val="00542317"/>
    <w:rsid w:val="005449AC"/>
    <w:rsid w:val="00544A16"/>
    <w:rsid w:val="005466DD"/>
    <w:rsid w:val="005472EC"/>
    <w:rsid w:val="00547C82"/>
    <w:rsid w:val="0055122B"/>
    <w:rsid w:val="00551700"/>
    <w:rsid w:val="00552915"/>
    <w:rsid w:val="00552A45"/>
    <w:rsid w:val="00552DC1"/>
    <w:rsid w:val="00553127"/>
    <w:rsid w:val="005534BD"/>
    <w:rsid w:val="00555E9D"/>
    <w:rsid w:val="0055629C"/>
    <w:rsid w:val="0056034B"/>
    <w:rsid w:val="00561C1E"/>
    <w:rsid w:val="005623DE"/>
    <w:rsid w:val="00562A9A"/>
    <w:rsid w:val="00564A3A"/>
    <w:rsid w:val="005650FF"/>
    <w:rsid w:val="00566DDB"/>
    <w:rsid w:val="005674EF"/>
    <w:rsid w:val="00570742"/>
    <w:rsid w:val="00570C2E"/>
    <w:rsid w:val="005714A0"/>
    <w:rsid w:val="00571577"/>
    <w:rsid w:val="00571C60"/>
    <w:rsid w:val="0057213D"/>
    <w:rsid w:val="005729E9"/>
    <w:rsid w:val="005732E9"/>
    <w:rsid w:val="00574332"/>
    <w:rsid w:val="0057454E"/>
    <w:rsid w:val="00574DA7"/>
    <w:rsid w:val="00575D4F"/>
    <w:rsid w:val="00575F27"/>
    <w:rsid w:val="0058036C"/>
    <w:rsid w:val="0058073B"/>
    <w:rsid w:val="00580815"/>
    <w:rsid w:val="005818CD"/>
    <w:rsid w:val="00582289"/>
    <w:rsid w:val="005825AC"/>
    <w:rsid w:val="0058363F"/>
    <w:rsid w:val="00584C7C"/>
    <w:rsid w:val="00584CB9"/>
    <w:rsid w:val="00585BD9"/>
    <w:rsid w:val="00587B74"/>
    <w:rsid w:val="00591696"/>
    <w:rsid w:val="00591EDC"/>
    <w:rsid w:val="00593FF1"/>
    <w:rsid w:val="00594648"/>
    <w:rsid w:val="0059499A"/>
    <w:rsid w:val="00594D68"/>
    <w:rsid w:val="00594E77"/>
    <w:rsid w:val="0059623B"/>
    <w:rsid w:val="00596D1D"/>
    <w:rsid w:val="005A1839"/>
    <w:rsid w:val="005A23BF"/>
    <w:rsid w:val="005A2923"/>
    <w:rsid w:val="005A35A5"/>
    <w:rsid w:val="005A3759"/>
    <w:rsid w:val="005A4295"/>
    <w:rsid w:val="005A44D9"/>
    <w:rsid w:val="005A4AC7"/>
    <w:rsid w:val="005A5826"/>
    <w:rsid w:val="005A6ADE"/>
    <w:rsid w:val="005B2582"/>
    <w:rsid w:val="005B3D45"/>
    <w:rsid w:val="005B65CE"/>
    <w:rsid w:val="005B78C4"/>
    <w:rsid w:val="005C1768"/>
    <w:rsid w:val="005C373B"/>
    <w:rsid w:val="005C3DD2"/>
    <w:rsid w:val="005C4AAA"/>
    <w:rsid w:val="005C4B79"/>
    <w:rsid w:val="005C610A"/>
    <w:rsid w:val="005D1442"/>
    <w:rsid w:val="005D1922"/>
    <w:rsid w:val="005D1BD5"/>
    <w:rsid w:val="005D2788"/>
    <w:rsid w:val="005D4281"/>
    <w:rsid w:val="005D6E32"/>
    <w:rsid w:val="005E06D4"/>
    <w:rsid w:val="005E1521"/>
    <w:rsid w:val="005E196C"/>
    <w:rsid w:val="005E3768"/>
    <w:rsid w:val="005E448D"/>
    <w:rsid w:val="005E4C2A"/>
    <w:rsid w:val="005E6E88"/>
    <w:rsid w:val="005F064D"/>
    <w:rsid w:val="005F0C39"/>
    <w:rsid w:val="005F1521"/>
    <w:rsid w:val="005F1AA1"/>
    <w:rsid w:val="005F2E09"/>
    <w:rsid w:val="005F3E82"/>
    <w:rsid w:val="005F512E"/>
    <w:rsid w:val="005F5A21"/>
    <w:rsid w:val="005F5BA1"/>
    <w:rsid w:val="005F5E8B"/>
    <w:rsid w:val="005F6A04"/>
    <w:rsid w:val="005F72F2"/>
    <w:rsid w:val="00600458"/>
    <w:rsid w:val="0060118D"/>
    <w:rsid w:val="006019CC"/>
    <w:rsid w:val="0060369E"/>
    <w:rsid w:val="00603824"/>
    <w:rsid w:val="0060530E"/>
    <w:rsid w:val="00605D75"/>
    <w:rsid w:val="00606D4F"/>
    <w:rsid w:val="006073B5"/>
    <w:rsid w:val="00610CE1"/>
    <w:rsid w:val="006113D8"/>
    <w:rsid w:val="0061181A"/>
    <w:rsid w:val="00612C6B"/>
    <w:rsid w:val="00613B1E"/>
    <w:rsid w:val="00613BD6"/>
    <w:rsid w:val="006151E3"/>
    <w:rsid w:val="00615B93"/>
    <w:rsid w:val="00616232"/>
    <w:rsid w:val="00620850"/>
    <w:rsid w:val="00620DB5"/>
    <w:rsid w:val="00621A59"/>
    <w:rsid w:val="0062201A"/>
    <w:rsid w:val="006225AC"/>
    <w:rsid w:val="006230A9"/>
    <w:rsid w:val="00623799"/>
    <w:rsid w:val="00624D32"/>
    <w:rsid w:val="006273ED"/>
    <w:rsid w:val="00630C84"/>
    <w:rsid w:val="00632269"/>
    <w:rsid w:val="0063256A"/>
    <w:rsid w:val="006326D0"/>
    <w:rsid w:val="00634EB5"/>
    <w:rsid w:val="0063516D"/>
    <w:rsid w:val="00635AE1"/>
    <w:rsid w:val="00635DA6"/>
    <w:rsid w:val="006416B8"/>
    <w:rsid w:val="0064349A"/>
    <w:rsid w:val="00643E46"/>
    <w:rsid w:val="006466B3"/>
    <w:rsid w:val="0064685C"/>
    <w:rsid w:val="0064692D"/>
    <w:rsid w:val="00646FCC"/>
    <w:rsid w:val="0064750C"/>
    <w:rsid w:val="00650215"/>
    <w:rsid w:val="00651F0A"/>
    <w:rsid w:val="006540C5"/>
    <w:rsid w:val="006543FB"/>
    <w:rsid w:val="006549F5"/>
    <w:rsid w:val="00655505"/>
    <w:rsid w:val="00655AA7"/>
    <w:rsid w:val="00655F80"/>
    <w:rsid w:val="00656541"/>
    <w:rsid w:val="00660216"/>
    <w:rsid w:val="00660F85"/>
    <w:rsid w:val="006621E9"/>
    <w:rsid w:val="00662904"/>
    <w:rsid w:val="00663096"/>
    <w:rsid w:val="00663E00"/>
    <w:rsid w:val="00664A57"/>
    <w:rsid w:val="00664C73"/>
    <w:rsid w:val="00667129"/>
    <w:rsid w:val="00667D55"/>
    <w:rsid w:val="0067102C"/>
    <w:rsid w:val="00671999"/>
    <w:rsid w:val="0067254D"/>
    <w:rsid w:val="006764EA"/>
    <w:rsid w:val="006766D4"/>
    <w:rsid w:val="00677DDE"/>
    <w:rsid w:val="00680B65"/>
    <w:rsid w:val="00681287"/>
    <w:rsid w:val="006815A6"/>
    <w:rsid w:val="00681FD9"/>
    <w:rsid w:val="0068285E"/>
    <w:rsid w:val="00684EF6"/>
    <w:rsid w:val="00684F89"/>
    <w:rsid w:val="006856E2"/>
    <w:rsid w:val="00690E46"/>
    <w:rsid w:val="00691A07"/>
    <w:rsid w:val="00693743"/>
    <w:rsid w:val="00693970"/>
    <w:rsid w:val="00693995"/>
    <w:rsid w:val="00693C61"/>
    <w:rsid w:val="00693EFA"/>
    <w:rsid w:val="00694009"/>
    <w:rsid w:val="00694300"/>
    <w:rsid w:val="00695397"/>
    <w:rsid w:val="0069562F"/>
    <w:rsid w:val="00696619"/>
    <w:rsid w:val="006A177A"/>
    <w:rsid w:val="006A1A5D"/>
    <w:rsid w:val="006A3267"/>
    <w:rsid w:val="006A4533"/>
    <w:rsid w:val="006A5968"/>
    <w:rsid w:val="006A5F8B"/>
    <w:rsid w:val="006A600F"/>
    <w:rsid w:val="006B1078"/>
    <w:rsid w:val="006B1A6D"/>
    <w:rsid w:val="006B2B00"/>
    <w:rsid w:val="006B2FA8"/>
    <w:rsid w:val="006B3210"/>
    <w:rsid w:val="006B3E08"/>
    <w:rsid w:val="006B49AE"/>
    <w:rsid w:val="006B529B"/>
    <w:rsid w:val="006C2A99"/>
    <w:rsid w:val="006C33E7"/>
    <w:rsid w:val="006C3BAF"/>
    <w:rsid w:val="006C4536"/>
    <w:rsid w:val="006C46F3"/>
    <w:rsid w:val="006C4D4E"/>
    <w:rsid w:val="006C51E2"/>
    <w:rsid w:val="006C521C"/>
    <w:rsid w:val="006C5247"/>
    <w:rsid w:val="006C588E"/>
    <w:rsid w:val="006C62F8"/>
    <w:rsid w:val="006C71BB"/>
    <w:rsid w:val="006D071F"/>
    <w:rsid w:val="006D1276"/>
    <w:rsid w:val="006D13C4"/>
    <w:rsid w:val="006D1E5C"/>
    <w:rsid w:val="006D2C14"/>
    <w:rsid w:val="006D3945"/>
    <w:rsid w:val="006D4C15"/>
    <w:rsid w:val="006D5E82"/>
    <w:rsid w:val="006D6E28"/>
    <w:rsid w:val="006D7201"/>
    <w:rsid w:val="006D7692"/>
    <w:rsid w:val="006E02E7"/>
    <w:rsid w:val="006E10AB"/>
    <w:rsid w:val="006E1753"/>
    <w:rsid w:val="006E1B36"/>
    <w:rsid w:val="006E3BF0"/>
    <w:rsid w:val="006E4E29"/>
    <w:rsid w:val="006E5D2E"/>
    <w:rsid w:val="006E670A"/>
    <w:rsid w:val="006E7C63"/>
    <w:rsid w:val="006F1186"/>
    <w:rsid w:val="006F15E9"/>
    <w:rsid w:val="006F252A"/>
    <w:rsid w:val="006F27FC"/>
    <w:rsid w:val="006F3137"/>
    <w:rsid w:val="006F3153"/>
    <w:rsid w:val="006F3C7E"/>
    <w:rsid w:val="006F4B6F"/>
    <w:rsid w:val="006F4F06"/>
    <w:rsid w:val="006F4F6D"/>
    <w:rsid w:val="006F6668"/>
    <w:rsid w:val="0070008A"/>
    <w:rsid w:val="007002C8"/>
    <w:rsid w:val="007021FA"/>
    <w:rsid w:val="00703007"/>
    <w:rsid w:val="0070357F"/>
    <w:rsid w:val="00703DA7"/>
    <w:rsid w:val="00703E05"/>
    <w:rsid w:val="00704A16"/>
    <w:rsid w:val="00705262"/>
    <w:rsid w:val="00705CA5"/>
    <w:rsid w:val="0070653C"/>
    <w:rsid w:val="00706ED7"/>
    <w:rsid w:val="00710289"/>
    <w:rsid w:val="007125A7"/>
    <w:rsid w:val="00713444"/>
    <w:rsid w:val="0071374E"/>
    <w:rsid w:val="00714B6A"/>
    <w:rsid w:val="00715946"/>
    <w:rsid w:val="00716D0A"/>
    <w:rsid w:val="007170F1"/>
    <w:rsid w:val="00717AF6"/>
    <w:rsid w:val="00720157"/>
    <w:rsid w:val="00720579"/>
    <w:rsid w:val="00720F4A"/>
    <w:rsid w:val="00721ECF"/>
    <w:rsid w:val="00722D13"/>
    <w:rsid w:val="007230FE"/>
    <w:rsid w:val="00725BEA"/>
    <w:rsid w:val="00725C87"/>
    <w:rsid w:val="00726409"/>
    <w:rsid w:val="00726FC4"/>
    <w:rsid w:val="007306D1"/>
    <w:rsid w:val="00730BE2"/>
    <w:rsid w:val="00732046"/>
    <w:rsid w:val="007335EB"/>
    <w:rsid w:val="007337E0"/>
    <w:rsid w:val="007344C3"/>
    <w:rsid w:val="00736C31"/>
    <w:rsid w:val="0074239D"/>
    <w:rsid w:val="00742CE1"/>
    <w:rsid w:val="0074372C"/>
    <w:rsid w:val="00744C7C"/>
    <w:rsid w:val="007455A9"/>
    <w:rsid w:val="00745862"/>
    <w:rsid w:val="00746657"/>
    <w:rsid w:val="0074687F"/>
    <w:rsid w:val="00746973"/>
    <w:rsid w:val="007474A5"/>
    <w:rsid w:val="00747C4D"/>
    <w:rsid w:val="007507C0"/>
    <w:rsid w:val="00751055"/>
    <w:rsid w:val="007517A4"/>
    <w:rsid w:val="00751C6C"/>
    <w:rsid w:val="00752CE4"/>
    <w:rsid w:val="0075585E"/>
    <w:rsid w:val="00755A77"/>
    <w:rsid w:val="00761568"/>
    <w:rsid w:val="00762408"/>
    <w:rsid w:val="007631D1"/>
    <w:rsid w:val="007635AC"/>
    <w:rsid w:val="00763F94"/>
    <w:rsid w:val="00770709"/>
    <w:rsid w:val="00772458"/>
    <w:rsid w:val="00775812"/>
    <w:rsid w:val="0077600B"/>
    <w:rsid w:val="00776BAB"/>
    <w:rsid w:val="00780194"/>
    <w:rsid w:val="007804A8"/>
    <w:rsid w:val="00781AFB"/>
    <w:rsid w:val="00782461"/>
    <w:rsid w:val="0078261F"/>
    <w:rsid w:val="007833DA"/>
    <w:rsid w:val="00783492"/>
    <w:rsid w:val="00783FDD"/>
    <w:rsid w:val="00784522"/>
    <w:rsid w:val="0078470A"/>
    <w:rsid w:val="00784C15"/>
    <w:rsid w:val="00784E57"/>
    <w:rsid w:val="00785131"/>
    <w:rsid w:val="0078583D"/>
    <w:rsid w:val="00785939"/>
    <w:rsid w:val="00785D73"/>
    <w:rsid w:val="00786FA8"/>
    <w:rsid w:val="00787503"/>
    <w:rsid w:val="00787AF1"/>
    <w:rsid w:val="0079132B"/>
    <w:rsid w:val="0079360E"/>
    <w:rsid w:val="00795245"/>
    <w:rsid w:val="0079578F"/>
    <w:rsid w:val="00795A3B"/>
    <w:rsid w:val="007969E6"/>
    <w:rsid w:val="00796DA1"/>
    <w:rsid w:val="007971F6"/>
    <w:rsid w:val="007A2C57"/>
    <w:rsid w:val="007A3440"/>
    <w:rsid w:val="007A34B3"/>
    <w:rsid w:val="007A4C6D"/>
    <w:rsid w:val="007A58A8"/>
    <w:rsid w:val="007B1039"/>
    <w:rsid w:val="007B1644"/>
    <w:rsid w:val="007B1A5A"/>
    <w:rsid w:val="007B33F8"/>
    <w:rsid w:val="007B3B6F"/>
    <w:rsid w:val="007B3F3D"/>
    <w:rsid w:val="007B413B"/>
    <w:rsid w:val="007B4611"/>
    <w:rsid w:val="007B4FD7"/>
    <w:rsid w:val="007B5461"/>
    <w:rsid w:val="007B6474"/>
    <w:rsid w:val="007B68EE"/>
    <w:rsid w:val="007B7F0F"/>
    <w:rsid w:val="007C05CA"/>
    <w:rsid w:val="007C19EC"/>
    <w:rsid w:val="007C3076"/>
    <w:rsid w:val="007C342D"/>
    <w:rsid w:val="007C3C7F"/>
    <w:rsid w:val="007C4A5B"/>
    <w:rsid w:val="007C51EB"/>
    <w:rsid w:val="007C60E2"/>
    <w:rsid w:val="007C6384"/>
    <w:rsid w:val="007C7435"/>
    <w:rsid w:val="007C7AC3"/>
    <w:rsid w:val="007D01CE"/>
    <w:rsid w:val="007D023E"/>
    <w:rsid w:val="007D0A8B"/>
    <w:rsid w:val="007D158A"/>
    <w:rsid w:val="007D341E"/>
    <w:rsid w:val="007D5B1C"/>
    <w:rsid w:val="007D6D87"/>
    <w:rsid w:val="007D6FD6"/>
    <w:rsid w:val="007E0A70"/>
    <w:rsid w:val="007E0ADA"/>
    <w:rsid w:val="007E15CF"/>
    <w:rsid w:val="007E1DB4"/>
    <w:rsid w:val="007E28ED"/>
    <w:rsid w:val="007E4CD6"/>
    <w:rsid w:val="007E5866"/>
    <w:rsid w:val="007F01B8"/>
    <w:rsid w:val="007F02C3"/>
    <w:rsid w:val="007F07AF"/>
    <w:rsid w:val="007F2A44"/>
    <w:rsid w:val="007F30BF"/>
    <w:rsid w:val="007F6278"/>
    <w:rsid w:val="007F6E2B"/>
    <w:rsid w:val="007F7699"/>
    <w:rsid w:val="007F773D"/>
    <w:rsid w:val="008003C8"/>
    <w:rsid w:val="00802118"/>
    <w:rsid w:val="00803531"/>
    <w:rsid w:val="00804065"/>
    <w:rsid w:val="008047DD"/>
    <w:rsid w:val="0080611B"/>
    <w:rsid w:val="00806213"/>
    <w:rsid w:val="00806CFE"/>
    <w:rsid w:val="00807B78"/>
    <w:rsid w:val="008121D7"/>
    <w:rsid w:val="00812B80"/>
    <w:rsid w:val="008138E9"/>
    <w:rsid w:val="008168A2"/>
    <w:rsid w:val="00820421"/>
    <w:rsid w:val="008213E7"/>
    <w:rsid w:val="00821687"/>
    <w:rsid w:val="0082217D"/>
    <w:rsid w:val="00822A40"/>
    <w:rsid w:val="008236C7"/>
    <w:rsid w:val="00823E67"/>
    <w:rsid w:val="00824013"/>
    <w:rsid w:val="00826045"/>
    <w:rsid w:val="00826121"/>
    <w:rsid w:val="00827EB7"/>
    <w:rsid w:val="008307DB"/>
    <w:rsid w:val="00830A48"/>
    <w:rsid w:val="00833331"/>
    <w:rsid w:val="0083344B"/>
    <w:rsid w:val="00833C36"/>
    <w:rsid w:val="00834B96"/>
    <w:rsid w:val="00836061"/>
    <w:rsid w:val="00836409"/>
    <w:rsid w:val="00836415"/>
    <w:rsid w:val="00836B47"/>
    <w:rsid w:val="00837604"/>
    <w:rsid w:val="00840A53"/>
    <w:rsid w:val="008427B3"/>
    <w:rsid w:val="008428A1"/>
    <w:rsid w:val="0084510E"/>
    <w:rsid w:val="00845DFD"/>
    <w:rsid w:val="0085047D"/>
    <w:rsid w:val="008524EA"/>
    <w:rsid w:val="0085263B"/>
    <w:rsid w:val="008530B9"/>
    <w:rsid w:val="008537C0"/>
    <w:rsid w:val="00855167"/>
    <w:rsid w:val="00857642"/>
    <w:rsid w:val="00857872"/>
    <w:rsid w:val="00857932"/>
    <w:rsid w:val="00857F8E"/>
    <w:rsid w:val="00860759"/>
    <w:rsid w:val="0086268A"/>
    <w:rsid w:val="008644EC"/>
    <w:rsid w:val="00864B15"/>
    <w:rsid w:val="00864D3B"/>
    <w:rsid w:val="00865C18"/>
    <w:rsid w:val="0086621E"/>
    <w:rsid w:val="0086717D"/>
    <w:rsid w:val="00870F3B"/>
    <w:rsid w:val="0087121E"/>
    <w:rsid w:val="00871A73"/>
    <w:rsid w:val="0087214B"/>
    <w:rsid w:val="00873320"/>
    <w:rsid w:val="008752B2"/>
    <w:rsid w:val="00875CBD"/>
    <w:rsid w:val="00876A7B"/>
    <w:rsid w:val="00876B32"/>
    <w:rsid w:val="00880915"/>
    <w:rsid w:val="00880CBC"/>
    <w:rsid w:val="00882CB8"/>
    <w:rsid w:val="00884366"/>
    <w:rsid w:val="00884650"/>
    <w:rsid w:val="008851B9"/>
    <w:rsid w:val="00885F50"/>
    <w:rsid w:val="00886726"/>
    <w:rsid w:val="00887314"/>
    <w:rsid w:val="00890EB4"/>
    <w:rsid w:val="0089163D"/>
    <w:rsid w:val="00891D35"/>
    <w:rsid w:val="0089331A"/>
    <w:rsid w:val="00893694"/>
    <w:rsid w:val="00893901"/>
    <w:rsid w:val="0089667B"/>
    <w:rsid w:val="0089728F"/>
    <w:rsid w:val="008A0874"/>
    <w:rsid w:val="008A0FF6"/>
    <w:rsid w:val="008A28F5"/>
    <w:rsid w:val="008A51AD"/>
    <w:rsid w:val="008A54D7"/>
    <w:rsid w:val="008B2982"/>
    <w:rsid w:val="008B2F05"/>
    <w:rsid w:val="008B456E"/>
    <w:rsid w:val="008B51B9"/>
    <w:rsid w:val="008B5BC6"/>
    <w:rsid w:val="008B6119"/>
    <w:rsid w:val="008B62FA"/>
    <w:rsid w:val="008B7153"/>
    <w:rsid w:val="008C03AD"/>
    <w:rsid w:val="008C0729"/>
    <w:rsid w:val="008C11EE"/>
    <w:rsid w:val="008C1485"/>
    <w:rsid w:val="008C175C"/>
    <w:rsid w:val="008C27F9"/>
    <w:rsid w:val="008C2DAF"/>
    <w:rsid w:val="008C3720"/>
    <w:rsid w:val="008C668F"/>
    <w:rsid w:val="008D2DBA"/>
    <w:rsid w:val="008D3260"/>
    <w:rsid w:val="008D530C"/>
    <w:rsid w:val="008D56D1"/>
    <w:rsid w:val="008D638B"/>
    <w:rsid w:val="008D7ECE"/>
    <w:rsid w:val="008E01A0"/>
    <w:rsid w:val="008E1099"/>
    <w:rsid w:val="008E1BF6"/>
    <w:rsid w:val="008E44FF"/>
    <w:rsid w:val="008E49F6"/>
    <w:rsid w:val="008E5A58"/>
    <w:rsid w:val="008E5CFA"/>
    <w:rsid w:val="008E5F96"/>
    <w:rsid w:val="008E6FB7"/>
    <w:rsid w:val="008E7557"/>
    <w:rsid w:val="008E7A04"/>
    <w:rsid w:val="008E7FE5"/>
    <w:rsid w:val="008F14FD"/>
    <w:rsid w:val="008F1874"/>
    <w:rsid w:val="008F25DF"/>
    <w:rsid w:val="008F29E0"/>
    <w:rsid w:val="008F2D2D"/>
    <w:rsid w:val="008F4FCE"/>
    <w:rsid w:val="008F53E3"/>
    <w:rsid w:val="008F63E4"/>
    <w:rsid w:val="008F7E50"/>
    <w:rsid w:val="00900008"/>
    <w:rsid w:val="00900E6A"/>
    <w:rsid w:val="00902EB1"/>
    <w:rsid w:val="009039CE"/>
    <w:rsid w:val="00904C01"/>
    <w:rsid w:val="009050BB"/>
    <w:rsid w:val="00905195"/>
    <w:rsid w:val="00905609"/>
    <w:rsid w:val="00905F7A"/>
    <w:rsid w:val="0090628A"/>
    <w:rsid w:val="00906A31"/>
    <w:rsid w:val="00906B1B"/>
    <w:rsid w:val="00910398"/>
    <w:rsid w:val="0091039C"/>
    <w:rsid w:val="00911640"/>
    <w:rsid w:val="0091213F"/>
    <w:rsid w:val="00912783"/>
    <w:rsid w:val="00913D36"/>
    <w:rsid w:val="0091451C"/>
    <w:rsid w:val="00915C3E"/>
    <w:rsid w:val="00915D45"/>
    <w:rsid w:val="00916C5E"/>
    <w:rsid w:val="00917649"/>
    <w:rsid w:val="00920088"/>
    <w:rsid w:val="00920622"/>
    <w:rsid w:val="00921440"/>
    <w:rsid w:val="0092150F"/>
    <w:rsid w:val="009221A2"/>
    <w:rsid w:val="00922DF5"/>
    <w:rsid w:val="00923349"/>
    <w:rsid w:val="0092392C"/>
    <w:rsid w:val="00923CE8"/>
    <w:rsid w:val="00924764"/>
    <w:rsid w:val="009252D3"/>
    <w:rsid w:val="00926002"/>
    <w:rsid w:val="00927AAD"/>
    <w:rsid w:val="00930061"/>
    <w:rsid w:val="00930EBA"/>
    <w:rsid w:val="0093151F"/>
    <w:rsid w:val="0093268C"/>
    <w:rsid w:val="00932ACF"/>
    <w:rsid w:val="00934728"/>
    <w:rsid w:val="009347A5"/>
    <w:rsid w:val="00934D3E"/>
    <w:rsid w:val="00935580"/>
    <w:rsid w:val="009364B5"/>
    <w:rsid w:val="009366E0"/>
    <w:rsid w:val="00936EB3"/>
    <w:rsid w:val="00940622"/>
    <w:rsid w:val="009408F6"/>
    <w:rsid w:val="00940DB2"/>
    <w:rsid w:val="0094116C"/>
    <w:rsid w:val="009412D9"/>
    <w:rsid w:val="00944730"/>
    <w:rsid w:val="00944858"/>
    <w:rsid w:val="0094699F"/>
    <w:rsid w:val="009471B5"/>
    <w:rsid w:val="009502D3"/>
    <w:rsid w:val="0095143F"/>
    <w:rsid w:val="009517B2"/>
    <w:rsid w:val="00951A6C"/>
    <w:rsid w:val="00952928"/>
    <w:rsid w:val="009531DA"/>
    <w:rsid w:val="00953CFD"/>
    <w:rsid w:val="009540FD"/>
    <w:rsid w:val="0095579C"/>
    <w:rsid w:val="00956BD5"/>
    <w:rsid w:val="00956E7E"/>
    <w:rsid w:val="009606F4"/>
    <w:rsid w:val="00960B28"/>
    <w:rsid w:val="0096539B"/>
    <w:rsid w:val="00966487"/>
    <w:rsid w:val="009669E3"/>
    <w:rsid w:val="009671DB"/>
    <w:rsid w:val="0096755D"/>
    <w:rsid w:val="00972207"/>
    <w:rsid w:val="0097227D"/>
    <w:rsid w:val="00972738"/>
    <w:rsid w:val="009727FE"/>
    <w:rsid w:val="00973E68"/>
    <w:rsid w:val="00974C35"/>
    <w:rsid w:val="00976E81"/>
    <w:rsid w:val="009777E3"/>
    <w:rsid w:val="009808B0"/>
    <w:rsid w:val="00980958"/>
    <w:rsid w:val="00981D7C"/>
    <w:rsid w:val="009827BD"/>
    <w:rsid w:val="00983488"/>
    <w:rsid w:val="00983A1C"/>
    <w:rsid w:val="00983EDB"/>
    <w:rsid w:val="009849EF"/>
    <w:rsid w:val="00984E36"/>
    <w:rsid w:val="0098553B"/>
    <w:rsid w:val="00986280"/>
    <w:rsid w:val="00987014"/>
    <w:rsid w:val="009871AC"/>
    <w:rsid w:val="00990892"/>
    <w:rsid w:val="00990D3A"/>
    <w:rsid w:val="00997443"/>
    <w:rsid w:val="009A1BA1"/>
    <w:rsid w:val="009A2A81"/>
    <w:rsid w:val="009A2AFB"/>
    <w:rsid w:val="009A2DE2"/>
    <w:rsid w:val="009A3B62"/>
    <w:rsid w:val="009A3ED4"/>
    <w:rsid w:val="009A56EE"/>
    <w:rsid w:val="009A5C47"/>
    <w:rsid w:val="009A68E7"/>
    <w:rsid w:val="009A6BC5"/>
    <w:rsid w:val="009B0164"/>
    <w:rsid w:val="009B0307"/>
    <w:rsid w:val="009B04BF"/>
    <w:rsid w:val="009B2746"/>
    <w:rsid w:val="009B2B90"/>
    <w:rsid w:val="009B4A92"/>
    <w:rsid w:val="009B4B7B"/>
    <w:rsid w:val="009B4CB6"/>
    <w:rsid w:val="009B4FA4"/>
    <w:rsid w:val="009B51BB"/>
    <w:rsid w:val="009B62E6"/>
    <w:rsid w:val="009B66C0"/>
    <w:rsid w:val="009B72A1"/>
    <w:rsid w:val="009B74A5"/>
    <w:rsid w:val="009C0238"/>
    <w:rsid w:val="009C03E0"/>
    <w:rsid w:val="009C0A13"/>
    <w:rsid w:val="009C0E90"/>
    <w:rsid w:val="009C24F9"/>
    <w:rsid w:val="009C3948"/>
    <w:rsid w:val="009C638A"/>
    <w:rsid w:val="009C68D9"/>
    <w:rsid w:val="009D07D6"/>
    <w:rsid w:val="009D3AAC"/>
    <w:rsid w:val="009D5B63"/>
    <w:rsid w:val="009D6C48"/>
    <w:rsid w:val="009E05BC"/>
    <w:rsid w:val="009E1601"/>
    <w:rsid w:val="009E1679"/>
    <w:rsid w:val="009E1BE9"/>
    <w:rsid w:val="009E2348"/>
    <w:rsid w:val="009E239E"/>
    <w:rsid w:val="009E271D"/>
    <w:rsid w:val="009E334C"/>
    <w:rsid w:val="009E362F"/>
    <w:rsid w:val="009E40DF"/>
    <w:rsid w:val="009E59CA"/>
    <w:rsid w:val="009F0461"/>
    <w:rsid w:val="009F1321"/>
    <w:rsid w:val="009F1AEE"/>
    <w:rsid w:val="009F1DB1"/>
    <w:rsid w:val="009F1EA5"/>
    <w:rsid w:val="009F4DFF"/>
    <w:rsid w:val="009F58BB"/>
    <w:rsid w:val="009F5C02"/>
    <w:rsid w:val="009F5E68"/>
    <w:rsid w:val="009F69E5"/>
    <w:rsid w:val="009F7476"/>
    <w:rsid w:val="009F768D"/>
    <w:rsid w:val="009F7933"/>
    <w:rsid w:val="009F7B07"/>
    <w:rsid w:val="00A00F26"/>
    <w:rsid w:val="00A018F7"/>
    <w:rsid w:val="00A0204C"/>
    <w:rsid w:val="00A02ABC"/>
    <w:rsid w:val="00A039B4"/>
    <w:rsid w:val="00A0555A"/>
    <w:rsid w:val="00A06237"/>
    <w:rsid w:val="00A063F2"/>
    <w:rsid w:val="00A0799C"/>
    <w:rsid w:val="00A07D8F"/>
    <w:rsid w:val="00A12531"/>
    <w:rsid w:val="00A12E46"/>
    <w:rsid w:val="00A13C95"/>
    <w:rsid w:val="00A15615"/>
    <w:rsid w:val="00A15D7B"/>
    <w:rsid w:val="00A1707A"/>
    <w:rsid w:val="00A215E2"/>
    <w:rsid w:val="00A2164F"/>
    <w:rsid w:val="00A23803"/>
    <w:rsid w:val="00A249F6"/>
    <w:rsid w:val="00A2509D"/>
    <w:rsid w:val="00A250AD"/>
    <w:rsid w:val="00A26704"/>
    <w:rsid w:val="00A27248"/>
    <w:rsid w:val="00A27289"/>
    <w:rsid w:val="00A32084"/>
    <w:rsid w:val="00A321F9"/>
    <w:rsid w:val="00A34AEC"/>
    <w:rsid w:val="00A35AFD"/>
    <w:rsid w:val="00A3659B"/>
    <w:rsid w:val="00A40295"/>
    <w:rsid w:val="00A40731"/>
    <w:rsid w:val="00A40A39"/>
    <w:rsid w:val="00A429D5"/>
    <w:rsid w:val="00A42E39"/>
    <w:rsid w:val="00A433E2"/>
    <w:rsid w:val="00A443FE"/>
    <w:rsid w:val="00A448EF"/>
    <w:rsid w:val="00A4598C"/>
    <w:rsid w:val="00A46087"/>
    <w:rsid w:val="00A510EE"/>
    <w:rsid w:val="00A51638"/>
    <w:rsid w:val="00A52A4E"/>
    <w:rsid w:val="00A5343C"/>
    <w:rsid w:val="00A54A77"/>
    <w:rsid w:val="00A55081"/>
    <w:rsid w:val="00A5538B"/>
    <w:rsid w:val="00A558F2"/>
    <w:rsid w:val="00A57796"/>
    <w:rsid w:val="00A57AB1"/>
    <w:rsid w:val="00A635D9"/>
    <w:rsid w:val="00A64C8D"/>
    <w:rsid w:val="00A6721B"/>
    <w:rsid w:val="00A70355"/>
    <w:rsid w:val="00A7046F"/>
    <w:rsid w:val="00A71E4D"/>
    <w:rsid w:val="00A723D1"/>
    <w:rsid w:val="00A73547"/>
    <w:rsid w:val="00A73D17"/>
    <w:rsid w:val="00A73D4F"/>
    <w:rsid w:val="00A74128"/>
    <w:rsid w:val="00A74234"/>
    <w:rsid w:val="00A75334"/>
    <w:rsid w:val="00A7538D"/>
    <w:rsid w:val="00A75DD6"/>
    <w:rsid w:val="00A7618B"/>
    <w:rsid w:val="00A7646D"/>
    <w:rsid w:val="00A77155"/>
    <w:rsid w:val="00A77757"/>
    <w:rsid w:val="00A77C4C"/>
    <w:rsid w:val="00A8008F"/>
    <w:rsid w:val="00A8092D"/>
    <w:rsid w:val="00A80D3B"/>
    <w:rsid w:val="00A80E74"/>
    <w:rsid w:val="00A83E8E"/>
    <w:rsid w:val="00A84AE0"/>
    <w:rsid w:val="00A851A4"/>
    <w:rsid w:val="00A86301"/>
    <w:rsid w:val="00A86BD8"/>
    <w:rsid w:val="00A8787E"/>
    <w:rsid w:val="00A87EDF"/>
    <w:rsid w:val="00A90897"/>
    <w:rsid w:val="00A909E1"/>
    <w:rsid w:val="00A90C67"/>
    <w:rsid w:val="00A92B4B"/>
    <w:rsid w:val="00A92E44"/>
    <w:rsid w:val="00A93509"/>
    <w:rsid w:val="00A935BC"/>
    <w:rsid w:val="00A935E4"/>
    <w:rsid w:val="00A940DD"/>
    <w:rsid w:val="00A9585F"/>
    <w:rsid w:val="00A964B7"/>
    <w:rsid w:val="00A96845"/>
    <w:rsid w:val="00A96D89"/>
    <w:rsid w:val="00A97427"/>
    <w:rsid w:val="00AA013D"/>
    <w:rsid w:val="00AA0422"/>
    <w:rsid w:val="00AA1496"/>
    <w:rsid w:val="00AA155D"/>
    <w:rsid w:val="00AA3354"/>
    <w:rsid w:val="00AA3D06"/>
    <w:rsid w:val="00AA4899"/>
    <w:rsid w:val="00AA4D37"/>
    <w:rsid w:val="00AA59F2"/>
    <w:rsid w:val="00AA5FFC"/>
    <w:rsid w:val="00AA639F"/>
    <w:rsid w:val="00AA6461"/>
    <w:rsid w:val="00AA753E"/>
    <w:rsid w:val="00AA78E8"/>
    <w:rsid w:val="00AB16AD"/>
    <w:rsid w:val="00AB24CE"/>
    <w:rsid w:val="00AB3CE6"/>
    <w:rsid w:val="00AB3E2B"/>
    <w:rsid w:val="00AB40F7"/>
    <w:rsid w:val="00AB4779"/>
    <w:rsid w:val="00AB65C7"/>
    <w:rsid w:val="00AB671D"/>
    <w:rsid w:val="00AB6BFE"/>
    <w:rsid w:val="00AB7130"/>
    <w:rsid w:val="00AB7311"/>
    <w:rsid w:val="00AB7864"/>
    <w:rsid w:val="00AC0D42"/>
    <w:rsid w:val="00AC2956"/>
    <w:rsid w:val="00AC2C30"/>
    <w:rsid w:val="00AC350C"/>
    <w:rsid w:val="00AC3558"/>
    <w:rsid w:val="00AC3A1B"/>
    <w:rsid w:val="00AC46EE"/>
    <w:rsid w:val="00AC5254"/>
    <w:rsid w:val="00AC62A6"/>
    <w:rsid w:val="00AC6369"/>
    <w:rsid w:val="00AC701A"/>
    <w:rsid w:val="00AC74A3"/>
    <w:rsid w:val="00AC7DAD"/>
    <w:rsid w:val="00AD02BB"/>
    <w:rsid w:val="00AD0393"/>
    <w:rsid w:val="00AD0B36"/>
    <w:rsid w:val="00AD11DB"/>
    <w:rsid w:val="00AD2A5B"/>
    <w:rsid w:val="00AD344D"/>
    <w:rsid w:val="00AD3F55"/>
    <w:rsid w:val="00AD49BE"/>
    <w:rsid w:val="00AD4CFD"/>
    <w:rsid w:val="00AD53F5"/>
    <w:rsid w:val="00AD5E7B"/>
    <w:rsid w:val="00AD7989"/>
    <w:rsid w:val="00AE06CD"/>
    <w:rsid w:val="00AE0BFC"/>
    <w:rsid w:val="00AE1A08"/>
    <w:rsid w:val="00AE1BBA"/>
    <w:rsid w:val="00AE2050"/>
    <w:rsid w:val="00AE23BD"/>
    <w:rsid w:val="00AE3AE9"/>
    <w:rsid w:val="00AE4BA3"/>
    <w:rsid w:val="00AE6367"/>
    <w:rsid w:val="00AE7E8A"/>
    <w:rsid w:val="00AF0130"/>
    <w:rsid w:val="00AF32D8"/>
    <w:rsid w:val="00AF3F64"/>
    <w:rsid w:val="00AF40CA"/>
    <w:rsid w:val="00AF4C64"/>
    <w:rsid w:val="00AF70FF"/>
    <w:rsid w:val="00B00B12"/>
    <w:rsid w:val="00B01BE5"/>
    <w:rsid w:val="00B02385"/>
    <w:rsid w:val="00B0306E"/>
    <w:rsid w:val="00B03878"/>
    <w:rsid w:val="00B039CA"/>
    <w:rsid w:val="00B057BF"/>
    <w:rsid w:val="00B06DDF"/>
    <w:rsid w:val="00B07809"/>
    <w:rsid w:val="00B079A5"/>
    <w:rsid w:val="00B1150C"/>
    <w:rsid w:val="00B11C89"/>
    <w:rsid w:val="00B134C7"/>
    <w:rsid w:val="00B136CC"/>
    <w:rsid w:val="00B143BA"/>
    <w:rsid w:val="00B156D3"/>
    <w:rsid w:val="00B17005"/>
    <w:rsid w:val="00B17521"/>
    <w:rsid w:val="00B17683"/>
    <w:rsid w:val="00B202A9"/>
    <w:rsid w:val="00B20399"/>
    <w:rsid w:val="00B20FAA"/>
    <w:rsid w:val="00B21806"/>
    <w:rsid w:val="00B21CD8"/>
    <w:rsid w:val="00B21FBA"/>
    <w:rsid w:val="00B22982"/>
    <w:rsid w:val="00B23036"/>
    <w:rsid w:val="00B2319D"/>
    <w:rsid w:val="00B23264"/>
    <w:rsid w:val="00B25683"/>
    <w:rsid w:val="00B2793E"/>
    <w:rsid w:val="00B3022C"/>
    <w:rsid w:val="00B30B0B"/>
    <w:rsid w:val="00B316B7"/>
    <w:rsid w:val="00B32ABD"/>
    <w:rsid w:val="00B32E35"/>
    <w:rsid w:val="00B32FA5"/>
    <w:rsid w:val="00B33607"/>
    <w:rsid w:val="00B33B37"/>
    <w:rsid w:val="00B35017"/>
    <w:rsid w:val="00B374E5"/>
    <w:rsid w:val="00B3764A"/>
    <w:rsid w:val="00B37AA5"/>
    <w:rsid w:val="00B41BA6"/>
    <w:rsid w:val="00B41FA0"/>
    <w:rsid w:val="00B42826"/>
    <w:rsid w:val="00B430FA"/>
    <w:rsid w:val="00B43982"/>
    <w:rsid w:val="00B459AF"/>
    <w:rsid w:val="00B46745"/>
    <w:rsid w:val="00B475B6"/>
    <w:rsid w:val="00B55869"/>
    <w:rsid w:val="00B567F1"/>
    <w:rsid w:val="00B569FA"/>
    <w:rsid w:val="00B571D3"/>
    <w:rsid w:val="00B60E2D"/>
    <w:rsid w:val="00B61A08"/>
    <w:rsid w:val="00B635A5"/>
    <w:rsid w:val="00B63BE5"/>
    <w:rsid w:val="00B64CAA"/>
    <w:rsid w:val="00B6680D"/>
    <w:rsid w:val="00B66D36"/>
    <w:rsid w:val="00B67861"/>
    <w:rsid w:val="00B679B4"/>
    <w:rsid w:val="00B703A2"/>
    <w:rsid w:val="00B71316"/>
    <w:rsid w:val="00B7272B"/>
    <w:rsid w:val="00B732FB"/>
    <w:rsid w:val="00B7342D"/>
    <w:rsid w:val="00B73BCE"/>
    <w:rsid w:val="00B741A8"/>
    <w:rsid w:val="00B7490A"/>
    <w:rsid w:val="00B759EC"/>
    <w:rsid w:val="00B75F96"/>
    <w:rsid w:val="00B771BD"/>
    <w:rsid w:val="00B773AD"/>
    <w:rsid w:val="00B774F6"/>
    <w:rsid w:val="00B778CB"/>
    <w:rsid w:val="00B809D9"/>
    <w:rsid w:val="00B8168B"/>
    <w:rsid w:val="00B819FB"/>
    <w:rsid w:val="00B824F8"/>
    <w:rsid w:val="00B82FEF"/>
    <w:rsid w:val="00B8362D"/>
    <w:rsid w:val="00B8368B"/>
    <w:rsid w:val="00B83A9E"/>
    <w:rsid w:val="00B867C6"/>
    <w:rsid w:val="00B86F52"/>
    <w:rsid w:val="00B8762E"/>
    <w:rsid w:val="00B878F5"/>
    <w:rsid w:val="00B87A67"/>
    <w:rsid w:val="00B91893"/>
    <w:rsid w:val="00B926BD"/>
    <w:rsid w:val="00B92DE8"/>
    <w:rsid w:val="00B93D8F"/>
    <w:rsid w:val="00B94607"/>
    <w:rsid w:val="00B9658A"/>
    <w:rsid w:val="00B96A32"/>
    <w:rsid w:val="00B9799D"/>
    <w:rsid w:val="00BA1322"/>
    <w:rsid w:val="00BA198A"/>
    <w:rsid w:val="00BA25FD"/>
    <w:rsid w:val="00BA2D85"/>
    <w:rsid w:val="00BA2DB8"/>
    <w:rsid w:val="00BA3AA7"/>
    <w:rsid w:val="00BA3C3F"/>
    <w:rsid w:val="00BA5CEA"/>
    <w:rsid w:val="00BA690D"/>
    <w:rsid w:val="00BA7612"/>
    <w:rsid w:val="00BA7CC4"/>
    <w:rsid w:val="00BB1D36"/>
    <w:rsid w:val="00BB3631"/>
    <w:rsid w:val="00BB3FF6"/>
    <w:rsid w:val="00BB5630"/>
    <w:rsid w:val="00BB6219"/>
    <w:rsid w:val="00BB6BE1"/>
    <w:rsid w:val="00BC3649"/>
    <w:rsid w:val="00BC392E"/>
    <w:rsid w:val="00BC5147"/>
    <w:rsid w:val="00BC60A6"/>
    <w:rsid w:val="00BC62E0"/>
    <w:rsid w:val="00BC6FBF"/>
    <w:rsid w:val="00BD00D9"/>
    <w:rsid w:val="00BD0632"/>
    <w:rsid w:val="00BD1886"/>
    <w:rsid w:val="00BD23E3"/>
    <w:rsid w:val="00BD40BC"/>
    <w:rsid w:val="00BD6234"/>
    <w:rsid w:val="00BD6723"/>
    <w:rsid w:val="00BE0437"/>
    <w:rsid w:val="00BE04F6"/>
    <w:rsid w:val="00BE0F7B"/>
    <w:rsid w:val="00BE107D"/>
    <w:rsid w:val="00BE2D6C"/>
    <w:rsid w:val="00BE358C"/>
    <w:rsid w:val="00BE3A5C"/>
    <w:rsid w:val="00BE4368"/>
    <w:rsid w:val="00BE4C2B"/>
    <w:rsid w:val="00BE52CA"/>
    <w:rsid w:val="00BE5D1C"/>
    <w:rsid w:val="00BE6A8C"/>
    <w:rsid w:val="00BE701E"/>
    <w:rsid w:val="00BE7640"/>
    <w:rsid w:val="00BE7B4E"/>
    <w:rsid w:val="00BF0242"/>
    <w:rsid w:val="00BF0AE5"/>
    <w:rsid w:val="00BF144D"/>
    <w:rsid w:val="00BF2059"/>
    <w:rsid w:val="00BF214A"/>
    <w:rsid w:val="00BF377B"/>
    <w:rsid w:val="00BF39D4"/>
    <w:rsid w:val="00BF3E1B"/>
    <w:rsid w:val="00BF5CBD"/>
    <w:rsid w:val="00BF635B"/>
    <w:rsid w:val="00BF6622"/>
    <w:rsid w:val="00BF7D51"/>
    <w:rsid w:val="00C00699"/>
    <w:rsid w:val="00C01975"/>
    <w:rsid w:val="00C020D1"/>
    <w:rsid w:val="00C02723"/>
    <w:rsid w:val="00C02A91"/>
    <w:rsid w:val="00C04960"/>
    <w:rsid w:val="00C05ABD"/>
    <w:rsid w:val="00C06163"/>
    <w:rsid w:val="00C0647F"/>
    <w:rsid w:val="00C10713"/>
    <w:rsid w:val="00C1120E"/>
    <w:rsid w:val="00C11391"/>
    <w:rsid w:val="00C114A8"/>
    <w:rsid w:val="00C12EC0"/>
    <w:rsid w:val="00C1324E"/>
    <w:rsid w:val="00C138A5"/>
    <w:rsid w:val="00C14879"/>
    <w:rsid w:val="00C14B96"/>
    <w:rsid w:val="00C15514"/>
    <w:rsid w:val="00C158D4"/>
    <w:rsid w:val="00C211F9"/>
    <w:rsid w:val="00C21B46"/>
    <w:rsid w:val="00C22F92"/>
    <w:rsid w:val="00C238EE"/>
    <w:rsid w:val="00C24B10"/>
    <w:rsid w:val="00C25927"/>
    <w:rsid w:val="00C2663D"/>
    <w:rsid w:val="00C27126"/>
    <w:rsid w:val="00C273D7"/>
    <w:rsid w:val="00C2755A"/>
    <w:rsid w:val="00C27ECF"/>
    <w:rsid w:val="00C3028D"/>
    <w:rsid w:val="00C30927"/>
    <w:rsid w:val="00C310B8"/>
    <w:rsid w:val="00C313D6"/>
    <w:rsid w:val="00C31DBD"/>
    <w:rsid w:val="00C32633"/>
    <w:rsid w:val="00C3305D"/>
    <w:rsid w:val="00C3343C"/>
    <w:rsid w:val="00C3343E"/>
    <w:rsid w:val="00C3643C"/>
    <w:rsid w:val="00C36798"/>
    <w:rsid w:val="00C36C29"/>
    <w:rsid w:val="00C41646"/>
    <w:rsid w:val="00C428BB"/>
    <w:rsid w:val="00C429DC"/>
    <w:rsid w:val="00C4383B"/>
    <w:rsid w:val="00C4601A"/>
    <w:rsid w:val="00C478FE"/>
    <w:rsid w:val="00C502DD"/>
    <w:rsid w:val="00C52210"/>
    <w:rsid w:val="00C53F46"/>
    <w:rsid w:val="00C5668C"/>
    <w:rsid w:val="00C613E2"/>
    <w:rsid w:val="00C621E3"/>
    <w:rsid w:val="00C6430C"/>
    <w:rsid w:val="00C64E24"/>
    <w:rsid w:val="00C65047"/>
    <w:rsid w:val="00C653CC"/>
    <w:rsid w:val="00C665D4"/>
    <w:rsid w:val="00C67E56"/>
    <w:rsid w:val="00C707F0"/>
    <w:rsid w:val="00C73CE1"/>
    <w:rsid w:val="00C74775"/>
    <w:rsid w:val="00C76F9B"/>
    <w:rsid w:val="00C77064"/>
    <w:rsid w:val="00C80AB6"/>
    <w:rsid w:val="00C81221"/>
    <w:rsid w:val="00C824FE"/>
    <w:rsid w:val="00C833D6"/>
    <w:rsid w:val="00C84CDE"/>
    <w:rsid w:val="00C8762A"/>
    <w:rsid w:val="00C9050E"/>
    <w:rsid w:val="00C91C7D"/>
    <w:rsid w:val="00C91CAA"/>
    <w:rsid w:val="00C91F05"/>
    <w:rsid w:val="00C9216F"/>
    <w:rsid w:val="00C9306D"/>
    <w:rsid w:val="00C93320"/>
    <w:rsid w:val="00C94B49"/>
    <w:rsid w:val="00C94DED"/>
    <w:rsid w:val="00C951A4"/>
    <w:rsid w:val="00C95318"/>
    <w:rsid w:val="00C95A99"/>
    <w:rsid w:val="00C96B98"/>
    <w:rsid w:val="00C96F6B"/>
    <w:rsid w:val="00C97ED3"/>
    <w:rsid w:val="00CA043D"/>
    <w:rsid w:val="00CA069B"/>
    <w:rsid w:val="00CA09C4"/>
    <w:rsid w:val="00CA0A0B"/>
    <w:rsid w:val="00CA27F9"/>
    <w:rsid w:val="00CA28AD"/>
    <w:rsid w:val="00CA4F28"/>
    <w:rsid w:val="00CA7388"/>
    <w:rsid w:val="00CA78AC"/>
    <w:rsid w:val="00CB067C"/>
    <w:rsid w:val="00CB15CA"/>
    <w:rsid w:val="00CB26B3"/>
    <w:rsid w:val="00CB290F"/>
    <w:rsid w:val="00CB2DAB"/>
    <w:rsid w:val="00CB3204"/>
    <w:rsid w:val="00CB368D"/>
    <w:rsid w:val="00CB3B7D"/>
    <w:rsid w:val="00CB4DC8"/>
    <w:rsid w:val="00CB51F5"/>
    <w:rsid w:val="00CB687E"/>
    <w:rsid w:val="00CB6E63"/>
    <w:rsid w:val="00CC0250"/>
    <w:rsid w:val="00CC074E"/>
    <w:rsid w:val="00CC1659"/>
    <w:rsid w:val="00CC1BED"/>
    <w:rsid w:val="00CC23AA"/>
    <w:rsid w:val="00CC265E"/>
    <w:rsid w:val="00CC3092"/>
    <w:rsid w:val="00CC30C3"/>
    <w:rsid w:val="00CC363A"/>
    <w:rsid w:val="00CC3D4E"/>
    <w:rsid w:val="00CC4003"/>
    <w:rsid w:val="00CC5E3A"/>
    <w:rsid w:val="00CC5E43"/>
    <w:rsid w:val="00CC6150"/>
    <w:rsid w:val="00CC6CD3"/>
    <w:rsid w:val="00CC74BD"/>
    <w:rsid w:val="00CD0768"/>
    <w:rsid w:val="00CD1C48"/>
    <w:rsid w:val="00CD24FE"/>
    <w:rsid w:val="00CD30AD"/>
    <w:rsid w:val="00CD3CC4"/>
    <w:rsid w:val="00CD4B7C"/>
    <w:rsid w:val="00CD635B"/>
    <w:rsid w:val="00CD788F"/>
    <w:rsid w:val="00CE047D"/>
    <w:rsid w:val="00CE1017"/>
    <w:rsid w:val="00CE358A"/>
    <w:rsid w:val="00CE36D4"/>
    <w:rsid w:val="00CE373E"/>
    <w:rsid w:val="00CE43AF"/>
    <w:rsid w:val="00CE577D"/>
    <w:rsid w:val="00CE619B"/>
    <w:rsid w:val="00CE665D"/>
    <w:rsid w:val="00CE6758"/>
    <w:rsid w:val="00CE7731"/>
    <w:rsid w:val="00CF096F"/>
    <w:rsid w:val="00CF1226"/>
    <w:rsid w:val="00CF329F"/>
    <w:rsid w:val="00CF6106"/>
    <w:rsid w:val="00CF6A79"/>
    <w:rsid w:val="00CF6C13"/>
    <w:rsid w:val="00CF73D7"/>
    <w:rsid w:val="00D00AAE"/>
    <w:rsid w:val="00D016B1"/>
    <w:rsid w:val="00D02589"/>
    <w:rsid w:val="00D02D5A"/>
    <w:rsid w:val="00D03B9D"/>
    <w:rsid w:val="00D0498A"/>
    <w:rsid w:val="00D061A0"/>
    <w:rsid w:val="00D065E6"/>
    <w:rsid w:val="00D06F2D"/>
    <w:rsid w:val="00D10843"/>
    <w:rsid w:val="00D113AC"/>
    <w:rsid w:val="00D11B6A"/>
    <w:rsid w:val="00D13B2D"/>
    <w:rsid w:val="00D14008"/>
    <w:rsid w:val="00D154A5"/>
    <w:rsid w:val="00D15660"/>
    <w:rsid w:val="00D16769"/>
    <w:rsid w:val="00D16CFF"/>
    <w:rsid w:val="00D16E7D"/>
    <w:rsid w:val="00D17731"/>
    <w:rsid w:val="00D17BF9"/>
    <w:rsid w:val="00D204C9"/>
    <w:rsid w:val="00D20E7E"/>
    <w:rsid w:val="00D20E86"/>
    <w:rsid w:val="00D20FB3"/>
    <w:rsid w:val="00D21125"/>
    <w:rsid w:val="00D21B46"/>
    <w:rsid w:val="00D21DFB"/>
    <w:rsid w:val="00D227C4"/>
    <w:rsid w:val="00D22F82"/>
    <w:rsid w:val="00D23048"/>
    <w:rsid w:val="00D2352A"/>
    <w:rsid w:val="00D23DD0"/>
    <w:rsid w:val="00D251C3"/>
    <w:rsid w:val="00D26CB5"/>
    <w:rsid w:val="00D27EA0"/>
    <w:rsid w:val="00D30856"/>
    <w:rsid w:val="00D30BCA"/>
    <w:rsid w:val="00D31593"/>
    <w:rsid w:val="00D33231"/>
    <w:rsid w:val="00D36240"/>
    <w:rsid w:val="00D36D3E"/>
    <w:rsid w:val="00D36DB7"/>
    <w:rsid w:val="00D375AD"/>
    <w:rsid w:val="00D40E5E"/>
    <w:rsid w:val="00D4130E"/>
    <w:rsid w:val="00D4138D"/>
    <w:rsid w:val="00D41493"/>
    <w:rsid w:val="00D4152F"/>
    <w:rsid w:val="00D41C7D"/>
    <w:rsid w:val="00D42E59"/>
    <w:rsid w:val="00D438DC"/>
    <w:rsid w:val="00D43EF1"/>
    <w:rsid w:val="00D43F6F"/>
    <w:rsid w:val="00D44015"/>
    <w:rsid w:val="00D46755"/>
    <w:rsid w:val="00D46CFF"/>
    <w:rsid w:val="00D46FBF"/>
    <w:rsid w:val="00D47A7B"/>
    <w:rsid w:val="00D47BB6"/>
    <w:rsid w:val="00D5208E"/>
    <w:rsid w:val="00D54C37"/>
    <w:rsid w:val="00D5779A"/>
    <w:rsid w:val="00D61E75"/>
    <w:rsid w:val="00D62214"/>
    <w:rsid w:val="00D62ADB"/>
    <w:rsid w:val="00D62B5D"/>
    <w:rsid w:val="00D632D1"/>
    <w:rsid w:val="00D64B7A"/>
    <w:rsid w:val="00D65AB8"/>
    <w:rsid w:val="00D65E10"/>
    <w:rsid w:val="00D67ADC"/>
    <w:rsid w:val="00D706BA"/>
    <w:rsid w:val="00D709A0"/>
    <w:rsid w:val="00D70A78"/>
    <w:rsid w:val="00D71394"/>
    <w:rsid w:val="00D7252A"/>
    <w:rsid w:val="00D72BFB"/>
    <w:rsid w:val="00D73A6D"/>
    <w:rsid w:val="00D73BC0"/>
    <w:rsid w:val="00D76C93"/>
    <w:rsid w:val="00D76EC4"/>
    <w:rsid w:val="00D7797C"/>
    <w:rsid w:val="00D80799"/>
    <w:rsid w:val="00D81512"/>
    <w:rsid w:val="00D84747"/>
    <w:rsid w:val="00D84BD3"/>
    <w:rsid w:val="00D85346"/>
    <w:rsid w:val="00D87827"/>
    <w:rsid w:val="00D90919"/>
    <w:rsid w:val="00D90E7B"/>
    <w:rsid w:val="00D91EDC"/>
    <w:rsid w:val="00D9241E"/>
    <w:rsid w:val="00D92D94"/>
    <w:rsid w:val="00D956C6"/>
    <w:rsid w:val="00D961DB"/>
    <w:rsid w:val="00DA0625"/>
    <w:rsid w:val="00DA3748"/>
    <w:rsid w:val="00DA4C82"/>
    <w:rsid w:val="00DA50C1"/>
    <w:rsid w:val="00DA671A"/>
    <w:rsid w:val="00DA756A"/>
    <w:rsid w:val="00DA7819"/>
    <w:rsid w:val="00DA784E"/>
    <w:rsid w:val="00DA78D9"/>
    <w:rsid w:val="00DA7E64"/>
    <w:rsid w:val="00DA7E6E"/>
    <w:rsid w:val="00DB07B8"/>
    <w:rsid w:val="00DB2D76"/>
    <w:rsid w:val="00DB345B"/>
    <w:rsid w:val="00DB3871"/>
    <w:rsid w:val="00DB38BB"/>
    <w:rsid w:val="00DB3C67"/>
    <w:rsid w:val="00DB45E2"/>
    <w:rsid w:val="00DB4F49"/>
    <w:rsid w:val="00DB6D5A"/>
    <w:rsid w:val="00DC1047"/>
    <w:rsid w:val="00DC1ACA"/>
    <w:rsid w:val="00DC4772"/>
    <w:rsid w:val="00DC48CF"/>
    <w:rsid w:val="00DC4D82"/>
    <w:rsid w:val="00DC5BB0"/>
    <w:rsid w:val="00DC642C"/>
    <w:rsid w:val="00DC6711"/>
    <w:rsid w:val="00DC6826"/>
    <w:rsid w:val="00DD20E3"/>
    <w:rsid w:val="00DD2605"/>
    <w:rsid w:val="00DD2AAA"/>
    <w:rsid w:val="00DD50B5"/>
    <w:rsid w:val="00DD5275"/>
    <w:rsid w:val="00DD5F86"/>
    <w:rsid w:val="00DD6047"/>
    <w:rsid w:val="00DD7205"/>
    <w:rsid w:val="00DD7674"/>
    <w:rsid w:val="00DD771A"/>
    <w:rsid w:val="00DD7F78"/>
    <w:rsid w:val="00DE262A"/>
    <w:rsid w:val="00DE2759"/>
    <w:rsid w:val="00DE2977"/>
    <w:rsid w:val="00DE3616"/>
    <w:rsid w:val="00DE4037"/>
    <w:rsid w:val="00DE43F4"/>
    <w:rsid w:val="00DE466B"/>
    <w:rsid w:val="00DE4A72"/>
    <w:rsid w:val="00DE5D8B"/>
    <w:rsid w:val="00DE7607"/>
    <w:rsid w:val="00DE761A"/>
    <w:rsid w:val="00DF2338"/>
    <w:rsid w:val="00DF37CE"/>
    <w:rsid w:val="00DF4C70"/>
    <w:rsid w:val="00DF4D56"/>
    <w:rsid w:val="00DF63EB"/>
    <w:rsid w:val="00DF78BC"/>
    <w:rsid w:val="00DF7C0B"/>
    <w:rsid w:val="00E0212C"/>
    <w:rsid w:val="00E02A20"/>
    <w:rsid w:val="00E030AE"/>
    <w:rsid w:val="00E04587"/>
    <w:rsid w:val="00E048EB"/>
    <w:rsid w:val="00E04EFF"/>
    <w:rsid w:val="00E05212"/>
    <w:rsid w:val="00E05D02"/>
    <w:rsid w:val="00E0690D"/>
    <w:rsid w:val="00E07973"/>
    <w:rsid w:val="00E07CB6"/>
    <w:rsid w:val="00E101A9"/>
    <w:rsid w:val="00E11898"/>
    <w:rsid w:val="00E12954"/>
    <w:rsid w:val="00E12A2F"/>
    <w:rsid w:val="00E12D9F"/>
    <w:rsid w:val="00E12FAE"/>
    <w:rsid w:val="00E13468"/>
    <w:rsid w:val="00E1638A"/>
    <w:rsid w:val="00E24543"/>
    <w:rsid w:val="00E2457B"/>
    <w:rsid w:val="00E247DE"/>
    <w:rsid w:val="00E257AB"/>
    <w:rsid w:val="00E26AF9"/>
    <w:rsid w:val="00E27F2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476A3"/>
    <w:rsid w:val="00E5099A"/>
    <w:rsid w:val="00E50CA8"/>
    <w:rsid w:val="00E51064"/>
    <w:rsid w:val="00E519D9"/>
    <w:rsid w:val="00E536DE"/>
    <w:rsid w:val="00E538E6"/>
    <w:rsid w:val="00E54F17"/>
    <w:rsid w:val="00E5535A"/>
    <w:rsid w:val="00E553E9"/>
    <w:rsid w:val="00E56278"/>
    <w:rsid w:val="00E563DF"/>
    <w:rsid w:val="00E569B2"/>
    <w:rsid w:val="00E577FD"/>
    <w:rsid w:val="00E61098"/>
    <w:rsid w:val="00E619A4"/>
    <w:rsid w:val="00E62177"/>
    <w:rsid w:val="00E622AF"/>
    <w:rsid w:val="00E62A45"/>
    <w:rsid w:val="00E638EF"/>
    <w:rsid w:val="00E645FC"/>
    <w:rsid w:val="00E6494D"/>
    <w:rsid w:val="00E6583D"/>
    <w:rsid w:val="00E6634F"/>
    <w:rsid w:val="00E6716A"/>
    <w:rsid w:val="00E67F40"/>
    <w:rsid w:val="00E70167"/>
    <w:rsid w:val="00E703C3"/>
    <w:rsid w:val="00E73F29"/>
    <w:rsid w:val="00E74899"/>
    <w:rsid w:val="00E74E2C"/>
    <w:rsid w:val="00E759B1"/>
    <w:rsid w:val="00E7777A"/>
    <w:rsid w:val="00E779AA"/>
    <w:rsid w:val="00E80333"/>
    <w:rsid w:val="00E8107B"/>
    <w:rsid w:val="00E81FB1"/>
    <w:rsid w:val="00E83629"/>
    <w:rsid w:val="00E838DB"/>
    <w:rsid w:val="00E83F7E"/>
    <w:rsid w:val="00E865F0"/>
    <w:rsid w:val="00E868E7"/>
    <w:rsid w:val="00E909DC"/>
    <w:rsid w:val="00E90EC5"/>
    <w:rsid w:val="00E9310C"/>
    <w:rsid w:val="00E93979"/>
    <w:rsid w:val="00E93CD3"/>
    <w:rsid w:val="00E93D7D"/>
    <w:rsid w:val="00E93F61"/>
    <w:rsid w:val="00E9501F"/>
    <w:rsid w:val="00E962BC"/>
    <w:rsid w:val="00E964E3"/>
    <w:rsid w:val="00E9676A"/>
    <w:rsid w:val="00EA0B58"/>
    <w:rsid w:val="00EA379C"/>
    <w:rsid w:val="00EA4CB5"/>
    <w:rsid w:val="00EA5CD6"/>
    <w:rsid w:val="00EA67B2"/>
    <w:rsid w:val="00EB0757"/>
    <w:rsid w:val="00EB3C74"/>
    <w:rsid w:val="00EB5926"/>
    <w:rsid w:val="00EB5D98"/>
    <w:rsid w:val="00EB7A35"/>
    <w:rsid w:val="00EC027A"/>
    <w:rsid w:val="00EC05B4"/>
    <w:rsid w:val="00EC074E"/>
    <w:rsid w:val="00EC0B10"/>
    <w:rsid w:val="00EC1911"/>
    <w:rsid w:val="00EC26FA"/>
    <w:rsid w:val="00EC2BB5"/>
    <w:rsid w:val="00EC2F20"/>
    <w:rsid w:val="00EC33EA"/>
    <w:rsid w:val="00EC41C2"/>
    <w:rsid w:val="00EC4E71"/>
    <w:rsid w:val="00EC5126"/>
    <w:rsid w:val="00EC62F1"/>
    <w:rsid w:val="00EC6D41"/>
    <w:rsid w:val="00EC6FEB"/>
    <w:rsid w:val="00EC79CA"/>
    <w:rsid w:val="00EC7C2E"/>
    <w:rsid w:val="00ED03A3"/>
    <w:rsid w:val="00ED0AA7"/>
    <w:rsid w:val="00ED13E1"/>
    <w:rsid w:val="00ED297E"/>
    <w:rsid w:val="00ED2F8A"/>
    <w:rsid w:val="00ED31D8"/>
    <w:rsid w:val="00ED3DF7"/>
    <w:rsid w:val="00ED58AF"/>
    <w:rsid w:val="00ED7658"/>
    <w:rsid w:val="00ED792E"/>
    <w:rsid w:val="00EE13F4"/>
    <w:rsid w:val="00EE171F"/>
    <w:rsid w:val="00EE1EE5"/>
    <w:rsid w:val="00EE2928"/>
    <w:rsid w:val="00EE2B2F"/>
    <w:rsid w:val="00EE2E23"/>
    <w:rsid w:val="00EE335B"/>
    <w:rsid w:val="00EE34AD"/>
    <w:rsid w:val="00EE359A"/>
    <w:rsid w:val="00EE4BD0"/>
    <w:rsid w:val="00EE5BA1"/>
    <w:rsid w:val="00EF2966"/>
    <w:rsid w:val="00EF5346"/>
    <w:rsid w:val="00EF59CE"/>
    <w:rsid w:val="00EF7026"/>
    <w:rsid w:val="00EF70EA"/>
    <w:rsid w:val="00EF7235"/>
    <w:rsid w:val="00F00239"/>
    <w:rsid w:val="00F00A4D"/>
    <w:rsid w:val="00F00BDA"/>
    <w:rsid w:val="00F00CE7"/>
    <w:rsid w:val="00F0127E"/>
    <w:rsid w:val="00F014D5"/>
    <w:rsid w:val="00F01EA8"/>
    <w:rsid w:val="00F023A3"/>
    <w:rsid w:val="00F02A6F"/>
    <w:rsid w:val="00F030F9"/>
    <w:rsid w:val="00F04308"/>
    <w:rsid w:val="00F044CD"/>
    <w:rsid w:val="00F04C8C"/>
    <w:rsid w:val="00F054DA"/>
    <w:rsid w:val="00F05C8F"/>
    <w:rsid w:val="00F06144"/>
    <w:rsid w:val="00F06351"/>
    <w:rsid w:val="00F06530"/>
    <w:rsid w:val="00F07B2D"/>
    <w:rsid w:val="00F07BCF"/>
    <w:rsid w:val="00F12FC5"/>
    <w:rsid w:val="00F1597D"/>
    <w:rsid w:val="00F162BA"/>
    <w:rsid w:val="00F16EF8"/>
    <w:rsid w:val="00F16FAB"/>
    <w:rsid w:val="00F16FE7"/>
    <w:rsid w:val="00F170B7"/>
    <w:rsid w:val="00F20143"/>
    <w:rsid w:val="00F21CA5"/>
    <w:rsid w:val="00F21CE2"/>
    <w:rsid w:val="00F23229"/>
    <w:rsid w:val="00F23288"/>
    <w:rsid w:val="00F24D17"/>
    <w:rsid w:val="00F255B6"/>
    <w:rsid w:val="00F26ED7"/>
    <w:rsid w:val="00F31625"/>
    <w:rsid w:val="00F31BDC"/>
    <w:rsid w:val="00F32232"/>
    <w:rsid w:val="00F32242"/>
    <w:rsid w:val="00F32D87"/>
    <w:rsid w:val="00F331BC"/>
    <w:rsid w:val="00F356CF"/>
    <w:rsid w:val="00F361A3"/>
    <w:rsid w:val="00F36333"/>
    <w:rsid w:val="00F36CDE"/>
    <w:rsid w:val="00F36E39"/>
    <w:rsid w:val="00F4003B"/>
    <w:rsid w:val="00F40A8F"/>
    <w:rsid w:val="00F40FF5"/>
    <w:rsid w:val="00F41E1E"/>
    <w:rsid w:val="00F43ED1"/>
    <w:rsid w:val="00F44759"/>
    <w:rsid w:val="00F45119"/>
    <w:rsid w:val="00F45144"/>
    <w:rsid w:val="00F46284"/>
    <w:rsid w:val="00F4680B"/>
    <w:rsid w:val="00F46E89"/>
    <w:rsid w:val="00F4734D"/>
    <w:rsid w:val="00F473D4"/>
    <w:rsid w:val="00F47445"/>
    <w:rsid w:val="00F5046F"/>
    <w:rsid w:val="00F5088C"/>
    <w:rsid w:val="00F510AC"/>
    <w:rsid w:val="00F52209"/>
    <w:rsid w:val="00F5374F"/>
    <w:rsid w:val="00F545DD"/>
    <w:rsid w:val="00F55E69"/>
    <w:rsid w:val="00F56B53"/>
    <w:rsid w:val="00F579BE"/>
    <w:rsid w:val="00F606F4"/>
    <w:rsid w:val="00F60DF6"/>
    <w:rsid w:val="00F61686"/>
    <w:rsid w:val="00F61E12"/>
    <w:rsid w:val="00F626E7"/>
    <w:rsid w:val="00F62D04"/>
    <w:rsid w:val="00F6317F"/>
    <w:rsid w:val="00F6434A"/>
    <w:rsid w:val="00F64B5A"/>
    <w:rsid w:val="00F6674D"/>
    <w:rsid w:val="00F70887"/>
    <w:rsid w:val="00F70A7D"/>
    <w:rsid w:val="00F748DD"/>
    <w:rsid w:val="00F753E4"/>
    <w:rsid w:val="00F76633"/>
    <w:rsid w:val="00F77EEC"/>
    <w:rsid w:val="00F81710"/>
    <w:rsid w:val="00F81C4C"/>
    <w:rsid w:val="00F81FF7"/>
    <w:rsid w:val="00F83E64"/>
    <w:rsid w:val="00F8497F"/>
    <w:rsid w:val="00F8618B"/>
    <w:rsid w:val="00F86EF9"/>
    <w:rsid w:val="00F86FB1"/>
    <w:rsid w:val="00F87E61"/>
    <w:rsid w:val="00F9058E"/>
    <w:rsid w:val="00F908E0"/>
    <w:rsid w:val="00F90B14"/>
    <w:rsid w:val="00F90B86"/>
    <w:rsid w:val="00F9335A"/>
    <w:rsid w:val="00F93755"/>
    <w:rsid w:val="00F93A32"/>
    <w:rsid w:val="00F94769"/>
    <w:rsid w:val="00F95CF5"/>
    <w:rsid w:val="00F97DA2"/>
    <w:rsid w:val="00F97EE2"/>
    <w:rsid w:val="00FA0504"/>
    <w:rsid w:val="00FA0810"/>
    <w:rsid w:val="00FA0BFB"/>
    <w:rsid w:val="00FA14B5"/>
    <w:rsid w:val="00FA16BB"/>
    <w:rsid w:val="00FA2278"/>
    <w:rsid w:val="00FA2895"/>
    <w:rsid w:val="00FA29A4"/>
    <w:rsid w:val="00FA2FAE"/>
    <w:rsid w:val="00FA3DD7"/>
    <w:rsid w:val="00FA4D12"/>
    <w:rsid w:val="00FA4F97"/>
    <w:rsid w:val="00FA5031"/>
    <w:rsid w:val="00FA56FF"/>
    <w:rsid w:val="00FA5802"/>
    <w:rsid w:val="00FA5C4B"/>
    <w:rsid w:val="00FA5F3A"/>
    <w:rsid w:val="00FA660E"/>
    <w:rsid w:val="00FB106B"/>
    <w:rsid w:val="00FB4326"/>
    <w:rsid w:val="00FB4C6F"/>
    <w:rsid w:val="00FB64A1"/>
    <w:rsid w:val="00FB6732"/>
    <w:rsid w:val="00FB7D16"/>
    <w:rsid w:val="00FC0858"/>
    <w:rsid w:val="00FC110D"/>
    <w:rsid w:val="00FC3800"/>
    <w:rsid w:val="00FC4527"/>
    <w:rsid w:val="00FC60FB"/>
    <w:rsid w:val="00FC6349"/>
    <w:rsid w:val="00FC65BE"/>
    <w:rsid w:val="00FC70C0"/>
    <w:rsid w:val="00FC7307"/>
    <w:rsid w:val="00FD1EEA"/>
    <w:rsid w:val="00FD30C0"/>
    <w:rsid w:val="00FD33CF"/>
    <w:rsid w:val="00FD36CA"/>
    <w:rsid w:val="00FD3B41"/>
    <w:rsid w:val="00FD4B6F"/>
    <w:rsid w:val="00FD4E22"/>
    <w:rsid w:val="00FD6574"/>
    <w:rsid w:val="00FD6C73"/>
    <w:rsid w:val="00FD7988"/>
    <w:rsid w:val="00FE263F"/>
    <w:rsid w:val="00FE486C"/>
    <w:rsid w:val="00FE4BFD"/>
    <w:rsid w:val="00FE578A"/>
    <w:rsid w:val="00FE7C48"/>
    <w:rsid w:val="00FF0BE2"/>
    <w:rsid w:val="00FF14A5"/>
    <w:rsid w:val="00FF4954"/>
    <w:rsid w:val="00FF621F"/>
    <w:rsid w:val="00FF67DA"/>
    <w:rsid w:val="00FF6B91"/>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4B6"/>
  </w:style>
  <w:style w:type="paragraph" w:styleId="Heading1">
    <w:name w:val="heading 1"/>
    <w:basedOn w:val="Normal"/>
    <w:next w:val="Normal"/>
    <w:link w:val="Heading1Char"/>
    <w:uiPriority w:val="9"/>
    <w:qFormat/>
    <w:rsid w:val="002F6D67"/>
    <w:pPr>
      <w:keepNext/>
      <w:spacing w:line="240" w:lineRule="auto"/>
      <w:contextualSpacing/>
      <w:outlineLvl w:val="0"/>
    </w:pPr>
    <w:rPr>
      <w:b/>
      <w:sz w:val="26"/>
      <w:szCs w:val="26"/>
    </w:rPr>
  </w:style>
  <w:style w:type="paragraph" w:styleId="Heading2">
    <w:name w:val="heading 2"/>
    <w:basedOn w:val="Normal"/>
    <w:next w:val="Normal"/>
    <w:link w:val="Heading2Char"/>
    <w:uiPriority w:val="9"/>
    <w:unhideWhenUsed/>
    <w:qFormat/>
    <w:rsid w:val="002F6D67"/>
    <w:pPr>
      <w:contextualSpacing/>
      <w:jc w:val="left"/>
      <w:outlineLvl w:val="1"/>
    </w:pPr>
    <w:rPr>
      <w:b/>
      <w:sz w:val="26"/>
      <w:szCs w:val="26"/>
    </w:rPr>
  </w:style>
  <w:style w:type="paragraph" w:styleId="Heading3">
    <w:name w:val="heading 3"/>
    <w:basedOn w:val="Normal"/>
    <w:next w:val="Normal"/>
    <w:link w:val="Heading3Char"/>
    <w:uiPriority w:val="9"/>
    <w:unhideWhenUsed/>
    <w:qFormat/>
    <w:rsid w:val="002F6D67"/>
    <w:pPr>
      <w:keepNext/>
      <w:spacing w:line="240" w:lineRule="auto"/>
      <w:jc w:val="left"/>
      <w:outlineLvl w:val="2"/>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654B6"/>
    <w:pPr>
      <w:tabs>
        <w:tab w:val="center" w:pos="4680"/>
        <w:tab w:val="right" w:pos="9360"/>
      </w:tabs>
      <w:spacing w:line="240" w:lineRule="auto"/>
    </w:pPr>
  </w:style>
  <w:style w:type="character" w:customStyle="1" w:styleId="FooterChar">
    <w:name w:val="Footer Char"/>
    <w:basedOn w:val="DefaultParagraphFont"/>
    <w:link w:val="Footer"/>
    <w:uiPriority w:val="99"/>
    <w:rsid w:val="002654B6"/>
  </w:style>
  <w:style w:type="paragraph" w:styleId="BalloonText">
    <w:name w:val="Balloon Text"/>
    <w:basedOn w:val="Normal"/>
    <w:link w:val="BalloonTextChar"/>
    <w:uiPriority w:val="99"/>
    <w:semiHidden/>
    <w:unhideWhenUsed/>
    <w:rsid w:val="00026A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A69"/>
    <w:rPr>
      <w:rFonts w:ascii="Tahoma" w:hAnsi="Tahoma" w:cs="Tahoma"/>
      <w:sz w:val="16"/>
      <w:szCs w:val="16"/>
    </w:rPr>
  </w:style>
  <w:style w:type="paragraph" w:customStyle="1" w:styleId="Pleading2L1">
    <w:name w:val="Pleading2_L1"/>
    <w:basedOn w:val="Normal"/>
    <w:next w:val="BodyText"/>
    <w:rsid w:val="002B67BA"/>
    <w:pPr>
      <w:numPr>
        <w:numId w:val="1"/>
      </w:numPr>
      <w:spacing w:after="240" w:line="240" w:lineRule="auto"/>
      <w:outlineLvl w:val="0"/>
    </w:pPr>
    <w:rPr>
      <w:rFonts w:eastAsia="Times New Roman"/>
      <w:b/>
      <w:caps/>
      <w:szCs w:val="20"/>
      <w:u w:val="single"/>
    </w:rPr>
  </w:style>
  <w:style w:type="paragraph" w:customStyle="1" w:styleId="Pleading2L2">
    <w:name w:val="Pleading2_L2"/>
    <w:basedOn w:val="Pleading2L1"/>
    <w:rsid w:val="002B67BA"/>
    <w:pPr>
      <w:numPr>
        <w:ilvl w:val="1"/>
      </w:numPr>
      <w:spacing w:after="0" w:line="480" w:lineRule="auto"/>
      <w:jc w:val="left"/>
      <w:outlineLvl w:val="1"/>
    </w:pPr>
    <w:rPr>
      <w:b w:val="0"/>
      <w:caps w:val="0"/>
      <w:u w:val="none"/>
    </w:rPr>
  </w:style>
  <w:style w:type="paragraph" w:customStyle="1" w:styleId="Pleading2L3">
    <w:name w:val="Pleading2_L3"/>
    <w:basedOn w:val="Pleading2L2"/>
    <w:rsid w:val="002B67BA"/>
    <w:pPr>
      <w:numPr>
        <w:ilvl w:val="2"/>
      </w:numPr>
      <w:outlineLvl w:val="2"/>
    </w:pPr>
  </w:style>
  <w:style w:type="paragraph" w:customStyle="1" w:styleId="Pleading2L4">
    <w:name w:val="Pleading2_L4"/>
    <w:basedOn w:val="Pleading2L3"/>
    <w:rsid w:val="002B67BA"/>
    <w:pPr>
      <w:numPr>
        <w:ilvl w:val="3"/>
      </w:numPr>
      <w:outlineLvl w:val="3"/>
    </w:pPr>
  </w:style>
  <w:style w:type="paragraph" w:customStyle="1" w:styleId="Pleading2L5">
    <w:name w:val="Pleading2_L5"/>
    <w:basedOn w:val="Pleading2L4"/>
    <w:rsid w:val="002B67BA"/>
    <w:pPr>
      <w:keepNext/>
      <w:keepLines/>
      <w:widowControl w:val="0"/>
      <w:numPr>
        <w:ilvl w:val="4"/>
      </w:numPr>
      <w:spacing w:after="240" w:line="240" w:lineRule="auto"/>
      <w:outlineLvl w:val="4"/>
    </w:pPr>
  </w:style>
  <w:style w:type="paragraph" w:customStyle="1" w:styleId="Pleading2L6">
    <w:name w:val="Pleading2_L6"/>
    <w:basedOn w:val="Pleading2L5"/>
    <w:rsid w:val="002B67BA"/>
    <w:pPr>
      <w:numPr>
        <w:ilvl w:val="5"/>
      </w:numPr>
      <w:outlineLvl w:val="5"/>
    </w:pPr>
  </w:style>
  <w:style w:type="paragraph" w:customStyle="1" w:styleId="Pleading2L7">
    <w:name w:val="Pleading2_L7"/>
    <w:basedOn w:val="Pleading2L6"/>
    <w:rsid w:val="002B67BA"/>
    <w:pPr>
      <w:numPr>
        <w:ilvl w:val="6"/>
      </w:numPr>
      <w:outlineLvl w:val="6"/>
    </w:pPr>
  </w:style>
  <w:style w:type="paragraph" w:customStyle="1" w:styleId="Pleading2L8">
    <w:name w:val="Pleading2_L8"/>
    <w:basedOn w:val="Pleading2L7"/>
    <w:rsid w:val="002B67BA"/>
    <w:pPr>
      <w:numPr>
        <w:ilvl w:val="7"/>
      </w:numPr>
      <w:outlineLvl w:val="7"/>
    </w:pPr>
  </w:style>
  <w:style w:type="paragraph" w:customStyle="1" w:styleId="Pleading2L9">
    <w:name w:val="Pleading2_L9"/>
    <w:basedOn w:val="Pleading2L8"/>
    <w:rsid w:val="002B67BA"/>
    <w:pPr>
      <w:numPr>
        <w:ilvl w:val="8"/>
      </w:numPr>
      <w:outlineLvl w:val="8"/>
    </w:pPr>
  </w:style>
  <w:style w:type="paragraph" w:styleId="BodyText">
    <w:name w:val="Body Text"/>
    <w:basedOn w:val="Normal"/>
    <w:link w:val="BodyTextChar"/>
    <w:uiPriority w:val="99"/>
    <w:semiHidden/>
    <w:unhideWhenUsed/>
    <w:rsid w:val="002B67BA"/>
    <w:pPr>
      <w:spacing w:after="120"/>
    </w:pPr>
  </w:style>
  <w:style w:type="character" w:customStyle="1" w:styleId="BodyTextChar">
    <w:name w:val="Body Text Char"/>
    <w:basedOn w:val="DefaultParagraphFont"/>
    <w:link w:val="BodyText"/>
    <w:uiPriority w:val="99"/>
    <w:semiHidden/>
    <w:rsid w:val="002B67BA"/>
  </w:style>
  <w:style w:type="paragraph" w:styleId="FootnoteText">
    <w:name w:val="footnote text"/>
    <w:basedOn w:val="Normal"/>
    <w:link w:val="FootnoteTextChar"/>
    <w:uiPriority w:val="99"/>
    <w:semiHidden/>
    <w:unhideWhenUsed/>
    <w:rsid w:val="00D02589"/>
    <w:pPr>
      <w:spacing w:line="240" w:lineRule="auto"/>
    </w:pPr>
    <w:rPr>
      <w:sz w:val="20"/>
      <w:szCs w:val="20"/>
    </w:rPr>
  </w:style>
  <w:style w:type="character" w:customStyle="1" w:styleId="FootnoteTextChar">
    <w:name w:val="Footnote Text Char"/>
    <w:basedOn w:val="DefaultParagraphFont"/>
    <w:link w:val="FootnoteText"/>
    <w:uiPriority w:val="99"/>
    <w:semiHidden/>
    <w:rsid w:val="00D02589"/>
    <w:rPr>
      <w:sz w:val="20"/>
      <w:szCs w:val="20"/>
    </w:rPr>
  </w:style>
  <w:style w:type="character" w:styleId="FootnoteReference">
    <w:name w:val="footnote reference"/>
    <w:basedOn w:val="DefaultParagraphFont"/>
    <w:semiHidden/>
    <w:unhideWhenUsed/>
    <w:rsid w:val="00D02589"/>
    <w:rPr>
      <w:vertAlign w:val="superscript"/>
    </w:rPr>
  </w:style>
  <w:style w:type="paragraph" w:styleId="Header">
    <w:name w:val="header"/>
    <w:basedOn w:val="Normal"/>
    <w:link w:val="HeaderChar"/>
    <w:uiPriority w:val="99"/>
    <w:unhideWhenUsed/>
    <w:rsid w:val="00085F47"/>
    <w:pPr>
      <w:tabs>
        <w:tab w:val="center" w:pos="4680"/>
        <w:tab w:val="right" w:pos="9360"/>
      </w:tabs>
      <w:spacing w:line="240" w:lineRule="auto"/>
    </w:pPr>
  </w:style>
  <w:style w:type="character" w:customStyle="1" w:styleId="HeaderChar">
    <w:name w:val="Header Char"/>
    <w:basedOn w:val="DefaultParagraphFont"/>
    <w:link w:val="Header"/>
    <w:uiPriority w:val="99"/>
    <w:rsid w:val="00085F47"/>
  </w:style>
  <w:style w:type="paragraph" w:customStyle="1" w:styleId="TxBrc2">
    <w:name w:val="TxBr_c2"/>
    <w:basedOn w:val="Normal"/>
    <w:rsid w:val="00E07CB6"/>
    <w:pPr>
      <w:widowControl w:val="0"/>
      <w:autoSpaceDE w:val="0"/>
      <w:autoSpaceDN w:val="0"/>
      <w:adjustRightInd w:val="0"/>
      <w:spacing w:line="240" w:lineRule="atLeast"/>
      <w:ind w:firstLine="1440"/>
    </w:pPr>
    <w:rPr>
      <w:rFonts w:eastAsia="Times New Roman"/>
      <w:sz w:val="26"/>
    </w:rPr>
  </w:style>
  <w:style w:type="character" w:customStyle="1" w:styleId="Heading1Char">
    <w:name w:val="Heading 1 Char"/>
    <w:basedOn w:val="DefaultParagraphFont"/>
    <w:link w:val="Heading1"/>
    <w:uiPriority w:val="9"/>
    <w:rsid w:val="002F6D67"/>
    <w:rPr>
      <w:b/>
      <w:sz w:val="26"/>
      <w:szCs w:val="26"/>
    </w:rPr>
  </w:style>
  <w:style w:type="character" w:customStyle="1" w:styleId="Heading2Char">
    <w:name w:val="Heading 2 Char"/>
    <w:basedOn w:val="DefaultParagraphFont"/>
    <w:link w:val="Heading2"/>
    <w:uiPriority w:val="9"/>
    <w:rsid w:val="002F6D67"/>
    <w:rPr>
      <w:b/>
      <w:sz w:val="26"/>
      <w:szCs w:val="26"/>
    </w:rPr>
  </w:style>
  <w:style w:type="paragraph" w:styleId="BodyText2">
    <w:name w:val="Body Text 2"/>
    <w:basedOn w:val="Normal"/>
    <w:link w:val="BodyText2Char"/>
    <w:uiPriority w:val="99"/>
    <w:unhideWhenUsed/>
    <w:rsid w:val="00093241"/>
    <w:pPr>
      <w:jc w:val="left"/>
    </w:pPr>
    <w:rPr>
      <w:sz w:val="26"/>
      <w:szCs w:val="26"/>
    </w:rPr>
  </w:style>
  <w:style w:type="character" w:customStyle="1" w:styleId="BodyText2Char">
    <w:name w:val="Body Text 2 Char"/>
    <w:basedOn w:val="DefaultParagraphFont"/>
    <w:link w:val="BodyText2"/>
    <w:uiPriority w:val="99"/>
    <w:rsid w:val="00093241"/>
    <w:rPr>
      <w:sz w:val="26"/>
      <w:szCs w:val="26"/>
    </w:rPr>
  </w:style>
  <w:style w:type="character" w:customStyle="1" w:styleId="Heading3Char">
    <w:name w:val="Heading 3 Char"/>
    <w:basedOn w:val="DefaultParagraphFont"/>
    <w:link w:val="Heading3"/>
    <w:uiPriority w:val="9"/>
    <w:rsid w:val="002F6D67"/>
    <w:rPr>
      <w:b/>
      <w:sz w:val="26"/>
      <w:szCs w:val="26"/>
    </w:rPr>
  </w:style>
  <w:style w:type="paragraph" w:styleId="BodyText3">
    <w:name w:val="Body Text 3"/>
    <w:basedOn w:val="Normal"/>
    <w:link w:val="BodyText3Char"/>
    <w:uiPriority w:val="99"/>
    <w:unhideWhenUsed/>
    <w:rsid w:val="009039CE"/>
    <w:pPr>
      <w:jc w:val="left"/>
    </w:pPr>
    <w:rPr>
      <w:color w:val="FF0000"/>
      <w:sz w:val="26"/>
      <w:szCs w:val="26"/>
    </w:rPr>
  </w:style>
  <w:style w:type="character" w:customStyle="1" w:styleId="BodyText3Char">
    <w:name w:val="Body Text 3 Char"/>
    <w:basedOn w:val="DefaultParagraphFont"/>
    <w:link w:val="BodyText3"/>
    <w:uiPriority w:val="99"/>
    <w:rsid w:val="009039CE"/>
    <w:rPr>
      <w:color w:val="FF0000"/>
      <w:sz w:val="26"/>
      <w:szCs w:val="26"/>
    </w:rPr>
  </w:style>
  <w:style w:type="paragraph" w:styleId="ListBullet2">
    <w:name w:val="List Bullet 2"/>
    <w:aliases w:val="b2"/>
    <w:basedOn w:val="Normal"/>
    <w:rsid w:val="007170F1"/>
    <w:pPr>
      <w:numPr>
        <w:numId w:val="2"/>
      </w:numPr>
      <w:spacing w:after="240" w:line="240" w:lineRule="auto"/>
      <w:jc w:val="both"/>
    </w:pPr>
    <w:rPr>
      <w:rFonts w:eastAsia="Times New Roman"/>
      <w:szCs w:val="20"/>
    </w:rPr>
  </w:style>
  <w:style w:type="paragraph" w:styleId="ListBullet">
    <w:name w:val="List Bullet"/>
    <w:basedOn w:val="Normal"/>
    <w:uiPriority w:val="99"/>
    <w:semiHidden/>
    <w:unhideWhenUsed/>
    <w:rsid w:val="00836061"/>
    <w:pPr>
      <w:numPr>
        <w:numId w:val="3"/>
      </w:numPr>
      <w:contextualSpacing/>
    </w:pPr>
  </w:style>
  <w:style w:type="paragraph" w:styleId="BlockText">
    <w:name w:val="Block Text"/>
    <w:basedOn w:val="Normal"/>
    <w:uiPriority w:val="99"/>
    <w:unhideWhenUsed/>
    <w:rsid w:val="00B0306E"/>
    <w:pPr>
      <w:spacing w:line="240" w:lineRule="auto"/>
      <w:ind w:left="1440" w:right="1440"/>
      <w:jc w:val="left"/>
    </w:pPr>
    <w:rPr>
      <w:sz w:val="26"/>
      <w:szCs w:val="26"/>
    </w:rPr>
  </w:style>
  <w:style w:type="paragraph" w:styleId="NormalWeb">
    <w:name w:val="Normal (Web)"/>
    <w:basedOn w:val="Normal"/>
    <w:uiPriority w:val="99"/>
    <w:semiHidden/>
    <w:unhideWhenUsed/>
    <w:rsid w:val="006D6E28"/>
    <w:pPr>
      <w:spacing w:line="240" w:lineRule="auto"/>
      <w:jc w:val="left"/>
    </w:pPr>
    <w:rPr>
      <w:rFonts w:eastAsia="Times New Roman"/>
    </w:rPr>
  </w:style>
  <w:style w:type="character" w:styleId="Hyperlink">
    <w:name w:val="Hyperlink"/>
    <w:basedOn w:val="DefaultParagraphFont"/>
    <w:uiPriority w:val="99"/>
    <w:unhideWhenUsed/>
    <w:rsid w:val="00B30B0B"/>
    <w:rPr>
      <w:color w:val="0000FF" w:themeColor="hyperlink"/>
      <w:u w:val="single"/>
    </w:rPr>
  </w:style>
  <w:style w:type="paragraph" w:styleId="TOC1">
    <w:name w:val="toc 1"/>
    <w:basedOn w:val="Normal"/>
    <w:next w:val="Normal"/>
    <w:autoRedefine/>
    <w:uiPriority w:val="39"/>
    <w:unhideWhenUsed/>
    <w:rsid w:val="00B30B0B"/>
    <w:pPr>
      <w:spacing w:after="100"/>
      <w:jc w:val="left"/>
    </w:pPr>
    <w:rPr>
      <w:sz w:val="26"/>
    </w:rPr>
  </w:style>
  <w:style w:type="paragraph" w:styleId="TOC2">
    <w:name w:val="toc 2"/>
    <w:basedOn w:val="Normal"/>
    <w:next w:val="Normal"/>
    <w:autoRedefine/>
    <w:uiPriority w:val="39"/>
    <w:unhideWhenUsed/>
    <w:rsid w:val="00B30B0B"/>
    <w:pPr>
      <w:spacing w:after="100"/>
      <w:ind w:left="240"/>
      <w:jc w:val="left"/>
    </w:pPr>
    <w:rPr>
      <w:sz w:val="26"/>
    </w:rPr>
  </w:style>
  <w:style w:type="paragraph" w:styleId="TOC3">
    <w:name w:val="toc 3"/>
    <w:basedOn w:val="Normal"/>
    <w:next w:val="Normal"/>
    <w:autoRedefine/>
    <w:uiPriority w:val="39"/>
    <w:unhideWhenUsed/>
    <w:rsid w:val="00B30B0B"/>
    <w:pPr>
      <w:spacing w:after="100"/>
      <w:ind w:left="480"/>
      <w:jc w:val="left"/>
    </w:pPr>
    <w:rPr>
      <w:sz w:val="26"/>
    </w:rPr>
  </w:style>
  <w:style w:type="table" w:styleId="TableGrid">
    <w:name w:val="Table Grid"/>
    <w:basedOn w:val="TableNormal"/>
    <w:uiPriority w:val="59"/>
    <w:rsid w:val="00BD6723"/>
    <w:pPr>
      <w:spacing w:line="240" w:lineRule="auto"/>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4B6"/>
  </w:style>
  <w:style w:type="paragraph" w:styleId="Heading1">
    <w:name w:val="heading 1"/>
    <w:basedOn w:val="Normal"/>
    <w:next w:val="Normal"/>
    <w:link w:val="Heading1Char"/>
    <w:uiPriority w:val="9"/>
    <w:qFormat/>
    <w:rsid w:val="002F6D67"/>
    <w:pPr>
      <w:keepNext/>
      <w:spacing w:line="240" w:lineRule="auto"/>
      <w:contextualSpacing/>
      <w:outlineLvl w:val="0"/>
    </w:pPr>
    <w:rPr>
      <w:b/>
      <w:sz w:val="26"/>
      <w:szCs w:val="26"/>
    </w:rPr>
  </w:style>
  <w:style w:type="paragraph" w:styleId="Heading2">
    <w:name w:val="heading 2"/>
    <w:basedOn w:val="Normal"/>
    <w:next w:val="Normal"/>
    <w:link w:val="Heading2Char"/>
    <w:uiPriority w:val="9"/>
    <w:unhideWhenUsed/>
    <w:qFormat/>
    <w:rsid w:val="002F6D67"/>
    <w:pPr>
      <w:contextualSpacing/>
      <w:jc w:val="left"/>
      <w:outlineLvl w:val="1"/>
    </w:pPr>
    <w:rPr>
      <w:b/>
      <w:sz w:val="26"/>
      <w:szCs w:val="26"/>
    </w:rPr>
  </w:style>
  <w:style w:type="paragraph" w:styleId="Heading3">
    <w:name w:val="heading 3"/>
    <w:basedOn w:val="Normal"/>
    <w:next w:val="Normal"/>
    <w:link w:val="Heading3Char"/>
    <w:uiPriority w:val="9"/>
    <w:unhideWhenUsed/>
    <w:qFormat/>
    <w:rsid w:val="002F6D67"/>
    <w:pPr>
      <w:keepNext/>
      <w:spacing w:line="240" w:lineRule="auto"/>
      <w:jc w:val="left"/>
      <w:outlineLvl w:val="2"/>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654B6"/>
    <w:pPr>
      <w:tabs>
        <w:tab w:val="center" w:pos="4680"/>
        <w:tab w:val="right" w:pos="9360"/>
      </w:tabs>
      <w:spacing w:line="240" w:lineRule="auto"/>
    </w:pPr>
  </w:style>
  <w:style w:type="character" w:customStyle="1" w:styleId="FooterChar">
    <w:name w:val="Footer Char"/>
    <w:basedOn w:val="DefaultParagraphFont"/>
    <w:link w:val="Footer"/>
    <w:uiPriority w:val="99"/>
    <w:rsid w:val="002654B6"/>
  </w:style>
  <w:style w:type="paragraph" w:styleId="BalloonText">
    <w:name w:val="Balloon Text"/>
    <w:basedOn w:val="Normal"/>
    <w:link w:val="BalloonTextChar"/>
    <w:uiPriority w:val="99"/>
    <w:semiHidden/>
    <w:unhideWhenUsed/>
    <w:rsid w:val="00026A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A69"/>
    <w:rPr>
      <w:rFonts w:ascii="Tahoma" w:hAnsi="Tahoma" w:cs="Tahoma"/>
      <w:sz w:val="16"/>
      <w:szCs w:val="16"/>
    </w:rPr>
  </w:style>
  <w:style w:type="paragraph" w:customStyle="1" w:styleId="Pleading2L1">
    <w:name w:val="Pleading2_L1"/>
    <w:basedOn w:val="Normal"/>
    <w:next w:val="BodyText"/>
    <w:rsid w:val="002B67BA"/>
    <w:pPr>
      <w:numPr>
        <w:numId w:val="1"/>
      </w:numPr>
      <w:spacing w:after="240" w:line="240" w:lineRule="auto"/>
      <w:outlineLvl w:val="0"/>
    </w:pPr>
    <w:rPr>
      <w:rFonts w:eastAsia="Times New Roman"/>
      <w:b/>
      <w:caps/>
      <w:szCs w:val="20"/>
      <w:u w:val="single"/>
    </w:rPr>
  </w:style>
  <w:style w:type="paragraph" w:customStyle="1" w:styleId="Pleading2L2">
    <w:name w:val="Pleading2_L2"/>
    <w:basedOn w:val="Pleading2L1"/>
    <w:rsid w:val="002B67BA"/>
    <w:pPr>
      <w:numPr>
        <w:ilvl w:val="1"/>
      </w:numPr>
      <w:spacing w:after="0" w:line="480" w:lineRule="auto"/>
      <w:jc w:val="left"/>
      <w:outlineLvl w:val="1"/>
    </w:pPr>
    <w:rPr>
      <w:b w:val="0"/>
      <w:caps w:val="0"/>
      <w:u w:val="none"/>
    </w:rPr>
  </w:style>
  <w:style w:type="paragraph" w:customStyle="1" w:styleId="Pleading2L3">
    <w:name w:val="Pleading2_L3"/>
    <w:basedOn w:val="Pleading2L2"/>
    <w:rsid w:val="002B67BA"/>
    <w:pPr>
      <w:numPr>
        <w:ilvl w:val="2"/>
      </w:numPr>
      <w:outlineLvl w:val="2"/>
    </w:pPr>
  </w:style>
  <w:style w:type="paragraph" w:customStyle="1" w:styleId="Pleading2L4">
    <w:name w:val="Pleading2_L4"/>
    <w:basedOn w:val="Pleading2L3"/>
    <w:rsid w:val="002B67BA"/>
    <w:pPr>
      <w:numPr>
        <w:ilvl w:val="3"/>
      </w:numPr>
      <w:outlineLvl w:val="3"/>
    </w:pPr>
  </w:style>
  <w:style w:type="paragraph" w:customStyle="1" w:styleId="Pleading2L5">
    <w:name w:val="Pleading2_L5"/>
    <w:basedOn w:val="Pleading2L4"/>
    <w:rsid w:val="002B67BA"/>
    <w:pPr>
      <w:keepNext/>
      <w:keepLines/>
      <w:widowControl w:val="0"/>
      <w:numPr>
        <w:ilvl w:val="4"/>
      </w:numPr>
      <w:spacing w:after="240" w:line="240" w:lineRule="auto"/>
      <w:outlineLvl w:val="4"/>
    </w:pPr>
  </w:style>
  <w:style w:type="paragraph" w:customStyle="1" w:styleId="Pleading2L6">
    <w:name w:val="Pleading2_L6"/>
    <w:basedOn w:val="Pleading2L5"/>
    <w:rsid w:val="002B67BA"/>
    <w:pPr>
      <w:numPr>
        <w:ilvl w:val="5"/>
      </w:numPr>
      <w:outlineLvl w:val="5"/>
    </w:pPr>
  </w:style>
  <w:style w:type="paragraph" w:customStyle="1" w:styleId="Pleading2L7">
    <w:name w:val="Pleading2_L7"/>
    <w:basedOn w:val="Pleading2L6"/>
    <w:rsid w:val="002B67BA"/>
    <w:pPr>
      <w:numPr>
        <w:ilvl w:val="6"/>
      </w:numPr>
      <w:outlineLvl w:val="6"/>
    </w:pPr>
  </w:style>
  <w:style w:type="paragraph" w:customStyle="1" w:styleId="Pleading2L8">
    <w:name w:val="Pleading2_L8"/>
    <w:basedOn w:val="Pleading2L7"/>
    <w:rsid w:val="002B67BA"/>
    <w:pPr>
      <w:numPr>
        <w:ilvl w:val="7"/>
      </w:numPr>
      <w:outlineLvl w:val="7"/>
    </w:pPr>
  </w:style>
  <w:style w:type="paragraph" w:customStyle="1" w:styleId="Pleading2L9">
    <w:name w:val="Pleading2_L9"/>
    <w:basedOn w:val="Pleading2L8"/>
    <w:rsid w:val="002B67BA"/>
    <w:pPr>
      <w:numPr>
        <w:ilvl w:val="8"/>
      </w:numPr>
      <w:outlineLvl w:val="8"/>
    </w:pPr>
  </w:style>
  <w:style w:type="paragraph" w:styleId="BodyText">
    <w:name w:val="Body Text"/>
    <w:basedOn w:val="Normal"/>
    <w:link w:val="BodyTextChar"/>
    <w:uiPriority w:val="99"/>
    <w:semiHidden/>
    <w:unhideWhenUsed/>
    <w:rsid w:val="002B67BA"/>
    <w:pPr>
      <w:spacing w:after="120"/>
    </w:pPr>
  </w:style>
  <w:style w:type="character" w:customStyle="1" w:styleId="BodyTextChar">
    <w:name w:val="Body Text Char"/>
    <w:basedOn w:val="DefaultParagraphFont"/>
    <w:link w:val="BodyText"/>
    <w:uiPriority w:val="99"/>
    <w:semiHidden/>
    <w:rsid w:val="002B67BA"/>
  </w:style>
  <w:style w:type="paragraph" w:styleId="FootnoteText">
    <w:name w:val="footnote text"/>
    <w:basedOn w:val="Normal"/>
    <w:link w:val="FootnoteTextChar"/>
    <w:uiPriority w:val="99"/>
    <w:semiHidden/>
    <w:unhideWhenUsed/>
    <w:rsid w:val="00D02589"/>
    <w:pPr>
      <w:spacing w:line="240" w:lineRule="auto"/>
    </w:pPr>
    <w:rPr>
      <w:sz w:val="20"/>
      <w:szCs w:val="20"/>
    </w:rPr>
  </w:style>
  <w:style w:type="character" w:customStyle="1" w:styleId="FootnoteTextChar">
    <w:name w:val="Footnote Text Char"/>
    <w:basedOn w:val="DefaultParagraphFont"/>
    <w:link w:val="FootnoteText"/>
    <w:uiPriority w:val="99"/>
    <w:semiHidden/>
    <w:rsid w:val="00D02589"/>
    <w:rPr>
      <w:sz w:val="20"/>
      <w:szCs w:val="20"/>
    </w:rPr>
  </w:style>
  <w:style w:type="character" w:styleId="FootnoteReference">
    <w:name w:val="footnote reference"/>
    <w:basedOn w:val="DefaultParagraphFont"/>
    <w:semiHidden/>
    <w:unhideWhenUsed/>
    <w:rsid w:val="00D02589"/>
    <w:rPr>
      <w:vertAlign w:val="superscript"/>
    </w:rPr>
  </w:style>
  <w:style w:type="paragraph" w:styleId="Header">
    <w:name w:val="header"/>
    <w:basedOn w:val="Normal"/>
    <w:link w:val="HeaderChar"/>
    <w:uiPriority w:val="99"/>
    <w:unhideWhenUsed/>
    <w:rsid w:val="00085F47"/>
    <w:pPr>
      <w:tabs>
        <w:tab w:val="center" w:pos="4680"/>
        <w:tab w:val="right" w:pos="9360"/>
      </w:tabs>
      <w:spacing w:line="240" w:lineRule="auto"/>
    </w:pPr>
  </w:style>
  <w:style w:type="character" w:customStyle="1" w:styleId="HeaderChar">
    <w:name w:val="Header Char"/>
    <w:basedOn w:val="DefaultParagraphFont"/>
    <w:link w:val="Header"/>
    <w:uiPriority w:val="99"/>
    <w:rsid w:val="00085F47"/>
  </w:style>
  <w:style w:type="paragraph" w:customStyle="1" w:styleId="TxBrc2">
    <w:name w:val="TxBr_c2"/>
    <w:basedOn w:val="Normal"/>
    <w:rsid w:val="00E07CB6"/>
    <w:pPr>
      <w:widowControl w:val="0"/>
      <w:autoSpaceDE w:val="0"/>
      <w:autoSpaceDN w:val="0"/>
      <w:adjustRightInd w:val="0"/>
      <w:spacing w:line="240" w:lineRule="atLeast"/>
      <w:ind w:firstLine="1440"/>
    </w:pPr>
    <w:rPr>
      <w:rFonts w:eastAsia="Times New Roman"/>
      <w:sz w:val="26"/>
    </w:rPr>
  </w:style>
  <w:style w:type="character" w:customStyle="1" w:styleId="Heading1Char">
    <w:name w:val="Heading 1 Char"/>
    <w:basedOn w:val="DefaultParagraphFont"/>
    <w:link w:val="Heading1"/>
    <w:uiPriority w:val="9"/>
    <w:rsid w:val="002F6D67"/>
    <w:rPr>
      <w:b/>
      <w:sz w:val="26"/>
      <w:szCs w:val="26"/>
    </w:rPr>
  </w:style>
  <w:style w:type="character" w:customStyle="1" w:styleId="Heading2Char">
    <w:name w:val="Heading 2 Char"/>
    <w:basedOn w:val="DefaultParagraphFont"/>
    <w:link w:val="Heading2"/>
    <w:uiPriority w:val="9"/>
    <w:rsid w:val="002F6D67"/>
    <w:rPr>
      <w:b/>
      <w:sz w:val="26"/>
      <w:szCs w:val="26"/>
    </w:rPr>
  </w:style>
  <w:style w:type="paragraph" w:styleId="BodyText2">
    <w:name w:val="Body Text 2"/>
    <w:basedOn w:val="Normal"/>
    <w:link w:val="BodyText2Char"/>
    <w:uiPriority w:val="99"/>
    <w:unhideWhenUsed/>
    <w:rsid w:val="00093241"/>
    <w:pPr>
      <w:jc w:val="left"/>
    </w:pPr>
    <w:rPr>
      <w:sz w:val="26"/>
      <w:szCs w:val="26"/>
    </w:rPr>
  </w:style>
  <w:style w:type="character" w:customStyle="1" w:styleId="BodyText2Char">
    <w:name w:val="Body Text 2 Char"/>
    <w:basedOn w:val="DefaultParagraphFont"/>
    <w:link w:val="BodyText2"/>
    <w:uiPriority w:val="99"/>
    <w:rsid w:val="00093241"/>
    <w:rPr>
      <w:sz w:val="26"/>
      <w:szCs w:val="26"/>
    </w:rPr>
  </w:style>
  <w:style w:type="character" w:customStyle="1" w:styleId="Heading3Char">
    <w:name w:val="Heading 3 Char"/>
    <w:basedOn w:val="DefaultParagraphFont"/>
    <w:link w:val="Heading3"/>
    <w:uiPriority w:val="9"/>
    <w:rsid w:val="002F6D67"/>
    <w:rPr>
      <w:b/>
      <w:sz w:val="26"/>
      <w:szCs w:val="26"/>
    </w:rPr>
  </w:style>
  <w:style w:type="paragraph" w:styleId="BodyText3">
    <w:name w:val="Body Text 3"/>
    <w:basedOn w:val="Normal"/>
    <w:link w:val="BodyText3Char"/>
    <w:uiPriority w:val="99"/>
    <w:unhideWhenUsed/>
    <w:rsid w:val="009039CE"/>
    <w:pPr>
      <w:jc w:val="left"/>
    </w:pPr>
    <w:rPr>
      <w:color w:val="FF0000"/>
      <w:sz w:val="26"/>
      <w:szCs w:val="26"/>
    </w:rPr>
  </w:style>
  <w:style w:type="character" w:customStyle="1" w:styleId="BodyText3Char">
    <w:name w:val="Body Text 3 Char"/>
    <w:basedOn w:val="DefaultParagraphFont"/>
    <w:link w:val="BodyText3"/>
    <w:uiPriority w:val="99"/>
    <w:rsid w:val="009039CE"/>
    <w:rPr>
      <w:color w:val="FF0000"/>
      <w:sz w:val="26"/>
      <w:szCs w:val="26"/>
    </w:rPr>
  </w:style>
  <w:style w:type="paragraph" w:styleId="ListBullet2">
    <w:name w:val="List Bullet 2"/>
    <w:aliases w:val="b2"/>
    <w:basedOn w:val="Normal"/>
    <w:rsid w:val="007170F1"/>
    <w:pPr>
      <w:numPr>
        <w:numId w:val="2"/>
      </w:numPr>
      <w:spacing w:after="240" w:line="240" w:lineRule="auto"/>
      <w:jc w:val="both"/>
    </w:pPr>
    <w:rPr>
      <w:rFonts w:eastAsia="Times New Roman"/>
      <w:szCs w:val="20"/>
    </w:rPr>
  </w:style>
  <w:style w:type="paragraph" w:styleId="ListBullet">
    <w:name w:val="List Bullet"/>
    <w:basedOn w:val="Normal"/>
    <w:uiPriority w:val="99"/>
    <w:semiHidden/>
    <w:unhideWhenUsed/>
    <w:rsid w:val="00836061"/>
    <w:pPr>
      <w:numPr>
        <w:numId w:val="3"/>
      </w:numPr>
      <w:contextualSpacing/>
    </w:pPr>
  </w:style>
  <w:style w:type="paragraph" w:styleId="BlockText">
    <w:name w:val="Block Text"/>
    <w:basedOn w:val="Normal"/>
    <w:uiPriority w:val="99"/>
    <w:unhideWhenUsed/>
    <w:rsid w:val="00B0306E"/>
    <w:pPr>
      <w:spacing w:line="240" w:lineRule="auto"/>
      <w:ind w:left="1440" w:right="1440"/>
      <w:jc w:val="left"/>
    </w:pPr>
    <w:rPr>
      <w:sz w:val="26"/>
      <w:szCs w:val="26"/>
    </w:rPr>
  </w:style>
  <w:style w:type="paragraph" w:styleId="NormalWeb">
    <w:name w:val="Normal (Web)"/>
    <w:basedOn w:val="Normal"/>
    <w:uiPriority w:val="99"/>
    <w:semiHidden/>
    <w:unhideWhenUsed/>
    <w:rsid w:val="006D6E28"/>
    <w:pPr>
      <w:spacing w:line="240" w:lineRule="auto"/>
      <w:jc w:val="left"/>
    </w:pPr>
    <w:rPr>
      <w:rFonts w:eastAsia="Times New Roman"/>
    </w:rPr>
  </w:style>
  <w:style w:type="character" w:styleId="Hyperlink">
    <w:name w:val="Hyperlink"/>
    <w:basedOn w:val="DefaultParagraphFont"/>
    <w:uiPriority w:val="99"/>
    <w:unhideWhenUsed/>
    <w:rsid w:val="00B30B0B"/>
    <w:rPr>
      <w:color w:val="0000FF" w:themeColor="hyperlink"/>
      <w:u w:val="single"/>
    </w:rPr>
  </w:style>
  <w:style w:type="paragraph" w:styleId="TOC1">
    <w:name w:val="toc 1"/>
    <w:basedOn w:val="Normal"/>
    <w:next w:val="Normal"/>
    <w:autoRedefine/>
    <w:uiPriority w:val="39"/>
    <w:unhideWhenUsed/>
    <w:rsid w:val="00B30B0B"/>
    <w:pPr>
      <w:spacing w:after="100"/>
      <w:jc w:val="left"/>
    </w:pPr>
    <w:rPr>
      <w:sz w:val="26"/>
    </w:rPr>
  </w:style>
  <w:style w:type="paragraph" w:styleId="TOC2">
    <w:name w:val="toc 2"/>
    <w:basedOn w:val="Normal"/>
    <w:next w:val="Normal"/>
    <w:autoRedefine/>
    <w:uiPriority w:val="39"/>
    <w:unhideWhenUsed/>
    <w:rsid w:val="00B30B0B"/>
    <w:pPr>
      <w:spacing w:after="100"/>
      <w:ind w:left="240"/>
      <w:jc w:val="left"/>
    </w:pPr>
    <w:rPr>
      <w:sz w:val="26"/>
    </w:rPr>
  </w:style>
  <w:style w:type="paragraph" w:styleId="TOC3">
    <w:name w:val="toc 3"/>
    <w:basedOn w:val="Normal"/>
    <w:next w:val="Normal"/>
    <w:autoRedefine/>
    <w:uiPriority w:val="39"/>
    <w:unhideWhenUsed/>
    <w:rsid w:val="00B30B0B"/>
    <w:pPr>
      <w:spacing w:after="100"/>
      <w:ind w:left="480"/>
      <w:jc w:val="left"/>
    </w:pPr>
    <w:rPr>
      <w:sz w:val="26"/>
    </w:rPr>
  </w:style>
  <w:style w:type="table" w:styleId="TableGrid">
    <w:name w:val="Table Grid"/>
    <w:basedOn w:val="TableNormal"/>
    <w:uiPriority w:val="59"/>
    <w:rsid w:val="00BD6723"/>
    <w:pPr>
      <w:spacing w:line="240" w:lineRule="auto"/>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448074">
      <w:bodyDiv w:val="1"/>
      <w:marLeft w:val="0"/>
      <w:marRight w:val="0"/>
      <w:marTop w:val="0"/>
      <w:marBottom w:val="0"/>
      <w:divBdr>
        <w:top w:val="none" w:sz="0" w:space="0" w:color="auto"/>
        <w:left w:val="none" w:sz="0" w:space="0" w:color="auto"/>
        <w:bottom w:val="none" w:sz="0" w:space="0" w:color="auto"/>
        <w:right w:val="none" w:sz="0" w:space="0" w:color="auto"/>
      </w:divBdr>
      <w:divsChild>
        <w:div w:id="1654141470">
          <w:marLeft w:val="0"/>
          <w:marRight w:val="0"/>
          <w:marTop w:val="0"/>
          <w:marBottom w:val="0"/>
          <w:divBdr>
            <w:top w:val="none" w:sz="0" w:space="0" w:color="auto"/>
            <w:left w:val="none" w:sz="0" w:space="0" w:color="auto"/>
            <w:bottom w:val="none" w:sz="0" w:space="0" w:color="auto"/>
            <w:right w:val="none" w:sz="0" w:space="0" w:color="auto"/>
          </w:divBdr>
          <w:divsChild>
            <w:div w:id="171777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8631">
      <w:bodyDiv w:val="1"/>
      <w:marLeft w:val="0"/>
      <w:marRight w:val="0"/>
      <w:marTop w:val="0"/>
      <w:marBottom w:val="0"/>
      <w:divBdr>
        <w:top w:val="none" w:sz="0" w:space="0" w:color="auto"/>
        <w:left w:val="none" w:sz="0" w:space="0" w:color="auto"/>
        <w:bottom w:val="none" w:sz="0" w:space="0" w:color="auto"/>
        <w:right w:val="none" w:sz="0" w:space="0" w:color="auto"/>
      </w:divBdr>
      <w:divsChild>
        <w:div w:id="1849442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AA0B0-05C2-46BD-9167-B013AF18E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27</Pages>
  <Words>6810</Words>
  <Characters>38817</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45536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Hinds, Margaret</cp:lastModifiedBy>
  <cp:revision>18</cp:revision>
  <cp:lastPrinted>2012-08-30T13:02:00Z</cp:lastPrinted>
  <dcterms:created xsi:type="dcterms:W3CDTF">2012-08-14T15:31:00Z</dcterms:created>
  <dcterms:modified xsi:type="dcterms:W3CDTF">2012-08-30T13:02:00Z</dcterms:modified>
</cp:coreProperties>
</file>