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625" w:rsidRDefault="007A0625" w:rsidP="0067462A">
      <w:pPr>
        <w:pStyle w:val="Title"/>
        <w:tabs>
          <w:tab w:val="clear" w:pos="360"/>
          <w:tab w:val="left" w:pos="0"/>
        </w:tabs>
        <w:spacing w:line="240" w:lineRule="auto"/>
      </w:pPr>
      <w:r>
        <w:t>BEFORE THE</w:t>
      </w:r>
    </w:p>
    <w:p w:rsidR="007A0625" w:rsidRDefault="007A0625" w:rsidP="0067462A">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7A0625" w:rsidRDefault="007A0625" w:rsidP="0067462A">
      <w:pPr>
        <w:tabs>
          <w:tab w:val="left" w:pos="0"/>
        </w:tabs>
        <w:spacing w:after="0" w:line="240" w:lineRule="auto"/>
        <w:jc w:val="both"/>
        <w:rPr>
          <w:b/>
        </w:rPr>
      </w:pPr>
    </w:p>
    <w:p w:rsidR="007A0625" w:rsidRDefault="007A0625" w:rsidP="0067462A">
      <w:pPr>
        <w:tabs>
          <w:tab w:val="left" w:pos="0"/>
        </w:tabs>
        <w:spacing w:after="0" w:line="240" w:lineRule="auto"/>
        <w:jc w:val="both"/>
        <w:rPr>
          <w:b/>
        </w:rPr>
      </w:pPr>
    </w:p>
    <w:p w:rsidR="007A0625" w:rsidRDefault="007A0625" w:rsidP="0067462A">
      <w:pPr>
        <w:tabs>
          <w:tab w:val="left" w:pos="0"/>
        </w:tabs>
        <w:spacing w:after="0" w:line="240" w:lineRule="auto"/>
        <w:jc w:val="both"/>
        <w:rPr>
          <w:b/>
        </w:rPr>
      </w:pPr>
    </w:p>
    <w:p w:rsidR="007A0625" w:rsidRDefault="007A0625" w:rsidP="0067462A">
      <w:pPr>
        <w:tabs>
          <w:tab w:val="left" w:pos="0"/>
        </w:tabs>
        <w:spacing w:after="0" w:line="240" w:lineRule="auto"/>
        <w:jc w:val="both"/>
        <w:rPr>
          <w:b/>
        </w:rPr>
      </w:pPr>
      <w:r>
        <w:t xml:space="preserve">Maria </w:t>
      </w:r>
      <w:proofErr w:type="spellStart"/>
      <w:r>
        <w:t>Gonda</w:t>
      </w:r>
      <w:proofErr w:type="spellEnd"/>
      <w:r>
        <w:t xml:space="preserve"> </w:t>
      </w:r>
      <w:proofErr w:type="spellStart"/>
      <w:r>
        <w:t>Caiaccia</w:t>
      </w:r>
      <w:proofErr w:type="spellEnd"/>
      <w:r>
        <w:tab/>
      </w:r>
      <w:r>
        <w:tab/>
      </w:r>
      <w:r>
        <w:tab/>
      </w:r>
      <w:r>
        <w:tab/>
      </w:r>
      <w:r>
        <w:tab/>
      </w:r>
      <w:r w:rsidRPr="00560DC5">
        <w:t>:</w:t>
      </w:r>
    </w:p>
    <w:p w:rsidR="007A0625" w:rsidRPr="00560DC5" w:rsidRDefault="007A0625" w:rsidP="0067462A">
      <w:pPr>
        <w:tabs>
          <w:tab w:val="left" w:pos="0"/>
        </w:tabs>
        <w:spacing w:after="0" w:line="240" w:lineRule="auto"/>
        <w:jc w:val="both"/>
      </w:pPr>
      <w:r>
        <w:rPr>
          <w:b/>
        </w:rPr>
        <w:tab/>
      </w:r>
      <w:r>
        <w:rPr>
          <w:b/>
        </w:rPr>
        <w:tab/>
      </w:r>
      <w:r>
        <w:rPr>
          <w:b/>
        </w:rPr>
        <w:tab/>
      </w:r>
      <w:r>
        <w:rPr>
          <w:b/>
        </w:rPr>
        <w:tab/>
      </w:r>
      <w:r>
        <w:rPr>
          <w:b/>
        </w:rPr>
        <w:tab/>
      </w:r>
      <w:r>
        <w:rPr>
          <w:b/>
        </w:rPr>
        <w:tab/>
      </w:r>
      <w:r>
        <w:rPr>
          <w:b/>
        </w:rPr>
        <w:tab/>
      </w:r>
      <w:r w:rsidRPr="00560DC5">
        <w:t>:</w:t>
      </w:r>
    </w:p>
    <w:p w:rsidR="007A0625" w:rsidRDefault="007A0625" w:rsidP="0067462A">
      <w:pPr>
        <w:tabs>
          <w:tab w:val="left" w:pos="0"/>
        </w:tabs>
        <w:spacing w:after="0" w:line="240" w:lineRule="auto"/>
        <w:jc w:val="both"/>
      </w:pPr>
      <w:r>
        <w:tab/>
        <w:t>v.</w:t>
      </w:r>
      <w:r>
        <w:tab/>
      </w:r>
      <w:r>
        <w:tab/>
      </w:r>
      <w:r>
        <w:tab/>
      </w:r>
      <w:r>
        <w:tab/>
      </w:r>
      <w:r>
        <w:tab/>
      </w:r>
      <w:r>
        <w:tab/>
      </w:r>
      <w:r w:rsidRPr="00560DC5">
        <w:t>:</w:t>
      </w:r>
      <w:r>
        <w:rPr>
          <w:b/>
        </w:rPr>
        <w:tab/>
      </w:r>
      <w:r>
        <w:rPr>
          <w:b/>
        </w:rPr>
        <w:tab/>
      </w:r>
      <w:r>
        <w:t>F-2011-2263256</w:t>
      </w:r>
    </w:p>
    <w:p w:rsidR="007A0625" w:rsidRPr="00560DC5" w:rsidRDefault="007A0625" w:rsidP="0067462A">
      <w:pPr>
        <w:tabs>
          <w:tab w:val="left" w:pos="0"/>
        </w:tabs>
        <w:spacing w:after="0" w:line="240" w:lineRule="auto"/>
        <w:jc w:val="both"/>
      </w:pPr>
      <w:r>
        <w:tab/>
      </w:r>
      <w:r>
        <w:tab/>
      </w:r>
      <w:r>
        <w:tab/>
      </w:r>
      <w:r>
        <w:tab/>
      </w:r>
      <w:r>
        <w:tab/>
      </w:r>
      <w:r>
        <w:tab/>
      </w:r>
      <w:r>
        <w:tab/>
      </w:r>
      <w:r w:rsidRPr="00560DC5">
        <w:t>:</w:t>
      </w:r>
    </w:p>
    <w:p w:rsidR="007A0625" w:rsidRDefault="007A0625" w:rsidP="0067462A">
      <w:pPr>
        <w:tabs>
          <w:tab w:val="left" w:pos="0"/>
        </w:tabs>
        <w:spacing w:after="0" w:line="240" w:lineRule="auto"/>
        <w:jc w:val="both"/>
      </w:pPr>
      <w:r>
        <w:t>Duquesne Light Company</w:t>
      </w:r>
      <w:r>
        <w:tab/>
      </w:r>
      <w:r>
        <w:tab/>
      </w:r>
      <w:r>
        <w:tab/>
      </w:r>
      <w:r>
        <w:tab/>
      </w:r>
      <w:r w:rsidRPr="00560DC5">
        <w:t>:</w:t>
      </w:r>
    </w:p>
    <w:p w:rsidR="007A0625" w:rsidRDefault="007A0625" w:rsidP="0067462A">
      <w:pPr>
        <w:tabs>
          <w:tab w:val="left" w:pos="0"/>
        </w:tabs>
        <w:spacing w:after="0" w:line="240" w:lineRule="auto"/>
        <w:jc w:val="both"/>
      </w:pPr>
    </w:p>
    <w:p w:rsidR="00792796" w:rsidRDefault="00792796" w:rsidP="0067462A">
      <w:pPr>
        <w:spacing w:after="0" w:line="240" w:lineRule="auto"/>
      </w:pPr>
    </w:p>
    <w:p w:rsidR="0067462A" w:rsidRDefault="0067462A" w:rsidP="0067462A">
      <w:pPr>
        <w:spacing w:after="0" w:line="240" w:lineRule="auto"/>
        <w:jc w:val="center"/>
        <w:rPr>
          <w:b/>
          <w:u w:val="single"/>
        </w:rPr>
      </w:pPr>
    </w:p>
    <w:p w:rsidR="00E07097" w:rsidRPr="007A0625" w:rsidRDefault="00E07097" w:rsidP="0067462A">
      <w:pPr>
        <w:spacing w:after="0" w:line="240" w:lineRule="auto"/>
        <w:jc w:val="center"/>
        <w:rPr>
          <w:b/>
          <w:u w:val="single"/>
        </w:rPr>
      </w:pPr>
      <w:r w:rsidRPr="007A0625">
        <w:rPr>
          <w:b/>
          <w:u w:val="single"/>
        </w:rPr>
        <w:t>INITIAL DECISION</w:t>
      </w:r>
    </w:p>
    <w:p w:rsidR="007A0625" w:rsidRDefault="007A0625" w:rsidP="0067462A">
      <w:pPr>
        <w:spacing w:after="0" w:line="240" w:lineRule="auto"/>
        <w:jc w:val="center"/>
      </w:pPr>
    </w:p>
    <w:p w:rsidR="007A0625" w:rsidRDefault="007A0625" w:rsidP="0067462A">
      <w:pPr>
        <w:spacing w:after="0" w:line="240" w:lineRule="auto"/>
        <w:jc w:val="center"/>
      </w:pPr>
    </w:p>
    <w:p w:rsidR="00E07097" w:rsidRDefault="00E07097" w:rsidP="0067462A">
      <w:pPr>
        <w:spacing w:after="0" w:line="240" w:lineRule="auto"/>
        <w:jc w:val="center"/>
      </w:pPr>
      <w:r>
        <w:t>Before</w:t>
      </w:r>
    </w:p>
    <w:p w:rsidR="00E07097" w:rsidRDefault="00E07097" w:rsidP="0067462A">
      <w:pPr>
        <w:spacing w:after="0" w:line="240" w:lineRule="auto"/>
        <w:jc w:val="center"/>
      </w:pPr>
      <w:r>
        <w:t>Mary D. Long</w:t>
      </w:r>
    </w:p>
    <w:p w:rsidR="00E07097" w:rsidRDefault="00E07097" w:rsidP="0067462A">
      <w:pPr>
        <w:spacing w:after="0" w:line="240" w:lineRule="auto"/>
        <w:jc w:val="center"/>
      </w:pPr>
      <w:r>
        <w:t>Administrative Law Judge</w:t>
      </w:r>
    </w:p>
    <w:p w:rsidR="00E07097" w:rsidRDefault="00E07097" w:rsidP="0067462A">
      <w:pPr>
        <w:spacing w:after="0"/>
      </w:pPr>
    </w:p>
    <w:p w:rsidR="0067462A" w:rsidRDefault="00E07097" w:rsidP="0067462A">
      <w:pPr>
        <w:spacing w:after="0"/>
      </w:pPr>
      <w:r>
        <w:tab/>
      </w:r>
      <w:r w:rsidR="0067462A">
        <w:tab/>
      </w:r>
      <w:r>
        <w:t xml:space="preserve">The Complainant alleges that her 2011 bills for electricity are doubled when compared to her 2010 </w:t>
      </w:r>
      <w:r w:rsidR="00664DF6">
        <w:t xml:space="preserve">bills </w:t>
      </w:r>
      <w:r>
        <w:t xml:space="preserve">even though her usage is the same.  She also does not believe that her </w:t>
      </w:r>
      <w:r w:rsidR="00854C33">
        <w:t>meter is</w:t>
      </w:r>
      <w:r>
        <w:t xml:space="preserve"> correctly recording her consumption.  However, the evidence adduced at the hearing demonstrates that her consumption is correctly recorded and there is no inaccuracy in her billing</w:t>
      </w:r>
      <w:r w:rsidR="00854C33">
        <w:t xml:space="preserve"> for consumption</w:t>
      </w:r>
      <w:r>
        <w:t>, therefore her complaint must be dismissed.</w:t>
      </w:r>
      <w:r w:rsidR="00854C33">
        <w:t xml:space="preserve"> </w:t>
      </w:r>
    </w:p>
    <w:p w:rsidR="00E07097" w:rsidRDefault="00854C33" w:rsidP="0067462A">
      <w:pPr>
        <w:spacing w:after="0"/>
      </w:pPr>
      <w:r>
        <w:t xml:space="preserve"> </w:t>
      </w:r>
    </w:p>
    <w:p w:rsidR="00AD7133" w:rsidRDefault="00AD7133" w:rsidP="0067462A">
      <w:pPr>
        <w:spacing w:after="0"/>
      </w:pPr>
      <w:r>
        <w:tab/>
      </w:r>
      <w:r w:rsidR="0067462A">
        <w:tab/>
      </w:r>
      <w:r>
        <w:t>The Complainant also contends that her bills are “riddled with inconsistencies” and that the allocation of her customer assistance payments does not make sense.  A review of her billing statements reveals that her bills are indeed difficult to follow, therefore the utility will be ordered to provide her with a more detailed explanation of the disposition</w:t>
      </w:r>
      <w:r w:rsidR="00756B69">
        <w:t xml:space="preserve"> of her customer assistance program </w:t>
      </w:r>
      <w:r>
        <w:t>payments.</w:t>
      </w:r>
    </w:p>
    <w:p w:rsidR="0067462A" w:rsidRDefault="0067462A" w:rsidP="0067462A">
      <w:pPr>
        <w:spacing w:after="0"/>
      </w:pPr>
    </w:p>
    <w:p w:rsidR="00E07097" w:rsidRDefault="00E07097" w:rsidP="0067462A">
      <w:pPr>
        <w:spacing w:after="0"/>
        <w:jc w:val="center"/>
        <w:rPr>
          <w:u w:val="single"/>
        </w:rPr>
      </w:pPr>
      <w:r w:rsidRPr="007A0625">
        <w:rPr>
          <w:u w:val="single"/>
        </w:rPr>
        <w:t>HISTORY OF THE PROCEEDINGS</w:t>
      </w:r>
    </w:p>
    <w:p w:rsidR="0067462A" w:rsidRPr="007A0625" w:rsidRDefault="0067462A" w:rsidP="0067462A">
      <w:pPr>
        <w:spacing w:after="0"/>
        <w:jc w:val="center"/>
        <w:rPr>
          <w:u w:val="single"/>
        </w:rPr>
      </w:pPr>
    </w:p>
    <w:p w:rsidR="00E07097" w:rsidRDefault="00E07097" w:rsidP="0067462A">
      <w:pPr>
        <w:spacing w:after="0"/>
      </w:pPr>
      <w:r>
        <w:tab/>
      </w:r>
      <w:r w:rsidR="0067462A">
        <w:tab/>
      </w:r>
      <w:r>
        <w:t xml:space="preserve">Maria </w:t>
      </w:r>
      <w:proofErr w:type="spellStart"/>
      <w:r>
        <w:t>Gonda</w:t>
      </w:r>
      <w:proofErr w:type="spellEnd"/>
      <w:r>
        <w:t xml:space="preserve"> </w:t>
      </w:r>
      <w:proofErr w:type="spellStart"/>
      <w:r>
        <w:t>Caiaccia</w:t>
      </w:r>
      <w:proofErr w:type="spellEnd"/>
      <w:r>
        <w:t xml:space="preserve"> (Complainant) filed a formal complaint on September 12, 2011, alleging that her electricity bills were too high and that she was being over</w:t>
      </w:r>
      <w:r w:rsidR="00854C33">
        <w:t>-</w:t>
      </w:r>
      <w:r>
        <w:t xml:space="preserve">billed when she </w:t>
      </w:r>
      <w:r>
        <w:lastRenderedPageBreak/>
        <w:t>compared her 2010 bills to her 2011 bills.</w:t>
      </w:r>
      <w:r w:rsidR="00256DFB">
        <w:rPr>
          <w:rStyle w:val="FootnoteReference"/>
        </w:rPr>
        <w:footnoteReference w:id="1"/>
      </w:r>
      <w:r>
        <w:t xml:space="preserve">  On October 11, 2011, Duquesne Light Company (Duquesne Light) filed an answer to the complaint stating that the Complainant’s recorded usage was reasonable based on the fact that the Complainant reports using electricity to heat her home in the winter.  Duquesne Light further notes that some of the amounts recorded in the complaint </w:t>
      </w:r>
      <w:r w:rsidR="002D022B">
        <w:t xml:space="preserve">represent </w:t>
      </w:r>
      <w:r>
        <w:t>Customer Assistance Plan (CAP) write-offs and not the amount actually billed to the customer.</w:t>
      </w:r>
    </w:p>
    <w:p w:rsidR="0067462A" w:rsidRDefault="0067462A" w:rsidP="0067462A">
      <w:pPr>
        <w:spacing w:after="0"/>
      </w:pPr>
    </w:p>
    <w:p w:rsidR="00264332" w:rsidRDefault="00264332" w:rsidP="0067462A">
      <w:pPr>
        <w:spacing w:after="0"/>
      </w:pPr>
      <w:r>
        <w:tab/>
      </w:r>
      <w:r w:rsidR="0067462A">
        <w:tab/>
      </w:r>
      <w:r>
        <w:t>This matter was assigned to me and a hearing was held on February 21, 2012.  The Complainant appeared and represented herself and testified on her own behalf.  She introduced six exhibits which were admitted into the record.  Duquesne Light was represented by Jennifer L. Allison, Esquire.  Duquesne Light presented the testimony of one witness and introduced five exhibits which we</w:t>
      </w:r>
      <w:r w:rsidR="002D022B">
        <w:t>re admitted into the record</w:t>
      </w:r>
      <w:r>
        <w:t>.</w:t>
      </w:r>
    </w:p>
    <w:p w:rsidR="0067462A" w:rsidRDefault="0067462A" w:rsidP="0067462A">
      <w:pPr>
        <w:spacing w:after="0"/>
      </w:pPr>
    </w:p>
    <w:p w:rsidR="0067462A" w:rsidRDefault="00264332" w:rsidP="0067462A">
      <w:pPr>
        <w:spacing w:after="0"/>
      </w:pPr>
      <w:r>
        <w:tab/>
      </w:r>
      <w:r w:rsidR="00ED6A9F">
        <w:tab/>
        <w:t xml:space="preserve">The testimony and exhibits presented in the February 21, 2012 hearing consisted of statements of account for the Complainant and copies of certain specific bills which were rendered to the Complainant.  Duquesne Light took the position that the Complainant was confused about the difference between her meter reading and her consumption and that her consumption remained consistent between 2010 and 2011.  The Complainant stated that she was well aware of the difference between her meter reading and her consumption, but that given her limited use of electricity, her bills were much higher in 2011 than they were in 2010, which </w:t>
      </w:r>
      <w:r w:rsidR="002D022B">
        <w:t xml:space="preserve">resulted in the exhaustion of </w:t>
      </w:r>
      <w:r w:rsidR="00ED6A9F">
        <w:t>her CAP funds.  The witness for Duquesne Light testified that she was unaware whether the Complainant’s meter had been tested after it was installed.  No evidence in the record provide</w:t>
      </w:r>
      <w:r w:rsidR="002D022B">
        <w:t>d</w:t>
      </w:r>
      <w:r w:rsidR="00ED6A9F">
        <w:t xml:space="preserve"> the date that the Complainant’s meter was installed.  No appliance or consumption analysis ha</w:t>
      </w:r>
      <w:r w:rsidR="002D022B">
        <w:t>d</w:t>
      </w:r>
      <w:r w:rsidR="00ED6A9F">
        <w:t xml:space="preserve"> been done for the Complainant’s residence in part due to the difficulty in getting in touch with the Complainant and her reluctance to allow a technician into her home.  The Complainant testified that neighbors had recently moved into the other half of the duplex in which she resides which seemed to coincide with some of her difficulties concerning her electricity. </w:t>
      </w:r>
    </w:p>
    <w:p w:rsidR="00ED6A9F" w:rsidRDefault="00ED6A9F" w:rsidP="0067462A">
      <w:pPr>
        <w:spacing w:after="0"/>
      </w:pPr>
      <w:r>
        <w:t xml:space="preserve"> </w:t>
      </w:r>
    </w:p>
    <w:p w:rsidR="0067462A" w:rsidRDefault="00ED6A9F" w:rsidP="0067462A">
      <w:pPr>
        <w:spacing w:after="0"/>
        <w:ind w:firstLine="1440"/>
      </w:pPr>
      <w:r>
        <w:lastRenderedPageBreak/>
        <w:t>Accordingly, by order dated February 22, 2012, I directed Duquesne Light to complete a ground and foreign load check and also perform an appliance and consumption analysis at the Complainant’s residence.  Duquesne Light complied with this order and a further hearing was held on May 15, 2012.  Duquesne Light introduced the report of its findings which was admitted into the record, as well as the testimony of an additional witness.</w:t>
      </w:r>
    </w:p>
    <w:p w:rsidR="00ED6A9F" w:rsidRDefault="00ED6A9F" w:rsidP="0067462A">
      <w:pPr>
        <w:spacing w:after="0"/>
        <w:ind w:firstLine="1440"/>
      </w:pPr>
      <w:r>
        <w:t xml:space="preserve">  </w:t>
      </w:r>
    </w:p>
    <w:p w:rsidR="00ED6A9F" w:rsidRDefault="00ED6A9F" w:rsidP="0067462A">
      <w:pPr>
        <w:spacing w:after="0"/>
        <w:ind w:firstLine="1440"/>
      </w:pPr>
      <w:r>
        <w:t>In total, the two hearings produced a transcript of 153 pages.  No briefs were filed and the record was closed by order dated June 12, 2012.  After a full consideration of the testimony and exhibits, I make the following:</w:t>
      </w:r>
    </w:p>
    <w:p w:rsidR="0067462A" w:rsidRDefault="0067462A" w:rsidP="0067462A">
      <w:pPr>
        <w:spacing w:after="0"/>
        <w:ind w:firstLine="1440"/>
      </w:pPr>
    </w:p>
    <w:p w:rsidR="00ED6A9F" w:rsidRDefault="00ED6A9F" w:rsidP="0067462A">
      <w:pPr>
        <w:spacing w:after="0"/>
        <w:ind w:firstLine="720"/>
        <w:jc w:val="center"/>
        <w:rPr>
          <w:u w:val="single"/>
        </w:rPr>
      </w:pPr>
      <w:r w:rsidRPr="007A0625">
        <w:rPr>
          <w:u w:val="single"/>
        </w:rPr>
        <w:t>FINDINGS OF FACT</w:t>
      </w:r>
    </w:p>
    <w:p w:rsidR="0067462A" w:rsidRPr="007A0625" w:rsidRDefault="0067462A" w:rsidP="0067462A">
      <w:pPr>
        <w:spacing w:after="0"/>
        <w:ind w:firstLine="720"/>
        <w:jc w:val="center"/>
        <w:rPr>
          <w:u w:val="single"/>
        </w:rPr>
      </w:pPr>
    </w:p>
    <w:p w:rsidR="00ED6A9F" w:rsidRDefault="00170D96" w:rsidP="0067462A">
      <w:pPr>
        <w:pStyle w:val="ListParagraph"/>
        <w:spacing w:after="0"/>
        <w:ind w:firstLine="1440"/>
      </w:pPr>
      <w:r>
        <w:t xml:space="preserve">Maria </w:t>
      </w:r>
      <w:proofErr w:type="spellStart"/>
      <w:r>
        <w:t>Gonda</w:t>
      </w:r>
      <w:proofErr w:type="spellEnd"/>
      <w:r>
        <w:t xml:space="preserve"> </w:t>
      </w:r>
      <w:proofErr w:type="spellStart"/>
      <w:r>
        <w:t>Caiaccia</w:t>
      </w:r>
      <w:proofErr w:type="spellEnd"/>
      <w:r>
        <w:t>, the Complainant, receives residential electric service from Duquesne Light Company at her residence, 703 Berkshire Drive, Pittsburgh, Allegheny County. (N.T. 8)</w:t>
      </w:r>
    </w:p>
    <w:p w:rsidR="0067462A" w:rsidRDefault="0067462A" w:rsidP="0067462A">
      <w:pPr>
        <w:pStyle w:val="ListParagraph"/>
        <w:numPr>
          <w:ilvl w:val="0"/>
          <w:numId w:val="0"/>
        </w:numPr>
        <w:spacing w:after="0"/>
        <w:ind w:left="1440"/>
      </w:pPr>
    </w:p>
    <w:p w:rsidR="0067462A" w:rsidRDefault="00170D96" w:rsidP="0067462A">
      <w:pPr>
        <w:pStyle w:val="ListParagraph"/>
        <w:spacing w:after="0"/>
        <w:ind w:firstLine="1440"/>
      </w:pPr>
      <w:r>
        <w:t xml:space="preserve">She lives in a duplex, which is part of a large old house.  Her living section consists of six rooms.  Since her husband’s death in 2001, she lives alone, primarily using the first </w:t>
      </w:r>
      <w:r w:rsidR="005872EE">
        <w:t>floor of the residence. (N.T. 8, 75)</w:t>
      </w:r>
    </w:p>
    <w:p w:rsidR="0067462A" w:rsidRDefault="0067462A" w:rsidP="0067462A">
      <w:pPr>
        <w:pStyle w:val="ListParagraph"/>
        <w:numPr>
          <w:ilvl w:val="0"/>
          <w:numId w:val="0"/>
        </w:numPr>
        <w:spacing w:after="0"/>
        <w:ind w:left="1440"/>
      </w:pPr>
    </w:p>
    <w:p w:rsidR="0067462A" w:rsidRDefault="00170D96" w:rsidP="0067462A">
      <w:pPr>
        <w:pStyle w:val="ListParagraph"/>
        <w:spacing w:after="0"/>
        <w:ind w:firstLine="1440"/>
      </w:pPr>
      <w:r>
        <w:t xml:space="preserve">At one time, the house used a gas furnace. </w:t>
      </w:r>
      <w:r w:rsidR="00B576FA">
        <w:t xml:space="preserve"> </w:t>
      </w:r>
      <w:r>
        <w:t xml:space="preserve">However, </w:t>
      </w:r>
      <w:r w:rsidR="00AB4F73">
        <w:t>gas service has been</w:t>
      </w:r>
      <w:r>
        <w:t xml:space="preserve"> disconnected. </w:t>
      </w:r>
      <w:r w:rsidR="00B576FA">
        <w:t xml:space="preserve"> </w:t>
      </w:r>
      <w:r>
        <w:t xml:space="preserve">The Complainant now heats her home with three </w:t>
      </w:r>
      <w:r w:rsidR="00F20C63">
        <w:t xml:space="preserve">electric </w:t>
      </w:r>
      <w:r>
        <w:t>radiators.</w:t>
      </w:r>
      <w:r w:rsidR="00E73735">
        <w:t xml:space="preserve"> </w:t>
      </w:r>
      <w:r w:rsidR="00B576FA">
        <w:t xml:space="preserve"> </w:t>
      </w:r>
      <w:r w:rsidR="00E73735">
        <w:t>She also uses a space heater in her bathroom. (N.T.</w:t>
      </w:r>
      <w:r w:rsidR="00F20C63">
        <w:t xml:space="preserve"> 14-15)</w:t>
      </w:r>
    </w:p>
    <w:p w:rsidR="00170D96" w:rsidRDefault="00170D96" w:rsidP="0067462A">
      <w:pPr>
        <w:pStyle w:val="ListParagraph"/>
        <w:numPr>
          <w:ilvl w:val="0"/>
          <w:numId w:val="0"/>
        </w:numPr>
        <w:spacing w:after="0"/>
        <w:ind w:left="1440"/>
      </w:pPr>
      <w:r>
        <w:t xml:space="preserve">  </w:t>
      </w:r>
    </w:p>
    <w:p w:rsidR="0067462A" w:rsidRDefault="00170D96" w:rsidP="0067462A">
      <w:pPr>
        <w:pStyle w:val="ListParagraph"/>
        <w:spacing w:after="0"/>
        <w:ind w:firstLine="1440"/>
      </w:pPr>
      <w:r>
        <w:t>Although she owns a washer and dryer, they are broken and she does not use them.  Additionally, there are window air</w:t>
      </w:r>
      <w:r w:rsidR="00664DF6">
        <w:t>-</w:t>
      </w:r>
      <w:r>
        <w:t>conditioning unit</w:t>
      </w:r>
      <w:r w:rsidR="00FD35D3">
        <w:t>s</w:t>
      </w:r>
      <w:r>
        <w:t xml:space="preserve"> which are also broken and/or not in use. (N.T. 13-14)</w:t>
      </w:r>
    </w:p>
    <w:p w:rsidR="0067462A" w:rsidRDefault="0067462A" w:rsidP="0067462A">
      <w:pPr>
        <w:pStyle w:val="ListParagraph"/>
        <w:numPr>
          <w:ilvl w:val="0"/>
          <w:numId w:val="0"/>
        </w:numPr>
        <w:spacing w:after="0"/>
        <w:ind w:left="1440"/>
      </w:pPr>
    </w:p>
    <w:p w:rsidR="0067462A" w:rsidRDefault="00170D96" w:rsidP="0067462A">
      <w:pPr>
        <w:pStyle w:val="ListParagraph"/>
        <w:spacing w:after="0"/>
        <w:ind w:firstLine="1440"/>
      </w:pPr>
      <w:r>
        <w:t>Her only</w:t>
      </w:r>
      <w:r w:rsidR="00F20C63">
        <w:t xml:space="preserve"> other</w:t>
      </w:r>
      <w:r>
        <w:t xml:space="preserve"> electric appliances are a stove, refrigerator, television and a small electric blender. (N</w:t>
      </w:r>
      <w:r w:rsidR="0067462A">
        <w:t>.T. 12-15; Duquesne Light Ex. 6</w:t>
      </w:r>
      <w:r w:rsidR="00664DF6">
        <w:t>)</w:t>
      </w:r>
    </w:p>
    <w:p w:rsidR="0067462A" w:rsidRDefault="0067462A" w:rsidP="0067462A">
      <w:pPr>
        <w:pStyle w:val="ListParagraph"/>
        <w:numPr>
          <w:ilvl w:val="0"/>
          <w:numId w:val="0"/>
        </w:numPr>
        <w:spacing w:after="0"/>
        <w:ind w:left="1440"/>
      </w:pPr>
    </w:p>
    <w:p w:rsidR="00FD35D3" w:rsidRDefault="00E73735" w:rsidP="0067462A">
      <w:pPr>
        <w:pStyle w:val="ListParagraph"/>
        <w:spacing w:after="0"/>
        <w:ind w:firstLine="1440"/>
      </w:pPr>
      <w:r>
        <w:lastRenderedPageBreak/>
        <w:t xml:space="preserve">Each of her radiators </w:t>
      </w:r>
      <w:r w:rsidR="00FB4283">
        <w:t>is</w:t>
      </w:r>
      <w:r>
        <w:t xml:space="preserve"> thermostatically controlled and </w:t>
      </w:r>
      <w:r w:rsidR="00FB4283">
        <w:t>has</w:t>
      </w:r>
      <w:r>
        <w:t xml:space="preserve"> three settings, low to high.</w:t>
      </w:r>
      <w:r w:rsidR="00B83561">
        <w:t xml:space="preserve">  </w:t>
      </w:r>
      <w:r>
        <w:t xml:space="preserve">The Complainant only uses the radiators when it is cold outside, typically </w:t>
      </w:r>
      <w:r w:rsidR="00F20C63">
        <w:t>from late fall</w:t>
      </w:r>
      <w:r>
        <w:t xml:space="preserve"> to February or March. </w:t>
      </w:r>
      <w:r w:rsidR="00F20C63">
        <w:t>(N.T. 15, 25)</w:t>
      </w:r>
    </w:p>
    <w:p w:rsidR="0067462A" w:rsidRDefault="0067462A" w:rsidP="0067462A">
      <w:pPr>
        <w:pStyle w:val="ListParagraph"/>
        <w:numPr>
          <w:ilvl w:val="0"/>
          <w:numId w:val="0"/>
        </w:numPr>
        <w:spacing w:after="0"/>
        <w:ind w:left="1440"/>
      </w:pPr>
    </w:p>
    <w:p w:rsidR="0067462A" w:rsidRDefault="00E73735" w:rsidP="0067462A">
      <w:pPr>
        <w:pStyle w:val="ListParagraph"/>
        <w:spacing w:after="0"/>
        <w:ind w:firstLine="1440"/>
      </w:pPr>
      <w:r>
        <w:t xml:space="preserve">One radiator is kept in the basement </w:t>
      </w:r>
      <w:r w:rsidR="00F20C63">
        <w:t xml:space="preserve">in the winter </w:t>
      </w:r>
      <w:r>
        <w:t>to maintain a temperature of 50 degrees so that the pipes do not freeze.  Unless it is below freezing, it is kept on the “low” setting. (N.T. 15-16, 25)</w:t>
      </w:r>
    </w:p>
    <w:p w:rsidR="0067462A" w:rsidRDefault="0067462A" w:rsidP="0067462A">
      <w:pPr>
        <w:pStyle w:val="ListParagraph"/>
        <w:numPr>
          <w:ilvl w:val="0"/>
          <w:numId w:val="0"/>
        </w:numPr>
        <w:spacing w:after="0"/>
        <w:ind w:left="1440"/>
      </w:pPr>
    </w:p>
    <w:p w:rsidR="0067462A" w:rsidRDefault="00E73735" w:rsidP="0067462A">
      <w:pPr>
        <w:pStyle w:val="ListParagraph"/>
        <w:spacing w:after="0"/>
        <w:ind w:firstLine="1440"/>
      </w:pPr>
      <w:r>
        <w:t xml:space="preserve">The other two radiators are in the kitchen and the </w:t>
      </w:r>
      <w:r w:rsidR="00FB4283">
        <w:t>living room</w:t>
      </w:r>
      <w:r>
        <w:t>.  She turns these off when she leaves the house. (N.T. 19-20)</w:t>
      </w:r>
    </w:p>
    <w:p w:rsidR="0067462A" w:rsidRDefault="0067462A" w:rsidP="0067462A">
      <w:pPr>
        <w:pStyle w:val="ListParagraph"/>
        <w:numPr>
          <w:ilvl w:val="0"/>
          <w:numId w:val="0"/>
        </w:numPr>
        <w:spacing w:after="0"/>
        <w:ind w:left="1440"/>
      </w:pPr>
    </w:p>
    <w:p w:rsidR="0067462A" w:rsidRDefault="00E4706F" w:rsidP="0067462A">
      <w:pPr>
        <w:pStyle w:val="ListParagraph"/>
        <w:spacing w:after="0"/>
        <w:ind w:firstLine="1440"/>
      </w:pPr>
      <w:r>
        <w:t xml:space="preserve"> </w:t>
      </w:r>
      <w:r w:rsidR="001F229E">
        <w:t>The Complainant</w:t>
      </w:r>
      <w:r w:rsidR="000B0B58">
        <w:t>’</w:t>
      </w:r>
      <w:r w:rsidR="001F229E">
        <w:t>s</w:t>
      </w:r>
      <w:r w:rsidR="000B0B58">
        <w:t xml:space="preserve"> meter is typically read on the 12</w:t>
      </w:r>
      <w:r w:rsidR="000B0B58" w:rsidRPr="000B0B58">
        <w:rPr>
          <w:vertAlign w:val="superscript"/>
        </w:rPr>
        <w:t>th</w:t>
      </w:r>
      <w:r w:rsidR="000B0B58">
        <w:t xml:space="preserve"> or 13</w:t>
      </w:r>
      <w:r w:rsidR="000B0B58" w:rsidRPr="000B0B58">
        <w:rPr>
          <w:vertAlign w:val="superscript"/>
        </w:rPr>
        <w:t>th</w:t>
      </w:r>
      <w:r w:rsidR="000B0B58">
        <w:t xml:space="preserve"> of each month. </w:t>
      </w:r>
      <w:r w:rsidR="00B576FA">
        <w:t xml:space="preserve"> </w:t>
      </w:r>
      <w:r w:rsidR="000B1D56">
        <w:t xml:space="preserve">For example, the Complainant’s bill which was due May 4, 2011, was for electricity consumption between March 14, 2011 and April 12, 2011.  Her meter recorded 996 </w:t>
      </w:r>
      <w:r w:rsidR="00FB4283">
        <w:t>kWh</w:t>
      </w:r>
      <w:r w:rsidR="000B1D56">
        <w:t xml:space="preserve"> of consumption. (Duquesne Light </w:t>
      </w:r>
      <w:proofErr w:type="spellStart"/>
      <w:r w:rsidR="000B1D56">
        <w:t>Exs</w:t>
      </w:r>
      <w:proofErr w:type="spellEnd"/>
      <w:r w:rsidR="000B1D56">
        <w:t>. 2, 6; Complainant Ex. A-5)</w:t>
      </w:r>
    </w:p>
    <w:p w:rsidR="0067462A" w:rsidRDefault="0067462A" w:rsidP="0067462A">
      <w:pPr>
        <w:pStyle w:val="ListParagraph"/>
        <w:numPr>
          <w:ilvl w:val="0"/>
          <w:numId w:val="0"/>
        </w:numPr>
        <w:spacing w:after="0"/>
        <w:ind w:left="1440"/>
      </w:pPr>
    </w:p>
    <w:p w:rsidR="001F229E" w:rsidRDefault="000B0B58" w:rsidP="0067462A">
      <w:pPr>
        <w:pStyle w:val="ListParagraph"/>
        <w:spacing w:after="0"/>
        <w:ind w:firstLine="1440"/>
      </w:pPr>
      <w:r>
        <w:t xml:space="preserve"> The </w:t>
      </w:r>
      <w:r w:rsidR="001F229E">
        <w:t xml:space="preserve"> consumption for the </w:t>
      </w:r>
      <w:r w:rsidR="005F5FB6">
        <w:t xml:space="preserve">usage </w:t>
      </w:r>
      <w:r>
        <w:t>recorded for the meter readings for</w:t>
      </w:r>
      <w:r w:rsidR="001F229E">
        <w:t xml:space="preserve"> April through July of 2010 compared to</w:t>
      </w:r>
      <w:r w:rsidR="005F5FB6">
        <w:t xml:space="preserve"> the months of </w:t>
      </w:r>
      <w:r w:rsidR="001F229E">
        <w:t>April through July of 2011 was:</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1656"/>
        <w:gridCol w:w="1637"/>
        <w:gridCol w:w="1657"/>
        <w:gridCol w:w="1637"/>
      </w:tblGrid>
      <w:tr w:rsidR="00D57A8F" w:rsidTr="00E26A33">
        <w:tc>
          <w:tcPr>
            <w:tcW w:w="1656" w:type="dxa"/>
            <w:tcBorders>
              <w:right w:val="single" w:sz="4" w:space="0" w:color="auto"/>
            </w:tcBorders>
          </w:tcPr>
          <w:p w:rsidR="00D57A8F" w:rsidRDefault="00D57A8F" w:rsidP="00D57A8F">
            <w:r>
              <w:t>April 2010</w:t>
            </w:r>
          </w:p>
        </w:tc>
        <w:tc>
          <w:tcPr>
            <w:tcW w:w="1637" w:type="dxa"/>
            <w:tcBorders>
              <w:top w:val="single" w:sz="4" w:space="0" w:color="auto"/>
              <w:left w:val="single" w:sz="4" w:space="0" w:color="auto"/>
              <w:bottom w:val="single" w:sz="4" w:space="0" w:color="auto"/>
              <w:right w:val="double" w:sz="4" w:space="0" w:color="auto"/>
            </w:tcBorders>
          </w:tcPr>
          <w:p w:rsidR="00D57A8F" w:rsidRDefault="00D57A8F" w:rsidP="00664DF6">
            <w:r>
              <w:t>324 k</w:t>
            </w:r>
            <w:r w:rsidR="00664DF6">
              <w:t>W</w:t>
            </w:r>
            <w:r>
              <w:t>h</w:t>
            </w:r>
          </w:p>
        </w:tc>
        <w:tc>
          <w:tcPr>
            <w:tcW w:w="1657" w:type="dxa"/>
            <w:tcBorders>
              <w:left w:val="double" w:sz="4" w:space="0" w:color="auto"/>
            </w:tcBorders>
          </w:tcPr>
          <w:p w:rsidR="00D57A8F" w:rsidRDefault="00D57A8F" w:rsidP="00D57A8F">
            <w:r>
              <w:t>April 2011</w:t>
            </w:r>
          </w:p>
        </w:tc>
        <w:tc>
          <w:tcPr>
            <w:tcW w:w="1637" w:type="dxa"/>
          </w:tcPr>
          <w:p w:rsidR="00D57A8F" w:rsidRDefault="00D57A8F" w:rsidP="00664DF6">
            <w:r>
              <w:t>996 k</w:t>
            </w:r>
            <w:r w:rsidR="00664DF6">
              <w:t>W</w:t>
            </w:r>
            <w:r>
              <w:t>h</w:t>
            </w:r>
          </w:p>
        </w:tc>
      </w:tr>
      <w:tr w:rsidR="00D57A8F" w:rsidTr="00E26A33">
        <w:tc>
          <w:tcPr>
            <w:tcW w:w="1656" w:type="dxa"/>
            <w:tcBorders>
              <w:right w:val="single" w:sz="4" w:space="0" w:color="auto"/>
            </w:tcBorders>
          </w:tcPr>
          <w:p w:rsidR="00D57A8F" w:rsidRDefault="00D57A8F" w:rsidP="00D57A8F">
            <w:r>
              <w:t>May 2010</w:t>
            </w:r>
          </w:p>
        </w:tc>
        <w:tc>
          <w:tcPr>
            <w:tcW w:w="1637" w:type="dxa"/>
            <w:tcBorders>
              <w:top w:val="single" w:sz="4" w:space="0" w:color="auto"/>
              <w:left w:val="single" w:sz="4" w:space="0" w:color="auto"/>
              <w:bottom w:val="single" w:sz="4" w:space="0" w:color="auto"/>
              <w:right w:val="double" w:sz="4" w:space="0" w:color="auto"/>
            </w:tcBorders>
          </w:tcPr>
          <w:p w:rsidR="00D57A8F" w:rsidRDefault="00D57A8F" w:rsidP="00664DF6">
            <w:r>
              <w:t>228 k</w:t>
            </w:r>
            <w:r w:rsidR="00664DF6">
              <w:t>W</w:t>
            </w:r>
            <w:r>
              <w:t>h</w:t>
            </w:r>
          </w:p>
        </w:tc>
        <w:tc>
          <w:tcPr>
            <w:tcW w:w="1657" w:type="dxa"/>
            <w:tcBorders>
              <w:left w:val="double" w:sz="4" w:space="0" w:color="auto"/>
            </w:tcBorders>
          </w:tcPr>
          <w:p w:rsidR="00D57A8F" w:rsidRDefault="00D57A8F" w:rsidP="00D57A8F">
            <w:r>
              <w:t>May 2011</w:t>
            </w:r>
          </w:p>
        </w:tc>
        <w:tc>
          <w:tcPr>
            <w:tcW w:w="1637" w:type="dxa"/>
          </w:tcPr>
          <w:p w:rsidR="00D57A8F" w:rsidRDefault="00D57A8F" w:rsidP="00664DF6">
            <w:r>
              <w:t>612 k</w:t>
            </w:r>
            <w:r w:rsidR="00664DF6">
              <w:t>W</w:t>
            </w:r>
            <w:r>
              <w:t>h</w:t>
            </w:r>
          </w:p>
        </w:tc>
      </w:tr>
      <w:tr w:rsidR="00D57A8F" w:rsidTr="00E26A33">
        <w:tc>
          <w:tcPr>
            <w:tcW w:w="1656" w:type="dxa"/>
            <w:tcBorders>
              <w:right w:val="single" w:sz="4" w:space="0" w:color="auto"/>
            </w:tcBorders>
          </w:tcPr>
          <w:p w:rsidR="00D57A8F" w:rsidRDefault="00D57A8F" w:rsidP="00D57A8F">
            <w:r>
              <w:t>June 2010</w:t>
            </w:r>
          </w:p>
        </w:tc>
        <w:tc>
          <w:tcPr>
            <w:tcW w:w="1637" w:type="dxa"/>
            <w:tcBorders>
              <w:top w:val="single" w:sz="4" w:space="0" w:color="auto"/>
              <w:left w:val="single" w:sz="4" w:space="0" w:color="auto"/>
              <w:bottom w:val="single" w:sz="4" w:space="0" w:color="auto"/>
              <w:right w:val="double" w:sz="4" w:space="0" w:color="auto"/>
            </w:tcBorders>
          </w:tcPr>
          <w:p w:rsidR="00D57A8F" w:rsidRDefault="00D57A8F" w:rsidP="00664DF6">
            <w:r>
              <w:t>192 k</w:t>
            </w:r>
            <w:r w:rsidR="00664DF6">
              <w:t>W</w:t>
            </w:r>
            <w:r>
              <w:t>h</w:t>
            </w:r>
          </w:p>
        </w:tc>
        <w:tc>
          <w:tcPr>
            <w:tcW w:w="1657" w:type="dxa"/>
            <w:tcBorders>
              <w:left w:val="double" w:sz="4" w:space="0" w:color="auto"/>
            </w:tcBorders>
          </w:tcPr>
          <w:p w:rsidR="00D57A8F" w:rsidRDefault="00D57A8F" w:rsidP="00D57A8F">
            <w:r>
              <w:t>June 2011</w:t>
            </w:r>
          </w:p>
        </w:tc>
        <w:tc>
          <w:tcPr>
            <w:tcW w:w="1637" w:type="dxa"/>
          </w:tcPr>
          <w:p w:rsidR="00D57A8F" w:rsidRDefault="00D57A8F" w:rsidP="00664DF6">
            <w:r>
              <w:t>204 k</w:t>
            </w:r>
            <w:r w:rsidR="00664DF6">
              <w:t>W</w:t>
            </w:r>
            <w:r>
              <w:t>h</w:t>
            </w:r>
          </w:p>
        </w:tc>
      </w:tr>
      <w:tr w:rsidR="00D57A8F" w:rsidTr="00E26A33">
        <w:tc>
          <w:tcPr>
            <w:tcW w:w="1656" w:type="dxa"/>
            <w:tcBorders>
              <w:right w:val="single" w:sz="4" w:space="0" w:color="auto"/>
            </w:tcBorders>
          </w:tcPr>
          <w:p w:rsidR="00D57A8F" w:rsidRDefault="00D57A8F" w:rsidP="00D57A8F">
            <w:r>
              <w:t>July 2010</w:t>
            </w:r>
          </w:p>
        </w:tc>
        <w:tc>
          <w:tcPr>
            <w:tcW w:w="1637" w:type="dxa"/>
            <w:tcBorders>
              <w:top w:val="single" w:sz="4" w:space="0" w:color="auto"/>
              <w:left w:val="single" w:sz="4" w:space="0" w:color="auto"/>
              <w:bottom w:val="single" w:sz="4" w:space="0" w:color="auto"/>
              <w:right w:val="double" w:sz="4" w:space="0" w:color="auto"/>
            </w:tcBorders>
          </w:tcPr>
          <w:p w:rsidR="00D57A8F" w:rsidRDefault="00D57A8F" w:rsidP="00664DF6">
            <w:r>
              <w:t>168 k</w:t>
            </w:r>
            <w:r w:rsidR="00664DF6">
              <w:t>W</w:t>
            </w:r>
            <w:r>
              <w:t>h</w:t>
            </w:r>
          </w:p>
        </w:tc>
        <w:tc>
          <w:tcPr>
            <w:tcW w:w="1657" w:type="dxa"/>
            <w:tcBorders>
              <w:left w:val="double" w:sz="4" w:space="0" w:color="auto"/>
            </w:tcBorders>
          </w:tcPr>
          <w:p w:rsidR="00D57A8F" w:rsidRDefault="00D57A8F" w:rsidP="00D57A8F">
            <w:r>
              <w:t>July 2011</w:t>
            </w:r>
          </w:p>
        </w:tc>
        <w:tc>
          <w:tcPr>
            <w:tcW w:w="1637" w:type="dxa"/>
          </w:tcPr>
          <w:p w:rsidR="00D57A8F" w:rsidRDefault="00D57A8F" w:rsidP="00664DF6">
            <w:r>
              <w:t>180 k</w:t>
            </w:r>
            <w:r w:rsidR="00664DF6">
              <w:t>W</w:t>
            </w:r>
            <w:r>
              <w:t>h</w:t>
            </w:r>
          </w:p>
        </w:tc>
      </w:tr>
    </w:tbl>
    <w:p w:rsidR="00AE001C" w:rsidRDefault="00AE001C" w:rsidP="00D57A8F">
      <w:pPr>
        <w:ind w:left="1440"/>
      </w:pPr>
    </w:p>
    <w:p w:rsidR="00D57A8F" w:rsidRDefault="00D57A8F" w:rsidP="00D57A8F">
      <w:pPr>
        <w:spacing w:line="240" w:lineRule="auto"/>
      </w:pPr>
    </w:p>
    <w:p w:rsidR="00D57A8F" w:rsidRDefault="00D57A8F" w:rsidP="00D57A8F">
      <w:pPr>
        <w:spacing w:line="240" w:lineRule="auto"/>
      </w:pPr>
    </w:p>
    <w:p w:rsidR="00D57A8F" w:rsidRDefault="00D57A8F" w:rsidP="00D57A8F">
      <w:pPr>
        <w:spacing w:line="240" w:lineRule="auto"/>
      </w:pPr>
    </w:p>
    <w:p w:rsidR="00ED0AAF" w:rsidRDefault="00ED0AAF" w:rsidP="0067462A">
      <w:pPr>
        <w:spacing w:after="0"/>
      </w:pPr>
      <w:r>
        <w:t xml:space="preserve">(Duquesne Light Ex. 2; Complainant </w:t>
      </w:r>
      <w:proofErr w:type="spellStart"/>
      <w:r>
        <w:t>Exs</w:t>
      </w:r>
      <w:proofErr w:type="spellEnd"/>
      <w:r>
        <w:t>. A-4, A-5)</w:t>
      </w:r>
    </w:p>
    <w:p w:rsidR="0067462A" w:rsidRDefault="0067462A" w:rsidP="0067462A">
      <w:pPr>
        <w:spacing w:after="0"/>
      </w:pPr>
    </w:p>
    <w:p w:rsidR="005213F8" w:rsidRDefault="005213F8" w:rsidP="0067462A">
      <w:pPr>
        <w:pStyle w:val="ListParagraph"/>
        <w:spacing w:after="0"/>
        <w:ind w:firstLine="1440"/>
      </w:pPr>
      <w:r>
        <w:t>The Complainant’s meter was tested on March 12, 2012.  The test results indicated that the meter does not creep.</w:t>
      </w:r>
      <w:r w:rsidR="00664DF6">
        <w:t xml:space="preserve"> </w:t>
      </w:r>
      <w:r>
        <w:t xml:space="preserve"> The meter tested at 99.9% on a full load, and 99.3% on a light load. (N.T. 102; Duquesne Light Ex. 6)</w:t>
      </w:r>
    </w:p>
    <w:p w:rsidR="0067462A" w:rsidRDefault="0067462A" w:rsidP="0067462A">
      <w:pPr>
        <w:pStyle w:val="ListParagraph"/>
        <w:numPr>
          <w:ilvl w:val="0"/>
          <w:numId w:val="0"/>
        </w:numPr>
        <w:spacing w:after="0"/>
        <w:ind w:left="1440"/>
      </w:pPr>
    </w:p>
    <w:p w:rsidR="0067462A" w:rsidRDefault="00E35984" w:rsidP="0067462A">
      <w:pPr>
        <w:pStyle w:val="ListParagraph"/>
        <w:spacing w:after="0"/>
        <w:ind w:firstLine="1440"/>
      </w:pPr>
      <w:r>
        <w:t xml:space="preserve"> Generally, t</w:t>
      </w:r>
      <w:r w:rsidR="008618E2">
        <w:t>he Complainant’s electricity consumption is lower than</w:t>
      </w:r>
      <w:r w:rsidR="003520DD">
        <w:t xml:space="preserve"> typical residential consumption</w:t>
      </w:r>
      <w:bookmarkStart w:id="0" w:name="_GoBack"/>
      <w:bookmarkEnd w:id="0"/>
      <w:r w:rsidR="008618E2">
        <w:t>.</w:t>
      </w:r>
      <w:r>
        <w:t xml:space="preserve"> </w:t>
      </w:r>
      <w:r w:rsidR="008618E2">
        <w:t>(N.T. 46</w:t>
      </w:r>
      <w:r w:rsidR="00AD6640">
        <w:t>, 102</w:t>
      </w:r>
      <w:r w:rsidR="008618E2">
        <w:t>)</w:t>
      </w:r>
      <w:r>
        <w:t xml:space="preserve"> </w:t>
      </w:r>
    </w:p>
    <w:p w:rsidR="0067462A" w:rsidRDefault="0067462A" w:rsidP="0067462A">
      <w:pPr>
        <w:pStyle w:val="ListParagraph"/>
        <w:numPr>
          <w:ilvl w:val="0"/>
          <w:numId w:val="0"/>
        </w:numPr>
        <w:spacing w:after="0"/>
        <w:ind w:left="1440"/>
      </w:pPr>
    </w:p>
    <w:p w:rsidR="00E35984" w:rsidRDefault="00E35984" w:rsidP="0067462A">
      <w:pPr>
        <w:pStyle w:val="ListParagraph"/>
        <w:spacing w:after="0"/>
        <w:ind w:firstLine="1440"/>
      </w:pPr>
      <w:r>
        <w:t xml:space="preserve">When Richard </w:t>
      </w:r>
      <w:proofErr w:type="spellStart"/>
      <w:r>
        <w:t>Lachimia</w:t>
      </w:r>
      <w:proofErr w:type="spellEnd"/>
      <w:r w:rsidR="009F10C0">
        <w:t>, a senior engineer for metering employed by Duquesne Light</w:t>
      </w:r>
      <w:r w:rsidR="00FB4283">
        <w:t>, arrived</w:t>
      </w:r>
      <w:r>
        <w:t xml:space="preserve"> at the Complainant’s residence to perf</w:t>
      </w:r>
      <w:r w:rsidR="00601656">
        <w:t>orm the meter testing and appli</w:t>
      </w:r>
      <w:r>
        <w:t>ance analysis</w:t>
      </w:r>
      <w:r w:rsidR="00601656">
        <w:t>, the Complainant’s meter regis</w:t>
      </w:r>
      <w:r>
        <w:t>ter</w:t>
      </w:r>
      <w:r w:rsidR="00601656">
        <w:t>ed</w:t>
      </w:r>
      <w:r>
        <w:t xml:space="preserve"> 2,592 watts of load.  Given the sparse consumption of the </w:t>
      </w:r>
      <w:r w:rsidR="00FB4283">
        <w:t>Complainant’s</w:t>
      </w:r>
      <w:r>
        <w:t xml:space="preserve"> other appliances, the only explanation for this load is the operation of at least one heater. (N.T. </w:t>
      </w:r>
      <w:r w:rsidR="0095480E">
        <w:t xml:space="preserve">93, </w:t>
      </w:r>
      <w:r>
        <w:t>102)</w:t>
      </w:r>
    </w:p>
    <w:p w:rsidR="0067462A" w:rsidRDefault="0067462A" w:rsidP="0067462A">
      <w:pPr>
        <w:pStyle w:val="ListParagraph"/>
        <w:numPr>
          <w:ilvl w:val="0"/>
          <w:numId w:val="0"/>
        </w:numPr>
        <w:spacing w:after="0"/>
        <w:ind w:left="720" w:firstLine="1440"/>
      </w:pPr>
    </w:p>
    <w:p w:rsidR="007F4F3D" w:rsidRDefault="007F4F3D" w:rsidP="0067462A">
      <w:pPr>
        <w:pStyle w:val="ListParagraph"/>
        <w:spacing w:after="0"/>
        <w:ind w:firstLine="1440"/>
      </w:pPr>
      <w:r>
        <w:t>Based on the wattage of the Complainant</w:t>
      </w:r>
      <w:r w:rsidR="00664DF6">
        <w:t>’</w:t>
      </w:r>
      <w:r>
        <w:t>s radiators, her potential</w:t>
      </w:r>
      <w:r w:rsidR="000C2C17">
        <w:t xml:space="preserve"> maximum</w:t>
      </w:r>
      <w:r>
        <w:t xml:space="preserve"> load for electricity usage is between 600 watts and 6000 watts</w:t>
      </w:r>
      <w:r w:rsidR="007A7AA9">
        <w:t>, or</w:t>
      </w:r>
      <w:r w:rsidR="00D63647">
        <w:t xml:space="preserve"> approximately</w:t>
      </w:r>
      <w:r w:rsidR="007A7AA9">
        <w:t xml:space="preserve"> 432 </w:t>
      </w:r>
      <w:r w:rsidR="00FB4283">
        <w:t>kWh</w:t>
      </w:r>
      <w:r w:rsidR="007A7AA9">
        <w:t xml:space="preserve"> to 4320 </w:t>
      </w:r>
      <w:r w:rsidR="00FB4283">
        <w:t>kWh</w:t>
      </w:r>
      <w:r w:rsidR="007A7AA9">
        <w:t xml:space="preserve"> per month</w:t>
      </w:r>
      <w:r>
        <w:t>.</w:t>
      </w:r>
      <w:r w:rsidR="007C0BFC">
        <w:t xml:space="preserve"> (</w:t>
      </w:r>
      <w:r w:rsidR="007A7AA9">
        <w:t xml:space="preserve">N.T. 98-99; </w:t>
      </w:r>
      <w:r w:rsidR="007C0BFC">
        <w:t>Duquesne Light Ex. 6)</w:t>
      </w:r>
    </w:p>
    <w:p w:rsidR="0067462A" w:rsidRDefault="0067462A" w:rsidP="0067462A">
      <w:pPr>
        <w:pStyle w:val="ListParagraph"/>
        <w:numPr>
          <w:ilvl w:val="0"/>
          <w:numId w:val="0"/>
        </w:numPr>
        <w:spacing w:after="0"/>
        <w:ind w:left="720" w:firstLine="1440"/>
      </w:pPr>
    </w:p>
    <w:p w:rsidR="0095480E" w:rsidRDefault="0095480E" w:rsidP="0067462A">
      <w:pPr>
        <w:pStyle w:val="ListParagraph"/>
        <w:spacing w:after="0"/>
        <w:ind w:firstLine="1440"/>
      </w:pPr>
      <w:r>
        <w:t>Although the Complainant places the heaters in locations where they can be used to the best advantage, they still draw quite a bit of electricity, even with a small amount of usage. (N.T. 131-141)</w:t>
      </w:r>
    </w:p>
    <w:p w:rsidR="0067462A" w:rsidRDefault="0067462A" w:rsidP="0067462A">
      <w:pPr>
        <w:spacing w:after="0"/>
        <w:ind w:firstLine="1440"/>
      </w:pPr>
    </w:p>
    <w:p w:rsidR="00063EA7" w:rsidRDefault="00601656" w:rsidP="0067462A">
      <w:pPr>
        <w:pStyle w:val="ListParagraph"/>
        <w:spacing w:after="0"/>
        <w:ind w:firstLine="1440"/>
      </w:pPr>
      <w:r>
        <w:t xml:space="preserve">The </w:t>
      </w:r>
      <w:r w:rsidR="007C0BFC">
        <w:t xml:space="preserve">average </w:t>
      </w:r>
      <w:r>
        <w:t xml:space="preserve">usage recorded by Duquesne Light is consistent with the Complainant’s description </w:t>
      </w:r>
      <w:r w:rsidR="00664DF6">
        <w:t xml:space="preserve">of </w:t>
      </w:r>
      <w:r>
        <w:t>her use of the radiators, the functioning she describes of the radiators and her other appliances.</w:t>
      </w:r>
      <w:r w:rsidR="0095480E">
        <w:t xml:space="preserve"> </w:t>
      </w:r>
      <w:r w:rsidR="00017D43">
        <w:t>(N.T. 143)</w:t>
      </w:r>
    </w:p>
    <w:p w:rsidR="0067462A" w:rsidRDefault="0067462A" w:rsidP="0067462A">
      <w:pPr>
        <w:pStyle w:val="ListParagraph"/>
        <w:numPr>
          <w:ilvl w:val="0"/>
          <w:numId w:val="0"/>
        </w:numPr>
        <w:spacing w:after="0"/>
        <w:ind w:left="720" w:firstLine="1440"/>
      </w:pPr>
    </w:p>
    <w:p w:rsidR="00601656" w:rsidRDefault="00601656" w:rsidP="0067462A">
      <w:pPr>
        <w:pStyle w:val="ListParagraph"/>
        <w:spacing w:after="0"/>
        <w:ind w:firstLine="1440"/>
      </w:pPr>
      <w:r>
        <w:t>The difference between her consumption in May 2010 and May 2011 could have been caused by the weather.  If there had been one or two chilly days in May</w:t>
      </w:r>
      <w:r w:rsidR="00017D43">
        <w:t xml:space="preserve"> 2011</w:t>
      </w:r>
      <w:r>
        <w:t xml:space="preserve"> and the Complainant ran the radiators </w:t>
      </w:r>
      <w:r w:rsidR="007F59E1">
        <w:t xml:space="preserve">only </w:t>
      </w:r>
      <w:r>
        <w:t>enough to take off a chill, it could cause the increase in consumption.</w:t>
      </w:r>
      <w:r w:rsidR="005B3357">
        <w:t xml:space="preserve"> (N.T. 104)</w:t>
      </w:r>
    </w:p>
    <w:p w:rsidR="0067462A" w:rsidRDefault="0067462A" w:rsidP="0067462A">
      <w:pPr>
        <w:pStyle w:val="ListParagraph"/>
        <w:numPr>
          <w:ilvl w:val="0"/>
          <w:numId w:val="0"/>
        </w:numPr>
        <w:spacing w:after="0"/>
        <w:ind w:left="720" w:firstLine="1440"/>
      </w:pPr>
    </w:p>
    <w:p w:rsidR="008618E2" w:rsidRDefault="008618E2" w:rsidP="0067462A">
      <w:pPr>
        <w:pStyle w:val="ListParagraph"/>
        <w:spacing w:after="0"/>
        <w:ind w:firstLine="1440"/>
      </w:pPr>
      <w:r>
        <w:t>The Complainant has an excellent payment history. (N.T. 44)</w:t>
      </w:r>
    </w:p>
    <w:p w:rsidR="0067462A" w:rsidRDefault="0067462A" w:rsidP="0067462A">
      <w:pPr>
        <w:pStyle w:val="ListParagraph"/>
        <w:numPr>
          <w:ilvl w:val="0"/>
          <w:numId w:val="0"/>
        </w:numPr>
        <w:spacing w:after="0"/>
        <w:ind w:left="720" w:firstLine="1440"/>
      </w:pPr>
    </w:p>
    <w:p w:rsidR="008618E2" w:rsidRDefault="008618E2" w:rsidP="0067462A">
      <w:pPr>
        <w:pStyle w:val="ListParagraph"/>
        <w:spacing w:after="0"/>
        <w:ind w:firstLine="1440"/>
      </w:pPr>
      <w:r>
        <w:t>The Complainant was enrolled in Duquesne Light’s Customer Assi</w:t>
      </w:r>
      <w:r w:rsidR="00A3670F">
        <w:t>s</w:t>
      </w:r>
      <w:r>
        <w:t>tance Program (CAP) in June 2005. (N.T. 58)</w:t>
      </w:r>
    </w:p>
    <w:p w:rsidR="0067462A" w:rsidRDefault="0067462A" w:rsidP="0067462A">
      <w:pPr>
        <w:pStyle w:val="ListParagraph"/>
        <w:numPr>
          <w:ilvl w:val="0"/>
          <w:numId w:val="0"/>
        </w:numPr>
        <w:spacing w:after="0"/>
        <w:ind w:left="720" w:firstLine="1440"/>
      </w:pPr>
    </w:p>
    <w:p w:rsidR="0067462A" w:rsidRDefault="005C2FAE" w:rsidP="0067462A">
      <w:pPr>
        <w:pStyle w:val="ListParagraph"/>
        <w:spacing w:after="0"/>
        <w:ind w:firstLine="1440"/>
      </w:pPr>
      <w:r>
        <w:t>Under CAP, each month 1/6 of a customer’s balance is written off as a credit and shown as an adjustment on the account statement. (N.T. 42; Duquesne Light Ex. 1)</w:t>
      </w:r>
    </w:p>
    <w:p w:rsidR="0067462A" w:rsidRDefault="0067462A" w:rsidP="0067462A">
      <w:pPr>
        <w:pStyle w:val="ListParagraph"/>
        <w:numPr>
          <w:ilvl w:val="0"/>
          <w:numId w:val="0"/>
        </w:numPr>
        <w:spacing w:after="0"/>
        <w:ind w:left="1440"/>
      </w:pPr>
    </w:p>
    <w:p w:rsidR="0067462A" w:rsidRDefault="00D64AE0" w:rsidP="0067462A">
      <w:pPr>
        <w:pStyle w:val="ListParagraph"/>
        <w:spacing w:after="0"/>
        <w:ind w:firstLine="1440"/>
      </w:pPr>
      <w:r>
        <w:t>Each year a CAP customer receives a larger adjustment based on the bills for that year. (N.T. 42)</w:t>
      </w:r>
    </w:p>
    <w:p w:rsidR="0067462A" w:rsidRDefault="0067462A" w:rsidP="0067462A">
      <w:pPr>
        <w:pStyle w:val="ListParagraph"/>
        <w:numPr>
          <w:ilvl w:val="0"/>
          <w:numId w:val="0"/>
        </w:numPr>
        <w:spacing w:after="0"/>
        <w:ind w:left="720" w:firstLine="1440"/>
      </w:pPr>
    </w:p>
    <w:p w:rsidR="0067462A" w:rsidRDefault="00E14F14" w:rsidP="0067462A">
      <w:pPr>
        <w:pStyle w:val="ListParagraph"/>
        <w:spacing w:after="0"/>
        <w:ind w:firstLine="1440"/>
      </w:pPr>
      <w:r>
        <w:t xml:space="preserve">A </w:t>
      </w:r>
      <w:r w:rsidR="007F59E1">
        <w:t xml:space="preserve">CAP </w:t>
      </w:r>
      <w:r>
        <w:t xml:space="preserve">customer is responsible for paying a percentage of her budget amount each month. </w:t>
      </w:r>
      <w:r w:rsidR="00B576FA">
        <w:t xml:space="preserve"> </w:t>
      </w:r>
      <w:r>
        <w:t>The percentage is anywhere from 30% to 80% based on income. (N.T. 43)</w:t>
      </w:r>
    </w:p>
    <w:p w:rsidR="0067462A" w:rsidRDefault="0067462A" w:rsidP="0067462A">
      <w:pPr>
        <w:pStyle w:val="ListParagraph"/>
        <w:numPr>
          <w:ilvl w:val="0"/>
          <w:numId w:val="0"/>
        </w:numPr>
        <w:spacing w:after="0"/>
        <w:ind w:left="720" w:firstLine="1440"/>
      </w:pPr>
    </w:p>
    <w:p w:rsidR="008618E2" w:rsidRDefault="008618E2" w:rsidP="0067462A">
      <w:pPr>
        <w:pStyle w:val="ListParagraph"/>
        <w:spacing w:after="0"/>
        <w:ind w:firstLine="1440"/>
      </w:pPr>
      <w:r>
        <w:t>The Complainant was defaulted from CAP in November 2011 because she failed to schedule a “Smart Comfort” visit when requested</w:t>
      </w:r>
      <w:r w:rsidR="00473B62">
        <w:t xml:space="preserve"> by Duquesne Light</w:t>
      </w:r>
      <w:r>
        <w:t xml:space="preserve"> to do so</w:t>
      </w:r>
      <w:r w:rsidR="008929E7">
        <w:t>. (N.T. 60; Duquesne Light Ex. 4)</w:t>
      </w:r>
    </w:p>
    <w:p w:rsidR="0067462A" w:rsidRDefault="0067462A" w:rsidP="0067462A">
      <w:pPr>
        <w:spacing w:after="0"/>
        <w:ind w:firstLine="1440"/>
      </w:pPr>
    </w:p>
    <w:p w:rsidR="0067462A" w:rsidRDefault="008618E2" w:rsidP="0067462A">
      <w:pPr>
        <w:pStyle w:val="ListParagraph"/>
        <w:spacing w:after="0"/>
        <w:ind w:firstLine="1440"/>
      </w:pPr>
      <w:r>
        <w:t>A Smart Comfort vi</w:t>
      </w:r>
      <w:r w:rsidR="00424861">
        <w:t>sit is required when a CAP reci</w:t>
      </w:r>
      <w:r>
        <w:t>pient</w:t>
      </w:r>
      <w:r w:rsidR="00424861">
        <w:t>’</w:t>
      </w:r>
      <w:r>
        <w:t xml:space="preserve">s usage is 500 </w:t>
      </w:r>
      <w:r w:rsidR="00FB4283">
        <w:t>kWh</w:t>
      </w:r>
      <w:r>
        <w:t xml:space="preserve"> per month.</w:t>
      </w:r>
      <w:r w:rsidR="005872EE">
        <w:t xml:space="preserve">  In May 2011, the Complainant used 612 kWh. </w:t>
      </w:r>
      <w:r>
        <w:t>(N.T. 59</w:t>
      </w:r>
      <w:r w:rsidR="005872EE">
        <w:t>, 77</w:t>
      </w:r>
      <w:r>
        <w:t>)</w:t>
      </w:r>
    </w:p>
    <w:p w:rsidR="0067462A" w:rsidRDefault="0067462A" w:rsidP="0067462A">
      <w:pPr>
        <w:pStyle w:val="ListParagraph"/>
        <w:numPr>
          <w:ilvl w:val="0"/>
          <w:numId w:val="0"/>
        </w:numPr>
        <w:spacing w:after="0"/>
        <w:ind w:left="720" w:firstLine="1440"/>
      </w:pPr>
    </w:p>
    <w:p w:rsidR="001F229E" w:rsidRDefault="008929E7" w:rsidP="0067462A">
      <w:pPr>
        <w:pStyle w:val="ListParagraph"/>
        <w:spacing w:after="0"/>
        <w:ind w:firstLine="1440"/>
      </w:pPr>
      <w:r>
        <w:t>However, based on her income the Complainant remains eligible for CAP.</w:t>
      </w:r>
      <w:r w:rsidR="00473B62">
        <w:t xml:space="preserve"> (N.T. 59-60; Complainant Ex. 1</w:t>
      </w:r>
      <w:r>
        <w:t>)</w:t>
      </w:r>
    </w:p>
    <w:p w:rsidR="00264332" w:rsidRDefault="00264332" w:rsidP="0067462A">
      <w:pPr>
        <w:spacing w:after="0"/>
        <w:ind w:firstLine="1440"/>
      </w:pPr>
    </w:p>
    <w:p w:rsidR="00464FDF" w:rsidRDefault="00464FDF" w:rsidP="0067462A">
      <w:pPr>
        <w:spacing w:after="0"/>
        <w:jc w:val="center"/>
        <w:rPr>
          <w:u w:val="single"/>
        </w:rPr>
      </w:pPr>
      <w:r w:rsidRPr="0062480B">
        <w:rPr>
          <w:u w:val="single"/>
        </w:rPr>
        <w:t>DISCUSSION</w:t>
      </w:r>
    </w:p>
    <w:p w:rsidR="0067462A" w:rsidRPr="0062480B" w:rsidRDefault="0067462A" w:rsidP="0067462A">
      <w:pPr>
        <w:spacing w:after="0"/>
        <w:jc w:val="center"/>
        <w:rPr>
          <w:u w:val="single"/>
        </w:rPr>
      </w:pPr>
    </w:p>
    <w:p w:rsidR="00464FDF" w:rsidRDefault="004E6F2E" w:rsidP="0067462A">
      <w:pPr>
        <w:spacing w:after="0"/>
        <w:ind w:firstLine="1440"/>
      </w:pPr>
      <w:r w:rsidRPr="00035CC2">
        <w:rPr>
          <w:szCs w:val="24"/>
        </w:rPr>
        <w:t xml:space="preserve">In this matter, the Complainant is the party seeking affirmative relief from the Commission; therefore, </w:t>
      </w:r>
      <w:r>
        <w:rPr>
          <w:szCs w:val="24"/>
        </w:rPr>
        <w:t>s</w:t>
      </w:r>
      <w:r w:rsidRPr="00035CC2">
        <w:rPr>
          <w:szCs w:val="24"/>
        </w:rPr>
        <w:t>he has the burden of proof.</w:t>
      </w:r>
      <w:r w:rsidRPr="00035CC2">
        <w:rPr>
          <w:rStyle w:val="FootnoteReference"/>
          <w:szCs w:val="24"/>
        </w:rPr>
        <w:footnoteReference w:id="2"/>
      </w:r>
      <w:r w:rsidRPr="00035CC2">
        <w:rPr>
          <w:szCs w:val="24"/>
        </w:rPr>
        <w:t xml:space="preserve">  This means that </w:t>
      </w:r>
      <w:r>
        <w:rPr>
          <w:szCs w:val="24"/>
        </w:rPr>
        <w:t>s</w:t>
      </w:r>
      <w:r w:rsidRPr="00035CC2">
        <w:rPr>
          <w:szCs w:val="24"/>
        </w:rPr>
        <w:t>he has the duty to establish a fact by a preponderance of the evidence, and must show that Duquesne</w:t>
      </w:r>
      <w:r>
        <w:rPr>
          <w:szCs w:val="24"/>
        </w:rPr>
        <w:t xml:space="preserve"> Light </w:t>
      </w:r>
      <w:r w:rsidRPr="00035CC2">
        <w:rPr>
          <w:szCs w:val="24"/>
        </w:rPr>
        <w:t>has violated the Public Utility Code or Commission regulations.</w:t>
      </w:r>
      <w:r w:rsidRPr="00035CC2">
        <w:rPr>
          <w:rStyle w:val="FootnoteReference"/>
          <w:szCs w:val="24"/>
        </w:rPr>
        <w:footnoteReference w:id="3"/>
      </w:r>
      <w:r>
        <w:t xml:space="preserve">  </w:t>
      </w:r>
      <w:r w:rsidR="007F4F3D">
        <w:t xml:space="preserve">While it is certainly true that the Complainant is very careful of her consumption of electricity and </w:t>
      </w:r>
      <w:r w:rsidR="005D04E4">
        <w:t>that</w:t>
      </w:r>
      <w:r w:rsidR="00A178CB">
        <w:t xml:space="preserve"> she </w:t>
      </w:r>
      <w:r w:rsidR="007F4F3D">
        <w:t>maintains a lower than normal level of consumption, there is no evidence that her meter is reading her consumption incorrectly or that her bills</w:t>
      </w:r>
      <w:r w:rsidR="005D04E4">
        <w:t xml:space="preserve"> for consumption</w:t>
      </w:r>
      <w:r w:rsidR="007F4F3D">
        <w:t xml:space="preserve"> are improperly rendered.  </w:t>
      </w:r>
    </w:p>
    <w:p w:rsidR="0067462A" w:rsidRPr="004E6F2E" w:rsidRDefault="0067462A" w:rsidP="0067462A">
      <w:pPr>
        <w:spacing w:after="0"/>
        <w:ind w:firstLine="1440"/>
        <w:rPr>
          <w:szCs w:val="24"/>
        </w:rPr>
      </w:pPr>
    </w:p>
    <w:p w:rsidR="0067462A" w:rsidRDefault="004E6F2E" w:rsidP="0067462A">
      <w:pPr>
        <w:spacing w:after="0"/>
        <w:ind w:firstLine="1440"/>
        <w:rPr>
          <w:szCs w:val="24"/>
        </w:rPr>
      </w:pPr>
      <w:r w:rsidRPr="00035CC2">
        <w:rPr>
          <w:szCs w:val="24"/>
        </w:rPr>
        <w:lastRenderedPageBreak/>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4"/>
      </w:r>
      <w:r w:rsidR="002A7B3C">
        <w:rPr>
          <w:szCs w:val="24"/>
        </w:rPr>
        <w:t xml:space="preserve"> </w:t>
      </w:r>
      <w:r w:rsidR="00B576FA">
        <w:rPr>
          <w:szCs w:val="24"/>
        </w:rPr>
        <w:t xml:space="preserve"> </w:t>
      </w:r>
      <w:r w:rsidR="0076155B" w:rsidRPr="0076155B">
        <w:rPr>
          <w:szCs w:val="24"/>
        </w:rPr>
        <w:t xml:space="preserve">The Complainant here alleges a billing dispute.  Therefore, the Complainant’s burden of proof is governed by </w:t>
      </w:r>
      <w:r w:rsidR="0076155B" w:rsidRPr="0076155B">
        <w:rPr>
          <w:i/>
          <w:szCs w:val="24"/>
        </w:rPr>
        <w:t>Waldron v. Philadelphia Electric Co.</w:t>
      </w:r>
      <w:r w:rsidR="0076155B" w:rsidRPr="0076155B">
        <w:rPr>
          <w:szCs w:val="24"/>
          <w:vertAlign w:val="superscript"/>
        </w:rPr>
        <w:footnoteReference w:id="5"/>
      </w:r>
      <w:r w:rsidR="0076155B" w:rsidRPr="0076155B">
        <w:rPr>
          <w:szCs w:val="24"/>
        </w:rPr>
        <w:t xml:space="preserve"> </w:t>
      </w:r>
      <w:r w:rsidR="00B576FA">
        <w:rPr>
          <w:szCs w:val="24"/>
        </w:rPr>
        <w:t xml:space="preserve"> </w:t>
      </w:r>
      <w:r w:rsidR="0076155B" w:rsidRPr="0076155B">
        <w:rPr>
          <w:szCs w:val="24"/>
        </w:rPr>
        <w:t xml:space="preserve">In </w:t>
      </w:r>
      <w:r w:rsidR="0076155B" w:rsidRPr="0076155B">
        <w:rPr>
          <w:i/>
          <w:szCs w:val="24"/>
        </w:rPr>
        <w:t>Waldron</w:t>
      </w:r>
      <w:r w:rsidR="0076155B" w:rsidRPr="0076155B">
        <w:rPr>
          <w:szCs w:val="24"/>
        </w:rPr>
        <w:t xml:space="preserve">, the Commission concluded that a complainant may establish a </w:t>
      </w:r>
      <w:r w:rsidR="0076155B" w:rsidRPr="0076155B">
        <w:rPr>
          <w:i/>
          <w:szCs w:val="24"/>
        </w:rPr>
        <w:t>prima facie</w:t>
      </w:r>
      <w:r w:rsidR="0076155B" w:rsidRPr="0076155B">
        <w:rPr>
          <w:szCs w:val="24"/>
        </w:rPr>
        <w:t xml:space="preserve"> case by showing that:  (1) the number of occupants of the household has not changed; (2) the potential for energy utilization is low; and (3) the prior billing history shows no previous abnormalities.</w:t>
      </w:r>
    </w:p>
    <w:p w:rsidR="0076155B" w:rsidRPr="0076155B" w:rsidRDefault="0076155B" w:rsidP="0067462A">
      <w:pPr>
        <w:spacing w:after="0"/>
        <w:ind w:firstLine="1440"/>
        <w:rPr>
          <w:szCs w:val="24"/>
        </w:rPr>
      </w:pPr>
      <w:r w:rsidRPr="0076155B">
        <w:rPr>
          <w:szCs w:val="24"/>
        </w:rPr>
        <w:t xml:space="preserve">  </w:t>
      </w:r>
    </w:p>
    <w:p w:rsidR="0076155B" w:rsidRDefault="0076155B" w:rsidP="0067462A">
      <w:pPr>
        <w:spacing w:after="0"/>
        <w:ind w:firstLine="1440"/>
        <w:rPr>
          <w:szCs w:val="24"/>
        </w:rPr>
      </w:pPr>
      <w:r w:rsidRPr="0076155B">
        <w:rPr>
          <w:szCs w:val="24"/>
        </w:rPr>
        <w:t xml:space="preserve">The Commonwealth Court broadened the Commission’s ruling in </w:t>
      </w:r>
      <w:r w:rsidRPr="0076155B">
        <w:rPr>
          <w:i/>
          <w:szCs w:val="24"/>
        </w:rPr>
        <w:t>Waldron</w:t>
      </w:r>
      <w:r w:rsidRPr="0076155B">
        <w:rPr>
          <w:szCs w:val="24"/>
        </w:rPr>
        <w:t xml:space="preserve"> in </w:t>
      </w:r>
      <w:proofErr w:type="spellStart"/>
      <w:r w:rsidRPr="0076155B">
        <w:rPr>
          <w:i/>
          <w:szCs w:val="24"/>
        </w:rPr>
        <w:t>Milkie</w:t>
      </w:r>
      <w:proofErr w:type="spellEnd"/>
      <w:r w:rsidRPr="0076155B">
        <w:rPr>
          <w:i/>
          <w:szCs w:val="24"/>
        </w:rPr>
        <w:t xml:space="preserve"> v. Pennsylvania Public Utility Commission</w:t>
      </w:r>
      <w:r w:rsidRPr="0076155B">
        <w:rPr>
          <w:szCs w:val="24"/>
        </w:rPr>
        <w:t>.</w:t>
      </w:r>
      <w:r w:rsidRPr="0076155B">
        <w:rPr>
          <w:szCs w:val="24"/>
          <w:vertAlign w:val="superscript"/>
        </w:rPr>
        <w:footnoteReference w:id="6"/>
      </w:r>
      <w:r w:rsidRPr="0076155B">
        <w:rPr>
          <w:szCs w:val="24"/>
        </w:rPr>
        <w:t xml:space="preserve">  The Commonwealth Court held that the Commission’s requirement that the Complainant must establish certain specific elements in order to make out a </w:t>
      </w:r>
      <w:r w:rsidRPr="0076155B">
        <w:rPr>
          <w:i/>
          <w:szCs w:val="24"/>
        </w:rPr>
        <w:t>prima facie</w:t>
      </w:r>
      <w:r w:rsidRPr="0076155B">
        <w:rPr>
          <w:szCs w:val="24"/>
        </w:rPr>
        <w:t xml:space="preserve"> case was too restrictive.  The Commonwealth Court ruled that even where the utility has presented evidence that it has tested the customer’s meter and found it to be </w:t>
      </w:r>
      <w:r w:rsidR="009130F7">
        <w:rPr>
          <w:szCs w:val="24"/>
        </w:rPr>
        <w:t>a</w:t>
      </w:r>
      <w:r w:rsidR="00D25CFE">
        <w:rPr>
          <w:szCs w:val="24"/>
        </w:rPr>
        <w:t>ccurate,</w:t>
      </w:r>
      <w:r w:rsidRPr="0076155B">
        <w:rPr>
          <w:szCs w:val="24"/>
        </w:rPr>
        <w:t xml:space="preserve"> the customer may prove his or her case by circumstantial evidence that the metered usage exceeded actual usage.  </w:t>
      </w:r>
      <w:r w:rsidR="009130F7">
        <w:rPr>
          <w:szCs w:val="24"/>
        </w:rPr>
        <w:t>Accordingly, the</w:t>
      </w:r>
      <w:r w:rsidRPr="0076155B">
        <w:rPr>
          <w:szCs w:val="24"/>
        </w:rPr>
        <w:t xml:space="preserve"> Commission may consider the billing history of the account, any change in usage pattern or any other relevant facts or circumstances that come to light during the proceeding.</w:t>
      </w:r>
      <w:r w:rsidRPr="0076155B">
        <w:rPr>
          <w:szCs w:val="24"/>
          <w:vertAlign w:val="superscript"/>
        </w:rPr>
        <w:footnoteReference w:id="7"/>
      </w:r>
      <w:r w:rsidRPr="0076155B">
        <w:rPr>
          <w:szCs w:val="24"/>
        </w:rPr>
        <w:t xml:space="preserve">  Further, the Commission has also held that in response to a high bill complaint, the accuracy of a meter test alone is not conclusive evidence and does not by itself mandate a finding against a complain</w:t>
      </w:r>
      <w:r w:rsidR="00A1133B">
        <w:rPr>
          <w:szCs w:val="24"/>
        </w:rPr>
        <w:t>an</w:t>
      </w:r>
      <w:r w:rsidRPr="0076155B">
        <w:rPr>
          <w:szCs w:val="24"/>
        </w:rPr>
        <w:t>t and in favor of a utility.</w:t>
      </w:r>
      <w:r w:rsidRPr="0076155B">
        <w:rPr>
          <w:szCs w:val="24"/>
          <w:vertAlign w:val="superscript"/>
        </w:rPr>
        <w:footnoteReference w:id="8"/>
      </w:r>
      <w:r w:rsidRPr="0076155B">
        <w:rPr>
          <w:szCs w:val="24"/>
        </w:rPr>
        <w:t xml:space="preserve">  This rule protects the complainant from dismissal because of his inability to produce direct proof that the meter malfunctioned. </w:t>
      </w:r>
    </w:p>
    <w:p w:rsidR="0067462A" w:rsidRDefault="0067462A" w:rsidP="0067462A">
      <w:pPr>
        <w:spacing w:after="0"/>
        <w:ind w:firstLine="1440"/>
        <w:rPr>
          <w:szCs w:val="24"/>
        </w:rPr>
      </w:pPr>
    </w:p>
    <w:p w:rsidR="0067462A" w:rsidRDefault="00877E6A" w:rsidP="0067462A">
      <w:pPr>
        <w:spacing w:after="0"/>
        <w:ind w:firstLine="1440"/>
        <w:rPr>
          <w:szCs w:val="24"/>
        </w:rPr>
      </w:pPr>
      <w:r>
        <w:rPr>
          <w:szCs w:val="24"/>
        </w:rPr>
        <w:lastRenderedPageBreak/>
        <w:t xml:space="preserve">In the Complainant’s view, her bills for April through July 2011 were higher than her bills for April through July 2010.  Nothing about her appliance usage had changed during that period. </w:t>
      </w:r>
      <w:r w:rsidR="0091127C">
        <w:rPr>
          <w:szCs w:val="24"/>
        </w:rPr>
        <w:t xml:space="preserve"> </w:t>
      </w:r>
      <w:r>
        <w:rPr>
          <w:szCs w:val="24"/>
        </w:rPr>
        <w:t>That is, her household size remained the same and her appliances remained the same.  She testified that she noticed problems with her bills when people moved into the house next door</w:t>
      </w:r>
      <w:r w:rsidR="00D91F60">
        <w:rPr>
          <w:szCs w:val="24"/>
        </w:rPr>
        <w:t xml:space="preserve"> in 2010</w:t>
      </w:r>
      <w:r>
        <w:rPr>
          <w:szCs w:val="24"/>
        </w:rPr>
        <w:t>.</w:t>
      </w:r>
      <w:r w:rsidR="00D91F60">
        <w:rPr>
          <w:rStyle w:val="FootnoteReference"/>
          <w:szCs w:val="24"/>
        </w:rPr>
        <w:footnoteReference w:id="9"/>
      </w:r>
      <w:r>
        <w:rPr>
          <w:szCs w:val="24"/>
        </w:rPr>
        <w:t xml:space="preserve">  Indeed, although her overall consumption comparing 2010 and 2011 remained similar, there did app</w:t>
      </w:r>
      <w:r w:rsidR="009130F7">
        <w:rPr>
          <w:szCs w:val="24"/>
        </w:rPr>
        <w:t>ear to be a marked difference between</w:t>
      </w:r>
      <w:r>
        <w:rPr>
          <w:szCs w:val="24"/>
        </w:rPr>
        <w:t xml:space="preserve"> her April and May</w:t>
      </w:r>
      <w:r w:rsidR="009130F7">
        <w:rPr>
          <w:szCs w:val="24"/>
        </w:rPr>
        <w:t xml:space="preserve"> 2010 consumption and her </w:t>
      </w:r>
      <w:r>
        <w:rPr>
          <w:szCs w:val="24"/>
        </w:rPr>
        <w:t xml:space="preserve">consumption for </w:t>
      </w:r>
      <w:r w:rsidR="009130F7">
        <w:rPr>
          <w:szCs w:val="24"/>
        </w:rPr>
        <w:t>April and May</w:t>
      </w:r>
      <w:r>
        <w:rPr>
          <w:szCs w:val="24"/>
        </w:rPr>
        <w:t xml:space="preserve"> 2011.</w:t>
      </w:r>
    </w:p>
    <w:p w:rsidR="00D2054A" w:rsidRDefault="00877E6A" w:rsidP="0067462A">
      <w:pPr>
        <w:spacing w:after="0"/>
        <w:ind w:firstLine="1440"/>
        <w:rPr>
          <w:szCs w:val="24"/>
        </w:rPr>
      </w:pPr>
      <w:r>
        <w:rPr>
          <w:szCs w:val="24"/>
        </w:rPr>
        <w:t xml:space="preserve">  </w:t>
      </w:r>
    </w:p>
    <w:p w:rsidR="00D2054A" w:rsidRDefault="00877E6A" w:rsidP="0067462A">
      <w:pPr>
        <w:spacing w:after="0"/>
        <w:ind w:firstLine="1440"/>
        <w:rPr>
          <w:szCs w:val="24"/>
        </w:rPr>
      </w:pPr>
      <w:r>
        <w:rPr>
          <w:szCs w:val="24"/>
        </w:rPr>
        <w:t>The witness produced by Duquesne Light at the initial hearing could not credibly explain the difference between her consumption for those months and did not know if the meter had ever been tested after it was installed in the Complainant’s home.  Additionally, no foreign load analysis or ground check was produced.</w:t>
      </w:r>
      <w:r w:rsidR="00A1133B">
        <w:rPr>
          <w:szCs w:val="24"/>
        </w:rPr>
        <w:t xml:space="preserve">  Accordingly, in the interest</w:t>
      </w:r>
      <w:r w:rsidR="00D2054A">
        <w:rPr>
          <w:szCs w:val="24"/>
        </w:rPr>
        <w:t xml:space="preserve"> of creating a complete record, I directed Duquesne Light to perform these tests as well as an appliance analysis and to produce a witness qualified to testify concerning these matters.</w:t>
      </w:r>
    </w:p>
    <w:p w:rsidR="0067462A" w:rsidRDefault="0067462A" w:rsidP="0067462A">
      <w:pPr>
        <w:spacing w:after="0"/>
        <w:ind w:firstLine="1440"/>
        <w:rPr>
          <w:szCs w:val="24"/>
        </w:rPr>
      </w:pPr>
    </w:p>
    <w:p w:rsidR="004C6676" w:rsidRPr="0076155B" w:rsidRDefault="00D2054A" w:rsidP="0067462A">
      <w:pPr>
        <w:spacing w:after="0"/>
        <w:ind w:firstLine="1440"/>
        <w:rPr>
          <w:szCs w:val="24"/>
        </w:rPr>
      </w:pPr>
      <w:r>
        <w:rPr>
          <w:szCs w:val="24"/>
        </w:rPr>
        <w:t xml:space="preserve">Duquesne Light did produce a competent witness, Richard </w:t>
      </w:r>
      <w:proofErr w:type="spellStart"/>
      <w:r>
        <w:rPr>
          <w:szCs w:val="24"/>
        </w:rPr>
        <w:t>Lachimia</w:t>
      </w:r>
      <w:proofErr w:type="spellEnd"/>
      <w:r>
        <w:rPr>
          <w:szCs w:val="24"/>
        </w:rPr>
        <w:t xml:space="preserve">. </w:t>
      </w:r>
      <w:r w:rsidR="0091127C">
        <w:rPr>
          <w:szCs w:val="24"/>
        </w:rPr>
        <w:t xml:space="preserve"> </w:t>
      </w:r>
      <w:r>
        <w:rPr>
          <w:szCs w:val="24"/>
        </w:rPr>
        <w:t>He concluded that the Complainant’s meter was functioning properly and that there was no foreign load or improper grounding.  The bulk of the Complainant’s electricity consumption can be attributed to her use of electric radiators that she uses as the sole source of heat for her home.  Although the Complainant uses these appliances fr</w:t>
      </w:r>
      <w:r w:rsidR="009130F7">
        <w:rPr>
          <w:szCs w:val="24"/>
        </w:rPr>
        <w:t>ugally, as she described her habits,</w:t>
      </w:r>
      <w:r w:rsidR="00360557">
        <w:rPr>
          <w:szCs w:val="24"/>
        </w:rPr>
        <w:t xml:space="preserve"> Mr.</w:t>
      </w:r>
      <w:r w:rsidR="0091127C">
        <w:rPr>
          <w:szCs w:val="24"/>
        </w:rPr>
        <w:t> </w:t>
      </w:r>
      <w:proofErr w:type="spellStart"/>
      <w:r w:rsidR="00360557">
        <w:rPr>
          <w:szCs w:val="24"/>
        </w:rPr>
        <w:t>Lachimia</w:t>
      </w:r>
      <w:proofErr w:type="spellEnd"/>
      <w:r w:rsidR="00360557">
        <w:rPr>
          <w:szCs w:val="24"/>
        </w:rPr>
        <w:t xml:space="preserve"> testified that her use</w:t>
      </w:r>
      <w:r w:rsidR="009130F7">
        <w:rPr>
          <w:szCs w:val="24"/>
        </w:rPr>
        <w:t xml:space="preserve"> of the radiators</w:t>
      </w:r>
      <w:r w:rsidR="00360557">
        <w:rPr>
          <w:szCs w:val="24"/>
        </w:rPr>
        <w:t xml:space="preserve"> was sufficient to generate the consumption recorded by Duquesne Light.  Indeed simply using an electric heater a day or two a month on a chilly day in April or May is sufficient to explain the difference in her consumption in April and May 2010 compared to April and May 2011.  Indeed, her actual consumption is well within the potential consumption load </w:t>
      </w:r>
      <w:r w:rsidR="00AA5538">
        <w:rPr>
          <w:szCs w:val="24"/>
        </w:rPr>
        <w:t xml:space="preserve">range </w:t>
      </w:r>
      <w:r w:rsidR="00360557">
        <w:rPr>
          <w:szCs w:val="24"/>
        </w:rPr>
        <w:t xml:space="preserve">calculated by Mr. </w:t>
      </w:r>
      <w:proofErr w:type="spellStart"/>
      <w:r w:rsidR="00360557">
        <w:rPr>
          <w:szCs w:val="24"/>
        </w:rPr>
        <w:t>Lachimia</w:t>
      </w:r>
      <w:proofErr w:type="spellEnd"/>
      <w:r w:rsidR="00360557">
        <w:rPr>
          <w:szCs w:val="24"/>
        </w:rPr>
        <w:t xml:space="preserve"> after analysis </w:t>
      </w:r>
      <w:r w:rsidR="00664DF6">
        <w:rPr>
          <w:szCs w:val="24"/>
        </w:rPr>
        <w:t xml:space="preserve">of </w:t>
      </w:r>
      <w:r w:rsidR="00360557">
        <w:rPr>
          <w:szCs w:val="24"/>
        </w:rPr>
        <w:t>the heaters and other appliances in her home.</w:t>
      </w:r>
      <w:r w:rsidR="00360557">
        <w:rPr>
          <w:rStyle w:val="FootnoteReference"/>
          <w:szCs w:val="24"/>
        </w:rPr>
        <w:footnoteReference w:id="10"/>
      </w:r>
      <w:r w:rsidR="004C6676">
        <w:rPr>
          <w:szCs w:val="24"/>
        </w:rPr>
        <w:t xml:space="preserve"> </w:t>
      </w:r>
      <w:r w:rsidR="0091127C">
        <w:rPr>
          <w:szCs w:val="24"/>
        </w:rPr>
        <w:t xml:space="preserve"> </w:t>
      </w:r>
      <w:r w:rsidR="004C6676">
        <w:rPr>
          <w:szCs w:val="24"/>
        </w:rPr>
        <w:t>Therefore, Duquesne Light has successfully rebutted the Complainant’s claim that her consumption has been measured incorrectly.</w:t>
      </w:r>
    </w:p>
    <w:p w:rsidR="0076155B" w:rsidRDefault="009C3EFC" w:rsidP="0067462A">
      <w:pPr>
        <w:spacing w:after="0"/>
        <w:ind w:firstLine="1440"/>
        <w:rPr>
          <w:szCs w:val="24"/>
        </w:rPr>
      </w:pPr>
      <w:r>
        <w:rPr>
          <w:szCs w:val="24"/>
        </w:rPr>
        <w:lastRenderedPageBreak/>
        <w:t xml:space="preserve">However, </w:t>
      </w:r>
      <w:r w:rsidR="00540C36">
        <w:rPr>
          <w:szCs w:val="24"/>
        </w:rPr>
        <w:t xml:space="preserve">the </w:t>
      </w:r>
      <w:r>
        <w:rPr>
          <w:szCs w:val="24"/>
        </w:rPr>
        <w:t>Compl</w:t>
      </w:r>
      <w:r w:rsidR="00D91F60">
        <w:rPr>
          <w:szCs w:val="24"/>
        </w:rPr>
        <w:t>a</w:t>
      </w:r>
      <w:r>
        <w:rPr>
          <w:szCs w:val="24"/>
        </w:rPr>
        <w:t>i</w:t>
      </w:r>
      <w:r w:rsidR="00D91F60">
        <w:rPr>
          <w:szCs w:val="24"/>
        </w:rPr>
        <w:t xml:space="preserve">nant also testified that she believed that her CAP was not properly calculated.  </w:t>
      </w:r>
      <w:r w:rsidR="00910D44">
        <w:rPr>
          <w:szCs w:val="24"/>
        </w:rPr>
        <w:t>For example, s</w:t>
      </w:r>
      <w:r w:rsidR="00D91F60">
        <w:rPr>
          <w:szCs w:val="24"/>
        </w:rPr>
        <w:t>he stated that in 2010 she received $284 in January and another $299 in June.  It did not make sense to her that she would receive more money in June than she did in January, when her consumption is much lower in June.</w:t>
      </w:r>
    </w:p>
    <w:p w:rsidR="0067462A" w:rsidRDefault="0067462A" w:rsidP="0067462A">
      <w:pPr>
        <w:spacing w:after="0"/>
        <w:ind w:firstLine="1440"/>
        <w:rPr>
          <w:szCs w:val="24"/>
        </w:rPr>
      </w:pPr>
    </w:p>
    <w:p w:rsidR="00F13D3A" w:rsidRDefault="00F13D3A" w:rsidP="0067462A">
      <w:pPr>
        <w:spacing w:after="0"/>
        <w:ind w:firstLine="1440"/>
        <w:rPr>
          <w:szCs w:val="24"/>
        </w:rPr>
      </w:pPr>
      <w:r>
        <w:rPr>
          <w:szCs w:val="24"/>
        </w:rPr>
        <w:t>Duquesne Light’s witness testified that generally speaking, Duquesne Light’s CAP program permits a CAP customer to pay a percentage of a budget bill amount.  Eac</w:t>
      </w:r>
      <w:r w:rsidR="00A3670F">
        <w:rPr>
          <w:szCs w:val="24"/>
        </w:rPr>
        <w:t>h</w:t>
      </w:r>
      <w:r>
        <w:rPr>
          <w:szCs w:val="24"/>
        </w:rPr>
        <w:t xml:space="preserve"> </w:t>
      </w:r>
      <w:r w:rsidRPr="00F13D3A">
        <w:rPr>
          <w:szCs w:val="24"/>
        </w:rPr>
        <w:t xml:space="preserve">month 1/6 of a customer’s balance is written off as a credit and shown as an adjustment on the account statement.  </w:t>
      </w:r>
      <w:r>
        <w:rPr>
          <w:szCs w:val="24"/>
        </w:rPr>
        <w:t>Further, e</w:t>
      </w:r>
      <w:r w:rsidRPr="00F13D3A">
        <w:rPr>
          <w:szCs w:val="24"/>
        </w:rPr>
        <w:t>ach year a CAP customer receives a larger adjustment based on th</w:t>
      </w:r>
      <w:r>
        <w:rPr>
          <w:szCs w:val="24"/>
        </w:rPr>
        <w:t>e bills for that year.</w:t>
      </w:r>
      <w:r w:rsidR="00A3670F">
        <w:rPr>
          <w:szCs w:val="24"/>
        </w:rPr>
        <w:t xml:space="preserve">  The Complainant’s account statement shows that an adjustment in the amount of $299.88 was made on June 8, 2010, but it does not state what the adjustment was for. </w:t>
      </w:r>
      <w:r w:rsidR="0091127C">
        <w:rPr>
          <w:szCs w:val="24"/>
        </w:rPr>
        <w:t xml:space="preserve"> </w:t>
      </w:r>
      <w:r w:rsidR="00A3670F">
        <w:rPr>
          <w:szCs w:val="24"/>
        </w:rPr>
        <w:t>Since the Complainant was originally enrolled in CAP in June, it is likely that the credit shown on her bill is her annual CAP credit.  The witness did not offer any testimony to explain what the January credit may have been.  The Complainant’s billing statement for January 2010 is not in the record and her statement of account does not indicate a credit in January 2010.</w:t>
      </w:r>
    </w:p>
    <w:p w:rsidR="0067462A" w:rsidRDefault="0067462A" w:rsidP="0067462A">
      <w:pPr>
        <w:spacing w:after="0"/>
        <w:ind w:firstLine="1440"/>
        <w:rPr>
          <w:szCs w:val="24"/>
        </w:rPr>
      </w:pPr>
    </w:p>
    <w:p w:rsidR="00C75559" w:rsidRDefault="00C75559" w:rsidP="0067462A">
      <w:pPr>
        <w:spacing w:after="0"/>
        <w:ind w:firstLine="1440"/>
        <w:rPr>
          <w:szCs w:val="24"/>
        </w:rPr>
      </w:pPr>
      <w:r>
        <w:rPr>
          <w:szCs w:val="24"/>
        </w:rPr>
        <w:t>The Complainant did provide copies of some of her billing statements for 2010 and 2011.  I reviewed these bills and could not follow from one month to the next how the Complainant’s CAP funds were applied and what her balance actually was.  For example, the Complainant’s bill due on June 7, 2010 states that her “DLC Account Balance” is $352.88.  Yet her following bill due on July 6, 2010, notes in a message box that the company has written off $299.88 of the CAP credit</w:t>
      </w:r>
      <w:r w:rsidR="00D91B2A">
        <w:rPr>
          <w:szCs w:val="24"/>
        </w:rPr>
        <w:t xml:space="preserve">, but does not show any calculation related to this amount in the account balance portion of the bill.  This bill simply shows a “DLC Account  Balance” of $31.63. </w:t>
      </w:r>
      <w:r w:rsidR="0091127C">
        <w:rPr>
          <w:szCs w:val="24"/>
        </w:rPr>
        <w:t xml:space="preserve"> </w:t>
      </w:r>
      <w:r w:rsidR="00D91B2A">
        <w:rPr>
          <w:szCs w:val="24"/>
        </w:rPr>
        <w:t xml:space="preserve">This amount does </w:t>
      </w:r>
      <w:r w:rsidR="00053AC3">
        <w:rPr>
          <w:szCs w:val="24"/>
        </w:rPr>
        <w:t>not equal the prior DLC Account Balance of $</w:t>
      </w:r>
      <w:r w:rsidR="00D91B2A">
        <w:rPr>
          <w:szCs w:val="24"/>
        </w:rPr>
        <w:t>352.88 m</w:t>
      </w:r>
      <w:r w:rsidR="00F266AE">
        <w:rPr>
          <w:szCs w:val="24"/>
        </w:rPr>
        <w:t>inus the $</w:t>
      </w:r>
      <w:r w:rsidR="00053AC3">
        <w:rPr>
          <w:szCs w:val="24"/>
        </w:rPr>
        <w:t xml:space="preserve">299.88. </w:t>
      </w:r>
      <w:r w:rsidR="0091127C">
        <w:rPr>
          <w:szCs w:val="24"/>
        </w:rPr>
        <w:t xml:space="preserve"> </w:t>
      </w:r>
      <w:r w:rsidR="00053AC3">
        <w:rPr>
          <w:szCs w:val="24"/>
        </w:rPr>
        <w:t>Moreov</w:t>
      </w:r>
      <w:r w:rsidR="00D91B2A">
        <w:rPr>
          <w:szCs w:val="24"/>
        </w:rPr>
        <w:t>er, t</w:t>
      </w:r>
      <w:r w:rsidR="00053AC3">
        <w:rPr>
          <w:szCs w:val="24"/>
        </w:rPr>
        <w:t xml:space="preserve">he </w:t>
      </w:r>
      <w:r w:rsidR="00D91B2A">
        <w:rPr>
          <w:szCs w:val="24"/>
        </w:rPr>
        <w:t>amount of $31.63 appears nowhere on the following bill</w:t>
      </w:r>
      <w:r w:rsidR="00053AC3">
        <w:rPr>
          <w:szCs w:val="24"/>
        </w:rPr>
        <w:t xml:space="preserve"> in the calculation of the DLC Account Balance</w:t>
      </w:r>
      <w:r w:rsidR="00D91B2A">
        <w:rPr>
          <w:szCs w:val="24"/>
        </w:rPr>
        <w:t>.</w:t>
      </w:r>
      <w:r w:rsidR="00053AC3">
        <w:rPr>
          <w:szCs w:val="24"/>
        </w:rPr>
        <w:t xml:space="preserve">  </w:t>
      </w:r>
    </w:p>
    <w:p w:rsidR="0067462A" w:rsidRDefault="0067462A" w:rsidP="0067462A">
      <w:pPr>
        <w:spacing w:after="0"/>
        <w:ind w:firstLine="1440"/>
        <w:rPr>
          <w:szCs w:val="24"/>
        </w:rPr>
      </w:pPr>
    </w:p>
    <w:p w:rsidR="00CD363C" w:rsidRDefault="00CD363C" w:rsidP="0067462A">
      <w:pPr>
        <w:spacing w:after="0"/>
        <w:ind w:firstLine="1440"/>
        <w:rPr>
          <w:szCs w:val="24"/>
        </w:rPr>
      </w:pPr>
      <w:r>
        <w:rPr>
          <w:szCs w:val="24"/>
        </w:rPr>
        <w:t>In short, while there is no indication</w:t>
      </w:r>
      <w:r w:rsidR="00AE15E9">
        <w:rPr>
          <w:szCs w:val="24"/>
        </w:rPr>
        <w:t xml:space="preserve"> in the record</w:t>
      </w:r>
      <w:r>
        <w:rPr>
          <w:szCs w:val="24"/>
        </w:rPr>
        <w:t xml:space="preserve"> that the Complainant’s bills have been miscalculated or that she has not been given credits that are due, </w:t>
      </w:r>
      <w:r w:rsidR="00AE15E9">
        <w:rPr>
          <w:szCs w:val="24"/>
        </w:rPr>
        <w:t xml:space="preserve">it is </w:t>
      </w:r>
      <w:r>
        <w:rPr>
          <w:szCs w:val="24"/>
        </w:rPr>
        <w:t>difficult if not impossible t</w:t>
      </w:r>
      <w:r w:rsidR="00F266AE">
        <w:rPr>
          <w:szCs w:val="24"/>
        </w:rPr>
        <w:t xml:space="preserve">o </w:t>
      </w:r>
      <w:r w:rsidR="00AE15E9">
        <w:rPr>
          <w:szCs w:val="24"/>
        </w:rPr>
        <w:t>track t</w:t>
      </w:r>
      <w:r w:rsidR="002476B7">
        <w:rPr>
          <w:szCs w:val="24"/>
        </w:rPr>
        <w:t xml:space="preserve">he application of her CAP credits from </w:t>
      </w:r>
      <w:r w:rsidR="00F266AE">
        <w:rPr>
          <w:szCs w:val="24"/>
        </w:rPr>
        <w:t>one bill to the next.  It is perfectly understandable that she finds the bills inconsistent</w:t>
      </w:r>
      <w:r w:rsidR="00E31303">
        <w:rPr>
          <w:szCs w:val="24"/>
        </w:rPr>
        <w:t xml:space="preserve"> and </w:t>
      </w:r>
      <w:r w:rsidR="00FB4283">
        <w:rPr>
          <w:szCs w:val="24"/>
        </w:rPr>
        <w:t>frustrating</w:t>
      </w:r>
      <w:r w:rsidR="00F266AE">
        <w:rPr>
          <w:szCs w:val="24"/>
        </w:rPr>
        <w:t>.  Indeed,</w:t>
      </w:r>
      <w:r w:rsidR="00E31303">
        <w:rPr>
          <w:szCs w:val="24"/>
        </w:rPr>
        <w:t xml:space="preserve"> she is not alone. </w:t>
      </w:r>
      <w:r w:rsidR="0091127C">
        <w:rPr>
          <w:szCs w:val="24"/>
        </w:rPr>
        <w:t xml:space="preserve"> </w:t>
      </w:r>
      <w:r w:rsidR="00E31303">
        <w:rPr>
          <w:szCs w:val="24"/>
        </w:rPr>
        <w:t>T</w:t>
      </w:r>
      <w:r w:rsidR="00F266AE">
        <w:rPr>
          <w:szCs w:val="24"/>
        </w:rPr>
        <w:t xml:space="preserve">he </w:t>
      </w:r>
      <w:r w:rsidR="00F266AE">
        <w:rPr>
          <w:szCs w:val="24"/>
        </w:rPr>
        <w:lastRenderedPageBreak/>
        <w:t xml:space="preserve">Commission recently found </w:t>
      </w:r>
      <w:r w:rsidR="00E31303">
        <w:rPr>
          <w:szCs w:val="24"/>
        </w:rPr>
        <w:t xml:space="preserve">in </w:t>
      </w:r>
      <w:r w:rsidR="00E31303">
        <w:rPr>
          <w:i/>
          <w:szCs w:val="24"/>
        </w:rPr>
        <w:t>Prior v. Duquesne Light Company</w:t>
      </w:r>
      <w:r w:rsidR="00E31303">
        <w:rPr>
          <w:szCs w:val="24"/>
        </w:rPr>
        <w:t>,</w:t>
      </w:r>
      <w:r w:rsidR="00E31303" w:rsidRPr="0094623E">
        <w:rPr>
          <w:rStyle w:val="FootnoteReference"/>
          <w:szCs w:val="24"/>
        </w:rPr>
        <w:footnoteReference w:id="11"/>
      </w:r>
      <w:r w:rsidR="00E31303">
        <w:rPr>
          <w:szCs w:val="24"/>
        </w:rPr>
        <w:t xml:space="preserve"> </w:t>
      </w:r>
      <w:r w:rsidR="00F266AE">
        <w:rPr>
          <w:szCs w:val="24"/>
        </w:rPr>
        <w:t>that the residential billing statements of Duquesne Light were not as easy to understand as they should be and directed Duquesne Light to work with the Commission’s Bureau of Consumer Services and Office of Communication to review its billing format.</w:t>
      </w:r>
      <w:r w:rsidR="002476B7">
        <w:rPr>
          <w:szCs w:val="24"/>
        </w:rPr>
        <w:t xml:space="preserve">  </w:t>
      </w:r>
      <w:r w:rsidR="002D66F8">
        <w:rPr>
          <w:szCs w:val="24"/>
        </w:rPr>
        <w:t>This is no doubt an ongoing process.</w:t>
      </w:r>
    </w:p>
    <w:p w:rsidR="0067462A" w:rsidRDefault="0067462A" w:rsidP="0067462A">
      <w:pPr>
        <w:spacing w:after="0"/>
        <w:ind w:firstLine="1440"/>
        <w:rPr>
          <w:szCs w:val="24"/>
        </w:rPr>
      </w:pPr>
    </w:p>
    <w:p w:rsidR="0067462A" w:rsidRDefault="002476B7" w:rsidP="0067462A">
      <w:pPr>
        <w:spacing w:after="0"/>
        <w:ind w:firstLine="1440"/>
        <w:rPr>
          <w:szCs w:val="24"/>
        </w:rPr>
      </w:pPr>
      <w:r>
        <w:rPr>
          <w:szCs w:val="24"/>
        </w:rPr>
        <w:t>Accordingly, for the period of the last year that the Complainant participated in CAP, Duquesne Light is directed to provide her with an explanation of what she paid, what her CAP credits were and what her billing would have been had she not participated in the CAP program.</w:t>
      </w:r>
    </w:p>
    <w:p w:rsidR="002476B7" w:rsidRDefault="002476B7" w:rsidP="0067462A">
      <w:pPr>
        <w:spacing w:after="0"/>
        <w:ind w:firstLine="1440"/>
        <w:rPr>
          <w:szCs w:val="24"/>
        </w:rPr>
      </w:pPr>
      <w:r>
        <w:rPr>
          <w:szCs w:val="24"/>
        </w:rPr>
        <w:t xml:space="preserve">  </w:t>
      </w:r>
    </w:p>
    <w:p w:rsidR="00045D8E" w:rsidRDefault="00045D8E" w:rsidP="00DC3AB8">
      <w:pPr>
        <w:spacing w:after="0"/>
        <w:jc w:val="center"/>
        <w:rPr>
          <w:szCs w:val="24"/>
          <w:u w:val="single"/>
        </w:rPr>
      </w:pPr>
      <w:r w:rsidRPr="00045D8E">
        <w:rPr>
          <w:szCs w:val="24"/>
          <w:u w:val="single"/>
        </w:rPr>
        <w:t>CONCLUSIONS OF LAW</w:t>
      </w:r>
    </w:p>
    <w:p w:rsidR="0067462A" w:rsidRPr="00045D8E" w:rsidRDefault="0067462A" w:rsidP="00DC3AB8">
      <w:pPr>
        <w:spacing w:after="0"/>
        <w:jc w:val="center"/>
        <w:rPr>
          <w:szCs w:val="24"/>
          <w:u w:val="single"/>
        </w:rPr>
      </w:pPr>
    </w:p>
    <w:p w:rsidR="00045D8E" w:rsidRPr="00DC3AB8" w:rsidRDefault="00045D8E" w:rsidP="00DC3AB8">
      <w:pPr>
        <w:pStyle w:val="ListParagraph"/>
        <w:numPr>
          <w:ilvl w:val="0"/>
          <w:numId w:val="12"/>
        </w:numPr>
        <w:spacing w:after="0"/>
        <w:ind w:left="0" w:firstLine="1440"/>
        <w:rPr>
          <w:szCs w:val="24"/>
        </w:rPr>
      </w:pPr>
      <w:r w:rsidRPr="00DC3AB8">
        <w:rPr>
          <w:szCs w:val="24"/>
        </w:rPr>
        <w:t>The Commission has jurisdiction over the parties and subject matter of this complaint.</w:t>
      </w:r>
    </w:p>
    <w:p w:rsidR="00DC3AB8" w:rsidRPr="00DC3AB8" w:rsidRDefault="00DC3AB8" w:rsidP="00DC3AB8">
      <w:pPr>
        <w:pStyle w:val="ListParagraph"/>
        <w:numPr>
          <w:ilvl w:val="0"/>
          <w:numId w:val="0"/>
        </w:numPr>
        <w:spacing w:after="0"/>
        <w:ind w:firstLine="1440"/>
        <w:rPr>
          <w:szCs w:val="24"/>
        </w:rPr>
      </w:pPr>
    </w:p>
    <w:p w:rsidR="00DC3AB8" w:rsidRPr="00DC3AB8" w:rsidRDefault="00045D8E" w:rsidP="00DC3AB8">
      <w:pPr>
        <w:pStyle w:val="ListParagraph"/>
        <w:numPr>
          <w:ilvl w:val="0"/>
          <w:numId w:val="12"/>
        </w:numPr>
        <w:spacing w:after="0"/>
        <w:ind w:left="0" w:firstLine="1440"/>
        <w:rPr>
          <w:szCs w:val="24"/>
        </w:rPr>
      </w:pPr>
      <w:r w:rsidRPr="00DC3AB8">
        <w:rPr>
          <w:szCs w:val="24"/>
        </w:rPr>
        <w:t>The Complainant bears the burden of proof.</w:t>
      </w:r>
    </w:p>
    <w:p w:rsidR="00DC3AB8" w:rsidRPr="00DC3AB8" w:rsidRDefault="00DC3AB8" w:rsidP="00DC3AB8">
      <w:pPr>
        <w:pStyle w:val="ListParagraph"/>
        <w:numPr>
          <w:ilvl w:val="0"/>
          <w:numId w:val="0"/>
        </w:numPr>
        <w:spacing w:after="0"/>
        <w:ind w:firstLine="1440"/>
        <w:rPr>
          <w:szCs w:val="24"/>
        </w:rPr>
      </w:pPr>
    </w:p>
    <w:p w:rsidR="00DC3AB8" w:rsidRPr="00DC3AB8" w:rsidRDefault="00045D8E" w:rsidP="00DC3AB8">
      <w:pPr>
        <w:pStyle w:val="ListParagraph"/>
        <w:numPr>
          <w:ilvl w:val="0"/>
          <w:numId w:val="12"/>
        </w:numPr>
        <w:spacing w:after="0"/>
        <w:ind w:left="0" w:firstLine="1440"/>
        <w:rPr>
          <w:szCs w:val="24"/>
        </w:rPr>
      </w:pPr>
      <w:r w:rsidRPr="00DC3AB8">
        <w:rPr>
          <w:szCs w:val="24"/>
        </w:rPr>
        <w:t>There is no evidence that the Complainant did not consume the amount of electricity which was recorded by the utility.</w:t>
      </w:r>
    </w:p>
    <w:p w:rsidR="00DC3AB8" w:rsidRPr="00DC3AB8" w:rsidRDefault="00DC3AB8" w:rsidP="00DC3AB8">
      <w:pPr>
        <w:pStyle w:val="ListParagraph"/>
        <w:numPr>
          <w:ilvl w:val="0"/>
          <w:numId w:val="0"/>
        </w:numPr>
        <w:spacing w:after="0"/>
        <w:ind w:left="2160"/>
        <w:rPr>
          <w:szCs w:val="24"/>
        </w:rPr>
      </w:pPr>
    </w:p>
    <w:p w:rsidR="00DC3AB8" w:rsidRDefault="00DC3AB8" w:rsidP="00DC3AB8">
      <w:pPr>
        <w:spacing w:after="0"/>
        <w:jc w:val="center"/>
        <w:rPr>
          <w:szCs w:val="24"/>
          <w:u w:val="single"/>
        </w:rPr>
      </w:pPr>
    </w:p>
    <w:p w:rsidR="00045D8E" w:rsidRDefault="00045D8E" w:rsidP="00DC3AB8">
      <w:pPr>
        <w:spacing w:after="0"/>
        <w:jc w:val="center"/>
        <w:rPr>
          <w:szCs w:val="24"/>
          <w:u w:val="single"/>
        </w:rPr>
      </w:pPr>
      <w:r w:rsidRPr="00045D8E">
        <w:rPr>
          <w:szCs w:val="24"/>
          <w:u w:val="single"/>
        </w:rPr>
        <w:t>ORDER</w:t>
      </w:r>
    </w:p>
    <w:p w:rsidR="00C565D6" w:rsidRPr="00045D8E" w:rsidRDefault="00C565D6" w:rsidP="00DC3AB8">
      <w:pPr>
        <w:spacing w:after="0"/>
        <w:jc w:val="center"/>
        <w:rPr>
          <w:szCs w:val="24"/>
          <w:u w:val="single"/>
        </w:rPr>
      </w:pPr>
    </w:p>
    <w:p w:rsidR="00045D8E" w:rsidRDefault="00045D8E" w:rsidP="00C565D6">
      <w:pPr>
        <w:spacing w:after="0"/>
        <w:ind w:left="720" w:firstLine="720"/>
        <w:rPr>
          <w:szCs w:val="24"/>
        </w:rPr>
      </w:pPr>
      <w:r>
        <w:rPr>
          <w:szCs w:val="24"/>
        </w:rPr>
        <w:t>THEREFORE,</w:t>
      </w:r>
    </w:p>
    <w:p w:rsidR="00C565D6" w:rsidRDefault="00C565D6" w:rsidP="00C565D6">
      <w:pPr>
        <w:spacing w:after="0"/>
        <w:ind w:left="720" w:firstLine="720"/>
        <w:rPr>
          <w:szCs w:val="24"/>
        </w:rPr>
      </w:pPr>
    </w:p>
    <w:p w:rsidR="00045D8E" w:rsidRDefault="00045D8E" w:rsidP="00C565D6">
      <w:pPr>
        <w:spacing w:after="0"/>
        <w:ind w:left="720" w:firstLine="720"/>
        <w:rPr>
          <w:szCs w:val="24"/>
        </w:rPr>
      </w:pPr>
      <w:r>
        <w:rPr>
          <w:szCs w:val="24"/>
        </w:rPr>
        <w:t>IT IS ORDERED:</w:t>
      </w:r>
    </w:p>
    <w:p w:rsidR="00C565D6" w:rsidRDefault="00C565D6" w:rsidP="00C565D6">
      <w:pPr>
        <w:spacing w:after="0"/>
        <w:ind w:left="720" w:firstLine="720"/>
        <w:rPr>
          <w:szCs w:val="24"/>
        </w:rPr>
      </w:pPr>
    </w:p>
    <w:p w:rsidR="00045D8E" w:rsidRPr="00C565D6" w:rsidRDefault="00045D8E" w:rsidP="00C565D6">
      <w:pPr>
        <w:pStyle w:val="ListParagraph"/>
        <w:numPr>
          <w:ilvl w:val="0"/>
          <w:numId w:val="13"/>
        </w:numPr>
        <w:spacing w:after="0"/>
        <w:ind w:left="0" w:firstLine="1440"/>
        <w:rPr>
          <w:szCs w:val="24"/>
        </w:rPr>
      </w:pPr>
      <w:r w:rsidRPr="00C565D6">
        <w:rPr>
          <w:szCs w:val="24"/>
        </w:rPr>
        <w:t xml:space="preserve">That for the period of the last year that Maria </w:t>
      </w:r>
      <w:proofErr w:type="spellStart"/>
      <w:r w:rsidRPr="00C565D6">
        <w:rPr>
          <w:szCs w:val="24"/>
        </w:rPr>
        <w:t>Gonda</w:t>
      </w:r>
      <w:proofErr w:type="spellEnd"/>
      <w:r w:rsidRPr="00C565D6">
        <w:rPr>
          <w:szCs w:val="24"/>
        </w:rPr>
        <w:t xml:space="preserve"> </w:t>
      </w:r>
      <w:proofErr w:type="spellStart"/>
      <w:r w:rsidR="00FB4283" w:rsidRPr="00C565D6">
        <w:rPr>
          <w:szCs w:val="24"/>
        </w:rPr>
        <w:t>Caiaccia</w:t>
      </w:r>
      <w:proofErr w:type="spellEnd"/>
      <w:r w:rsidR="00FB4283" w:rsidRPr="00C565D6">
        <w:rPr>
          <w:szCs w:val="24"/>
        </w:rPr>
        <w:t xml:space="preserve"> participated</w:t>
      </w:r>
      <w:r w:rsidRPr="00C565D6">
        <w:rPr>
          <w:szCs w:val="24"/>
        </w:rPr>
        <w:t xml:space="preserve"> in a Customer Assistance Program (CAP), Duquesne Light Company</w:t>
      </w:r>
      <w:r w:rsidR="00F774DB" w:rsidRPr="00C565D6">
        <w:rPr>
          <w:szCs w:val="24"/>
        </w:rPr>
        <w:t xml:space="preserve">, within 30 </w:t>
      </w:r>
      <w:r w:rsidR="00767D85" w:rsidRPr="00C565D6">
        <w:rPr>
          <w:szCs w:val="24"/>
        </w:rPr>
        <w:t>days of entry of this order</w:t>
      </w:r>
      <w:r w:rsidR="00FB4283" w:rsidRPr="00C565D6">
        <w:rPr>
          <w:szCs w:val="24"/>
        </w:rPr>
        <w:t>, is</w:t>
      </w:r>
      <w:r w:rsidRPr="00C565D6">
        <w:rPr>
          <w:szCs w:val="24"/>
        </w:rPr>
        <w:t xml:space="preserve"> directed to provide </w:t>
      </w:r>
      <w:r w:rsidR="00767D85" w:rsidRPr="00C565D6">
        <w:rPr>
          <w:szCs w:val="24"/>
        </w:rPr>
        <w:t xml:space="preserve">Ms. </w:t>
      </w:r>
      <w:proofErr w:type="spellStart"/>
      <w:r w:rsidR="00767D85" w:rsidRPr="00C565D6">
        <w:rPr>
          <w:szCs w:val="24"/>
        </w:rPr>
        <w:t>Caiaccia</w:t>
      </w:r>
      <w:proofErr w:type="spellEnd"/>
      <w:r w:rsidRPr="00C565D6">
        <w:rPr>
          <w:szCs w:val="24"/>
        </w:rPr>
        <w:t xml:space="preserve"> with an explanation of what she paid</w:t>
      </w:r>
      <w:r w:rsidR="008B6E6A" w:rsidRPr="00C565D6">
        <w:rPr>
          <w:szCs w:val="24"/>
        </w:rPr>
        <w:t xml:space="preserve"> to Duquesne </w:t>
      </w:r>
      <w:r w:rsidR="008B6E6A" w:rsidRPr="00C565D6">
        <w:rPr>
          <w:szCs w:val="24"/>
        </w:rPr>
        <w:lastRenderedPageBreak/>
        <w:t>Light Company</w:t>
      </w:r>
      <w:r w:rsidRPr="00C565D6">
        <w:rPr>
          <w:szCs w:val="24"/>
        </w:rPr>
        <w:t xml:space="preserve">, what her CAP credits were and what her billing would have been had she not participated in the CAP program.  </w:t>
      </w:r>
    </w:p>
    <w:p w:rsidR="00C565D6" w:rsidRPr="00C565D6" w:rsidRDefault="00C565D6" w:rsidP="00C565D6">
      <w:pPr>
        <w:pStyle w:val="ListParagraph"/>
        <w:numPr>
          <w:ilvl w:val="0"/>
          <w:numId w:val="0"/>
        </w:numPr>
        <w:spacing w:after="0"/>
        <w:ind w:firstLine="1440"/>
        <w:rPr>
          <w:szCs w:val="24"/>
        </w:rPr>
      </w:pPr>
    </w:p>
    <w:p w:rsidR="00045D8E" w:rsidRDefault="00045D8E" w:rsidP="00C565D6">
      <w:pPr>
        <w:spacing w:after="0"/>
        <w:ind w:firstLine="1440"/>
        <w:rPr>
          <w:szCs w:val="24"/>
        </w:rPr>
      </w:pPr>
      <w:r>
        <w:rPr>
          <w:szCs w:val="24"/>
        </w:rPr>
        <w:t>2.</w:t>
      </w:r>
      <w:r>
        <w:rPr>
          <w:szCs w:val="24"/>
        </w:rPr>
        <w:tab/>
        <w:t xml:space="preserve">That the complaint of Maria </w:t>
      </w:r>
      <w:proofErr w:type="spellStart"/>
      <w:r>
        <w:rPr>
          <w:szCs w:val="24"/>
        </w:rPr>
        <w:t>Gonda</w:t>
      </w:r>
      <w:proofErr w:type="spellEnd"/>
      <w:r>
        <w:rPr>
          <w:szCs w:val="24"/>
        </w:rPr>
        <w:t xml:space="preserve"> </w:t>
      </w:r>
      <w:proofErr w:type="spellStart"/>
      <w:r>
        <w:rPr>
          <w:szCs w:val="24"/>
        </w:rPr>
        <w:t>Caiaccia</w:t>
      </w:r>
      <w:proofErr w:type="spellEnd"/>
      <w:r>
        <w:rPr>
          <w:szCs w:val="24"/>
        </w:rPr>
        <w:t xml:space="preserve"> at PUC Docket No. F-2011-2263256 against Duquesne Light Company is dismissed in all other respects.</w:t>
      </w:r>
    </w:p>
    <w:p w:rsidR="00045D8E" w:rsidRDefault="00045D8E" w:rsidP="00045D8E">
      <w:pPr>
        <w:rPr>
          <w:szCs w:val="24"/>
        </w:rPr>
      </w:pPr>
    </w:p>
    <w:p w:rsidR="00B576FA" w:rsidRDefault="00B576FA" w:rsidP="00B576FA">
      <w:pPr>
        <w:tabs>
          <w:tab w:val="left" w:pos="0"/>
        </w:tabs>
        <w:spacing w:after="0" w:line="240" w:lineRule="auto"/>
        <w:jc w:val="both"/>
      </w:pPr>
      <w:r>
        <w:t xml:space="preserve">Date:  </w:t>
      </w:r>
      <w:r>
        <w:rPr>
          <w:szCs w:val="24"/>
          <w:u w:val="single"/>
        </w:rPr>
        <w:t>August 20, 2012</w:t>
      </w:r>
      <w:r>
        <w:tab/>
      </w:r>
      <w:r>
        <w:tab/>
      </w:r>
      <w:r>
        <w:tab/>
      </w:r>
      <w:r>
        <w:tab/>
        <w:t>_______________________________</w:t>
      </w:r>
    </w:p>
    <w:p w:rsidR="00B576FA" w:rsidRDefault="00B576FA" w:rsidP="00B576FA">
      <w:pPr>
        <w:tabs>
          <w:tab w:val="left" w:pos="0"/>
        </w:tabs>
        <w:spacing w:after="0" w:line="240" w:lineRule="auto"/>
        <w:jc w:val="both"/>
      </w:pPr>
      <w:r>
        <w:tab/>
      </w:r>
      <w:r>
        <w:tab/>
      </w:r>
      <w:r>
        <w:tab/>
      </w:r>
      <w:r>
        <w:tab/>
      </w:r>
      <w:r>
        <w:tab/>
      </w:r>
      <w:r>
        <w:tab/>
      </w:r>
      <w:r>
        <w:tab/>
        <w:t>Mary D. Long</w:t>
      </w:r>
    </w:p>
    <w:p w:rsidR="00B576FA" w:rsidRDefault="00B576FA" w:rsidP="00B576FA">
      <w:pPr>
        <w:tabs>
          <w:tab w:val="left" w:pos="0"/>
        </w:tabs>
        <w:spacing w:after="0" w:line="240" w:lineRule="auto"/>
        <w:jc w:val="both"/>
      </w:pPr>
      <w:r>
        <w:tab/>
      </w:r>
      <w:r>
        <w:tab/>
      </w:r>
      <w:r>
        <w:tab/>
      </w:r>
      <w:r>
        <w:tab/>
      </w:r>
      <w:r>
        <w:tab/>
      </w:r>
      <w:r>
        <w:tab/>
      </w:r>
      <w:r>
        <w:tab/>
        <w:t>Administrative Law Judge</w:t>
      </w:r>
    </w:p>
    <w:p w:rsidR="00B576FA" w:rsidRPr="00035CC2" w:rsidRDefault="00B576FA" w:rsidP="00B576FA">
      <w:pPr>
        <w:spacing w:after="0" w:line="240" w:lineRule="auto"/>
        <w:rPr>
          <w:szCs w:val="24"/>
        </w:rPr>
      </w:pPr>
    </w:p>
    <w:sectPr w:rsidR="00B576FA" w:rsidRPr="00035CC2" w:rsidSect="00C32A7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95" w:rsidRDefault="00CA0A95" w:rsidP="00256DFB">
      <w:pPr>
        <w:spacing w:after="0" w:line="240" w:lineRule="auto"/>
      </w:pPr>
      <w:r>
        <w:separator/>
      </w:r>
    </w:p>
  </w:endnote>
  <w:endnote w:type="continuationSeparator" w:id="0">
    <w:p w:rsidR="00CA0A95" w:rsidRDefault="00CA0A95" w:rsidP="0025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91287"/>
      <w:docPartObj>
        <w:docPartGallery w:val="Page Numbers (Bottom of Page)"/>
        <w:docPartUnique/>
      </w:docPartObj>
    </w:sdtPr>
    <w:sdtEndPr>
      <w:rPr>
        <w:noProof/>
        <w:sz w:val="22"/>
      </w:rPr>
    </w:sdtEndPr>
    <w:sdtContent>
      <w:p w:rsidR="00C32A7F" w:rsidRPr="00C565D6" w:rsidRDefault="00C32A7F">
        <w:pPr>
          <w:pStyle w:val="Footer"/>
          <w:jc w:val="center"/>
          <w:rPr>
            <w:sz w:val="22"/>
          </w:rPr>
        </w:pPr>
        <w:r w:rsidRPr="00C565D6">
          <w:rPr>
            <w:sz w:val="22"/>
          </w:rPr>
          <w:fldChar w:fldCharType="begin"/>
        </w:r>
        <w:r w:rsidRPr="00C565D6">
          <w:rPr>
            <w:sz w:val="22"/>
          </w:rPr>
          <w:instrText xml:space="preserve"> PAGE   \* MERGEFORMAT </w:instrText>
        </w:r>
        <w:r w:rsidRPr="00C565D6">
          <w:rPr>
            <w:sz w:val="22"/>
          </w:rPr>
          <w:fldChar w:fldCharType="separate"/>
        </w:r>
        <w:r w:rsidR="003520DD">
          <w:rPr>
            <w:noProof/>
            <w:sz w:val="22"/>
          </w:rPr>
          <w:t>11</w:t>
        </w:r>
        <w:r w:rsidRPr="00C565D6">
          <w:rPr>
            <w:noProof/>
            <w:sz w:val="22"/>
          </w:rPr>
          <w:fldChar w:fldCharType="end"/>
        </w:r>
      </w:p>
    </w:sdtContent>
  </w:sdt>
  <w:p w:rsidR="00C32A7F" w:rsidRDefault="00C32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95" w:rsidRDefault="00CA0A95" w:rsidP="00256DFB">
      <w:pPr>
        <w:spacing w:after="0" w:line="240" w:lineRule="auto"/>
      </w:pPr>
      <w:r>
        <w:separator/>
      </w:r>
    </w:p>
  </w:footnote>
  <w:footnote w:type="continuationSeparator" w:id="0">
    <w:p w:rsidR="00CA0A95" w:rsidRDefault="00CA0A95" w:rsidP="00256DFB">
      <w:pPr>
        <w:spacing w:after="0" w:line="240" w:lineRule="auto"/>
      </w:pPr>
      <w:r>
        <w:continuationSeparator/>
      </w:r>
    </w:p>
  </w:footnote>
  <w:footnote w:id="1">
    <w:p w:rsidR="00256DFB" w:rsidRDefault="00256DFB" w:rsidP="0067462A">
      <w:pPr>
        <w:pStyle w:val="FootnoteText"/>
        <w:ind w:firstLine="720"/>
      </w:pPr>
      <w:r>
        <w:rPr>
          <w:rStyle w:val="FootnoteReference"/>
        </w:rPr>
        <w:footnoteRef/>
      </w:r>
      <w:r>
        <w:t xml:space="preserve">  </w:t>
      </w:r>
      <w:r>
        <w:tab/>
        <w:t>This formal complaint is a timely appeal from BCS decision 2844794.</w:t>
      </w:r>
    </w:p>
  </w:footnote>
  <w:footnote w:id="2">
    <w:p w:rsidR="004E6F2E" w:rsidRDefault="004E6F2E" w:rsidP="00D25CFE">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332(a).</w:t>
      </w:r>
      <w:proofErr w:type="gramEnd"/>
    </w:p>
    <w:p w:rsidR="004E6F2E" w:rsidRPr="00C81B96" w:rsidRDefault="004E6F2E" w:rsidP="004E6F2E">
      <w:pPr>
        <w:pStyle w:val="FootnoteText"/>
        <w:spacing w:after="0"/>
      </w:pPr>
    </w:p>
  </w:footnote>
  <w:footnote w:id="3">
    <w:p w:rsidR="004E6F2E" w:rsidRDefault="004E6F2E" w:rsidP="00D25CFE">
      <w:pPr>
        <w:pStyle w:val="FootnoteText"/>
        <w:spacing w:after="0"/>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roofErr w:type="gramEnd"/>
    </w:p>
    <w:p w:rsidR="004E6F2E" w:rsidRPr="00C81B96" w:rsidRDefault="004E6F2E" w:rsidP="004E6F2E">
      <w:pPr>
        <w:pStyle w:val="FootnoteText"/>
        <w:spacing w:after="0"/>
      </w:pPr>
    </w:p>
  </w:footnote>
  <w:footnote w:id="4">
    <w:p w:rsidR="004E6F2E" w:rsidRDefault="004E6F2E" w:rsidP="0067462A">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701.</w:t>
      </w:r>
      <w:proofErr w:type="gramEnd"/>
    </w:p>
    <w:p w:rsidR="004E6F2E" w:rsidRPr="00C81B96" w:rsidRDefault="004E6F2E" w:rsidP="0067462A">
      <w:pPr>
        <w:pStyle w:val="FootnoteText"/>
        <w:spacing w:after="0"/>
      </w:pPr>
    </w:p>
  </w:footnote>
  <w:footnote w:id="5">
    <w:p w:rsidR="0076155B" w:rsidRDefault="0076155B" w:rsidP="0067462A">
      <w:pPr>
        <w:pStyle w:val="FootnoteText"/>
        <w:spacing w:after="0"/>
        <w:ind w:firstLine="720"/>
        <w:rPr>
          <w:rFonts w:cs="Times New Roman"/>
        </w:rPr>
      </w:pPr>
      <w:r>
        <w:rPr>
          <w:rStyle w:val="FootnoteReference"/>
        </w:rPr>
        <w:footnoteRef/>
      </w:r>
      <w:r>
        <w:t xml:space="preserve"> </w:t>
      </w:r>
      <w:r>
        <w:tab/>
      </w:r>
      <w:proofErr w:type="gramStart"/>
      <w:r w:rsidRPr="00ED2E14">
        <w:rPr>
          <w:rFonts w:cs="Times New Roman"/>
        </w:rPr>
        <w:t>54 Pa. P.U.C. 98 (1980)</w:t>
      </w:r>
      <w:r w:rsidR="0067462A">
        <w:rPr>
          <w:rFonts w:cs="Times New Roman"/>
        </w:rPr>
        <w:t>.</w:t>
      </w:r>
      <w:proofErr w:type="gramEnd"/>
    </w:p>
    <w:p w:rsidR="0067462A" w:rsidRDefault="0067462A" w:rsidP="0067462A">
      <w:pPr>
        <w:pStyle w:val="FootnoteText"/>
        <w:spacing w:after="0"/>
        <w:ind w:firstLine="720"/>
      </w:pPr>
    </w:p>
  </w:footnote>
  <w:footnote w:id="6">
    <w:p w:rsidR="0067462A" w:rsidRDefault="0076155B" w:rsidP="0067462A">
      <w:pPr>
        <w:pStyle w:val="FootnoteText"/>
        <w:spacing w:after="0"/>
        <w:ind w:firstLine="720"/>
        <w:rPr>
          <w:rFonts w:cs="Times New Roman"/>
        </w:rPr>
      </w:pPr>
      <w:r>
        <w:rPr>
          <w:rStyle w:val="FootnoteReference"/>
        </w:rPr>
        <w:footnoteRef/>
      </w:r>
      <w:r>
        <w:t xml:space="preserve"> </w:t>
      </w:r>
      <w:r>
        <w:tab/>
      </w:r>
      <w:proofErr w:type="gramStart"/>
      <w:r w:rsidRPr="00ED2E14">
        <w:rPr>
          <w:rFonts w:cs="Times New Roman"/>
        </w:rPr>
        <w:t xml:space="preserve">768 A.2d 1217 (Pa. </w:t>
      </w:r>
      <w:proofErr w:type="spellStart"/>
      <w:r w:rsidRPr="00ED2E14">
        <w:rPr>
          <w:rFonts w:cs="Times New Roman"/>
        </w:rPr>
        <w:t>Cmwlth</w:t>
      </w:r>
      <w:proofErr w:type="spellEnd"/>
      <w:r w:rsidRPr="00ED2E14">
        <w:rPr>
          <w:rFonts w:cs="Times New Roman"/>
        </w:rPr>
        <w:t>. 2001) (</w:t>
      </w:r>
      <w:proofErr w:type="spellStart"/>
      <w:r w:rsidRPr="004C1836">
        <w:rPr>
          <w:rFonts w:cs="Times New Roman"/>
          <w:i/>
        </w:rPr>
        <w:t>Milkie</w:t>
      </w:r>
      <w:proofErr w:type="spellEnd"/>
      <w:r w:rsidRPr="00ED2E14">
        <w:rPr>
          <w:rFonts w:cs="Times New Roman"/>
        </w:rPr>
        <w:t>).</w:t>
      </w:r>
      <w:proofErr w:type="gramEnd"/>
      <w:r w:rsidRPr="00ED2E14">
        <w:rPr>
          <w:rFonts w:cs="Times New Roman"/>
        </w:rPr>
        <w:t xml:space="preserve"> </w:t>
      </w:r>
    </w:p>
    <w:p w:rsidR="0076155B" w:rsidRDefault="0076155B" w:rsidP="0067462A">
      <w:pPr>
        <w:pStyle w:val="FootnoteText"/>
        <w:spacing w:after="0"/>
        <w:ind w:firstLine="720"/>
      </w:pPr>
      <w:r w:rsidRPr="00ED2E14">
        <w:rPr>
          <w:rFonts w:cs="Times New Roman"/>
        </w:rPr>
        <w:t xml:space="preserve"> </w:t>
      </w:r>
    </w:p>
  </w:footnote>
  <w:footnote w:id="7">
    <w:p w:rsidR="0067462A" w:rsidRDefault="0076155B" w:rsidP="0067462A">
      <w:pPr>
        <w:pStyle w:val="FootnoteText"/>
        <w:spacing w:after="0"/>
        <w:ind w:firstLine="720"/>
        <w:rPr>
          <w:rFonts w:cs="Times New Roman"/>
        </w:rPr>
      </w:pPr>
      <w:r>
        <w:rPr>
          <w:rStyle w:val="FootnoteReference"/>
        </w:rPr>
        <w:footnoteRef/>
      </w:r>
      <w:r>
        <w:t xml:space="preserve"> </w:t>
      </w:r>
      <w:r>
        <w:tab/>
      </w:r>
      <w:proofErr w:type="gramStart"/>
      <w:r w:rsidRPr="00F60717">
        <w:rPr>
          <w:rFonts w:cs="Times New Roman"/>
          <w:i/>
        </w:rPr>
        <w:t>Bennett v Peoples Natural Gas Co.</w:t>
      </w:r>
      <w:r w:rsidRPr="00ED2E14">
        <w:rPr>
          <w:rFonts w:cs="Times New Roman"/>
        </w:rPr>
        <w:t>, Docket No.</w:t>
      </w:r>
      <w:proofErr w:type="gramEnd"/>
      <w:r w:rsidRPr="00ED2E14">
        <w:rPr>
          <w:rFonts w:cs="Times New Roman"/>
        </w:rPr>
        <w:t xml:space="preserve"> C-2009-2122979 (Order entered October 13, 2010); </w:t>
      </w:r>
      <w:r w:rsidRPr="00F60717">
        <w:rPr>
          <w:rFonts w:cs="Times New Roman"/>
          <w:i/>
        </w:rPr>
        <w:t>Thomas v PECO Energy Co.,</w:t>
      </w:r>
      <w:r w:rsidRPr="00ED2E14">
        <w:rPr>
          <w:rFonts w:cs="Times New Roman"/>
        </w:rPr>
        <w:t xml:space="preserve"> Docket No. C-2010-2187197 (Order entered November 15, 2011</w:t>
      </w:r>
      <w:proofErr w:type="gramStart"/>
      <w:r w:rsidRPr="00ED2E14">
        <w:rPr>
          <w:rFonts w:cs="Times New Roman"/>
        </w:rPr>
        <w:t xml:space="preserve">) </w:t>
      </w:r>
      <w:r w:rsidR="0067462A">
        <w:rPr>
          <w:rFonts w:cs="Times New Roman"/>
        </w:rPr>
        <w:t>.</w:t>
      </w:r>
      <w:proofErr w:type="gramEnd"/>
    </w:p>
    <w:p w:rsidR="0076155B" w:rsidRDefault="0076155B" w:rsidP="0067462A">
      <w:pPr>
        <w:pStyle w:val="FootnoteText"/>
        <w:spacing w:after="0"/>
        <w:ind w:firstLine="720"/>
      </w:pPr>
      <w:r w:rsidRPr="00ED2E14">
        <w:rPr>
          <w:rFonts w:cs="Times New Roman"/>
        </w:rPr>
        <w:t xml:space="preserve"> </w:t>
      </w:r>
    </w:p>
  </w:footnote>
  <w:footnote w:id="8">
    <w:p w:rsidR="0076155B" w:rsidRPr="004307E8" w:rsidRDefault="0076155B" w:rsidP="0067462A">
      <w:pPr>
        <w:pStyle w:val="FootnoteText"/>
        <w:spacing w:after="0"/>
        <w:ind w:firstLine="720"/>
      </w:pPr>
      <w:r>
        <w:rPr>
          <w:rStyle w:val="FootnoteReference"/>
        </w:rPr>
        <w:footnoteRef/>
      </w:r>
      <w:r>
        <w:t xml:space="preserve"> </w:t>
      </w:r>
      <w:r>
        <w:tab/>
      </w:r>
      <w:proofErr w:type="gramStart"/>
      <w:r>
        <w:rPr>
          <w:i/>
        </w:rPr>
        <w:t xml:space="preserve">Bennett, </w:t>
      </w:r>
      <w:r>
        <w:t>Slip op. at 7.</w:t>
      </w:r>
      <w:proofErr w:type="gramEnd"/>
    </w:p>
  </w:footnote>
  <w:footnote w:id="9">
    <w:p w:rsidR="00D91F60" w:rsidRDefault="00D91F60" w:rsidP="0067462A">
      <w:pPr>
        <w:pStyle w:val="FootnoteText"/>
        <w:spacing w:after="0"/>
        <w:ind w:firstLine="720"/>
      </w:pPr>
      <w:r>
        <w:rPr>
          <w:rStyle w:val="FootnoteReference"/>
        </w:rPr>
        <w:footnoteRef/>
      </w:r>
      <w:r>
        <w:t xml:space="preserve">  </w:t>
      </w:r>
      <w:r>
        <w:tab/>
      </w:r>
      <w:proofErr w:type="gramStart"/>
      <w:r>
        <w:t>N.T. 10.</w:t>
      </w:r>
      <w:proofErr w:type="gramEnd"/>
    </w:p>
    <w:p w:rsidR="0067462A" w:rsidRDefault="0067462A" w:rsidP="0067462A">
      <w:pPr>
        <w:pStyle w:val="FootnoteText"/>
        <w:spacing w:after="0"/>
        <w:ind w:firstLine="720"/>
      </w:pPr>
    </w:p>
  </w:footnote>
  <w:footnote w:id="10">
    <w:p w:rsidR="00360557" w:rsidRDefault="00360557" w:rsidP="0067462A">
      <w:pPr>
        <w:pStyle w:val="FootnoteText"/>
        <w:spacing w:after="0"/>
        <w:ind w:firstLine="720"/>
      </w:pPr>
      <w:r>
        <w:rPr>
          <w:rStyle w:val="FootnoteReference"/>
        </w:rPr>
        <w:footnoteRef/>
      </w:r>
      <w:r>
        <w:t xml:space="preserve">  </w:t>
      </w:r>
      <w:r w:rsidR="00A45634">
        <w:tab/>
      </w:r>
      <w:r w:rsidRPr="00360557">
        <w:t>Based on the wattage of the Complainant</w:t>
      </w:r>
      <w:r w:rsidR="00664DF6">
        <w:t>’</w:t>
      </w:r>
      <w:r w:rsidRPr="00360557">
        <w:t>s radiators, her potential maximum load for electricity usage is between 600 watts and 6000 watts, or approximately 432 k</w:t>
      </w:r>
      <w:r w:rsidR="00664DF6">
        <w:t>W</w:t>
      </w:r>
      <w:r w:rsidRPr="00360557">
        <w:t>h to 4320 k</w:t>
      </w:r>
      <w:r w:rsidR="00664DF6">
        <w:t>W</w:t>
      </w:r>
      <w:r w:rsidRPr="00360557">
        <w:t>h per month.</w:t>
      </w:r>
      <w:r w:rsidR="004D0551">
        <w:t xml:space="preserve"> </w:t>
      </w:r>
      <w:r w:rsidR="00664DF6">
        <w:t xml:space="preserve"> (</w:t>
      </w:r>
      <w:r w:rsidRPr="00360557">
        <w:t>N.T. 98-99; Duquesne Light Ex</w:t>
      </w:r>
      <w:r>
        <w:t>. 6</w:t>
      </w:r>
      <w:r w:rsidR="00664DF6">
        <w:t>)</w:t>
      </w:r>
    </w:p>
  </w:footnote>
  <w:footnote w:id="11">
    <w:p w:rsidR="00E31303" w:rsidRDefault="00E31303" w:rsidP="00E31303">
      <w:pPr>
        <w:pStyle w:val="FootnoteText"/>
        <w:ind w:firstLine="720"/>
      </w:pPr>
      <w:r>
        <w:rPr>
          <w:rStyle w:val="FootnoteReference"/>
        </w:rPr>
        <w:footnoteRef/>
      </w:r>
      <w:r>
        <w:t xml:space="preserve"> </w:t>
      </w:r>
      <w:r w:rsidR="00C565D6">
        <w:tab/>
      </w:r>
      <w:r>
        <w:t>PUC Docket No. F-2010-2193390 (Order entered August 18,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BA30AC"/>
    <w:lvl w:ilvl="0">
      <w:start w:val="1"/>
      <w:numFmt w:val="decimal"/>
      <w:lvlText w:val="%1."/>
      <w:lvlJc w:val="left"/>
      <w:pPr>
        <w:tabs>
          <w:tab w:val="num" w:pos="1800"/>
        </w:tabs>
        <w:ind w:left="1800" w:hanging="360"/>
      </w:pPr>
    </w:lvl>
  </w:abstractNum>
  <w:abstractNum w:abstractNumId="1">
    <w:nsid w:val="FFFFFF7D"/>
    <w:multiLevelType w:val="singleLevel"/>
    <w:tmpl w:val="D7E6244A"/>
    <w:lvl w:ilvl="0">
      <w:start w:val="1"/>
      <w:numFmt w:val="decimal"/>
      <w:lvlText w:val="%1."/>
      <w:lvlJc w:val="left"/>
      <w:pPr>
        <w:tabs>
          <w:tab w:val="num" w:pos="1440"/>
        </w:tabs>
        <w:ind w:left="1440" w:hanging="360"/>
      </w:pPr>
    </w:lvl>
  </w:abstractNum>
  <w:abstractNum w:abstractNumId="2">
    <w:nsid w:val="FFFFFF7E"/>
    <w:multiLevelType w:val="singleLevel"/>
    <w:tmpl w:val="E1D8B442"/>
    <w:lvl w:ilvl="0">
      <w:start w:val="1"/>
      <w:numFmt w:val="decimal"/>
      <w:lvlText w:val="%1."/>
      <w:lvlJc w:val="left"/>
      <w:pPr>
        <w:tabs>
          <w:tab w:val="num" w:pos="1080"/>
        </w:tabs>
        <w:ind w:left="1080" w:hanging="360"/>
      </w:pPr>
    </w:lvl>
  </w:abstractNum>
  <w:abstractNum w:abstractNumId="3">
    <w:nsid w:val="FFFFFF7F"/>
    <w:multiLevelType w:val="singleLevel"/>
    <w:tmpl w:val="A40495C2"/>
    <w:lvl w:ilvl="0">
      <w:start w:val="1"/>
      <w:numFmt w:val="decimal"/>
      <w:lvlText w:val="%1."/>
      <w:lvlJc w:val="left"/>
      <w:pPr>
        <w:tabs>
          <w:tab w:val="num" w:pos="720"/>
        </w:tabs>
        <w:ind w:left="720" w:hanging="360"/>
      </w:pPr>
    </w:lvl>
  </w:abstractNum>
  <w:abstractNum w:abstractNumId="4">
    <w:nsid w:val="FFFFFF80"/>
    <w:multiLevelType w:val="singleLevel"/>
    <w:tmpl w:val="A0F6A1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C15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CC79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F882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5A0E86"/>
    <w:lvl w:ilvl="0">
      <w:start w:val="1"/>
      <w:numFmt w:val="decimal"/>
      <w:lvlText w:val="%1."/>
      <w:lvlJc w:val="left"/>
      <w:pPr>
        <w:tabs>
          <w:tab w:val="num" w:pos="360"/>
        </w:tabs>
        <w:ind w:left="360" w:hanging="360"/>
      </w:pPr>
    </w:lvl>
  </w:abstractNum>
  <w:abstractNum w:abstractNumId="9">
    <w:nsid w:val="FFFFFF89"/>
    <w:multiLevelType w:val="singleLevel"/>
    <w:tmpl w:val="6652C726"/>
    <w:lvl w:ilvl="0">
      <w:start w:val="1"/>
      <w:numFmt w:val="bullet"/>
      <w:lvlText w:val=""/>
      <w:lvlJc w:val="left"/>
      <w:pPr>
        <w:tabs>
          <w:tab w:val="num" w:pos="360"/>
        </w:tabs>
        <w:ind w:left="360" w:hanging="360"/>
      </w:pPr>
      <w:rPr>
        <w:rFonts w:ascii="Symbol" w:hAnsi="Symbol" w:hint="default"/>
      </w:rPr>
    </w:lvl>
  </w:abstractNum>
  <w:abstractNum w:abstractNumId="10">
    <w:nsid w:val="3A581361"/>
    <w:multiLevelType w:val="hybridMultilevel"/>
    <w:tmpl w:val="AB9E6E2C"/>
    <w:lvl w:ilvl="0" w:tplc="385C84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DA752EA"/>
    <w:multiLevelType w:val="hybridMultilevel"/>
    <w:tmpl w:val="DB00487C"/>
    <w:lvl w:ilvl="0" w:tplc="BBD67F8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5A348A0"/>
    <w:multiLevelType w:val="hybridMultilevel"/>
    <w:tmpl w:val="2A845088"/>
    <w:lvl w:ilvl="0" w:tplc="F7D09DB6">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97"/>
    <w:rsid w:val="00004C37"/>
    <w:rsid w:val="00017D43"/>
    <w:rsid w:val="00045D8E"/>
    <w:rsid w:val="00053AC3"/>
    <w:rsid w:val="00063EA7"/>
    <w:rsid w:val="000B0B58"/>
    <w:rsid w:val="000B1D56"/>
    <w:rsid w:val="000C2C17"/>
    <w:rsid w:val="00170D96"/>
    <w:rsid w:val="001C3B7D"/>
    <w:rsid w:val="001F229E"/>
    <w:rsid w:val="002476B7"/>
    <w:rsid w:val="00256DFB"/>
    <w:rsid w:val="00264332"/>
    <w:rsid w:val="002A7B3C"/>
    <w:rsid w:val="002D022B"/>
    <w:rsid w:val="002D66F8"/>
    <w:rsid w:val="00302FBC"/>
    <w:rsid w:val="003520DD"/>
    <w:rsid w:val="00360557"/>
    <w:rsid w:val="003F65AC"/>
    <w:rsid w:val="00424861"/>
    <w:rsid w:val="00433152"/>
    <w:rsid w:val="00464FDF"/>
    <w:rsid w:val="00473B62"/>
    <w:rsid w:val="0048192D"/>
    <w:rsid w:val="004C6676"/>
    <w:rsid w:val="004D0551"/>
    <w:rsid w:val="004E6F2E"/>
    <w:rsid w:val="005213F8"/>
    <w:rsid w:val="00540C36"/>
    <w:rsid w:val="005872EE"/>
    <w:rsid w:val="005B3357"/>
    <w:rsid w:val="005C2FAE"/>
    <w:rsid w:val="005D04E4"/>
    <w:rsid w:val="005F5FB6"/>
    <w:rsid w:val="00601656"/>
    <w:rsid w:val="0062480B"/>
    <w:rsid w:val="00664DF6"/>
    <w:rsid w:val="0067462A"/>
    <w:rsid w:val="00693E3B"/>
    <w:rsid w:val="0073617F"/>
    <w:rsid w:val="007552E8"/>
    <w:rsid w:val="00756B69"/>
    <w:rsid w:val="0076155B"/>
    <w:rsid w:val="00767D85"/>
    <w:rsid w:val="00792796"/>
    <w:rsid w:val="007A0625"/>
    <w:rsid w:val="007A7AA9"/>
    <w:rsid w:val="007C0BFC"/>
    <w:rsid w:val="007C5861"/>
    <w:rsid w:val="007F4F3D"/>
    <w:rsid w:val="007F59E1"/>
    <w:rsid w:val="00800DF8"/>
    <w:rsid w:val="008529D2"/>
    <w:rsid w:val="00854C33"/>
    <w:rsid w:val="008618E2"/>
    <w:rsid w:val="00865960"/>
    <w:rsid w:val="00877E6A"/>
    <w:rsid w:val="008929E7"/>
    <w:rsid w:val="008B6E6A"/>
    <w:rsid w:val="008C4131"/>
    <w:rsid w:val="008E42E3"/>
    <w:rsid w:val="00910D44"/>
    <w:rsid w:val="0091127C"/>
    <w:rsid w:val="009130F7"/>
    <w:rsid w:val="00933A6F"/>
    <w:rsid w:val="0094623E"/>
    <w:rsid w:val="0095480E"/>
    <w:rsid w:val="00977541"/>
    <w:rsid w:val="00997615"/>
    <w:rsid w:val="009C3EFC"/>
    <w:rsid w:val="009F10C0"/>
    <w:rsid w:val="00A1133B"/>
    <w:rsid w:val="00A178CB"/>
    <w:rsid w:val="00A3670F"/>
    <w:rsid w:val="00A45634"/>
    <w:rsid w:val="00AA5538"/>
    <w:rsid w:val="00AB4C73"/>
    <w:rsid w:val="00AB4F73"/>
    <w:rsid w:val="00AC3487"/>
    <w:rsid w:val="00AD6640"/>
    <w:rsid w:val="00AD7133"/>
    <w:rsid w:val="00AE001C"/>
    <w:rsid w:val="00AE15E9"/>
    <w:rsid w:val="00B576FA"/>
    <w:rsid w:val="00B83561"/>
    <w:rsid w:val="00C32A7F"/>
    <w:rsid w:val="00C565D6"/>
    <w:rsid w:val="00C75559"/>
    <w:rsid w:val="00CA0A95"/>
    <w:rsid w:val="00CD363C"/>
    <w:rsid w:val="00D2054A"/>
    <w:rsid w:val="00D25CFE"/>
    <w:rsid w:val="00D57A8F"/>
    <w:rsid w:val="00D63647"/>
    <w:rsid w:val="00D64AE0"/>
    <w:rsid w:val="00D91B2A"/>
    <w:rsid w:val="00D91F60"/>
    <w:rsid w:val="00DC3AB8"/>
    <w:rsid w:val="00DC7292"/>
    <w:rsid w:val="00DD5C37"/>
    <w:rsid w:val="00E07097"/>
    <w:rsid w:val="00E14F14"/>
    <w:rsid w:val="00E26A33"/>
    <w:rsid w:val="00E31303"/>
    <w:rsid w:val="00E35984"/>
    <w:rsid w:val="00E4706F"/>
    <w:rsid w:val="00E73735"/>
    <w:rsid w:val="00EB55C8"/>
    <w:rsid w:val="00ED0AAF"/>
    <w:rsid w:val="00ED6A9F"/>
    <w:rsid w:val="00EE274B"/>
    <w:rsid w:val="00F13D3A"/>
    <w:rsid w:val="00F20C63"/>
    <w:rsid w:val="00F266AE"/>
    <w:rsid w:val="00F774DB"/>
    <w:rsid w:val="00FB4283"/>
    <w:rsid w:val="00FD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57A8F"/>
    <w:pPr>
      <w:numPr>
        <w:numId w:val="1"/>
      </w:numPr>
      <w:ind w:left="0" w:firstLine="720"/>
    </w:pPr>
  </w:style>
  <w:style w:type="paragraph" w:styleId="Title">
    <w:name w:val="Title"/>
    <w:basedOn w:val="Normal"/>
    <w:link w:val="TitleChar"/>
    <w:qFormat/>
    <w:rsid w:val="007A0625"/>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A0625"/>
    <w:rPr>
      <w:rFonts w:ascii="Times New Roman" w:eastAsia="Times New Roman" w:hAnsi="Times New Roman" w:cs="Times New Roman"/>
      <w:b/>
      <w:sz w:val="24"/>
      <w:szCs w:val="20"/>
    </w:rPr>
  </w:style>
  <w:style w:type="paragraph" w:styleId="FootnoteText">
    <w:name w:val="footnote text"/>
    <w:aliases w:val="Car"/>
    <w:basedOn w:val="Normal"/>
    <w:link w:val="FootnoteTextChar"/>
    <w:uiPriority w:val="99"/>
    <w:unhideWhenUsed/>
    <w:qFormat/>
    <w:rsid w:val="0076155B"/>
    <w:pPr>
      <w:spacing w:after="120" w:line="240" w:lineRule="auto"/>
    </w:pPr>
    <w:rPr>
      <w:sz w:val="20"/>
      <w:szCs w:val="20"/>
    </w:rPr>
  </w:style>
  <w:style w:type="character" w:customStyle="1" w:styleId="FootnoteTextChar">
    <w:name w:val="Footnote Text Char"/>
    <w:aliases w:val="Car Char"/>
    <w:basedOn w:val="DefaultParagraphFont"/>
    <w:link w:val="FootnoteText"/>
    <w:uiPriority w:val="99"/>
    <w:rsid w:val="0076155B"/>
    <w:rPr>
      <w:rFonts w:ascii="Times New Roman" w:hAnsi="Times New Roman"/>
      <w:sz w:val="20"/>
      <w:szCs w:val="20"/>
    </w:rPr>
  </w:style>
  <w:style w:type="character" w:styleId="FootnoteReference">
    <w:name w:val="footnote reference"/>
    <w:basedOn w:val="DefaultParagraphFont"/>
    <w:uiPriority w:val="99"/>
    <w:unhideWhenUsed/>
    <w:rsid w:val="00256DFB"/>
    <w:rPr>
      <w:vertAlign w:val="superscript"/>
    </w:rPr>
  </w:style>
  <w:style w:type="table" w:styleId="TableGrid">
    <w:name w:val="Table Grid"/>
    <w:basedOn w:val="TableNormal"/>
    <w:uiPriority w:val="59"/>
    <w:rsid w:val="001F2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2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F"/>
    <w:rPr>
      <w:rFonts w:ascii="Times New Roman" w:hAnsi="Times New Roman"/>
      <w:sz w:val="24"/>
    </w:rPr>
  </w:style>
  <w:style w:type="paragraph" w:styleId="Footer">
    <w:name w:val="footer"/>
    <w:basedOn w:val="Normal"/>
    <w:link w:val="FooterChar"/>
    <w:uiPriority w:val="99"/>
    <w:unhideWhenUsed/>
    <w:rsid w:val="00C32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F"/>
    <w:rPr>
      <w:rFonts w:ascii="Times New Roman" w:hAnsi="Times New Roman"/>
      <w:sz w:val="24"/>
    </w:rPr>
  </w:style>
  <w:style w:type="paragraph" w:styleId="BalloonText">
    <w:name w:val="Balloon Text"/>
    <w:basedOn w:val="Normal"/>
    <w:link w:val="BalloonTextChar"/>
    <w:uiPriority w:val="99"/>
    <w:semiHidden/>
    <w:unhideWhenUsed/>
    <w:rsid w:val="00933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57A8F"/>
    <w:pPr>
      <w:numPr>
        <w:numId w:val="1"/>
      </w:numPr>
      <w:ind w:left="0" w:firstLine="720"/>
    </w:pPr>
  </w:style>
  <w:style w:type="paragraph" w:styleId="Title">
    <w:name w:val="Title"/>
    <w:basedOn w:val="Normal"/>
    <w:link w:val="TitleChar"/>
    <w:qFormat/>
    <w:rsid w:val="007A0625"/>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A0625"/>
    <w:rPr>
      <w:rFonts w:ascii="Times New Roman" w:eastAsia="Times New Roman" w:hAnsi="Times New Roman" w:cs="Times New Roman"/>
      <w:b/>
      <w:sz w:val="24"/>
      <w:szCs w:val="20"/>
    </w:rPr>
  </w:style>
  <w:style w:type="paragraph" w:styleId="FootnoteText">
    <w:name w:val="footnote text"/>
    <w:aliases w:val="Car"/>
    <w:basedOn w:val="Normal"/>
    <w:link w:val="FootnoteTextChar"/>
    <w:uiPriority w:val="99"/>
    <w:unhideWhenUsed/>
    <w:qFormat/>
    <w:rsid w:val="0076155B"/>
    <w:pPr>
      <w:spacing w:after="120" w:line="240" w:lineRule="auto"/>
    </w:pPr>
    <w:rPr>
      <w:sz w:val="20"/>
      <w:szCs w:val="20"/>
    </w:rPr>
  </w:style>
  <w:style w:type="character" w:customStyle="1" w:styleId="FootnoteTextChar">
    <w:name w:val="Footnote Text Char"/>
    <w:aliases w:val="Car Char"/>
    <w:basedOn w:val="DefaultParagraphFont"/>
    <w:link w:val="FootnoteText"/>
    <w:uiPriority w:val="99"/>
    <w:rsid w:val="0076155B"/>
    <w:rPr>
      <w:rFonts w:ascii="Times New Roman" w:hAnsi="Times New Roman"/>
      <w:sz w:val="20"/>
      <w:szCs w:val="20"/>
    </w:rPr>
  </w:style>
  <w:style w:type="character" w:styleId="FootnoteReference">
    <w:name w:val="footnote reference"/>
    <w:basedOn w:val="DefaultParagraphFont"/>
    <w:uiPriority w:val="99"/>
    <w:unhideWhenUsed/>
    <w:rsid w:val="00256DFB"/>
    <w:rPr>
      <w:vertAlign w:val="superscript"/>
    </w:rPr>
  </w:style>
  <w:style w:type="table" w:styleId="TableGrid">
    <w:name w:val="Table Grid"/>
    <w:basedOn w:val="TableNormal"/>
    <w:uiPriority w:val="59"/>
    <w:rsid w:val="001F2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2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F"/>
    <w:rPr>
      <w:rFonts w:ascii="Times New Roman" w:hAnsi="Times New Roman"/>
      <w:sz w:val="24"/>
    </w:rPr>
  </w:style>
  <w:style w:type="paragraph" w:styleId="Footer">
    <w:name w:val="footer"/>
    <w:basedOn w:val="Normal"/>
    <w:link w:val="FooterChar"/>
    <w:uiPriority w:val="99"/>
    <w:unhideWhenUsed/>
    <w:rsid w:val="00C32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F"/>
    <w:rPr>
      <w:rFonts w:ascii="Times New Roman" w:hAnsi="Times New Roman"/>
      <w:sz w:val="24"/>
    </w:rPr>
  </w:style>
  <w:style w:type="paragraph" w:styleId="BalloonText">
    <w:name w:val="Balloon Text"/>
    <w:basedOn w:val="Normal"/>
    <w:link w:val="BalloonTextChar"/>
    <w:uiPriority w:val="99"/>
    <w:semiHidden/>
    <w:unhideWhenUsed/>
    <w:rsid w:val="00933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DF9C-566D-435E-9B97-B4318A3A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4</cp:revision>
  <cp:lastPrinted>2012-08-29T14:11:00Z</cp:lastPrinted>
  <dcterms:created xsi:type="dcterms:W3CDTF">2012-08-20T15:31:00Z</dcterms:created>
  <dcterms:modified xsi:type="dcterms:W3CDTF">2012-08-29T14:12:00Z</dcterms:modified>
</cp:coreProperties>
</file>