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D0B" w:rsidRDefault="00D71D0B" w:rsidP="00D71D0B">
      <w:pPr>
        <w:pStyle w:val="c2"/>
        <w:outlineLvl w:val="0"/>
        <w:rPr>
          <w:b/>
          <w:sz w:val="28"/>
          <w:szCs w:val="28"/>
        </w:rPr>
      </w:pPr>
      <w:r>
        <w:rPr>
          <w:b/>
          <w:sz w:val="28"/>
          <w:szCs w:val="28"/>
        </w:rPr>
        <w:t>PENNSYLVANIA</w:t>
      </w:r>
    </w:p>
    <w:p w:rsidR="00D71D0B" w:rsidRDefault="00D71D0B" w:rsidP="00D71D0B">
      <w:pPr>
        <w:pStyle w:val="c2"/>
        <w:outlineLvl w:val="0"/>
        <w:rPr>
          <w:b/>
          <w:sz w:val="28"/>
          <w:szCs w:val="28"/>
        </w:rPr>
      </w:pPr>
      <w:r>
        <w:rPr>
          <w:b/>
          <w:sz w:val="28"/>
          <w:szCs w:val="28"/>
        </w:rPr>
        <w:t>PUBLIC UTILITY COMMISSION</w:t>
      </w:r>
    </w:p>
    <w:p w:rsidR="00D71D0B" w:rsidRDefault="00D71D0B" w:rsidP="00D71D0B">
      <w:pPr>
        <w:pStyle w:val="c2"/>
        <w:outlineLvl w:val="0"/>
        <w:rPr>
          <w:b/>
          <w:sz w:val="28"/>
          <w:szCs w:val="28"/>
        </w:rPr>
      </w:pPr>
      <w:r>
        <w:rPr>
          <w:b/>
          <w:sz w:val="28"/>
          <w:szCs w:val="28"/>
        </w:rPr>
        <w:t>Harrisburg, PA 17105-3265</w:t>
      </w:r>
    </w:p>
    <w:p w:rsidR="00D71D0B" w:rsidRDefault="00D71D0B" w:rsidP="00D71D0B">
      <w:pPr>
        <w:pStyle w:val="p3"/>
        <w:tabs>
          <w:tab w:val="left" w:pos="4320"/>
        </w:tabs>
        <w:rPr>
          <w:sz w:val="28"/>
          <w:szCs w:val="28"/>
        </w:rPr>
      </w:pPr>
    </w:p>
    <w:p w:rsidR="00D71D0B" w:rsidRDefault="00D71D0B" w:rsidP="00D71D0B">
      <w:pPr>
        <w:pStyle w:val="p3"/>
        <w:tabs>
          <w:tab w:val="left" w:pos="4320"/>
        </w:tabs>
        <w:spacing w:line="360" w:lineRule="auto"/>
        <w:outlineLvl w:val="0"/>
        <w:rPr>
          <w:sz w:val="26"/>
          <w:szCs w:val="26"/>
        </w:rPr>
      </w:pPr>
      <w:r>
        <w:rPr>
          <w:sz w:val="28"/>
          <w:szCs w:val="28"/>
        </w:rPr>
        <w:tab/>
      </w:r>
      <w:r w:rsidR="00F12A7D">
        <w:rPr>
          <w:sz w:val="26"/>
          <w:szCs w:val="26"/>
        </w:rPr>
        <w:t xml:space="preserve">                </w:t>
      </w:r>
      <w:r>
        <w:rPr>
          <w:sz w:val="26"/>
          <w:szCs w:val="26"/>
        </w:rPr>
        <w:t xml:space="preserve"> Public Meeting held </w:t>
      </w:r>
      <w:r w:rsidR="00F12A7D">
        <w:rPr>
          <w:sz w:val="26"/>
          <w:szCs w:val="26"/>
        </w:rPr>
        <w:t>August 30</w:t>
      </w:r>
      <w:r>
        <w:rPr>
          <w:sz w:val="26"/>
          <w:szCs w:val="26"/>
        </w:rPr>
        <w:t>, 2012</w:t>
      </w:r>
    </w:p>
    <w:p w:rsidR="00D71D0B" w:rsidRDefault="00D71D0B" w:rsidP="00D71D0B">
      <w:pPr>
        <w:pStyle w:val="p4"/>
        <w:spacing w:line="360" w:lineRule="auto"/>
        <w:rPr>
          <w:sz w:val="26"/>
          <w:szCs w:val="26"/>
        </w:rPr>
      </w:pPr>
    </w:p>
    <w:p w:rsidR="00D71D0B" w:rsidRDefault="00D71D0B" w:rsidP="00D71D0B">
      <w:pPr>
        <w:pStyle w:val="p4"/>
        <w:rPr>
          <w:sz w:val="26"/>
          <w:szCs w:val="26"/>
        </w:rPr>
      </w:pPr>
      <w:r>
        <w:rPr>
          <w:sz w:val="26"/>
          <w:szCs w:val="26"/>
        </w:rPr>
        <w:t>Commissioners Present:</w:t>
      </w:r>
    </w:p>
    <w:p w:rsidR="00D71D0B" w:rsidRDefault="00D71D0B" w:rsidP="00D71D0B">
      <w:pPr>
        <w:tabs>
          <w:tab w:val="left" w:pos="204"/>
        </w:tabs>
        <w:rPr>
          <w:sz w:val="26"/>
          <w:szCs w:val="26"/>
        </w:rPr>
      </w:pPr>
    </w:p>
    <w:p w:rsidR="00D71D0B" w:rsidRDefault="00D71D0B" w:rsidP="00D71D0B">
      <w:pPr>
        <w:pStyle w:val="p5"/>
        <w:ind w:left="391"/>
        <w:rPr>
          <w:sz w:val="26"/>
          <w:szCs w:val="26"/>
        </w:rPr>
      </w:pPr>
      <w:r>
        <w:rPr>
          <w:sz w:val="26"/>
          <w:szCs w:val="26"/>
        </w:rPr>
        <w:t>Robert F. Powelson, Chairman</w:t>
      </w:r>
    </w:p>
    <w:p w:rsidR="00D71D0B" w:rsidRDefault="00D71D0B" w:rsidP="00D71D0B">
      <w:pPr>
        <w:pStyle w:val="p5"/>
        <w:ind w:left="391"/>
        <w:rPr>
          <w:sz w:val="26"/>
          <w:szCs w:val="26"/>
        </w:rPr>
      </w:pPr>
      <w:r>
        <w:rPr>
          <w:sz w:val="26"/>
          <w:szCs w:val="26"/>
        </w:rPr>
        <w:t xml:space="preserve">John F. Coleman, </w:t>
      </w:r>
      <w:r w:rsidR="00CC3733">
        <w:rPr>
          <w:sz w:val="26"/>
          <w:szCs w:val="26"/>
        </w:rPr>
        <w:t xml:space="preserve">Jr., </w:t>
      </w:r>
      <w:r>
        <w:rPr>
          <w:sz w:val="26"/>
          <w:szCs w:val="26"/>
        </w:rPr>
        <w:t>Vice Chairman</w:t>
      </w:r>
    </w:p>
    <w:p w:rsidR="00D71D0B" w:rsidRDefault="00D71D0B" w:rsidP="00D71D0B">
      <w:pPr>
        <w:pStyle w:val="p5"/>
        <w:ind w:left="391"/>
        <w:rPr>
          <w:sz w:val="26"/>
          <w:szCs w:val="26"/>
        </w:rPr>
      </w:pPr>
      <w:r>
        <w:rPr>
          <w:sz w:val="26"/>
          <w:szCs w:val="26"/>
        </w:rPr>
        <w:t xml:space="preserve">Wayne E. Gardner </w:t>
      </w:r>
    </w:p>
    <w:p w:rsidR="00D71D0B" w:rsidRDefault="00D71D0B" w:rsidP="00D71D0B">
      <w:pPr>
        <w:pStyle w:val="p5"/>
        <w:ind w:left="391"/>
        <w:outlineLvl w:val="0"/>
        <w:rPr>
          <w:sz w:val="26"/>
          <w:szCs w:val="26"/>
        </w:rPr>
      </w:pPr>
      <w:r>
        <w:rPr>
          <w:sz w:val="26"/>
          <w:szCs w:val="26"/>
        </w:rPr>
        <w:t xml:space="preserve">James H. Cawley </w:t>
      </w:r>
    </w:p>
    <w:p w:rsidR="00D71D0B" w:rsidRDefault="00D71D0B" w:rsidP="00D71D0B">
      <w:pPr>
        <w:pStyle w:val="p5"/>
        <w:ind w:left="0"/>
        <w:outlineLvl w:val="0"/>
        <w:rPr>
          <w:sz w:val="26"/>
          <w:szCs w:val="26"/>
        </w:rPr>
      </w:pPr>
      <w:r>
        <w:rPr>
          <w:sz w:val="26"/>
          <w:szCs w:val="26"/>
        </w:rPr>
        <w:t xml:space="preserve">      Pamela A. Witmer </w:t>
      </w:r>
    </w:p>
    <w:p w:rsidR="00D71D0B" w:rsidRDefault="00D71D0B" w:rsidP="00D71D0B">
      <w:pPr>
        <w:pStyle w:val="p5"/>
        <w:ind w:left="391"/>
        <w:rPr>
          <w:sz w:val="26"/>
          <w:szCs w:val="26"/>
        </w:rPr>
      </w:pPr>
    </w:p>
    <w:p w:rsidR="00D71D0B" w:rsidRDefault="00D71D0B" w:rsidP="00D71D0B">
      <w:pPr>
        <w:pStyle w:val="p5"/>
        <w:ind w:left="391"/>
        <w:rPr>
          <w:sz w:val="26"/>
          <w:szCs w:val="26"/>
        </w:rPr>
      </w:pPr>
    </w:p>
    <w:p w:rsidR="00D71D0B" w:rsidRDefault="00205A69" w:rsidP="00C21D0E">
      <w:pPr>
        <w:pStyle w:val="p4"/>
        <w:tabs>
          <w:tab w:val="clear" w:pos="204"/>
          <w:tab w:val="left" w:pos="0"/>
          <w:tab w:val="left" w:pos="4320"/>
          <w:tab w:val="left" w:pos="5130"/>
        </w:tabs>
        <w:jc w:val="both"/>
        <w:outlineLvl w:val="0"/>
        <w:rPr>
          <w:sz w:val="26"/>
          <w:szCs w:val="26"/>
        </w:rPr>
      </w:pPr>
      <w:r>
        <w:rPr>
          <w:sz w:val="26"/>
          <w:szCs w:val="26"/>
        </w:rPr>
        <w:t>Application o</w:t>
      </w:r>
      <w:r w:rsidR="00D71D0B">
        <w:rPr>
          <w:sz w:val="26"/>
          <w:szCs w:val="26"/>
        </w:rPr>
        <w:t>f PPL Electric Utilities</w:t>
      </w:r>
    </w:p>
    <w:p w:rsidR="00E04AF7" w:rsidRDefault="00205A69" w:rsidP="00C21D0E">
      <w:pPr>
        <w:pStyle w:val="p4"/>
        <w:tabs>
          <w:tab w:val="clear" w:pos="204"/>
          <w:tab w:val="left" w:pos="0"/>
          <w:tab w:val="left" w:pos="4320"/>
          <w:tab w:val="left" w:pos="5130"/>
        </w:tabs>
        <w:jc w:val="both"/>
        <w:outlineLvl w:val="0"/>
        <w:rPr>
          <w:sz w:val="26"/>
          <w:szCs w:val="26"/>
        </w:rPr>
      </w:pPr>
      <w:r>
        <w:rPr>
          <w:sz w:val="26"/>
          <w:szCs w:val="26"/>
        </w:rPr>
        <w:t>Corporation, Filed Pursuant t</w:t>
      </w:r>
      <w:r w:rsidR="00D71D0B">
        <w:rPr>
          <w:sz w:val="26"/>
          <w:szCs w:val="26"/>
        </w:rPr>
        <w:t>o 52 Pa.</w:t>
      </w:r>
    </w:p>
    <w:p w:rsidR="00D71D0B" w:rsidRDefault="003829A3" w:rsidP="00C21D0E">
      <w:pPr>
        <w:pStyle w:val="p4"/>
        <w:tabs>
          <w:tab w:val="clear" w:pos="204"/>
          <w:tab w:val="left" w:pos="0"/>
          <w:tab w:val="left" w:pos="4320"/>
          <w:tab w:val="left" w:pos="5130"/>
        </w:tabs>
        <w:jc w:val="both"/>
        <w:outlineLvl w:val="0"/>
        <w:rPr>
          <w:sz w:val="26"/>
          <w:szCs w:val="26"/>
        </w:rPr>
      </w:pPr>
      <w:r>
        <w:rPr>
          <w:sz w:val="26"/>
          <w:szCs w:val="26"/>
        </w:rPr>
        <w:t xml:space="preserve">Code Chapter 57 </w:t>
      </w:r>
      <w:r w:rsidR="00205A69">
        <w:rPr>
          <w:sz w:val="26"/>
          <w:szCs w:val="26"/>
        </w:rPr>
        <w:t>Sub</w:t>
      </w:r>
      <w:r>
        <w:rPr>
          <w:sz w:val="26"/>
          <w:szCs w:val="26"/>
        </w:rPr>
        <w:t>chapter G</w:t>
      </w:r>
      <w:r w:rsidR="00205A69">
        <w:rPr>
          <w:sz w:val="26"/>
          <w:szCs w:val="26"/>
        </w:rPr>
        <w:t xml:space="preserve"> </w:t>
      </w:r>
      <w:r w:rsidR="00C21D0E">
        <w:rPr>
          <w:sz w:val="26"/>
          <w:szCs w:val="26"/>
        </w:rPr>
        <w:t>for</w:t>
      </w:r>
    </w:p>
    <w:p w:rsidR="003829A3" w:rsidRDefault="00205A69" w:rsidP="00C21D0E">
      <w:pPr>
        <w:pStyle w:val="p4"/>
        <w:tabs>
          <w:tab w:val="clear" w:pos="204"/>
          <w:tab w:val="left" w:pos="0"/>
          <w:tab w:val="left" w:pos="4320"/>
          <w:tab w:val="left" w:pos="4860"/>
          <w:tab w:val="left" w:pos="5130"/>
        </w:tabs>
        <w:jc w:val="both"/>
        <w:outlineLvl w:val="0"/>
        <w:rPr>
          <w:sz w:val="26"/>
          <w:szCs w:val="26"/>
        </w:rPr>
      </w:pPr>
      <w:r>
        <w:rPr>
          <w:sz w:val="26"/>
          <w:szCs w:val="26"/>
        </w:rPr>
        <w:t>Approval</w:t>
      </w:r>
      <w:r w:rsidR="00D71D0B">
        <w:rPr>
          <w:sz w:val="26"/>
          <w:szCs w:val="26"/>
        </w:rPr>
        <w:t xml:space="preserve"> </w:t>
      </w:r>
      <w:r>
        <w:rPr>
          <w:sz w:val="26"/>
          <w:szCs w:val="26"/>
        </w:rPr>
        <w:t>of the Reconstruction</w:t>
      </w:r>
      <w:r w:rsidR="00192322">
        <w:rPr>
          <w:sz w:val="26"/>
          <w:szCs w:val="26"/>
        </w:rPr>
        <w:t xml:space="preserve"> </w:t>
      </w:r>
      <w:r w:rsidR="00F12A7D">
        <w:rPr>
          <w:sz w:val="26"/>
          <w:szCs w:val="26"/>
        </w:rPr>
        <w:t>of the</w:t>
      </w:r>
      <w:r w:rsidR="00192322">
        <w:rPr>
          <w:sz w:val="26"/>
          <w:szCs w:val="26"/>
        </w:rPr>
        <w:t xml:space="preserve">                </w:t>
      </w:r>
      <w:r w:rsidR="00F12A7D">
        <w:rPr>
          <w:sz w:val="26"/>
          <w:szCs w:val="26"/>
        </w:rPr>
        <w:t xml:space="preserve">          </w:t>
      </w:r>
      <w:r w:rsidR="00CC3733">
        <w:rPr>
          <w:sz w:val="26"/>
          <w:szCs w:val="26"/>
        </w:rPr>
        <w:t xml:space="preserve">     </w:t>
      </w:r>
      <w:r w:rsidR="00F12A7D">
        <w:rPr>
          <w:sz w:val="26"/>
          <w:szCs w:val="26"/>
        </w:rPr>
        <w:t xml:space="preserve">        A-2012-2312615</w:t>
      </w:r>
    </w:p>
    <w:p w:rsidR="00E04AF7" w:rsidRDefault="00F12A7D" w:rsidP="00C21D0E">
      <w:pPr>
        <w:pStyle w:val="p4"/>
        <w:tabs>
          <w:tab w:val="clear" w:pos="204"/>
          <w:tab w:val="left" w:pos="0"/>
          <w:tab w:val="left" w:pos="4320"/>
          <w:tab w:val="left" w:pos="4860"/>
          <w:tab w:val="left" w:pos="5130"/>
        </w:tabs>
        <w:jc w:val="both"/>
        <w:outlineLvl w:val="0"/>
        <w:rPr>
          <w:sz w:val="26"/>
          <w:szCs w:val="26"/>
        </w:rPr>
      </w:pPr>
      <w:r>
        <w:rPr>
          <w:sz w:val="26"/>
          <w:szCs w:val="26"/>
        </w:rPr>
        <w:t xml:space="preserve">Cumberland-West Shore #3 and #4 69 kV </w:t>
      </w:r>
    </w:p>
    <w:p w:rsidR="00C21D0E" w:rsidRDefault="00F12A7D" w:rsidP="00C21D0E">
      <w:pPr>
        <w:pStyle w:val="p4"/>
        <w:tabs>
          <w:tab w:val="clear" w:pos="204"/>
          <w:tab w:val="left" w:pos="0"/>
          <w:tab w:val="left" w:pos="4320"/>
          <w:tab w:val="left" w:pos="4860"/>
          <w:tab w:val="left" w:pos="5130"/>
        </w:tabs>
        <w:jc w:val="both"/>
        <w:outlineLvl w:val="0"/>
        <w:rPr>
          <w:sz w:val="26"/>
          <w:szCs w:val="26"/>
        </w:rPr>
      </w:pPr>
      <w:r>
        <w:rPr>
          <w:sz w:val="26"/>
          <w:szCs w:val="26"/>
        </w:rPr>
        <w:t>Transmission</w:t>
      </w:r>
      <w:r w:rsidR="00D71D0B">
        <w:rPr>
          <w:sz w:val="26"/>
          <w:szCs w:val="26"/>
        </w:rPr>
        <w:t xml:space="preserve"> Line</w:t>
      </w:r>
      <w:r w:rsidR="003329EE">
        <w:rPr>
          <w:sz w:val="26"/>
          <w:szCs w:val="26"/>
        </w:rPr>
        <w:t xml:space="preserve"> in Lower </w:t>
      </w:r>
      <w:r>
        <w:rPr>
          <w:sz w:val="26"/>
          <w:szCs w:val="26"/>
        </w:rPr>
        <w:t>Allen</w:t>
      </w:r>
    </w:p>
    <w:p w:rsidR="00F12A7D" w:rsidRDefault="00E04AF7" w:rsidP="003829A3">
      <w:pPr>
        <w:pStyle w:val="p4"/>
        <w:tabs>
          <w:tab w:val="clear" w:pos="204"/>
          <w:tab w:val="left" w:pos="0"/>
        </w:tabs>
        <w:jc w:val="both"/>
        <w:outlineLvl w:val="0"/>
        <w:rPr>
          <w:sz w:val="26"/>
          <w:szCs w:val="26"/>
        </w:rPr>
      </w:pPr>
      <w:r>
        <w:rPr>
          <w:sz w:val="26"/>
          <w:szCs w:val="26"/>
        </w:rPr>
        <w:t>Township</w:t>
      </w:r>
      <w:r w:rsidR="00F12A7D">
        <w:rPr>
          <w:sz w:val="26"/>
          <w:szCs w:val="26"/>
        </w:rPr>
        <w:t xml:space="preserve"> and Upper Allen Township</w:t>
      </w:r>
      <w:r w:rsidR="00D71D0B">
        <w:rPr>
          <w:sz w:val="26"/>
          <w:szCs w:val="26"/>
        </w:rPr>
        <w:t>,</w:t>
      </w:r>
    </w:p>
    <w:p w:rsidR="00D71D0B" w:rsidRDefault="00F12A7D" w:rsidP="003829A3">
      <w:pPr>
        <w:pStyle w:val="p4"/>
        <w:tabs>
          <w:tab w:val="clear" w:pos="204"/>
          <w:tab w:val="left" w:pos="0"/>
        </w:tabs>
        <w:jc w:val="both"/>
        <w:outlineLvl w:val="0"/>
        <w:rPr>
          <w:sz w:val="26"/>
          <w:szCs w:val="26"/>
        </w:rPr>
      </w:pPr>
      <w:r>
        <w:rPr>
          <w:sz w:val="26"/>
          <w:szCs w:val="26"/>
        </w:rPr>
        <w:t>Cumberland</w:t>
      </w:r>
      <w:r w:rsidR="003329EE">
        <w:rPr>
          <w:sz w:val="26"/>
          <w:szCs w:val="26"/>
        </w:rPr>
        <w:t xml:space="preserve">, </w:t>
      </w:r>
      <w:r w:rsidR="00D71D0B">
        <w:rPr>
          <w:sz w:val="26"/>
          <w:szCs w:val="26"/>
        </w:rPr>
        <w:t>County,</w:t>
      </w:r>
      <w:r w:rsidR="00E04AF7">
        <w:rPr>
          <w:sz w:val="26"/>
          <w:szCs w:val="26"/>
        </w:rPr>
        <w:t xml:space="preserve"> </w:t>
      </w:r>
      <w:r w:rsidR="003829A3">
        <w:rPr>
          <w:sz w:val="26"/>
          <w:szCs w:val="26"/>
        </w:rPr>
        <w:t>Pennsylvania</w:t>
      </w:r>
    </w:p>
    <w:p w:rsidR="00D71D0B" w:rsidRDefault="00D71D0B" w:rsidP="00D71D0B">
      <w:pPr>
        <w:pStyle w:val="p4"/>
        <w:tabs>
          <w:tab w:val="left" w:pos="0"/>
        </w:tabs>
        <w:jc w:val="both"/>
        <w:outlineLvl w:val="0"/>
        <w:rPr>
          <w:sz w:val="26"/>
          <w:szCs w:val="26"/>
        </w:rPr>
      </w:pPr>
    </w:p>
    <w:p w:rsidR="00D71D0B" w:rsidRDefault="00D71D0B" w:rsidP="00D71D0B">
      <w:pPr>
        <w:pStyle w:val="p4"/>
        <w:tabs>
          <w:tab w:val="left" w:pos="0"/>
        </w:tabs>
        <w:outlineLvl w:val="0"/>
        <w:rPr>
          <w:b/>
          <w:sz w:val="26"/>
          <w:szCs w:val="26"/>
        </w:rPr>
      </w:pPr>
    </w:p>
    <w:p w:rsidR="00D71D0B" w:rsidRDefault="00D71D0B" w:rsidP="00D71D0B">
      <w:pPr>
        <w:pStyle w:val="c2"/>
        <w:tabs>
          <w:tab w:val="left" w:pos="204"/>
        </w:tabs>
        <w:spacing w:line="360" w:lineRule="auto"/>
        <w:outlineLvl w:val="0"/>
        <w:rPr>
          <w:b/>
          <w:sz w:val="26"/>
          <w:szCs w:val="26"/>
        </w:rPr>
      </w:pPr>
      <w:r>
        <w:rPr>
          <w:b/>
          <w:sz w:val="26"/>
          <w:szCs w:val="26"/>
        </w:rPr>
        <w:t>ORDER</w:t>
      </w:r>
    </w:p>
    <w:p w:rsidR="00D71D0B" w:rsidRDefault="00D71D0B" w:rsidP="00D71D0B">
      <w:pPr>
        <w:pStyle w:val="p4"/>
        <w:spacing w:line="360" w:lineRule="auto"/>
        <w:rPr>
          <w:b/>
          <w:sz w:val="26"/>
          <w:szCs w:val="26"/>
        </w:rPr>
      </w:pPr>
      <w:r>
        <w:rPr>
          <w:b/>
          <w:sz w:val="26"/>
          <w:szCs w:val="26"/>
        </w:rPr>
        <w:t>BY THE COMMISSION:</w:t>
      </w:r>
    </w:p>
    <w:p w:rsidR="00D71D0B" w:rsidRDefault="00D71D0B" w:rsidP="00D71D0B">
      <w:pPr>
        <w:tabs>
          <w:tab w:val="left" w:pos="204"/>
        </w:tabs>
        <w:spacing w:line="360" w:lineRule="auto"/>
        <w:rPr>
          <w:sz w:val="26"/>
          <w:szCs w:val="26"/>
        </w:rPr>
      </w:pPr>
    </w:p>
    <w:p w:rsidR="00D71D0B" w:rsidRDefault="00E04AF7" w:rsidP="00D71D0B">
      <w:pPr>
        <w:widowControl/>
        <w:tabs>
          <w:tab w:val="left" w:pos="-1440"/>
          <w:tab w:val="left" w:pos="1440"/>
        </w:tabs>
        <w:suppressAutoHyphens/>
        <w:autoSpaceDE/>
        <w:adjustRightInd/>
        <w:spacing w:line="360" w:lineRule="auto"/>
        <w:rPr>
          <w:sz w:val="26"/>
          <w:szCs w:val="26"/>
        </w:rPr>
      </w:pPr>
      <w:r>
        <w:rPr>
          <w:kern w:val="2"/>
          <w:sz w:val="26"/>
          <w:szCs w:val="26"/>
        </w:rPr>
        <w:tab/>
        <w:t xml:space="preserve">On </w:t>
      </w:r>
      <w:r w:rsidR="00164FD5">
        <w:rPr>
          <w:kern w:val="2"/>
          <w:sz w:val="26"/>
          <w:szCs w:val="26"/>
        </w:rPr>
        <w:t xml:space="preserve">June </w:t>
      </w:r>
      <w:r w:rsidR="00F12A7D">
        <w:rPr>
          <w:kern w:val="2"/>
          <w:sz w:val="26"/>
          <w:szCs w:val="26"/>
        </w:rPr>
        <w:t>2</w:t>
      </w:r>
      <w:r w:rsidR="00164FD5">
        <w:rPr>
          <w:kern w:val="2"/>
          <w:sz w:val="26"/>
          <w:szCs w:val="26"/>
        </w:rPr>
        <w:t>9</w:t>
      </w:r>
      <w:r w:rsidR="00D71D0B">
        <w:rPr>
          <w:kern w:val="2"/>
          <w:sz w:val="26"/>
          <w:szCs w:val="26"/>
        </w:rPr>
        <w:t xml:space="preserve">, 2012, </w:t>
      </w:r>
      <w:r w:rsidR="00D71D0B">
        <w:rPr>
          <w:sz w:val="26"/>
          <w:szCs w:val="26"/>
        </w:rPr>
        <w:t>PPL Electric Utilities Corporation</w:t>
      </w:r>
      <w:r w:rsidR="00D71D0B">
        <w:rPr>
          <w:kern w:val="2"/>
          <w:sz w:val="26"/>
          <w:szCs w:val="26"/>
        </w:rPr>
        <w:t xml:space="preserve"> (“</w:t>
      </w:r>
      <w:r w:rsidR="00D71D0B">
        <w:rPr>
          <w:sz w:val="26"/>
          <w:szCs w:val="26"/>
        </w:rPr>
        <w:t>PPL Electric</w:t>
      </w:r>
      <w:r w:rsidR="00D71D0B">
        <w:rPr>
          <w:kern w:val="2"/>
          <w:sz w:val="26"/>
          <w:szCs w:val="26"/>
        </w:rPr>
        <w:t xml:space="preserve">”) filed a Letter of Notification (“LON”) </w:t>
      </w:r>
      <w:r w:rsidR="00D71D0B">
        <w:rPr>
          <w:sz w:val="26"/>
          <w:szCs w:val="26"/>
        </w:rPr>
        <w:t xml:space="preserve">pursuant to 52 Pa. Code </w:t>
      </w:r>
      <w:r w:rsidR="00D71D0B">
        <w:rPr>
          <w:kern w:val="2"/>
          <w:sz w:val="26"/>
          <w:szCs w:val="26"/>
        </w:rPr>
        <w:t>§57.72(d)(1)(v</w:t>
      </w:r>
      <w:r>
        <w:rPr>
          <w:kern w:val="2"/>
          <w:sz w:val="26"/>
          <w:szCs w:val="26"/>
        </w:rPr>
        <w:t>i</w:t>
      </w:r>
      <w:r w:rsidR="00D71D0B">
        <w:rPr>
          <w:kern w:val="2"/>
          <w:sz w:val="26"/>
          <w:szCs w:val="26"/>
        </w:rPr>
        <w:t>) of the Commission’s transmission line siting regulations.</w:t>
      </w:r>
      <w:r w:rsidR="00D71D0B">
        <w:rPr>
          <w:sz w:val="26"/>
          <w:szCs w:val="26"/>
        </w:rPr>
        <w:t xml:space="preserve">  Section </w:t>
      </w:r>
      <w:r w:rsidR="00D71D0B">
        <w:rPr>
          <w:iCs/>
          <w:sz w:val="26"/>
          <w:szCs w:val="26"/>
        </w:rPr>
        <w:t xml:space="preserve">57.72 </w:t>
      </w:r>
      <w:r w:rsidR="00D71D0B">
        <w:rPr>
          <w:sz w:val="26"/>
          <w:szCs w:val="26"/>
        </w:rPr>
        <w:t>authorizes the abbreviated “Letter of Notification” siting application process in lieu of an application for the following:</w:t>
      </w:r>
    </w:p>
    <w:p w:rsidR="00D71D0B" w:rsidRDefault="00D71D0B" w:rsidP="00D71D0B">
      <w:pPr>
        <w:tabs>
          <w:tab w:val="left" w:pos="1479"/>
        </w:tabs>
        <w:spacing w:line="360" w:lineRule="auto"/>
        <w:rPr>
          <w:sz w:val="26"/>
          <w:szCs w:val="26"/>
        </w:rPr>
      </w:pPr>
    </w:p>
    <w:p w:rsidR="0085740D" w:rsidRPr="0085740D" w:rsidRDefault="00D71D0B" w:rsidP="0085740D">
      <w:pPr>
        <w:pStyle w:val="p7"/>
        <w:numPr>
          <w:ilvl w:val="0"/>
          <w:numId w:val="1"/>
        </w:numPr>
        <w:tabs>
          <w:tab w:val="clear" w:pos="782"/>
          <w:tab w:val="clear" w:pos="1133"/>
          <w:tab w:val="left" w:pos="720"/>
        </w:tabs>
        <w:spacing w:line="360" w:lineRule="auto"/>
        <w:ind w:left="720" w:firstLine="0"/>
        <w:jc w:val="both"/>
        <w:rPr>
          <w:sz w:val="26"/>
          <w:szCs w:val="26"/>
        </w:rPr>
      </w:pPr>
      <w:r w:rsidRPr="0085740D">
        <w:rPr>
          <w:sz w:val="26"/>
          <w:szCs w:val="26"/>
        </w:rPr>
        <w:t>An HV line which is proposed to be located entirely on an existing</w:t>
      </w:r>
      <w:r w:rsidR="0085740D" w:rsidRPr="0085740D">
        <w:rPr>
          <w:sz w:val="26"/>
          <w:szCs w:val="26"/>
        </w:rPr>
        <w:t xml:space="preserve">  </w:t>
      </w:r>
      <w:r w:rsidR="0085740D" w:rsidRPr="0085740D">
        <w:rPr>
          <w:sz w:val="26"/>
          <w:szCs w:val="26"/>
        </w:rPr>
        <w:tab/>
      </w:r>
      <w:r w:rsidRPr="0085740D">
        <w:rPr>
          <w:sz w:val="26"/>
          <w:szCs w:val="26"/>
        </w:rPr>
        <w:t xml:space="preserve">transmission line right-of-way, so long as the size, character, design, or </w:t>
      </w:r>
      <w:r w:rsidR="0085740D" w:rsidRPr="0085740D">
        <w:rPr>
          <w:sz w:val="26"/>
          <w:szCs w:val="26"/>
        </w:rPr>
        <w:t xml:space="preserve">   </w:t>
      </w:r>
    </w:p>
    <w:p w:rsidR="0085740D" w:rsidRDefault="00151E9F" w:rsidP="00151E9F">
      <w:pPr>
        <w:pStyle w:val="p7"/>
        <w:tabs>
          <w:tab w:val="clear" w:pos="782"/>
          <w:tab w:val="clear" w:pos="1133"/>
          <w:tab w:val="left" w:pos="1440"/>
        </w:tabs>
        <w:spacing w:line="360" w:lineRule="auto"/>
        <w:ind w:left="720" w:firstLine="0"/>
        <w:jc w:val="both"/>
        <w:rPr>
          <w:sz w:val="26"/>
          <w:szCs w:val="26"/>
        </w:rPr>
      </w:pPr>
      <w:r>
        <w:rPr>
          <w:sz w:val="26"/>
          <w:szCs w:val="26"/>
        </w:rPr>
        <w:lastRenderedPageBreak/>
        <w:t xml:space="preserve"> </w:t>
      </w:r>
      <w:r>
        <w:rPr>
          <w:sz w:val="26"/>
          <w:szCs w:val="26"/>
        </w:rPr>
        <w:tab/>
      </w:r>
      <w:r w:rsidR="00D71D0B">
        <w:rPr>
          <w:sz w:val="26"/>
          <w:szCs w:val="26"/>
        </w:rPr>
        <w:t>configuration, of the proposed HV line does not substantially alter the right-</w:t>
      </w:r>
    </w:p>
    <w:p w:rsidR="00D71D0B" w:rsidRDefault="0085740D" w:rsidP="0085740D">
      <w:pPr>
        <w:pStyle w:val="p7"/>
        <w:tabs>
          <w:tab w:val="clear" w:pos="1133"/>
          <w:tab w:val="left" w:pos="720"/>
          <w:tab w:val="left" w:pos="1440"/>
        </w:tabs>
        <w:spacing w:line="360" w:lineRule="auto"/>
        <w:ind w:left="1170" w:firstLine="0"/>
        <w:jc w:val="both"/>
        <w:rPr>
          <w:sz w:val="26"/>
          <w:szCs w:val="26"/>
        </w:rPr>
      </w:pPr>
      <w:r>
        <w:rPr>
          <w:sz w:val="26"/>
          <w:szCs w:val="26"/>
        </w:rPr>
        <w:t xml:space="preserve">  </w:t>
      </w:r>
      <w:r>
        <w:rPr>
          <w:sz w:val="26"/>
          <w:szCs w:val="26"/>
        </w:rPr>
        <w:tab/>
      </w:r>
      <w:r w:rsidR="00D71D0B">
        <w:rPr>
          <w:sz w:val="26"/>
          <w:szCs w:val="26"/>
        </w:rPr>
        <w:t>of-way.</w:t>
      </w:r>
    </w:p>
    <w:p w:rsidR="00151E9F" w:rsidRDefault="00151E9F" w:rsidP="0085740D">
      <w:pPr>
        <w:pStyle w:val="p7"/>
        <w:tabs>
          <w:tab w:val="clear" w:pos="1133"/>
          <w:tab w:val="left" w:pos="720"/>
          <w:tab w:val="left" w:pos="1440"/>
        </w:tabs>
        <w:spacing w:line="360" w:lineRule="auto"/>
        <w:ind w:left="1170" w:firstLine="0"/>
        <w:jc w:val="both"/>
        <w:rPr>
          <w:sz w:val="26"/>
          <w:szCs w:val="26"/>
        </w:rPr>
      </w:pPr>
    </w:p>
    <w:p w:rsidR="00D71D0B" w:rsidRDefault="00D71D0B" w:rsidP="00D71D0B">
      <w:pPr>
        <w:pStyle w:val="p7"/>
        <w:numPr>
          <w:ilvl w:val="0"/>
          <w:numId w:val="2"/>
        </w:numPr>
        <w:tabs>
          <w:tab w:val="clear" w:pos="782"/>
          <w:tab w:val="clear" w:pos="1133"/>
          <w:tab w:val="clear" w:pos="1257"/>
          <w:tab w:val="left" w:pos="720"/>
          <w:tab w:val="num" w:pos="1440"/>
        </w:tabs>
        <w:spacing w:line="360" w:lineRule="auto"/>
        <w:ind w:left="1440"/>
        <w:jc w:val="both"/>
        <w:rPr>
          <w:sz w:val="26"/>
          <w:szCs w:val="26"/>
        </w:rPr>
      </w:pPr>
      <w:r>
        <w:rPr>
          <w:sz w:val="26"/>
          <w:szCs w:val="26"/>
        </w:rPr>
        <w:t>An HV line which is proposed to be located entirely within a public road.</w:t>
      </w:r>
    </w:p>
    <w:p w:rsidR="00D71D0B" w:rsidRDefault="00D71D0B" w:rsidP="00D71D0B">
      <w:pPr>
        <w:pStyle w:val="p1"/>
        <w:tabs>
          <w:tab w:val="clear" w:pos="691"/>
          <w:tab w:val="left" w:pos="720"/>
        </w:tabs>
        <w:spacing w:line="360" w:lineRule="auto"/>
        <w:ind w:left="813" w:firstLine="0"/>
        <w:rPr>
          <w:sz w:val="26"/>
          <w:szCs w:val="26"/>
        </w:rPr>
      </w:pPr>
    </w:p>
    <w:p w:rsidR="00D71D0B" w:rsidRDefault="00D71D0B" w:rsidP="00D71D0B">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An HV line which is proposed to be loca</w:t>
      </w:r>
      <w:r w:rsidR="00192322">
        <w:rPr>
          <w:sz w:val="26"/>
          <w:szCs w:val="26"/>
        </w:rPr>
        <w:t xml:space="preserve">ted entirely within applicant’s </w:t>
      </w:r>
      <w:r>
        <w:rPr>
          <w:sz w:val="26"/>
          <w:szCs w:val="26"/>
        </w:rPr>
        <w:t>existing transmission line right-of-way and the property of the sole customer to be served by the line, so long as the size, character, design, or configuration of the proposed HV line does not substantially alter the right-of-way.</w:t>
      </w:r>
    </w:p>
    <w:p w:rsidR="00D71D0B" w:rsidRDefault="00D71D0B" w:rsidP="00D71D0B">
      <w:pPr>
        <w:tabs>
          <w:tab w:val="left" w:pos="691"/>
          <w:tab w:val="left" w:pos="1054"/>
        </w:tabs>
        <w:spacing w:line="360" w:lineRule="auto"/>
        <w:rPr>
          <w:sz w:val="26"/>
          <w:szCs w:val="26"/>
        </w:rPr>
      </w:pPr>
    </w:p>
    <w:p w:rsidR="00D71D0B" w:rsidRDefault="00D71D0B" w:rsidP="00D71D0B">
      <w:pPr>
        <w:pStyle w:val="p1"/>
        <w:numPr>
          <w:ilvl w:val="0"/>
          <w:numId w:val="2"/>
        </w:numPr>
        <w:tabs>
          <w:tab w:val="clear" w:pos="691"/>
          <w:tab w:val="clear" w:pos="1054"/>
          <w:tab w:val="clear" w:pos="1257"/>
          <w:tab w:val="left" w:pos="720"/>
          <w:tab w:val="left" w:pos="1080"/>
          <w:tab w:val="left" w:pos="1440"/>
        </w:tabs>
        <w:spacing w:line="360" w:lineRule="auto"/>
        <w:ind w:left="1440"/>
        <w:rPr>
          <w:sz w:val="26"/>
          <w:szCs w:val="26"/>
        </w:rPr>
      </w:pPr>
      <w:r>
        <w:rPr>
          <w:sz w:val="26"/>
          <w:szCs w:val="26"/>
        </w:rPr>
        <w:t>A line for which the voltage is proposed to be increased above its present levels, so long as the size, character, design, or configuration of the proposed HV line does not substantially alter the right-of-way.</w:t>
      </w:r>
    </w:p>
    <w:p w:rsidR="00D71D0B" w:rsidRDefault="00D71D0B" w:rsidP="00D71D0B">
      <w:pPr>
        <w:pStyle w:val="p1"/>
        <w:tabs>
          <w:tab w:val="clear" w:pos="691"/>
          <w:tab w:val="clear" w:pos="1054"/>
          <w:tab w:val="left" w:pos="540"/>
          <w:tab w:val="left" w:pos="1080"/>
        </w:tabs>
        <w:spacing w:line="360" w:lineRule="auto"/>
        <w:ind w:left="0" w:firstLine="0"/>
        <w:rPr>
          <w:sz w:val="26"/>
          <w:szCs w:val="26"/>
        </w:rPr>
      </w:pPr>
    </w:p>
    <w:p w:rsidR="00D71D0B" w:rsidRDefault="00D71D0B" w:rsidP="00D71D0B">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 xml:space="preserve">An HV which is to be reconductored or reconstructed so long as the size, character, design, or configuration of the proposed HV line does not substantially alter the right-of-way.  </w:t>
      </w:r>
    </w:p>
    <w:p w:rsidR="00D71D0B" w:rsidRDefault="00D71D0B" w:rsidP="00EE325D">
      <w:pPr>
        <w:pStyle w:val="p1"/>
        <w:tabs>
          <w:tab w:val="clear" w:pos="691"/>
          <w:tab w:val="clear" w:pos="1054"/>
          <w:tab w:val="left" w:pos="720"/>
          <w:tab w:val="left" w:pos="1440"/>
        </w:tabs>
        <w:spacing w:line="360" w:lineRule="auto"/>
        <w:ind w:left="0" w:firstLine="0"/>
        <w:rPr>
          <w:sz w:val="26"/>
          <w:szCs w:val="26"/>
        </w:rPr>
      </w:pPr>
    </w:p>
    <w:p w:rsidR="00D71D0B" w:rsidRDefault="00D71D0B" w:rsidP="00EE325D">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An HV line having a proposed route of 2 miles or less.</w:t>
      </w:r>
    </w:p>
    <w:p w:rsidR="00D71D0B" w:rsidRDefault="00D71D0B" w:rsidP="00D71D0B">
      <w:pPr>
        <w:tabs>
          <w:tab w:val="left" w:pos="691"/>
          <w:tab w:val="left" w:pos="1440"/>
        </w:tabs>
        <w:spacing w:line="360" w:lineRule="auto"/>
        <w:rPr>
          <w:rFonts w:ascii="Times New (W1)" w:hAnsi="Times New (W1)"/>
          <w:sz w:val="26"/>
          <w:szCs w:val="26"/>
        </w:rPr>
      </w:pPr>
    </w:p>
    <w:p w:rsidR="00D71D0B" w:rsidRDefault="00D71D0B" w:rsidP="00D71D0B">
      <w:pPr>
        <w:pStyle w:val="p2"/>
        <w:spacing w:line="360" w:lineRule="auto"/>
        <w:ind w:firstLine="0"/>
        <w:rPr>
          <w:sz w:val="26"/>
          <w:szCs w:val="26"/>
        </w:rPr>
      </w:pPr>
      <w:r>
        <w:rPr>
          <w:rFonts w:ascii="Times New (W1)" w:hAnsi="Times New (W1)"/>
          <w:sz w:val="26"/>
          <w:szCs w:val="26"/>
        </w:rPr>
        <w:tab/>
      </w:r>
      <w:r>
        <w:rPr>
          <w:sz w:val="26"/>
          <w:szCs w:val="26"/>
        </w:rPr>
        <w:t xml:space="preserve">Copies of the Letter of Notification were served in accordance with Section 57.72(d) (3) and 57.74 (b), (c) on the PA Department of Transportation, PA Historical and Museum Commission, PA Department of Environmental Protection, </w:t>
      </w:r>
      <w:r w:rsidR="00D97A89">
        <w:rPr>
          <w:sz w:val="26"/>
          <w:szCs w:val="26"/>
        </w:rPr>
        <w:t xml:space="preserve">Cumberland County </w:t>
      </w:r>
      <w:r w:rsidR="00192322">
        <w:rPr>
          <w:sz w:val="26"/>
          <w:szCs w:val="26"/>
        </w:rPr>
        <w:t xml:space="preserve">Planning Commission, </w:t>
      </w:r>
      <w:r w:rsidR="00D97A89">
        <w:rPr>
          <w:sz w:val="26"/>
          <w:szCs w:val="26"/>
        </w:rPr>
        <w:t>Cumberland</w:t>
      </w:r>
      <w:r w:rsidR="00192322">
        <w:rPr>
          <w:sz w:val="26"/>
          <w:szCs w:val="26"/>
        </w:rPr>
        <w:t xml:space="preserve"> </w:t>
      </w:r>
      <w:r>
        <w:rPr>
          <w:sz w:val="26"/>
          <w:szCs w:val="26"/>
        </w:rPr>
        <w:t xml:space="preserve">County </w:t>
      </w:r>
      <w:r w:rsidR="00E04AF7">
        <w:rPr>
          <w:sz w:val="26"/>
          <w:szCs w:val="26"/>
        </w:rPr>
        <w:t xml:space="preserve">Board of </w:t>
      </w:r>
      <w:r>
        <w:rPr>
          <w:sz w:val="26"/>
          <w:szCs w:val="26"/>
        </w:rPr>
        <w:t xml:space="preserve">Commissioners, </w:t>
      </w:r>
      <w:r w:rsidR="00D97A89">
        <w:rPr>
          <w:sz w:val="26"/>
          <w:szCs w:val="26"/>
        </w:rPr>
        <w:t>Lower Allen</w:t>
      </w:r>
      <w:r>
        <w:rPr>
          <w:sz w:val="26"/>
          <w:szCs w:val="26"/>
        </w:rPr>
        <w:t xml:space="preserve"> </w:t>
      </w:r>
      <w:r w:rsidR="00192322">
        <w:rPr>
          <w:sz w:val="26"/>
          <w:szCs w:val="26"/>
        </w:rPr>
        <w:t xml:space="preserve">Township Planning Commission, </w:t>
      </w:r>
      <w:r w:rsidR="00D97A89">
        <w:rPr>
          <w:sz w:val="26"/>
          <w:szCs w:val="26"/>
        </w:rPr>
        <w:t>Upper</w:t>
      </w:r>
      <w:r w:rsidR="00192322">
        <w:rPr>
          <w:sz w:val="26"/>
          <w:szCs w:val="26"/>
        </w:rPr>
        <w:t xml:space="preserve"> </w:t>
      </w:r>
      <w:r w:rsidR="00D97A89">
        <w:rPr>
          <w:sz w:val="26"/>
          <w:szCs w:val="26"/>
        </w:rPr>
        <w:t>Allen</w:t>
      </w:r>
      <w:r w:rsidR="00192322">
        <w:rPr>
          <w:sz w:val="26"/>
          <w:szCs w:val="26"/>
        </w:rPr>
        <w:t xml:space="preserve"> Township</w:t>
      </w:r>
      <w:r w:rsidR="00D97A89">
        <w:rPr>
          <w:sz w:val="26"/>
          <w:szCs w:val="26"/>
        </w:rPr>
        <w:t xml:space="preserve"> Planning Commissio</w:t>
      </w:r>
      <w:r w:rsidR="00E30C03">
        <w:rPr>
          <w:sz w:val="26"/>
          <w:szCs w:val="26"/>
        </w:rPr>
        <w:t>n, Upper Allen and Lower Allen T</w:t>
      </w:r>
      <w:r w:rsidR="00D97A89">
        <w:rPr>
          <w:sz w:val="26"/>
          <w:szCs w:val="26"/>
        </w:rPr>
        <w:t>ownships,</w:t>
      </w:r>
      <w:r w:rsidR="00192322">
        <w:rPr>
          <w:sz w:val="26"/>
          <w:szCs w:val="26"/>
        </w:rPr>
        <w:t xml:space="preserve"> </w:t>
      </w:r>
      <w:r>
        <w:rPr>
          <w:sz w:val="26"/>
          <w:szCs w:val="26"/>
        </w:rPr>
        <w:t>and other interested parties as listed in the Certificate of Service.  No protest was filed and no hearing was held.</w:t>
      </w:r>
    </w:p>
    <w:p w:rsidR="00BC2491" w:rsidRDefault="00D71D0B" w:rsidP="00D71D0B">
      <w:pPr>
        <w:pStyle w:val="Style"/>
        <w:tabs>
          <w:tab w:val="left" w:pos="749"/>
        </w:tabs>
        <w:spacing w:line="360" w:lineRule="auto"/>
        <w:ind w:right="-90"/>
        <w:rPr>
          <w:color w:val="000000"/>
          <w:sz w:val="26"/>
          <w:szCs w:val="26"/>
        </w:rPr>
      </w:pPr>
      <w:r>
        <w:rPr>
          <w:sz w:val="26"/>
          <w:szCs w:val="26"/>
        </w:rPr>
        <w:lastRenderedPageBreak/>
        <w:tab/>
      </w:r>
      <w:r>
        <w:rPr>
          <w:sz w:val="26"/>
          <w:szCs w:val="26"/>
        </w:rPr>
        <w:tab/>
        <w:t xml:space="preserve">In this filing </w:t>
      </w:r>
      <w:r>
        <w:rPr>
          <w:color w:val="000000"/>
          <w:sz w:val="26"/>
          <w:szCs w:val="26"/>
          <w:lang w:bidi="he-IL"/>
        </w:rPr>
        <w:t xml:space="preserve">PPL Electric seeks Commission approval </w:t>
      </w:r>
      <w:r w:rsidR="001A34AF">
        <w:rPr>
          <w:color w:val="000000"/>
          <w:sz w:val="26"/>
          <w:szCs w:val="26"/>
        </w:rPr>
        <w:t xml:space="preserve">for the </w:t>
      </w:r>
      <w:r w:rsidR="00875B9B">
        <w:rPr>
          <w:color w:val="000000"/>
          <w:sz w:val="26"/>
          <w:szCs w:val="26"/>
        </w:rPr>
        <w:t>re</w:t>
      </w:r>
      <w:r w:rsidR="001A34AF">
        <w:rPr>
          <w:color w:val="000000"/>
          <w:sz w:val="26"/>
          <w:szCs w:val="26"/>
        </w:rPr>
        <w:t xml:space="preserve">construction of </w:t>
      </w:r>
      <w:r w:rsidR="00DE5E7A">
        <w:rPr>
          <w:color w:val="000000"/>
          <w:sz w:val="26"/>
          <w:szCs w:val="26"/>
        </w:rPr>
        <w:t xml:space="preserve">an </w:t>
      </w:r>
      <w:r w:rsidR="00C8584D">
        <w:rPr>
          <w:color w:val="000000"/>
          <w:sz w:val="26"/>
          <w:szCs w:val="26"/>
        </w:rPr>
        <w:t xml:space="preserve">approximately 1.6 mile </w:t>
      </w:r>
      <w:r w:rsidR="00AD2A69">
        <w:rPr>
          <w:color w:val="000000"/>
          <w:sz w:val="26"/>
          <w:szCs w:val="26"/>
        </w:rPr>
        <w:t>segment</w:t>
      </w:r>
      <w:r w:rsidR="00D51535">
        <w:rPr>
          <w:color w:val="000000"/>
          <w:sz w:val="26"/>
          <w:szCs w:val="26"/>
        </w:rPr>
        <w:t xml:space="preserve"> </w:t>
      </w:r>
      <w:r w:rsidR="00875B9B">
        <w:rPr>
          <w:color w:val="000000"/>
          <w:sz w:val="26"/>
          <w:szCs w:val="26"/>
        </w:rPr>
        <w:t xml:space="preserve">of the existing </w:t>
      </w:r>
      <w:r w:rsidR="00C8584D">
        <w:rPr>
          <w:color w:val="000000"/>
          <w:sz w:val="26"/>
          <w:szCs w:val="26"/>
        </w:rPr>
        <w:t>Cumberland-West Shore #3 and #4</w:t>
      </w:r>
      <w:r w:rsidR="00CC3733">
        <w:rPr>
          <w:color w:val="000000"/>
          <w:sz w:val="26"/>
          <w:szCs w:val="26"/>
        </w:rPr>
        <w:t> </w:t>
      </w:r>
      <w:r w:rsidR="00A33603">
        <w:rPr>
          <w:color w:val="000000"/>
          <w:sz w:val="26"/>
          <w:szCs w:val="26"/>
        </w:rPr>
        <w:t xml:space="preserve">Transmission </w:t>
      </w:r>
      <w:r>
        <w:rPr>
          <w:color w:val="000000"/>
          <w:sz w:val="26"/>
          <w:szCs w:val="26"/>
        </w:rPr>
        <w:t>Line</w:t>
      </w:r>
      <w:r w:rsidR="00BC2491">
        <w:rPr>
          <w:color w:val="000000"/>
          <w:sz w:val="26"/>
          <w:szCs w:val="26"/>
        </w:rPr>
        <w:t xml:space="preserve"> in</w:t>
      </w:r>
      <w:r w:rsidR="00BC2491" w:rsidRPr="00BC2491">
        <w:rPr>
          <w:color w:val="000000"/>
          <w:sz w:val="26"/>
          <w:szCs w:val="26"/>
        </w:rPr>
        <w:t xml:space="preserve"> </w:t>
      </w:r>
      <w:r w:rsidR="00BC2491">
        <w:rPr>
          <w:color w:val="000000"/>
          <w:sz w:val="26"/>
          <w:szCs w:val="26"/>
        </w:rPr>
        <w:t>Lower Allen and Upper Allen Townships, Cumberland County, Pennsylvania</w:t>
      </w:r>
      <w:r w:rsidR="00A33603">
        <w:rPr>
          <w:color w:val="000000"/>
          <w:sz w:val="26"/>
          <w:szCs w:val="26"/>
        </w:rPr>
        <w:t xml:space="preserve">. </w:t>
      </w:r>
      <w:r w:rsidR="00BC2491">
        <w:rPr>
          <w:color w:val="000000"/>
          <w:sz w:val="26"/>
          <w:szCs w:val="26"/>
        </w:rPr>
        <w:t xml:space="preserve"> </w:t>
      </w:r>
      <w:r w:rsidR="00A33603">
        <w:rPr>
          <w:color w:val="000000"/>
          <w:sz w:val="26"/>
          <w:szCs w:val="26"/>
        </w:rPr>
        <w:t xml:space="preserve">PPL Electric proposes to replace a portion of the aging, low capacity, </w:t>
      </w:r>
      <w:r w:rsidR="00CC3733">
        <w:rPr>
          <w:color w:val="000000"/>
          <w:sz w:val="26"/>
          <w:szCs w:val="26"/>
        </w:rPr>
        <w:t>69 </w:t>
      </w:r>
      <w:r w:rsidR="00A33603">
        <w:rPr>
          <w:color w:val="000000"/>
          <w:sz w:val="26"/>
          <w:szCs w:val="26"/>
        </w:rPr>
        <w:t xml:space="preserve">kV </w:t>
      </w:r>
      <w:r w:rsidR="00C57993">
        <w:rPr>
          <w:color w:val="000000"/>
          <w:sz w:val="26"/>
          <w:szCs w:val="26"/>
        </w:rPr>
        <w:t>double</w:t>
      </w:r>
      <w:r w:rsidR="00C8584D">
        <w:rPr>
          <w:color w:val="000000"/>
          <w:sz w:val="26"/>
          <w:szCs w:val="26"/>
        </w:rPr>
        <w:t>-circuit</w:t>
      </w:r>
      <w:r w:rsidR="00A33603">
        <w:rPr>
          <w:color w:val="000000"/>
          <w:sz w:val="26"/>
          <w:szCs w:val="26"/>
        </w:rPr>
        <w:t xml:space="preserve"> transmission line with a high capacity double-circuit</w:t>
      </w:r>
      <w:r w:rsidR="00C57993">
        <w:rPr>
          <w:color w:val="000000"/>
          <w:sz w:val="26"/>
          <w:szCs w:val="26"/>
        </w:rPr>
        <w:t xml:space="preserve"> </w:t>
      </w:r>
      <w:r w:rsidR="00C8584D">
        <w:rPr>
          <w:color w:val="000000"/>
          <w:sz w:val="26"/>
          <w:szCs w:val="26"/>
        </w:rPr>
        <w:t>138/69</w:t>
      </w:r>
      <w:r w:rsidR="00CC3733">
        <w:rPr>
          <w:color w:val="000000"/>
          <w:sz w:val="26"/>
          <w:szCs w:val="26"/>
        </w:rPr>
        <w:t> </w:t>
      </w:r>
      <w:r w:rsidR="00C8584D">
        <w:rPr>
          <w:color w:val="000000"/>
          <w:sz w:val="26"/>
          <w:szCs w:val="26"/>
        </w:rPr>
        <w:t>kV</w:t>
      </w:r>
      <w:r w:rsidR="00CC3733">
        <w:rPr>
          <w:color w:val="000000"/>
          <w:sz w:val="26"/>
          <w:szCs w:val="26"/>
        </w:rPr>
        <w:t> </w:t>
      </w:r>
      <w:r w:rsidR="00A33603">
        <w:rPr>
          <w:color w:val="000000"/>
          <w:sz w:val="26"/>
          <w:szCs w:val="26"/>
        </w:rPr>
        <w:t xml:space="preserve">transmission line.  </w:t>
      </w:r>
    </w:p>
    <w:p w:rsidR="00BC2491" w:rsidRDefault="00BC2491" w:rsidP="00D71D0B">
      <w:pPr>
        <w:pStyle w:val="Style"/>
        <w:tabs>
          <w:tab w:val="left" w:pos="749"/>
        </w:tabs>
        <w:spacing w:line="360" w:lineRule="auto"/>
        <w:ind w:right="-90"/>
        <w:rPr>
          <w:color w:val="000000"/>
          <w:sz w:val="26"/>
          <w:szCs w:val="26"/>
        </w:rPr>
      </w:pPr>
    </w:p>
    <w:p w:rsidR="00A33603" w:rsidRDefault="00BC2491" w:rsidP="00D71D0B">
      <w:pPr>
        <w:pStyle w:val="Style"/>
        <w:tabs>
          <w:tab w:val="left" w:pos="749"/>
        </w:tabs>
        <w:spacing w:line="360" w:lineRule="auto"/>
        <w:ind w:right="-90"/>
        <w:rPr>
          <w:color w:val="000000"/>
          <w:sz w:val="26"/>
          <w:szCs w:val="26"/>
        </w:rPr>
      </w:pPr>
      <w:r>
        <w:rPr>
          <w:color w:val="000000"/>
          <w:sz w:val="26"/>
          <w:szCs w:val="26"/>
        </w:rPr>
        <w:tab/>
      </w:r>
      <w:r>
        <w:rPr>
          <w:color w:val="000000"/>
          <w:sz w:val="26"/>
          <w:szCs w:val="26"/>
        </w:rPr>
        <w:tab/>
        <w:t xml:space="preserve">PPL Electric states that the Project is required to resolve </w:t>
      </w:r>
      <w:r w:rsidR="00D455CB">
        <w:rPr>
          <w:color w:val="000000"/>
          <w:sz w:val="26"/>
          <w:szCs w:val="26"/>
        </w:rPr>
        <w:t xml:space="preserve">reliability </w:t>
      </w:r>
      <w:r>
        <w:rPr>
          <w:color w:val="000000"/>
          <w:sz w:val="26"/>
          <w:szCs w:val="26"/>
        </w:rPr>
        <w:t xml:space="preserve">violations of the PJM Interconnection, L.L.C. (“PJM”) Reliability Planning Criteria and PPL Electric’s Reliability Principles and Practices (RP&amp;P), and to improve reliability and increase operating flexibility of </w:t>
      </w:r>
      <w:r w:rsidR="00D455CB">
        <w:rPr>
          <w:color w:val="000000"/>
          <w:sz w:val="26"/>
          <w:szCs w:val="26"/>
        </w:rPr>
        <w:t>PPL Electric’s 69 kV system</w:t>
      </w:r>
      <w:r>
        <w:rPr>
          <w:color w:val="000000"/>
          <w:sz w:val="26"/>
          <w:szCs w:val="26"/>
        </w:rPr>
        <w:t xml:space="preserve"> in Cumberland County.</w:t>
      </w:r>
    </w:p>
    <w:p w:rsidR="00A33603" w:rsidRDefault="00A33603" w:rsidP="00D71D0B">
      <w:pPr>
        <w:pStyle w:val="Style"/>
        <w:tabs>
          <w:tab w:val="left" w:pos="749"/>
        </w:tabs>
        <w:spacing w:line="360" w:lineRule="auto"/>
        <w:ind w:right="-90"/>
        <w:rPr>
          <w:color w:val="000000"/>
          <w:sz w:val="26"/>
          <w:szCs w:val="26"/>
        </w:rPr>
      </w:pPr>
    </w:p>
    <w:p w:rsidR="00B81DE3" w:rsidRDefault="00D71D0B" w:rsidP="009C2919">
      <w:pPr>
        <w:pStyle w:val="Style"/>
        <w:tabs>
          <w:tab w:val="left" w:pos="749"/>
        </w:tabs>
        <w:spacing w:line="360" w:lineRule="auto"/>
        <w:ind w:right="-90"/>
        <w:rPr>
          <w:color w:val="000000"/>
          <w:sz w:val="26"/>
          <w:szCs w:val="26"/>
        </w:rPr>
      </w:pPr>
      <w:r>
        <w:rPr>
          <w:color w:val="000000"/>
          <w:sz w:val="26"/>
          <w:szCs w:val="26"/>
        </w:rPr>
        <w:tab/>
      </w:r>
      <w:r>
        <w:rPr>
          <w:color w:val="000000"/>
          <w:sz w:val="26"/>
          <w:szCs w:val="26"/>
        </w:rPr>
        <w:tab/>
        <w:t>PPL Electric</w:t>
      </w:r>
      <w:r w:rsidR="00996676">
        <w:rPr>
          <w:color w:val="000000"/>
          <w:sz w:val="26"/>
          <w:szCs w:val="26"/>
        </w:rPr>
        <w:t xml:space="preserve"> explains that</w:t>
      </w:r>
      <w:r w:rsidR="00FD0284">
        <w:rPr>
          <w:color w:val="000000"/>
          <w:sz w:val="26"/>
          <w:szCs w:val="26"/>
        </w:rPr>
        <w:t xml:space="preserve"> </w:t>
      </w:r>
      <w:r w:rsidR="00B81DE3">
        <w:rPr>
          <w:color w:val="000000"/>
          <w:sz w:val="26"/>
          <w:szCs w:val="26"/>
        </w:rPr>
        <w:t>the Cumberland-West Shore #3 and</w:t>
      </w:r>
      <w:r w:rsidR="00CC3733">
        <w:rPr>
          <w:color w:val="000000"/>
          <w:sz w:val="26"/>
          <w:szCs w:val="26"/>
        </w:rPr>
        <w:t xml:space="preserve"> </w:t>
      </w:r>
      <w:r w:rsidR="00B81DE3">
        <w:rPr>
          <w:color w:val="000000"/>
          <w:sz w:val="26"/>
          <w:szCs w:val="26"/>
        </w:rPr>
        <w:t>#4</w:t>
      </w:r>
      <w:r w:rsidR="00CC3733">
        <w:rPr>
          <w:color w:val="000000"/>
          <w:sz w:val="26"/>
          <w:szCs w:val="26"/>
        </w:rPr>
        <w:t> </w:t>
      </w:r>
      <w:r w:rsidR="00B81DE3">
        <w:rPr>
          <w:color w:val="000000"/>
          <w:sz w:val="26"/>
          <w:szCs w:val="26"/>
        </w:rPr>
        <w:t>69</w:t>
      </w:r>
      <w:r w:rsidR="00CC3733">
        <w:rPr>
          <w:color w:val="000000"/>
          <w:sz w:val="26"/>
          <w:szCs w:val="26"/>
        </w:rPr>
        <w:t> </w:t>
      </w:r>
      <w:r w:rsidR="00B81DE3">
        <w:rPr>
          <w:color w:val="000000"/>
          <w:sz w:val="26"/>
          <w:szCs w:val="26"/>
        </w:rPr>
        <w:t>kV</w:t>
      </w:r>
      <w:r w:rsidR="00CC3733">
        <w:rPr>
          <w:color w:val="000000"/>
          <w:sz w:val="26"/>
          <w:szCs w:val="26"/>
        </w:rPr>
        <w:t> </w:t>
      </w:r>
      <w:r w:rsidR="00B81DE3">
        <w:rPr>
          <w:color w:val="000000"/>
          <w:sz w:val="26"/>
          <w:szCs w:val="26"/>
        </w:rPr>
        <w:t xml:space="preserve">Transmission Lines extend 17.7 and 19.9 miles, respectively, between the Cumberland 230-69 kV Substation and the West Shore 230-69 kV Substation.  </w:t>
      </w:r>
      <w:r w:rsidR="004B0FDB">
        <w:rPr>
          <w:color w:val="000000"/>
          <w:sz w:val="26"/>
          <w:szCs w:val="26"/>
        </w:rPr>
        <w:t xml:space="preserve">Presently, twelve 69-12 </w:t>
      </w:r>
      <w:r w:rsidR="003416BF">
        <w:rPr>
          <w:color w:val="000000"/>
          <w:sz w:val="26"/>
          <w:szCs w:val="26"/>
        </w:rPr>
        <w:t xml:space="preserve">kV </w:t>
      </w:r>
      <w:r w:rsidR="004B0FDB">
        <w:rPr>
          <w:color w:val="000000"/>
          <w:sz w:val="26"/>
          <w:szCs w:val="26"/>
        </w:rPr>
        <w:t>substations are served from the existing Cumberland-West Shore #3 and</w:t>
      </w:r>
      <w:r w:rsidR="00020759">
        <w:rPr>
          <w:color w:val="000000"/>
          <w:sz w:val="26"/>
          <w:szCs w:val="26"/>
        </w:rPr>
        <w:t xml:space="preserve"> </w:t>
      </w:r>
      <w:r w:rsidR="004B0FDB">
        <w:rPr>
          <w:color w:val="000000"/>
          <w:sz w:val="26"/>
          <w:szCs w:val="26"/>
        </w:rPr>
        <w:t>#4 69 kV Transmission Line: five of the 69-12 kV substations are PPL Electric-owned substations, and seven are large customer-owned 69-12 kV substations.</w:t>
      </w:r>
      <w:r w:rsidR="00B54C3E">
        <w:rPr>
          <w:color w:val="000000"/>
          <w:sz w:val="26"/>
          <w:szCs w:val="26"/>
        </w:rPr>
        <w:t xml:space="preserve">  Under normal operating conditions, both the Cumberland 230-69 kV Substation and the West Shore 230-69 kV Substation supply the twelve 69-12 kV substations served by the Cumberland-West Shore #3 and</w:t>
      </w:r>
      <w:r w:rsidR="00020759">
        <w:rPr>
          <w:color w:val="000000"/>
          <w:sz w:val="26"/>
          <w:szCs w:val="26"/>
        </w:rPr>
        <w:t xml:space="preserve"> </w:t>
      </w:r>
      <w:r w:rsidR="00B54C3E">
        <w:rPr>
          <w:color w:val="000000"/>
          <w:sz w:val="26"/>
          <w:szCs w:val="26"/>
        </w:rPr>
        <w:t xml:space="preserve">#4 69 kV Transmission Lines.  PPL Electric’s Cumberland 230-69 kV Substation serves approximately 325 MW of load.  The Cumberland </w:t>
      </w:r>
      <w:r w:rsidR="006613AC">
        <w:rPr>
          <w:color w:val="000000"/>
          <w:sz w:val="26"/>
          <w:szCs w:val="26"/>
        </w:rPr>
        <w:t>230-69 kV Substation is supplied by two 230 kV sources: the Juniata-Cumberland 230 kV Transmission Line and the Cumberland-West Shore 230 kV Transmission Line.  PPL Electric states that the conductors for the Cumberland-West Shore #3 and</w:t>
      </w:r>
      <w:r w:rsidR="00020759">
        <w:rPr>
          <w:color w:val="000000"/>
          <w:sz w:val="26"/>
          <w:szCs w:val="26"/>
        </w:rPr>
        <w:t xml:space="preserve"> </w:t>
      </w:r>
      <w:r w:rsidR="006613AC">
        <w:rPr>
          <w:color w:val="000000"/>
          <w:sz w:val="26"/>
          <w:szCs w:val="26"/>
        </w:rPr>
        <w:t xml:space="preserve">#4 69 kV Transmission Line, including the 1.6 mile section of the Line between the </w:t>
      </w:r>
      <w:r w:rsidR="00020759">
        <w:rPr>
          <w:color w:val="000000"/>
          <w:sz w:val="26"/>
          <w:szCs w:val="26"/>
        </w:rPr>
        <w:t>M</w:t>
      </w:r>
      <w:r w:rsidR="006613AC">
        <w:rPr>
          <w:color w:val="000000"/>
          <w:sz w:val="26"/>
          <w:szCs w:val="26"/>
        </w:rPr>
        <w:t>ount Allen Tap and Rossmoyne Tap that will be rebuilt, currently are low-capacity 336 kcmil</w:t>
      </w:r>
      <w:r w:rsidR="006613AC">
        <w:rPr>
          <w:rStyle w:val="FootnoteReference"/>
          <w:color w:val="000000"/>
          <w:sz w:val="26"/>
          <w:szCs w:val="26"/>
        </w:rPr>
        <w:footnoteReference w:id="1"/>
      </w:r>
      <w:r w:rsidR="006613AC">
        <w:rPr>
          <w:color w:val="000000"/>
          <w:sz w:val="26"/>
          <w:szCs w:val="26"/>
        </w:rPr>
        <w:t xml:space="preserve"> </w:t>
      </w:r>
      <w:r w:rsidR="00B54C3E">
        <w:rPr>
          <w:color w:val="000000"/>
          <w:sz w:val="26"/>
          <w:szCs w:val="26"/>
        </w:rPr>
        <w:t xml:space="preserve"> </w:t>
      </w:r>
      <w:r w:rsidR="00AF3B12">
        <w:rPr>
          <w:color w:val="000000"/>
          <w:sz w:val="26"/>
          <w:szCs w:val="26"/>
        </w:rPr>
        <w:lastRenderedPageBreak/>
        <w:t>ACSR</w:t>
      </w:r>
      <w:r w:rsidR="00AF3B12">
        <w:rPr>
          <w:rStyle w:val="FootnoteReference"/>
          <w:color w:val="000000"/>
          <w:sz w:val="26"/>
          <w:szCs w:val="26"/>
        </w:rPr>
        <w:footnoteReference w:id="2"/>
      </w:r>
      <w:r w:rsidR="00AF3B12">
        <w:rPr>
          <w:color w:val="000000"/>
          <w:sz w:val="26"/>
          <w:szCs w:val="26"/>
        </w:rPr>
        <w:t xml:space="preserve"> conductors.</w:t>
      </w:r>
    </w:p>
    <w:p w:rsidR="00020759" w:rsidRDefault="00020759" w:rsidP="009C2919">
      <w:pPr>
        <w:pStyle w:val="Style"/>
        <w:tabs>
          <w:tab w:val="left" w:pos="749"/>
        </w:tabs>
        <w:spacing w:line="360" w:lineRule="auto"/>
        <w:ind w:right="-90"/>
        <w:rPr>
          <w:color w:val="000000"/>
          <w:sz w:val="26"/>
          <w:szCs w:val="26"/>
        </w:rPr>
      </w:pPr>
    </w:p>
    <w:p w:rsidR="00D92CD5" w:rsidRDefault="00631B3E" w:rsidP="00CC6A70">
      <w:pPr>
        <w:pStyle w:val="Style"/>
        <w:tabs>
          <w:tab w:val="left" w:pos="749"/>
        </w:tabs>
        <w:spacing w:line="360" w:lineRule="auto"/>
        <w:ind w:right="-90"/>
        <w:rPr>
          <w:color w:val="000000"/>
          <w:sz w:val="26"/>
          <w:szCs w:val="26"/>
        </w:rPr>
      </w:pPr>
      <w:r>
        <w:rPr>
          <w:color w:val="000000"/>
          <w:sz w:val="26"/>
          <w:szCs w:val="26"/>
        </w:rPr>
        <w:tab/>
      </w:r>
      <w:r w:rsidR="006550FC">
        <w:rPr>
          <w:color w:val="000000"/>
          <w:sz w:val="26"/>
          <w:szCs w:val="26"/>
        </w:rPr>
        <w:tab/>
      </w:r>
      <w:r>
        <w:rPr>
          <w:color w:val="000000"/>
          <w:sz w:val="26"/>
          <w:szCs w:val="26"/>
        </w:rPr>
        <w:t xml:space="preserve">According to PPL Electric, the </w:t>
      </w:r>
      <w:r w:rsidR="00D92CD5">
        <w:rPr>
          <w:color w:val="000000"/>
          <w:sz w:val="26"/>
          <w:szCs w:val="26"/>
        </w:rPr>
        <w:t>violations of the PJM Reliability Planning</w:t>
      </w:r>
      <w:r w:rsidR="00530719">
        <w:rPr>
          <w:color w:val="000000"/>
          <w:sz w:val="26"/>
          <w:szCs w:val="26"/>
        </w:rPr>
        <w:t xml:space="preserve"> </w:t>
      </w:r>
      <w:r w:rsidR="00D92CD5">
        <w:rPr>
          <w:color w:val="000000"/>
          <w:sz w:val="26"/>
          <w:szCs w:val="26"/>
        </w:rPr>
        <w:t xml:space="preserve">Criteria and PPL Electric RP&amp;P were first identified in the 2008 </w:t>
      </w:r>
      <w:r w:rsidR="00530719">
        <w:rPr>
          <w:color w:val="000000"/>
          <w:sz w:val="26"/>
          <w:szCs w:val="26"/>
        </w:rPr>
        <w:t xml:space="preserve">Regional Transmission </w:t>
      </w:r>
      <w:r w:rsidR="00D92CD5">
        <w:rPr>
          <w:color w:val="000000"/>
          <w:sz w:val="26"/>
          <w:szCs w:val="26"/>
        </w:rPr>
        <w:t>Expansion Plan (“RTEP”), which was approved by the PJM Board in December 2008.  Specifically, the 2008 RTEP identified a load loss violation and a thermal overload for an N-1-1 event</w:t>
      </w:r>
      <w:r w:rsidR="00530719">
        <w:rPr>
          <w:color w:val="000000"/>
          <w:sz w:val="26"/>
          <w:szCs w:val="26"/>
        </w:rPr>
        <w:t>.</w:t>
      </w:r>
      <w:r w:rsidR="00D92CD5">
        <w:rPr>
          <w:rStyle w:val="FootnoteReference"/>
          <w:color w:val="000000"/>
          <w:sz w:val="26"/>
          <w:szCs w:val="26"/>
        </w:rPr>
        <w:footnoteReference w:id="3"/>
      </w:r>
      <w:r w:rsidR="00530719">
        <w:rPr>
          <w:color w:val="000000"/>
          <w:sz w:val="26"/>
          <w:szCs w:val="26"/>
        </w:rPr>
        <w:t xml:space="preserve">  PPL Electric explains that if an outage of both 230 kV sources supplying the Cumberland 230-69 kV Substation were to occur, an N-1-1 event, all 325 MW of load served by the Cumberland 230-69 kV Substation will be interrupted.  This load</w:t>
      </w:r>
      <w:r w:rsidR="00530719" w:rsidRPr="00530719">
        <w:rPr>
          <w:color w:val="000000"/>
          <w:sz w:val="26"/>
          <w:szCs w:val="26"/>
        </w:rPr>
        <w:t xml:space="preserve"> </w:t>
      </w:r>
      <w:r w:rsidR="00530719">
        <w:rPr>
          <w:color w:val="000000"/>
          <w:sz w:val="26"/>
          <w:szCs w:val="26"/>
        </w:rPr>
        <w:t>loss would violate the PJM Reliability Planning Criteria identified in Manual 14B, which limits load loss to 300 MW for all criteria event.</w:t>
      </w:r>
    </w:p>
    <w:p w:rsidR="00D92CD5" w:rsidRDefault="00D92CD5" w:rsidP="006550FC">
      <w:pPr>
        <w:pStyle w:val="Style"/>
        <w:tabs>
          <w:tab w:val="left" w:pos="749"/>
        </w:tabs>
        <w:spacing w:line="360" w:lineRule="auto"/>
        <w:ind w:right="-180"/>
        <w:rPr>
          <w:color w:val="000000"/>
          <w:sz w:val="26"/>
          <w:szCs w:val="26"/>
        </w:rPr>
      </w:pPr>
    </w:p>
    <w:p w:rsidR="003F3118" w:rsidRDefault="003F3118" w:rsidP="006550FC">
      <w:pPr>
        <w:pStyle w:val="Style"/>
        <w:tabs>
          <w:tab w:val="left" w:pos="749"/>
        </w:tabs>
        <w:spacing w:line="360" w:lineRule="auto"/>
        <w:ind w:right="-180"/>
        <w:rPr>
          <w:color w:val="000000"/>
          <w:sz w:val="26"/>
          <w:szCs w:val="26"/>
        </w:rPr>
      </w:pPr>
      <w:r>
        <w:rPr>
          <w:color w:val="000000"/>
          <w:sz w:val="26"/>
          <w:szCs w:val="26"/>
        </w:rPr>
        <w:tab/>
      </w:r>
      <w:r>
        <w:rPr>
          <w:color w:val="000000"/>
          <w:sz w:val="26"/>
          <w:szCs w:val="26"/>
        </w:rPr>
        <w:tab/>
        <w:t>Further, if a portion of the interrupted load were to be transferred to the 1.6 mile section of the Cumberland</w:t>
      </w:r>
      <w:r w:rsidR="00CC6E29">
        <w:rPr>
          <w:color w:val="000000"/>
          <w:sz w:val="26"/>
          <w:szCs w:val="26"/>
        </w:rPr>
        <w:t>-West Shore #3 and #4 69 kV Transmission Line between the Mount Allen Tap and Rossmoyne Tap to reduce the amount of interrupted load at the Cumberland</w:t>
      </w:r>
      <w:r w:rsidR="00020759">
        <w:rPr>
          <w:color w:val="000000"/>
          <w:sz w:val="26"/>
          <w:szCs w:val="26"/>
        </w:rPr>
        <w:t xml:space="preserve"> </w:t>
      </w:r>
      <w:r w:rsidR="00CC6E29">
        <w:rPr>
          <w:color w:val="000000"/>
          <w:sz w:val="26"/>
          <w:szCs w:val="26"/>
        </w:rPr>
        <w:t>230-69 kV Substation to within the PJM limit of 300 MW, the summer emergency thermal rating of its current 336 kcmil ACSR conductors would be violated</w:t>
      </w:r>
      <w:r w:rsidR="001A38B5">
        <w:rPr>
          <w:color w:val="000000"/>
          <w:sz w:val="26"/>
          <w:szCs w:val="26"/>
        </w:rPr>
        <w:t>.</w:t>
      </w:r>
      <w:r w:rsidR="00CC6E29">
        <w:rPr>
          <w:rStyle w:val="FootnoteReference"/>
          <w:color w:val="000000"/>
          <w:sz w:val="26"/>
          <w:szCs w:val="26"/>
        </w:rPr>
        <w:footnoteReference w:id="4"/>
      </w:r>
    </w:p>
    <w:p w:rsidR="00CC6E29" w:rsidRDefault="001A38B5" w:rsidP="006550FC">
      <w:pPr>
        <w:pStyle w:val="Style"/>
        <w:tabs>
          <w:tab w:val="left" w:pos="749"/>
        </w:tabs>
        <w:spacing w:line="360" w:lineRule="auto"/>
        <w:ind w:right="-180"/>
        <w:rPr>
          <w:color w:val="000000"/>
          <w:sz w:val="26"/>
          <w:szCs w:val="26"/>
        </w:rPr>
      </w:pPr>
      <w:r>
        <w:rPr>
          <w:color w:val="000000"/>
          <w:sz w:val="26"/>
          <w:szCs w:val="26"/>
        </w:rPr>
        <w:t xml:space="preserve">Therefore, the existing </w:t>
      </w:r>
      <w:r w:rsidR="00977983">
        <w:rPr>
          <w:color w:val="000000"/>
          <w:sz w:val="26"/>
          <w:szCs w:val="26"/>
        </w:rPr>
        <w:t>Cumberland-West Shore #3 and</w:t>
      </w:r>
      <w:r w:rsidR="00020759">
        <w:rPr>
          <w:color w:val="000000"/>
          <w:sz w:val="26"/>
          <w:szCs w:val="26"/>
        </w:rPr>
        <w:t xml:space="preserve"> </w:t>
      </w:r>
      <w:r w:rsidR="00977983">
        <w:rPr>
          <w:color w:val="000000"/>
          <w:sz w:val="26"/>
          <w:szCs w:val="26"/>
        </w:rPr>
        <w:t>#4 69 kV Line cannot be used as a transmission path to reduce the amount of interrupted load at the Cumberland 230-69 kV Substation.</w:t>
      </w:r>
    </w:p>
    <w:p w:rsidR="00C931A5" w:rsidRDefault="00C931A5" w:rsidP="006550FC">
      <w:pPr>
        <w:pStyle w:val="Style"/>
        <w:tabs>
          <w:tab w:val="left" w:pos="749"/>
        </w:tabs>
        <w:spacing w:line="360" w:lineRule="auto"/>
        <w:ind w:right="-180"/>
        <w:rPr>
          <w:color w:val="000000"/>
          <w:sz w:val="26"/>
          <w:szCs w:val="26"/>
        </w:rPr>
      </w:pPr>
    </w:p>
    <w:p w:rsidR="003A58CF" w:rsidRDefault="006550FC" w:rsidP="0098495C">
      <w:pPr>
        <w:pStyle w:val="Style"/>
        <w:spacing w:line="360" w:lineRule="auto"/>
        <w:ind w:right="-90"/>
        <w:rPr>
          <w:color w:val="000000"/>
          <w:sz w:val="26"/>
          <w:szCs w:val="26"/>
        </w:rPr>
      </w:pPr>
      <w:r>
        <w:rPr>
          <w:color w:val="000000"/>
          <w:sz w:val="26"/>
          <w:szCs w:val="26"/>
        </w:rPr>
        <w:tab/>
      </w:r>
      <w:r>
        <w:rPr>
          <w:color w:val="000000"/>
          <w:sz w:val="26"/>
          <w:szCs w:val="26"/>
        </w:rPr>
        <w:tab/>
        <w:t xml:space="preserve">PPL Electric states that in order to </w:t>
      </w:r>
      <w:r w:rsidR="003A58CF">
        <w:rPr>
          <w:color w:val="000000"/>
          <w:sz w:val="26"/>
          <w:szCs w:val="26"/>
        </w:rPr>
        <w:t>resolve these reliability criteria violations, PPL Electric, with approval from the Commission, plans to rebuild a 1.6 mile segment of the existing double-circuit Cumberland-West Shore #3 and</w:t>
      </w:r>
      <w:r w:rsidR="00020759">
        <w:rPr>
          <w:color w:val="000000"/>
          <w:sz w:val="26"/>
          <w:szCs w:val="26"/>
        </w:rPr>
        <w:t xml:space="preserve"> </w:t>
      </w:r>
      <w:r w:rsidR="003A58CF">
        <w:rPr>
          <w:color w:val="000000"/>
          <w:sz w:val="26"/>
          <w:szCs w:val="26"/>
        </w:rPr>
        <w:lastRenderedPageBreak/>
        <w:t>#4</w:t>
      </w:r>
      <w:r w:rsidR="00020759">
        <w:rPr>
          <w:color w:val="000000"/>
          <w:sz w:val="26"/>
          <w:szCs w:val="26"/>
        </w:rPr>
        <w:t> </w:t>
      </w:r>
      <w:r w:rsidR="003A58CF">
        <w:rPr>
          <w:color w:val="000000"/>
          <w:sz w:val="26"/>
          <w:szCs w:val="26"/>
        </w:rPr>
        <w:t>69</w:t>
      </w:r>
      <w:r w:rsidR="00020759">
        <w:rPr>
          <w:color w:val="000000"/>
          <w:sz w:val="26"/>
          <w:szCs w:val="26"/>
        </w:rPr>
        <w:t> </w:t>
      </w:r>
      <w:r w:rsidR="003A58CF">
        <w:rPr>
          <w:color w:val="000000"/>
          <w:sz w:val="26"/>
          <w:szCs w:val="26"/>
        </w:rPr>
        <w:t>kV</w:t>
      </w:r>
      <w:r w:rsidR="00020759">
        <w:rPr>
          <w:color w:val="000000"/>
          <w:sz w:val="26"/>
          <w:szCs w:val="26"/>
        </w:rPr>
        <w:t> </w:t>
      </w:r>
      <w:r w:rsidR="003A58CF">
        <w:rPr>
          <w:color w:val="000000"/>
          <w:sz w:val="26"/>
          <w:szCs w:val="26"/>
        </w:rPr>
        <w:t>Transmission Line between the Mount Allen Tap and the Rossmoyne Tap.</w:t>
      </w:r>
      <w:r w:rsidR="00C52EB3">
        <w:rPr>
          <w:color w:val="000000"/>
          <w:sz w:val="26"/>
          <w:szCs w:val="26"/>
        </w:rPr>
        <w:t xml:space="preserve">  The project will involve replacing the existing 336 kcmil ACSR conductors with higher capacity 795 kcmil 30/19 stranding ACSR conductors.</w:t>
      </w:r>
      <w:r w:rsidR="00C52EB3">
        <w:rPr>
          <w:rStyle w:val="FootnoteReference"/>
          <w:color w:val="000000"/>
          <w:sz w:val="26"/>
          <w:szCs w:val="26"/>
        </w:rPr>
        <w:footnoteReference w:id="5"/>
      </w:r>
      <w:r w:rsidR="003564B8">
        <w:rPr>
          <w:color w:val="000000"/>
          <w:sz w:val="26"/>
          <w:szCs w:val="26"/>
        </w:rPr>
        <w:t xml:space="preserve">  Six power conductors and one overhead ground wire will be installed.  The overhead ground wire will be 3/8</w:t>
      </w:r>
      <w:r w:rsidR="00F4146A">
        <w:rPr>
          <w:color w:val="000000"/>
          <w:sz w:val="26"/>
          <w:szCs w:val="26"/>
        </w:rPr>
        <w:t>-inch-diameter</w:t>
      </w:r>
      <w:r w:rsidR="003564B8">
        <w:rPr>
          <w:color w:val="000000"/>
          <w:sz w:val="26"/>
          <w:szCs w:val="26"/>
        </w:rPr>
        <w:t xml:space="preserve"> high strength steel and will provide</w:t>
      </w:r>
      <w:r w:rsidR="00A94BBA">
        <w:rPr>
          <w:color w:val="000000"/>
          <w:sz w:val="26"/>
          <w:szCs w:val="26"/>
        </w:rPr>
        <w:t xml:space="preserve"> </w:t>
      </w:r>
      <w:r w:rsidR="003564B8">
        <w:rPr>
          <w:color w:val="000000"/>
          <w:sz w:val="26"/>
          <w:szCs w:val="26"/>
        </w:rPr>
        <w:t>lightning protection for the reconstructed section</w:t>
      </w:r>
      <w:r w:rsidR="00CC6A70">
        <w:rPr>
          <w:color w:val="000000"/>
          <w:sz w:val="26"/>
          <w:szCs w:val="26"/>
        </w:rPr>
        <w:t xml:space="preserve"> of the L</w:t>
      </w:r>
      <w:r w:rsidR="003564B8">
        <w:rPr>
          <w:color w:val="000000"/>
          <w:sz w:val="26"/>
          <w:szCs w:val="26"/>
        </w:rPr>
        <w:t>ine.  In addition, one Load Sectionalizing Air Break switch will be installed.</w:t>
      </w:r>
      <w:r w:rsidR="00AB7039">
        <w:rPr>
          <w:color w:val="000000"/>
          <w:sz w:val="26"/>
          <w:szCs w:val="26"/>
        </w:rPr>
        <w:t xml:space="preserve">  The existing 50 wood poles with average height of 65 feet will be replaced in approximately the same locations with 50 steel poles averaging 75 feet high.  Each steel pole will be equipped with six steel upswept conductor support arms.  Angled structures will be guyed, and tangent structures will be direct embedded.  In addition, a steel High-Low tap structure will replace the existing wood pole tap structure.</w:t>
      </w:r>
      <w:r w:rsidR="00AB7039">
        <w:rPr>
          <w:rStyle w:val="FootnoteReference"/>
          <w:color w:val="000000"/>
          <w:sz w:val="26"/>
          <w:szCs w:val="26"/>
        </w:rPr>
        <w:footnoteReference w:id="6"/>
      </w:r>
    </w:p>
    <w:p w:rsidR="00DA5CE3" w:rsidRDefault="00DA5CE3" w:rsidP="004D5510">
      <w:pPr>
        <w:pStyle w:val="Style"/>
        <w:tabs>
          <w:tab w:val="left" w:pos="749"/>
        </w:tabs>
        <w:spacing w:line="360" w:lineRule="auto"/>
        <w:ind w:right="-180"/>
        <w:rPr>
          <w:color w:val="000000"/>
          <w:sz w:val="26"/>
          <w:szCs w:val="26"/>
        </w:rPr>
      </w:pPr>
    </w:p>
    <w:p w:rsidR="003672FA" w:rsidRDefault="00DA5CE3" w:rsidP="004D5510">
      <w:pPr>
        <w:pStyle w:val="Style"/>
        <w:tabs>
          <w:tab w:val="left" w:pos="749"/>
        </w:tabs>
        <w:spacing w:line="360" w:lineRule="auto"/>
        <w:ind w:right="-180"/>
        <w:rPr>
          <w:color w:val="000000"/>
          <w:sz w:val="26"/>
          <w:szCs w:val="26"/>
        </w:rPr>
      </w:pPr>
      <w:r>
        <w:rPr>
          <w:color w:val="000000"/>
          <w:sz w:val="26"/>
          <w:szCs w:val="26"/>
        </w:rPr>
        <w:tab/>
      </w:r>
      <w:r>
        <w:rPr>
          <w:color w:val="000000"/>
          <w:sz w:val="26"/>
          <w:szCs w:val="26"/>
        </w:rPr>
        <w:tab/>
      </w:r>
      <w:r w:rsidR="00AD5BA8">
        <w:rPr>
          <w:color w:val="000000"/>
          <w:sz w:val="26"/>
          <w:szCs w:val="26"/>
        </w:rPr>
        <w:t>F</w:t>
      </w:r>
      <w:r>
        <w:rPr>
          <w:color w:val="000000"/>
          <w:sz w:val="26"/>
          <w:szCs w:val="26"/>
        </w:rPr>
        <w:t>urther</w:t>
      </w:r>
      <w:r w:rsidR="00AD5BA8">
        <w:rPr>
          <w:color w:val="000000"/>
          <w:sz w:val="26"/>
          <w:szCs w:val="26"/>
        </w:rPr>
        <w:t>,</w:t>
      </w:r>
      <w:r>
        <w:rPr>
          <w:color w:val="000000"/>
          <w:sz w:val="26"/>
          <w:szCs w:val="26"/>
        </w:rPr>
        <w:t xml:space="preserve"> PPL Electric states that </w:t>
      </w:r>
      <w:r w:rsidR="003672FA">
        <w:rPr>
          <w:color w:val="000000"/>
          <w:sz w:val="26"/>
          <w:szCs w:val="26"/>
        </w:rPr>
        <w:t>the propose</w:t>
      </w:r>
      <w:r w:rsidR="00244DE6">
        <w:rPr>
          <w:color w:val="000000"/>
          <w:sz w:val="26"/>
          <w:szCs w:val="26"/>
        </w:rPr>
        <w:t>d</w:t>
      </w:r>
      <w:r w:rsidR="003672FA">
        <w:rPr>
          <w:color w:val="000000"/>
          <w:sz w:val="26"/>
          <w:szCs w:val="26"/>
        </w:rPr>
        <w:t xml:space="preserve"> Cumberland-West Shore Project will allow approximately 50 MW of load to be re</w:t>
      </w:r>
      <w:r w:rsidR="00F4146A">
        <w:rPr>
          <w:color w:val="000000"/>
          <w:sz w:val="26"/>
          <w:szCs w:val="26"/>
        </w:rPr>
        <w:t>s</w:t>
      </w:r>
      <w:r w:rsidR="003672FA">
        <w:rPr>
          <w:color w:val="000000"/>
          <w:sz w:val="26"/>
          <w:szCs w:val="26"/>
        </w:rPr>
        <w:t>tored after the loss of both 230</w:t>
      </w:r>
      <w:r w:rsidR="00020759">
        <w:rPr>
          <w:color w:val="000000"/>
          <w:sz w:val="26"/>
          <w:szCs w:val="26"/>
        </w:rPr>
        <w:t> </w:t>
      </w:r>
      <w:r w:rsidR="003672FA">
        <w:rPr>
          <w:color w:val="000000"/>
          <w:sz w:val="26"/>
          <w:szCs w:val="26"/>
        </w:rPr>
        <w:t>kV sources to the Cumberland 230-69 kV Substation by transferring the load to the rebuilt segment of the Cumberland-West Shore #3 and</w:t>
      </w:r>
      <w:r w:rsidR="00020759">
        <w:rPr>
          <w:color w:val="000000"/>
          <w:sz w:val="26"/>
          <w:szCs w:val="26"/>
        </w:rPr>
        <w:t xml:space="preserve"> </w:t>
      </w:r>
      <w:r w:rsidR="003672FA">
        <w:rPr>
          <w:color w:val="000000"/>
          <w:sz w:val="26"/>
          <w:szCs w:val="26"/>
        </w:rPr>
        <w:t>#4 69 kV Transmission Line without overloading the rebuilt line.  As a result, the amount of load interrupted by the loss of supply to the Cumberland 230-69 kV Substation would then be below the 300 MW limit and remain within the PJM Reliability Planning Criteria.</w:t>
      </w:r>
    </w:p>
    <w:p w:rsidR="003672FA" w:rsidRDefault="003672FA" w:rsidP="004D5510">
      <w:pPr>
        <w:pStyle w:val="Style"/>
        <w:tabs>
          <w:tab w:val="left" w:pos="749"/>
        </w:tabs>
        <w:spacing w:line="360" w:lineRule="auto"/>
        <w:ind w:right="-180"/>
        <w:rPr>
          <w:color w:val="000000"/>
          <w:sz w:val="26"/>
          <w:szCs w:val="26"/>
        </w:rPr>
      </w:pPr>
    </w:p>
    <w:p w:rsidR="00E21DF1" w:rsidRDefault="00E21DF1" w:rsidP="00D71D0B">
      <w:pPr>
        <w:pStyle w:val="Style"/>
        <w:tabs>
          <w:tab w:val="left" w:pos="749"/>
        </w:tabs>
        <w:spacing w:line="360" w:lineRule="auto"/>
        <w:ind w:right="-90"/>
        <w:rPr>
          <w:color w:val="000000"/>
          <w:sz w:val="26"/>
          <w:szCs w:val="26"/>
        </w:rPr>
      </w:pPr>
      <w:r>
        <w:rPr>
          <w:color w:val="000000"/>
          <w:sz w:val="26"/>
          <w:szCs w:val="26"/>
        </w:rPr>
        <w:tab/>
      </w:r>
      <w:r>
        <w:rPr>
          <w:color w:val="000000"/>
          <w:sz w:val="26"/>
          <w:szCs w:val="26"/>
        </w:rPr>
        <w:tab/>
        <w:t xml:space="preserve">PPL Electric states that </w:t>
      </w:r>
      <w:r w:rsidR="00F4146A">
        <w:rPr>
          <w:color w:val="000000"/>
          <w:sz w:val="26"/>
          <w:szCs w:val="26"/>
        </w:rPr>
        <w:t>no additional right-of-way will be required for the</w:t>
      </w:r>
      <w:r w:rsidR="00A65B71">
        <w:rPr>
          <w:color w:val="000000"/>
          <w:sz w:val="26"/>
          <w:szCs w:val="26"/>
        </w:rPr>
        <w:t xml:space="preserve"> </w:t>
      </w:r>
      <w:r>
        <w:rPr>
          <w:color w:val="000000"/>
          <w:sz w:val="26"/>
          <w:szCs w:val="26"/>
        </w:rPr>
        <w:t xml:space="preserve">rebuild </w:t>
      </w:r>
      <w:r w:rsidR="00F4146A">
        <w:rPr>
          <w:color w:val="000000"/>
          <w:sz w:val="26"/>
          <w:szCs w:val="26"/>
        </w:rPr>
        <w:t>of the Cumberland-West Shore #3 and#4 69 kV Transmission Line</w:t>
      </w:r>
      <w:r w:rsidR="00244DE6">
        <w:rPr>
          <w:color w:val="000000"/>
          <w:sz w:val="26"/>
          <w:szCs w:val="26"/>
        </w:rPr>
        <w:t>. The proposed</w:t>
      </w:r>
      <w:r w:rsidR="00F4146A">
        <w:rPr>
          <w:color w:val="000000"/>
          <w:sz w:val="26"/>
          <w:szCs w:val="26"/>
        </w:rPr>
        <w:t xml:space="preserve"> </w:t>
      </w:r>
      <w:r w:rsidR="00244DE6">
        <w:rPr>
          <w:color w:val="000000"/>
          <w:sz w:val="26"/>
          <w:szCs w:val="26"/>
        </w:rPr>
        <w:t>re</w:t>
      </w:r>
      <w:r w:rsidR="00DE5E7A">
        <w:rPr>
          <w:color w:val="000000"/>
          <w:sz w:val="26"/>
          <w:szCs w:val="26"/>
        </w:rPr>
        <w:t>construction</w:t>
      </w:r>
      <w:r>
        <w:rPr>
          <w:color w:val="000000"/>
          <w:sz w:val="26"/>
          <w:szCs w:val="26"/>
        </w:rPr>
        <w:t xml:space="preserve"> </w:t>
      </w:r>
      <w:r w:rsidR="00244DE6">
        <w:rPr>
          <w:color w:val="000000"/>
          <w:sz w:val="26"/>
          <w:szCs w:val="26"/>
        </w:rPr>
        <w:t xml:space="preserve">will take place </w:t>
      </w:r>
      <w:r w:rsidR="00A65B71">
        <w:rPr>
          <w:color w:val="000000"/>
          <w:sz w:val="26"/>
          <w:szCs w:val="26"/>
        </w:rPr>
        <w:t>within</w:t>
      </w:r>
      <w:r>
        <w:rPr>
          <w:color w:val="000000"/>
          <w:sz w:val="26"/>
          <w:szCs w:val="26"/>
        </w:rPr>
        <w:t xml:space="preserve"> </w:t>
      </w:r>
      <w:r w:rsidR="00244DE6">
        <w:rPr>
          <w:color w:val="000000"/>
          <w:sz w:val="26"/>
          <w:szCs w:val="26"/>
        </w:rPr>
        <w:t>the</w:t>
      </w:r>
      <w:r w:rsidR="00A65B71">
        <w:rPr>
          <w:color w:val="000000"/>
          <w:sz w:val="26"/>
          <w:szCs w:val="26"/>
        </w:rPr>
        <w:t xml:space="preserve"> </w:t>
      </w:r>
      <w:r>
        <w:rPr>
          <w:color w:val="000000"/>
          <w:sz w:val="26"/>
          <w:szCs w:val="26"/>
        </w:rPr>
        <w:t>existing ri</w:t>
      </w:r>
      <w:r w:rsidR="00244DE6">
        <w:rPr>
          <w:color w:val="000000"/>
          <w:sz w:val="26"/>
          <w:szCs w:val="26"/>
        </w:rPr>
        <w:t>ght-of-way of the Cumberland-West Shore #3 and</w:t>
      </w:r>
      <w:r w:rsidR="00020759">
        <w:rPr>
          <w:color w:val="000000"/>
          <w:sz w:val="26"/>
          <w:szCs w:val="26"/>
        </w:rPr>
        <w:t xml:space="preserve"> </w:t>
      </w:r>
      <w:r w:rsidR="00244DE6">
        <w:rPr>
          <w:color w:val="000000"/>
          <w:sz w:val="26"/>
          <w:szCs w:val="26"/>
        </w:rPr>
        <w:t>#4 69 kV Transmission Line.</w:t>
      </w:r>
      <w:r w:rsidR="00041DFD">
        <w:rPr>
          <w:rStyle w:val="FootnoteReference"/>
          <w:color w:val="000000"/>
          <w:sz w:val="26"/>
          <w:szCs w:val="26"/>
        </w:rPr>
        <w:footnoteReference w:id="7"/>
      </w:r>
      <w:r w:rsidR="00244DE6">
        <w:rPr>
          <w:color w:val="000000"/>
          <w:sz w:val="26"/>
          <w:szCs w:val="26"/>
        </w:rPr>
        <w:t xml:space="preserve">  </w:t>
      </w:r>
      <w:r w:rsidR="00E3350D">
        <w:rPr>
          <w:color w:val="000000"/>
          <w:sz w:val="26"/>
          <w:szCs w:val="26"/>
        </w:rPr>
        <w:t xml:space="preserve">Further, PPL Electric states that impacts to land use, cultural resources, and natural features are anticipated to be minimal because </w:t>
      </w:r>
      <w:r w:rsidR="00A65B71">
        <w:rPr>
          <w:color w:val="000000"/>
          <w:sz w:val="26"/>
          <w:szCs w:val="26"/>
        </w:rPr>
        <w:t xml:space="preserve">the </w:t>
      </w:r>
      <w:r w:rsidR="00E3350D">
        <w:rPr>
          <w:color w:val="000000"/>
          <w:sz w:val="26"/>
          <w:szCs w:val="26"/>
        </w:rPr>
        <w:lastRenderedPageBreak/>
        <w:t>Cumberland-West Shore Project will be constructed almost entirely within the exist</w:t>
      </w:r>
      <w:r w:rsidR="003E768C">
        <w:rPr>
          <w:color w:val="000000"/>
          <w:sz w:val="26"/>
          <w:szCs w:val="26"/>
        </w:rPr>
        <w:t>ing right-of-way of the</w:t>
      </w:r>
      <w:r w:rsidR="00E3350D">
        <w:rPr>
          <w:color w:val="000000"/>
          <w:sz w:val="26"/>
          <w:szCs w:val="26"/>
        </w:rPr>
        <w:t xml:space="preserve"> Cumberland-West Shore #3 and</w:t>
      </w:r>
      <w:r w:rsidR="00020759">
        <w:rPr>
          <w:color w:val="000000"/>
          <w:sz w:val="26"/>
          <w:szCs w:val="26"/>
        </w:rPr>
        <w:t xml:space="preserve"> </w:t>
      </w:r>
      <w:r w:rsidR="00E3350D">
        <w:rPr>
          <w:color w:val="000000"/>
          <w:sz w:val="26"/>
          <w:szCs w:val="26"/>
        </w:rPr>
        <w:t xml:space="preserve">#4 69 kV Transmission Line and because the length of the segment to be rebuilt is relatively short.  </w:t>
      </w:r>
      <w:r w:rsidR="002E639D">
        <w:rPr>
          <w:color w:val="000000"/>
          <w:sz w:val="26"/>
          <w:szCs w:val="26"/>
        </w:rPr>
        <w:t>T</w:t>
      </w:r>
      <w:r w:rsidR="00A65B71">
        <w:rPr>
          <w:color w:val="000000"/>
          <w:sz w:val="26"/>
          <w:szCs w:val="26"/>
        </w:rPr>
        <w:t>he new transmission structures will not significantly increase the height of the Line.  Further, t</w:t>
      </w:r>
      <w:r w:rsidR="00F425F8">
        <w:rPr>
          <w:color w:val="000000"/>
          <w:sz w:val="26"/>
          <w:szCs w:val="26"/>
        </w:rPr>
        <w:t xml:space="preserve">he </w:t>
      </w:r>
      <w:r w:rsidR="003E5DD7">
        <w:rPr>
          <w:color w:val="000000"/>
          <w:sz w:val="26"/>
          <w:szCs w:val="26"/>
        </w:rPr>
        <w:t>rebuilt l</w:t>
      </w:r>
      <w:r w:rsidR="00A65B71">
        <w:rPr>
          <w:color w:val="000000"/>
          <w:sz w:val="26"/>
          <w:szCs w:val="26"/>
        </w:rPr>
        <w:t>ine will be supported by the same number of structures</w:t>
      </w:r>
      <w:r w:rsidR="003E5DD7">
        <w:rPr>
          <w:color w:val="000000"/>
          <w:sz w:val="26"/>
          <w:szCs w:val="26"/>
        </w:rPr>
        <w:t>,</w:t>
      </w:r>
      <w:r w:rsidR="002E639D">
        <w:rPr>
          <w:color w:val="000000"/>
          <w:sz w:val="26"/>
          <w:szCs w:val="26"/>
        </w:rPr>
        <w:t xml:space="preserve"> substantially in the same locations as the existing structures.</w:t>
      </w:r>
      <w:r w:rsidR="00020759">
        <w:rPr>
          <w:color w:val="000000"/>
          <w:sz w:val="26"/>
          <w:szCs w:val="26"/>
        </w:rPr>
        <w:t xml:space="preserve"> </w:t>
      </w:r>
      <w:r w:rsidR="002E639D">
        <w:rPr>
          <w:color w:val="000000"/>
          <w:sz w:val="26"/>
          <w:szCs w:val="26"/>
        </w:rPr>
        <w:t xml:space="preserve"> </w:t>
      </w:r>
      <w:r w:rsidR="00A65B71">
        <w:rPr>
          <w:color w:val="000000"/>
          <w:sz w:val="26"/>
          <w:szCs w:val="26"/>
        </w:rPr>
        <w:t xml:space="preserve">The </w:t>
      </w:r>
      <w:r w:rsidR="00F425F8">
        <w:rPr>
          <w:color w:val="000000"/>
          <w:sz w:val="26"/>
          <w:szCs w:val="26"/>
        </w:rPr>
        <w:t>proposed rebuild will not create any unreasonable risk of danger to the public health or safety.  The proposed Line will be designed to, and will generally exceed, minimum National Electrical Safety Code standards.</w:t>
      </w:r>
    </w:p>
    <w:p w:rsidR="00F425F8" w:rsidRDefault="00F425F8" w:rsidP="00D71D0B">
      <w:pPr>
        <w:pStyle w:val="Style"/>
        <w:tabs>
          <w:tab w:val="right" w:pos="1015"/>
        </w:tabs>
        <w:spacing w:line="360" w:lineRule="auto"/>
        <w:rPr>
          <w:sz w:val="26"/>
          <w:szCs w:val="26"/>
        </w:rPr>
      </w:pPr>
    </w:p>
    <w:p w:rsidR="00D71D0B" w:rsidRDefault="00D71D0B" w:rsidP="00D71D0B">
      <w:pPr>
        <w:pStyle w:val="Style"/>
        <w:tabs>
          <w:tab w:val="right" w:pos="1015"/>
        </w:tabs>
        <w:spacing w:line="360" w:lineRule="auto"/>
        <w:rPr>
          <w:sz w:val="26"/>
          <w:szCs w:val="26"/>
        </w:rPr>
      </w:pPr>
      <w:r>
        <w:rPr>
          <w:sz w:val="26"/>
          <w:szCs w:val="26"/>
        </w:rPr>
        <w:tab/>
      </w:r>
      <w:r>
        <w:rPr>
          <w:sz w:val="26"/>
          <w:szCs w:val="26"/>
        </w:rPr>
        <w:tab/>
        <w:t xml:space="preserve">PPL Electric </w:t>
      </w:r>
      <w:r w:rsidR="00B54331">
        <w:rPr>
          <w:sz w:val="26"/>
          <w:szCs w:val="26"/>
        </w:rPr>
        <w:t xml:space="preserve">also </w:t>
      </w:r>
      <w:r>
        <w:rPr>
          <w:sz w:val="26"/>
          <w:szCs w:val="26"/>
        </w:rPr>
        <w:t xml:space="preserve">states that the </w:t>
      </w:r>
      <w:r w:rsidR="001970F3">
        <w:rPr>
          <w:sz w:val="26"/>
          <w:szCs w:val="26"/>
        </w:rPr>
        <w:t xml:space="preserve">proposed </w:t>
      </w:r>
      <w:r>
        <w:rPr>
          <w:sz w:val="26"/>
          <w:szCs w:val="26"/>
        </w:rPr>
        <w:t xml:space="preserve">project was reviewed with representatives of </w:t>
      </w:r>
      <w:r w:rsidR="00C537FE">
        <w:rPr>
          <w:sz w:val="26"/>
          <w:szCs w:val="26"/>
        </w:rPr>
        <w:t xml:space="preserve">Lower </w:t>
      </w:r>
      <w:r w:rsidR="002E639D">
        <w:rPr>
          <w:sz w:val="26"/>
          <w:szCs w:val="26"/>
        </w:rPr>
        <w:t>and Upper Allen</w:t>
      </w:r>
      <w:r w:rsidR="00C537FE">
        <w:rPr>
          <w:sz w:val="26"/>
          <w:szCs w:val="26"/>
        </w:rPr>
        <w:t xml:space="preserve"> Township</w:t>
      </w:r>
      <w:r w:rsidR="002E639D">
        <w:rPr>
          <w:sz w:val="26"/>
          <w:szCs w:val="26"/>
        </w:rPr>
        <w:t>s</w:t>
      </w:r>
      <w:r w:rsidR="001970F3">
        <w:rPr>
          <w:sz w:val="26"/>
          <w:szCs w:val="26"/>
        </w:rPr>
        <w:t xml:space="preserve"> and </w:t>
      </w:r>
      <w:r w:rsidR="002E639D">
        <w:rPr>
          <w:sz w:val="26"/>
          <w:szCs w:val="26"/>
        </w:rPr>
        <w:t>Cumberland</w:t>
      </w:r>
      <w:r>
        <w:rPr>
          <w:sz w:val="26"/>
          <w:szCs w:val="26"/>
        </w:rPr>
        <w:t xml:space="preserve"> County, </w:t>
      </w:r>
      <w:r w:rsidR="001970F3">
        <w:rPr>
          <w:sz w:val="26"/>
          <w:szCs w:val="26"/>
        </w:rPr>
        <w:t xml:space="preserve">and neither </w:t>
      </w:r>
      <w:r w:rsidR="00C537FE">
        <w:rPr>
          <w:sz w:val="26"/>
          <w:szCs w:val="26"/>
        </w:rPr>
        <w:t>the Township</w:t>
      </w:r>
      <w:r>
        <w:rPr>
          <w:sz w:val="26"/>
          <w:szCs w:val="26"/>
        </w:rPr>
        <w:t xml:space="preserve"> nor the County had any objection to</w:t>
      </w:r>
      <w:r w:rsidR="001970F3">
        <w:rPr>
          <w:sz w:val="26"/>
          <w:szCs w:val="26"/>
        </w:rPr>
        <w:t xml:space="preserve"> the P</w:t>
      </w:r>
      <w:r>
        <w:rPr>
          <w:sz w:val="26"/>
          <w:szCs w:val="26"/>
        </w:rPr>
        <w:t>roject.</w:t>
      </w:r>
    </w:p>
    <w:p w:rsidR="00D71D0B" w:rsidRDefault="00D71D0B" w:rsidP="00D71D0B">
      <w:pPr>
        <w:pStyle w:val="Style"/>
        <w:tabs>
          <w:tab w:val="right" w:pos="1015"/>
        </w:tabs>
        <w:spacing w:line="360" w:lineRule="auto"/>
        <w:rPr>
          <w:sz w:val="26"/>
          <w:szCs w:val="26"/>
        </w:rPr>
      </w:pPr>
    </w:p>
    <w:p w:rsidR="00D71D0B" w:rsidRDefault="00D71D0B" w:rsidP="00194622">
      <w:pPr>
        <w:pStyle w:val="Style"/>
        <w:tabs>
          <w:tab w:val="right" w:pos="1015"/>
        </w:tabs>
        <w:spacing w:line="360" w:lineRule="auto"/>
        <w:rPr>
          <w:color w:val="000000"/>
          <w:sz w:val="26"/>
          <w:szCs w:val="26"/>
        </w:rPr>
      </w:pPr>
      <w:r>
        <w:rPr>
          <w:color w:val="000000"/>
          <w:sz w:val="26"/>
          <w:szCs w:val="26"/>
        </w:rPr>
        <w:tab/>
      </w:r>
      <w:r>
        <w:rPr>
          <w:color w:val="000000"/>
          <w:sz w:val="26"/>
          <w:szCs w:val="26"/>
        </w:rPr>
        <w:tab/>
        <w:t xml:space="preserve">The total estimated cost </w:t>
      </w:r>
      <w:r w:rsidR="002E639D">
        <w:rPr>
          <w:color w:val="000000"/>
          <w:sz w:val="26"/>
          <w:szCs w:val="26"/>
        </w:rPr>
        <w:t xml:space="preserve">for the proposed Cumberland-West Shore Project </w:t>
      </w:r>
      <w:r w:rsidR="00434B43">
        <w:rPr>
          <w:color w:val="000000"/>
          <w:sz w:val="26"/>
          <w:szCs w:val="26"/>
        </w:rPr>
        <w:t>is</w:t>
      </w:r>
      <w:r w:rsidR="002E639D">
        <w:rPr>
          <w:color w:val="000000"/>
          <w:sz w:val="26"/>
          <w:szCs w:val="26"/>
        </w:rPr>
        <w:t xml:space="preserve"> approximately $2,314,9</w:t>
      </w:r>
      <w:r>
        <w:rPr>
          <w:color w:val="000000"/>
          <w:sz w:val="26"/>
          <w:szCs w:val="26"/>
        </w:rPr>
        <w:t xml:space="preserve">00.  The construction is scheduled to </w:t>
      </w:r>
      <w:r w:rsidR="00194622">
        <w:rPr>
          <w:color w:val="000000"/>
          <w:sz w:val="26"/>
          <w:szCs w:val="26"/>
        </w:rPr>
        <w:t>begin</w:t>
      </w:r>
      <w:r>
        <w:rPr>
          <w:color w:val="000000"/>
          <w:sz w:val="26"/>
          <w:szCs w:val="26"/>
        </w:rPr>
        <w:t xml:space="preserve"> </w:t>
      </w:r>
      <w:r w:rsidR="002E639D">
        <w:rPr>
          <w:color w:val="000000"/>
          <w:sz w:val="26"/>
          <w:szCs w:val="26"/>
        </w:rPr>
        <w:t>in January 2013 to support</w:t>
      </w:r>
      <w:r w:rsidR="00194622">
        <w:rPr>
          <w:color w:val="000000"/>
          <w:sz w:val="26"/>
          <w:szCs w:val="26"/>
        </w:rPr>
        <w:t xml:space="preserve"> a required</w:t>
      </w:r>
      <w:r>
        <w:rPr>
          <w:color w:val="000000"/>
          <w:sz w:val="26"/>
          <w:szCs w:val="26"/>
        </w:rPr>
        <w:t xml:space="preserve"> </w:t>
      </w:r>
      <w:r w:rsidR="00434B43">
        <w:rPr>
          <w:color w:val="000000"/>
          <w:sz w:val="26"/>
          <w:szCs w:val="26"/>
        </w:rPr>
        <w:t>in-service date of May</w:t>
      </w:r>
      <w:r w:rsidR="00194622">
        <w:rPr>
          <w:color w:val="000000"/>
          <w:sz w:val="26"/>
          <w:szCs w:val="26"/>
        </w:rPr>
        <w:t xml:space="preserve"> </w:t>
      </w:r>
      <w:r>
        <w:rPr>
          <w:color w:val="000000"/>
          <w:sz w:val="26"/>
          <w:szCs w:val="26"/>
        </w:rPr>
        <w:t>2013.</w:t>
      </w:r>
    </w:p>
    <w:p w:rsidR="00194622" w:rsidRDefault="00194622" w:rsidP="00D71D0B">
      <w:pPr>
        <w:spacing w:line="360" w:lineRule="auto"/>
        <w:ind w:firstLine="1440"/>
        <w:rPr>
          <w:sz w:val="26"/>
          <w:szCs w:val="26"/>
        </w:rPr>
      </w:pPr>
    </w:p>
    <w:p w:rsidR="00D71D0B" w:rsidRDefault="00D71D0B" w:rsidP="00194622">
      <w:pPr>
        <w:spacing w:line="360" w:lineRule="auto"/>
        <w:ind w:right="-90" w:firstLine="1440"/>
      </w:pPr>
      <w:r>
        <w:rPr>
          <w:sz w:val="26"/>
          <w:szCs w:val="26"/>
        </w:rPr>
        <w:t>Upon review, the Commission finds that the PPL Electric’s Letter of Notification and manner in which it was filed conform to the requirements of 52 Pa. Code § 57.72(d)(1)(v</w:t>
      </w:r>
      <w:r w:rsidR="00D3486E">
        <w:rPr>
          <w:sz w:val="26"/>
          <w:szCs w:val="26"/>
        </w:rPr>
        <w:t>i</w:t>
      </w:r>
      <w:r w:rsidR="00B54331">
        <w:rPr>
          <w:sz w:val="26"/>
          <w:szCs w:val="26"/>
        </w:rPr>
        <w:t>) because the proposed line</w:t>
      </w:r>
      <w:r>
        <w:rPr>
          <w:sz w:val="26"/>
          <w:szCs w:val="26"/>
        </w:rPr>
        <w:t xml:space="preserve"> to be constructed </w:t>
      </w:r>
      <w:r w:rsidR="00D3486E">
        <w:rPr>
          <w:sz w:val="26"/>
          <w:szCs w:val="26"/>
        </w:rPr>
        <w:t>i</w:t>
      </w:r>
      <w:r w:rsidR="005E18BE">
        <w:rPr>
          <w:sz w:val="26"/>
          <w:szCs w:val="26"/>
        </w:rPr>
        <w:t xml:space="preserve">s less than two miles in length.  Also the project will be </w:t>
      </w:r>
      <w:r w:rsidR="005E18BE">
        <w:rPr>
          <w:color w:val="000000"/>
          <w:sz w:val="26"/>
          <w:szCs w:val="26"/>
        </w:rPr>
        <w:t xml:space="preserve">constructed </w:t>
      </w:r>
      <w:r w:rsidR="00064753">
        <w:rPr>
          <w:color w:val="000000"/>
          <w:sz w:val="26"/>
          <w:szCs w:val="26"/>
        </w:rPr>
        <w:t xml:space="preserve">almost </w:t>
      </w:r>
      <w:r w:rsidR="005E18BE">
        <w:rPr>
          <w:color w:val="000000"/>
          <w:sz w:val="26"/>
          <w:szCs w:val="26"/>
        </w:rPr>
        <w:t xml:space="preserve">entirely within PPL Electric’s existing right-of-way and the structures for the rebuilt Line will be in substantially the same locations as the existing structures.  </w:t>
      </w:r>
      <w:r>
        <w:rPr>
          <w:sz w:val="26"/>
          <w:szCs w:val="26"/>
        </w:rPr>
        <w:t xml:space="preserve">Above all, the Commission has reviewed the filing and finds it to be consistent with applicable law and Commission policy regarding transmission line siting, and therefore to be in the public interest.  We note that our approval of the Letter of Notification does not reach to the issues of accounting treatment and cost recovery; </w:t>
      </w:r>
      <w:r>
        <w:rPr>
          <w:b/>
        </w:rPr>
        <w:t>THEREFORE</w:t>
      </w:r>
      <w:r>
        <w:t>,</w:t>
      </w:r>
    </w:p>
    <w:p w:rsidR="00020759" w:rsidRDefault="00020759">
      <w:pPr>
        <w:widowControl/>
        <w:autoSpaceDE/>
        <w:autoSpaceDN/>
        <w:adjustRightInd/>
        <w:spacing w:after="200" w:line="276" w:lineRule="auto"/>
      </w:pPr>
      <w:r>
        <w:br w:type="page"/>
      </w:r>
    </w:p>
    <w:p w:rsidR="00D71D0B" w:rsidRDefault="00D71D0B" w:rsidP="00D71D0B">
      <w:pPr>
        <w:pStyle w:val="p2"/>
        <w:spacing w:line="360" w:lineRule="auto"/>
        <w:outlineLvl w:val="0"/>
        <w:rPr>
          <w:b/>
          <w:sz w:val="26"/>
          <w:szCs w:val="26"/>
        </w:rPr>
      </w:pPr>
      <w:r>
        <w:rPr>
          <w:b/>
          <w:sz w:val="26"/>
          <w:szCs w:val="26"/>
        </w:rPr>
        <w:lastRenderedPageBreak/>
        <w:t>IT IS ORDERED:</w:t>
      </w:r>
    </w:p>
    <w:p w:rsidR="00D71D0B" w:rsidRDefault="00D71D0B" w:rsidP="00D71D0B">
      <w:pPr>
        <w:tabs>
          <w:tab w:val="left" w:pos="1491"/>
        </w:tabs>
        <w:spacing w:line="360" w:lineRule="auto"/>
        <w:rPr>
          <w:sz w:val="26"/>
          <w:szCs w:val="26"/>
        </w:rPr>
      </w:pPr>
    </w:p>
    <w:p w:rsidR="00D71D0B" w:rsidRDefault="00D71D0B" w:rsidP="00D71D0B">
      <w:pPr>
        <w:pStyle w:val="p4"/>
        <w:numPr>
          <w:ilvl w:val="0"/>
          <w:numId w:val="3"/>
        </w:numPr>
        <w:tabs>
          <w:tab w:val="clear" w:pos="204"/>
          <w:tab w:val="left" w:pos="720"/>
        </w:tabs>
        <w:spacing w:line="360" w:lineRule="auto"/>
        <w:ind w:left="0" w:firstLine="1440"/>
        <w:outlineLvl w:val="0"/>
        <w:rPr>
          <w:sz w:val="26"/>
          <w:szCs w:val="26"/>
        </w:rPr>
      </w:pPr>
      <w:r>
        <w:rPr>
          <w:sz w:val="26"/>
          <w:szCs w:val="26"/>
        </w:rPr>
        <w:t xml:space="preserve"> That the Letter of Notification filed by PPL Electric Utilities Corporation </w:t>
      </w:r>
      <w:r w:rsidR="00064753">
        <w:rPr>
          <w:sz w:val="26"/>
          <w:szCs w:val="26"/>
        </w:rPr>
        <w:t>for the</w:t>
      </w:r>
      <w:r w:rsidR="00D3486E">
        <w:rPr>
          <w:sz w:val="26"/>
          <w:szCs w:val="26"/>
        </w:rPr>
        <w:t xml:space="preserve"> </w:t>
      </w:r>
      <w:r w:rsidR="005E18BE">
        <w:rPr>
          <w:sz w:val="26"/>
          <w:szCs w:val="26"/>
        </w:rPr>
        <w:t>re</w:t>
      </w:r>
      <w:r w:rsidR="00D3486E">
        <w:rPr>
          <w:sz w:val="26"/>
          <w:szCs w:val="26"/>
        </w:rPr>
        <w:t>construction</w:t>
      </w:r>
      <w:r>
        <w:rPr>
          <w:sz w:val="26"/>
          <w:szCs w:val="26"/>
        </w:rPr>
        <w:t xml:space="preserve"> of </w:t>
      </w:r>
      <w:r w:rsidR="005E18BE">
        <w:rPr>
          <w:sz w:val="26"/>
          <w:szCs w:val="26"/>
        </w:rPr>
        <w:t>a portion</w:t>
      </w:r>
      <w:r>
        <w:rPr>
          <w:sz w:val="26"/>
          <w:szCs w:val="26"/>
        </w:rPr>
        <w:t xml:space="preserve"> </w:t>
      </w:r>
      <w:r w:rsidR="00394AC5">
        <w:rPr>
          <w:color w:val="000000"/>
          <w:sz w:val="26"/>
          <w:szCs w:val="26"/>
          <w:lang w:bidi="he-IL"/>
        </w:rPr>
        <w:t xml:space="preserve">of the </w:t>
      </w:r>
      <w:r w:rsidR="00064753">
        <w:rPr>
          <w:color w:val="000000"/>
          <w:sz w:val="26"/>
          <w:szCs w:val="26"/>
        </w:rPr>
        <w:t>Cumberland-West Shore #3 and</w:t>
      </w:r>
      <w:r w:rsidR="00020759">
        <w:rPr>
          <w:color w:val="000000"/>
          <w:sz w:val="26"/>
          <w:szCs w:val="26"/>
        </w:rPr>
        <w:t xml:space="preserve"> #4 </w:t>
      </w:r>
      <w:r w:rsidR="00064753">
        <w:rPr>
          <w:color w:val="000000"/>
          <w:sz w:val="26"/>
          <w:szCs w:val="26"/>
        </w:rPr>
        <w:t>69 kV Transmission Line</w:t>
      </w:r>
      <w:r>
        <w:rPr>
          <w:sz w:val="26"/>
          <w:szCs w:val="26"/>
        </w:rPr>
        <w:t xml:space="preserve"> in </w:t>
      </w:r>
      <w:r w:rsidR="00D3486E">
        <w:rPr>
          <w:sz w:val="26"/>
          <w:szCs w:val="26"/>
        </w:rPr>
        <w:t xml:space="preserve">Lower </w:t>
      </w:r>
      <w:r w:rsidR="00064753">
        <w:rPr>
          <w:sz w:val="26"/>
          <w:szCs w:val="26"/>
        </w:rPr>
        <w:t>Allen and Upper Allen</w:t>
      </w:r>
      <w:r>
        <w:rPr>
          <w:sz w:val="26"/>
          <w:szCs w:val="26"/>
        </w:rPr>
        <w:t xml:space="preserve"> </w:t>
      </w:r>
      <w:r w:rsidR="00D3486E">
        <w:rPr>
          <w:kern w:val="2"/>
          <w:sz w:val="26"/>
          <w:szCs w:val="26"/>
        </w:rPr>
        <w:t>Township</w:t>
      </w:r>
      <w:r w:rsidR="00064753">
        <w:rPr>
          <w:kern w:val="2"/>
          <w:sz w:val="26"/>
          <w:szCs w:val="26"/>
        </w:rPr>
        <w:t>s</w:t>
      </w:r>
      <w:r>
        <w:rPr>
          <w:kern w:val="2"/>
          <w:sz w:val="26"/>
          <w:szCs w:val="26"/>
        </w:rPr>
        <w:t xml:space="preserve">, </w:t>
      </w:r>
      <w:r w:rsidR="00064753">
        <w:rPr>
          <w:kern w:val="2"/>
          <w:sz w:val="26"/>
          <w:szCs w:val="26"/>
        </w:rPr>
        <w:t>Cumberland</w:t>
      </w:r>
      <w:r>
        <w:rPr>
          <w:sz w:val="26"/>
          <w:szCs w:val="26"/>
        </w:rPr>
        <w:t xml:space="preserve"> County, PA is hereby approved.</w:t>
      </w:r>
    </w:p>
    <w:p w:rsidR="00D71D0B" w:rsidRDefault="00D71D0B" w:rsidP="00D71D0B">
      <w:pPr>
        <w:tabs>
          <w:tab w:val="left" w:pos="1491"/>
        </w:tabs>
        <w:spacing w:line="360" w:lineRule="auto"/>
        <w:jc w:val="both"/>
        <w:rPr>
          <w:sz w:val="26"/>
          <w:szCs w:val="26"/>
        </w:rPr>
      </w:pPr>
    </w:p>
    <w:p w:rsidR="00D71D0B" w:rsidRDefault="00D71D0B" w:rsidP="00D71D0B">
      <w:pPr>
        <w:numPr>
          <w:ilvl w:val="0"/>
          <w:numId w:val="3"/>
        </w:numPr>
        <w:tabs>
          <w:tab w:val="left" w:pos="1491"/>
        </w:tabs>
        <w:spacing w:line="360" w:lineRule="auto"/>
        <w:jc w:val="both"/>
        <w:rPr>
          <w:sz w:val="26"/>
          <w:szCs w:val="26"/>
        </w:rPr>
      </w:pPr>
      <w:r>
        <w:rPr>
          <w:sz w:val="26"/>
          <w:szCs w:val="26"/>
        </w:rPr>
        <w:t xml:space="preserve">      That this proceed</w:t>
      </w:r>
      <w:r w:rsidR="00394AC5">
        <w:rPr>
          <w:sz w:val="26"/>
          <w:szCs w:val="26"/>
        </w:rPr>
        <w:t>ing at Docket No. A-2012-2</w:t>
      </w:r>
      <w:r w:rsidR="00064753">
        <w:rPr>
          <w:sz w:val="26"/>
          <w:szCs w:val="26"/>
        </w:rPr>
        <w:t>312615</w:t>
      </w:r>
      <w:r>
        <w:rPr>
          <w:sz w:val="26"/>
          <w:szCs w:val="26"/>
        </w:rPr>
        <w:t xml:space="preserve"> be closed.</w:t>
      </w:r>
    </w:p>
    <w:p w:rsidR="00D71D0B" w:rsidRDefault="00D71D0B" w:rsidP="00D71D0B">
      <w:pPr>
        <w:pStyle w:val="ListParagraph"/>
        <w:rPr>
          <w:sz w:val="26"/>
          <w:szCs w:val="26"/>
        </w:rPr>
      </w:pPr>
    </w:p>
    <w:p w:rsidR="00D71D0B" w:rsidRDefault="007D6E2D" w:rsidP="00D71D0B">
      <w:pPr>
        <w:tabs>
          <w:tab w:val="left" w:pos="1491"/>
        </w:tabs>
        <w:spacing w:line="360" w:lineRule="auto"/>
        <w:ind w:left="1800"/>
        <w:jc w:val="both"/>
        <w:rPr>
          <w:sz w:val="26"/>
          <w:szCs w:val="26"/>
        </w:rPr>
      </w:pPr>
      <w:bookmarkStart w:id="0" w:name="_GoBack"/>
      <w:r>
        <w:rPr>
          <w:noProof/>
        </w:rPr>
        <w:drawing>
          <wp:anchor distT="0" distB="0" distL="114300" distR="114300" simplePos="0" relativeHeight="251659264" behindDoc="1" locked="0" layoutInCell="1" allowOverlap="1" wp14:anchorId="42BDBBF8" wp14:editId="03E0ED64">
            <wp:simplePos x="0" y="0"/>
            <wp:positionH relativeFrom="column">
              <wp:posOffset>2867025</wp:posOffset>
            </wp:positionH>
            <wp:positionV relativeFrom="paragraph">
              <wp:posOffset>236855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D71D0B" w:rsidRDefault="00D71D0B" w:rsidP="00D71D0B">
      <w:pPr>
        <w:pStyle w:val="p3"/>
        <w:spacing w:line="360" w:lineRule="auto"/>
        <w:ind w:left="5119"/>
        <w:jc w:val="both"/>
        <w:rPr>
          <w:b/>
          <w:bCs/>
          <w:sz w:val="26"/>
          <w:szCs w:val="26"/>
        </w:rPr>
      </w:pPr>
      <w:r>
        <w:rPr>
          <w:b/>
          <w:bCs/>
          <w:sz w:val="26"/>
          <w:szCs w:val="26"/>
        </w:rPr>
        <w:t>BY THE COMMISSION,</w:t>
      </w:r>
    </w:p>
    <w:p w:rsidR="00D71D0B" w:rsidRDefault="00D71D0B" w:rsidP="00D71D0B">
      <w:pPr>
        <w:tabs>
          <w:tab w:val="left" w:pos="5119"/>
        </w:tabs>
        <w:spacing w:line="360" w:lineRule="auto"/>
        <w:jc w:val="both"/>
        <w:rPr>
          <w:bCs/>
          <w:sz w:val="26"/>
          <w:szCs w:val="26"/>
        </w:rPr>
      </w:pPr>
    </w:p>
    <w:p w:rsidR="00020759" w:rsidRDefault="00020759" w:rsidP="00D71D0B">
      <w:pPr>
        <w:tabs>
          <w:tab w:val="left" w:pos="5119"/>
        </w:tabs>
        <w:spacing w:line="360" w:lineRule="auto"/>
        <w:jc w:val="both"/>
        <w:rPr>
          <w:bCs/>
          <w:sz w:val="26"/>
          <w:szCs w:val="26"/>
        </w:rPr>
      </w:pPr>
    </w:p>
    <w:p w:rsidR="00D71D0B" w:rsidRDefault="00D71D0B" w:rsidP="00D71D0B">
      <w:pPr>
        <w:pStyle w:val="p4"/>
        <w:ind w:left="5126"/>
        <w:jc w:val="both"/>
        <w:outlineLvl w:val="0"/>
        <w:rPr>
          <w:sz w:val="26"/>
          <w:szCs w:val="26"/>
        </w:rPr>
      </w:pPr>
      <w:r>
        <w:rPr>
          <w:sz w:val="26"/>
          <w:szCs w:val="26"/>
        </w:rPr>
        <w:t>Rosemary Chiavetta</w:t>
      </w:r>
    </w:p>
    <w:p w:rsidR="00D71D0B" w:rsidRDefault="00D71D0B" w:rsidP="00D71D0B">
      <w:pPr>
        <w:pStyle w:val="p4"/>
        <w:ind w:left="5126"/>
        <w:jc w:val="both"/>
        <w:rPr>
          <w:sz w:val="26"/>
          <w:szCs w:val="26"/>
        </w:rPr>
      </w:pPr>
      <w:r>
        <w:rPr>
          <w:sz w:val="26"/>
          <w:szCs w:val="26"/>
        </w:rPr>
        <w:t>Secretary</w:t>
      </w:r>
    </w:p>
    <w:p w:rsidR="00D71D0B" w:rsidRDefault="00D71D0B" w:rsidP="00D71D0B">
      <w:pPr>
        <w:pStyle w:val="p4"/>
        <w:spacing w:line="360" w:lineRule="auto"/>
        <w:ind w:left="5130"/>
        <w:jc w:val="both"/>
        <w:rPr>
          <w:sz w:val="26"/>
          <w:szCs w:val="26"/>
        </w:rPr>
      </w:pPr>
    </w:p>
    <w:p w:rsidR="00D71D0B" w:rsidRDefault="00D71D0B" w:rsidP="00D71D0B">
      <w:pPr>
        <w:pStyle w:val="p4"/>
        <w:spacing w:line="360" w:lineRule="auto"/>
        <w:ind w:left="5130"/>
        <w:jc w:val="both"/>
        <w:rPr>
          <w:sz w:val="26"/>
          <w:szCs w:val="26"/>
        </w:rPr>
      </w:pPr>
    </w:p>
    <w:p w:rsidR="00D0280E" w:rsidRDefault="00D0280E" w:rsidP="00D71D0B">
      <w:pPr>
        <w:pStyle w:val="p4"/>
        <w:spacing w:line="360" w:lineRule="auto"/>
        <w:ind w:left="5130"/>
        <w:jc w:val="both"/>
        <w:rPr>
          <w:sz w:val="26"/>
          <w:szCs w:val="26"/>
        </w:rPr>
      </w:pPr>
    </w:p>
    <w:p w:rsidR="00D71D0B" w:rsidRDefault="00D71D0B" w:rsidP="00D71D0B">
      <w:pPr>
        <w:pStyle w:val="p4"/>
        <w:spacing w:line="360" w:lineRule="auto"/>
        <w:ind w:left="5130"/>
        <w:jc w:val="both"/>
        <w:rPr>
          <w:sz w:val="26"/>
          <w:szCs w:val="26"/>
        </w:rPr>
      </w:pPr>
    </w:p>
    <w:p w:rsidR="00D71D0B" w:rsidRDefault="00D71D0B" w:rsidP="00D71D0B">
      <w:pPr>
        <w:pStyle w:val="p1"/>
        <w:spacing w:line="360" w:lineRule="auto"/>
        <w:ind w:hanging="1054"/>
        <w:jc w:val="both"/>
        <w:rPr>
          <w:sz w:val="26"/>
          <w:szCs w:val="26"/>
        </w:rPr>
      </w:pPr>
      <w:r>
        <w:rPr>
          <w:sz w:val="26"/>
          <w:szCs w:val="26"/>
        </w:rPr>
        <w:t>(SEAL)</w:t>
      </w:r>
      <w:r>
        <w:t xml:space="preserve"> </w:t>
      </w:r>
    </w:p>
    <w:p w:rsidR="00D71D0B" w:rsidRDefault="00D71D0B" w:rsidP="00D71D0B">
      <w:pPr>
        <w:pStyle w:val="p1"/>
        <w:spacing w:line="360" w:lineRule="auto"/>
        <w:ind w:hanging="1054"/>
        <w:jc w:val="both"/>
        <w:outlineLvl w:val="0"/>
        <w:rPr>
          <w:sz w:val="26"/>
          <w:szCs w:val="26"/>
        </w:rPr>
      </w:pPr>
      <w:r>
        <w:rPr>
          <w:sz w:val="26"/>
          <w:szCs w:val="26"/>
        </w:rPr>
        <w:t xml:space="preserve">ORDER ADOPTED: </w:t>
      </w:r>
      <w:r w:rsidR="00064753">
        <w:rPr>
          <w:sz w:val="26"/>
          <w:szCs w:val="26"/>
        </w:rPr>
        <w:t>August 30</w:t>
      </w:r>
      <w:r>
        <w:rPr>
          <w:sz w:val="26"/>
          <w:szCs w:val="26"/>
        </w:rPr>
        <w:t>, 2012</w:t>
      </w:r>
    </w:p>
    <w:p w:rsidR="00D71D0B" w:rsidRDefault="00D71D0B" w:rsidP="00D71D0B">
      <w:pPr>
        <w:pStyle w:val="p1"/>
        <w:tabs>
          <w:tab w:val="clear" w:pos="691"/>
          <w:tab w:val="clear" w:pos="1054"/>
          <w:tab w:val="left" w:pos="1440"/>
        </w:tabs>
        <w:spacing w:line="360" w:lineRule="auto"/>
        <w:ind w:hanging="1054"/>
        <w:jc w:val="both"/>
        <w:outlineLvl w:val="0"/>
        <w:rPr>
          <w:szCs w:val="26"/>
        </w:rPr>
      </w:pPr>
      <w:r>
        <w:rPr>
          <w:sz w:val="26"/>
          <w:szCs w:val="26"/>
        </w:rPr>
        <w:t xml:space="preserve">ORDER ENTERED: </w:t>
      </w:r>
      <w:r w:rsidR="007D6E2D">
        <w:rPr>
          <w:sz w:val="26"/>
          <w:szCs w:val="26"/>
        </w:rPr>
        <w:t xml:space="preserve"> August 31, 2012</w:t>
      </w:r>
    </w:p>
    <w:p w:rsidR="00D71D0B" w:rsidRDefault="00D71D0B" w:rsidP="00D71D0B"/>
    <w:p w:rsidR="00D71D0B" w:rsidRDefault="00D71D0B" w:rsidP="00D71D0B"/>
    <w:p w:rsidR="00541A14" w:rsidRDefault="00541A14" w:rsidP="00FE32C9"/>
    <w:sectPr w:rsidR="00541A14" w:rsidSect="00CC373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6B9" w:rsidRDefault="005306B9" w:rsidP="001A34AF">
      <w:r>
        <w:separator/>
      </w:r>
    </w:p>
  </w:endnote>
  <w:endnote w:type="continuationSeparator" w:id="0">
    <w:p w:rsidR="005306B9" w:rsidRDefault="005306B9" w:rsidP="001A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269954"/>
      <w:docPartObj>
        <w:docPartGallery w:val="Page Numbers (Bottom of Page)"/>
        <w:docPartUnique/>
      </w:docPartObj>
    </w:sdtPr>
    <w:sdtEndPr>
      <w:rPr>
        <w:noProof/>
      </w:rPr>
    </w:sdtEndPr>
    <w:sdtContent>
      <w:p w:rsidR="001A34AF" w:rsidRDefault="001A34AF">
        <w:pPr>
          <w:pStyle w:val="Footer"/>
          <w:jc w:val="center"/>
        </w:pPr>
        <w:r>
          <w:fldChar w:fldCharType="begin"/>
        </w:r>
        <w:r>
          <w:instrText xml:space="preserve"> PAGE   \* MERGEFORMAT </w:instrText>
        </w:r>
        <w:r>
          <w:fldChar w:fldCharType="separate"/>
        </w:r>
        <w:r w:rsidR="007D6E2D">
          <w:rPr>
            <w:noProof/>
          </w:rPr>
          <w:t>7</w:t>
        </w:r>
        <w:r>
          <w:rPr>
            <w:noProof/>
          </w:rPr>
          <w:fldChar w:fldCharType="end"/>
        </w:r>
      </w:p>
    </w:sdtContent>
  </w:sdt>
  <w:p w:rsidR="001A34AF" w:rsidRDefault="001A3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6B9" w:rsidRDefault="005306B9" w:rsidP="001A34AF">
      <w:r>
        <w:separator/>
      </w:r>
    </w:p>
  </w:footnote>
  <w:footnote w:type="continuationSeparator" w:id="0">
    <w:p w:rsidR="005306B9" w:rsidRDefault="005306B9" w:rsidP="001A34AF">
      <w:r>
        <w:continuationSeparator/>
      </w:r>
    </w:p>
  </w:footnote>
  <w:footnote w:id="1">
    <w:p w:rsidR="00536D28" w:rsidRPr="00B6465B" w:rsidRDefault="006613AC">
      <w:pPr>
        <w:pStyle w:val="FootnoteText"/>
        <w:rPr>
          <w:sz w:val="18"/>
          <w:szCs w:val="18"/>
        </w:rPr>
      </w:pPr>
      <w:r w:rsidRPr="00B6465B">
        <w:rPr>
          <w:rStyle w:val="FootnoteReference"/>
          <w:sz w:val="18"/>
          <w:szCs w:val="18"/>
        </w:rPr>
        <w:footnoteRef/>
      </w:r>
      <w:r w:rsidRPr="00B6465B">
        <w:rPr>
          <w:sz w:val="18"/>
          <w:szCs w:val="18"/>
        </w:rPr>
        <w:t xml:space="preserve"> Wire sizes are expressed in thousands of circular</w:t>
      </w:r>
      <w:r w:rsidR="00F23438" w:rsidRPr="00B6465B">
        <w:rPr>
          <w:sz w:val="18"/>
          <w:szCs w:val="18"/>
        </w:rPr>
        <w:t xml:space="preserve"> mils</w:t>
      </w:r>
      <w:r w:rsidR="00AF3B12" w:rsidRPr="00B6465B">
        <w:rPr>
          <w:sz w:val="18"/>
          <w:szCs w:val="18"/>
        </w:rPr>
        <w:t xml:space="preserve"> (kcmil).  A circular mil is the cross-sectional area of a wire</w:t>
      </w:r>
      <w:r w:rsidR="00536D28" w:rsidRPr="00B6465B">
        <w:rPr>
          <w:sz w:val="18"/>
          <w:szCs w:val="18"/>
        </w:rPr>
        <w:t xml:space="preserve">     </w:t>
      </w:r>
    </w:p>
    <w:p w:rsidR="006613AC" w:rsidRPr="00B6465B" w:rsidRDefault="00536D28">
      <w:pPr>
        <w:pStyle w:val="FootnoteText"/>
        <w:rPr>
          <w:sz w:val="18"/>
          <w:szCs w:val="18"/>
        </w:rPr>
      </w:pPr>
      <w:r w:rsidRPr="00B6465B">
        <w:rPr>
          <w:sz w:val="18"/>
          <w:szCs w:val="18"/>
        </w:rPr>
        <w:t xml:space="preserve">   </w:t>
      </w:r>
      <w:r w:rsidR="00AF3B12" w:rsidRPr="00B6465B">
        <w:rPr>
          <w:sz w:val="18"/>
          <w:szCs w:val="18"/>
        </w:rPr>
        <w:t>one mil in diameter, where 1 kcmil = )</w:t>
      </w:r>
      <w:r w:rsidR="00E06CA9">
        <w:rPr>
          <w:sz w:val="18"/>
          <w:szCs w:val="18"/>
        </w:rPr>
        <w:t>0</w:t>
      </w:r>
      <w:r w:rsidR="00AF3B12" w:rsidRPr="00B6465B">
        <w:rPr>
          <w:sz w:val="18"/>
          <w:szCs w:val="18"/>
        </w:rPr>
        <w:t>.5067 sq. mm.</w:t>
      </w:r>
    </w:p>
  </w:footnote>
  <w:footnote w:id="2">
    <w:p w:rsidR="00B6465B" w:rsidRDefault="00B6465B">
      <w:pPr>
        <w:pStyle w:val="FootnoteText"/>
        <w:rPr>
          <w:sz w:val="18"/>
          <w:szCs w:val="18"/>
        </w:rPr>
      </w:pPr>
    </w:p>
    <w:p w:rsidR="00AF3B12" w:rsidRPr="00B6465B" w:rsidRDefault="00AF3B12">
      <w:pPr>
        <w:pStyle w:val="FootnoteText"/>
        <w:rPr>
          <w:sz w:val="18"/>
          <w:szCs w:val="18"/>
        </w:rPr>
      </w:pPr>
      <w:r w:rsidRPr="00B6465B">
        <w:rPr>
          <w:rStyle w:val="FootnoteReference"/>
          <w:sz w:val="18"/>
          <w:szCs w:val="18"/>
        </w:rPr>
        <w:footnoteRef/>
      </w:r>
      <w:r w:rsidRPr="00B6465B">
        <w:rPr>
          <w:sz w:val="18"/>
          <w:szCs w:val="18"/>
        </w:rPr>
        <w:t xml:space="preserve"> ACSR stands for aluminum conductor steel reinforced.</w:t>
      </w:r>
    </w:p>
  </w:footnote>
  <w:footnote w:id="3">
    <w:p w:rsidR="00B6465B" w:rsidRDefault="00B6465B">
      <w:pPr>
        <w:pStyle w:val="FootnoteText"/>
        <w:rPr>
          <w:sz w:val="18"/>
          <w:szCs w:val="18"/>
        </w:rPr>
      </w:pPr>
    </w:p>
    <w:p w:rsidR="00D92CD5" w:rsidRPr="00B6465B" w:rsidRDefault="00D92CD5">
      <w:pPr>
        <w:pStyle w:val="FootnoteText"/>
        <w:rPr>
          <w:sz w:val="18"/>
          <w:szCs w:val="18"/>
        </w:rPr>
      </w:pPr>
      <w:r w:rsidRPr="00B6465B">
        <w:rPr>
          <w:rStyle w:val="FootnoteReference"/>
          <w:sz w:val="18"/>
          <w:szCs w:val="18"/>
        </w:rPr>
        <w:footnoteRef/>
      </w:r>
      <w:r w:rsidRPr="00B6465B">
        <w:rPr>
          <w:sz w:val="18"/>
          <w:szCs w:val="18"/>
        </w:rPr>
        <w:t xml:space="preserve"> An N-1-1 event involves the loss of one system element followed by system readjustments, and the loss of a  </w:t>
      </w:r>
    </w:p>
    <w:p w:rsidR="00D92CD5" w:rsidRPr="00B6465B" w:rsidRDefault="00D92CD5">
      <w:pPr>
        <w:pStyle w:val="FootnoteText"/>
        <w:rPr>
          <w:sz w:val="18"/>
          <w:szCs w:val="18"/>
        </w:rPr>
      </w:pPr>
      <w:r w:rsidRPr="00B6465B">
        <w:rPr>
          <w:sz w:val="18"/>
          <w:szCs w:val="18"/>
        </w:rPr>
        <w:t xml:space="preserve">  second system element.</w:t>
      </w:r>
    </w:p>
  </w:footnote>
  <w:footnote w:id="4">
    <w:p w:rsidR="00B6465B" w:rsidRDefault="00B6465B">
      <w:pPr>
        <w:pStyle w:val="FootnoteText"/>
        <w:rPr>
          <w:sz w:val="18"/>
          <w:szCs w:val="18"/>
        </w:rPr>
      </w:pPr>
    </w:p>
    <w:p w:rsidR="00B6465B" w:rsidRDefault="00CC6E29">
      <w:pPr>
        <w:pStyle w:val="FootnoteText"/>
        <w:rPr>
          <w:sz w:val="18"/>
          <w:szCs w:val="18"/>
        </w:rPr>
      </w:pPr>
      <w:r w:rsidRPr="00B6465B">
        <w:rPr>
          <w:rStyle w:val="FootnoteReference"/>
          <w:sz w:val="18"/>
          <w:szCs w:val="18"/>
        </w:rPr>
        <w:footnoteRef/>
      </w:r>
      <w:r w:rsidRPr="00B6465B">
        <w:rPr>
          <w:sz w:val="18"/>
          <w:szCs w:val="18"/>
        </w:rPr>
        <w:t xml:space="preserve">  Transmission </w:t>
      </w:r>
      <w:r w:rsidR="00B6465B">
        <w:rPr>
          <w:sz w:val="18"/>
          <w:szCs w:val="18"/>
        </w:rPr>
        <w:t xml:space="preserve">lines have a maximum rated thermal capacity, which is the maximum electrical current they can safely carry.  </w:t>
      </w:r>
    </w:p>
    <w:p w:rsidR="00B6465B" w:rsidRDefault="00B6465B">
      <w:pPr>
        <w:pStyle w:val="FootnoteText"/>
        <w:rPr>
          <w:sz w:val="18"/>
          <w:szCs w:val="18"/>
        </w:rPr>
      </w:pPr>
      <w:r>
        <w:rPr>
          <w:sz w:val="18"/>
          <w:szCs w:val="18"/>
        </w:rPr>
        <w:t xml:space="preserve">   Overloading transmission lines may cause permanent damage to transmission infrastructure and catastrophic long duration   </w:t>
      </w:r>
    </w:p>
    <w:p w:rsidR="00CC6E29" w:rsidRPr="00B6465B" w:rsidRDefault="00B6465B">
      <w:pPr>
        <w:pStyle w:val="FootnoteText"/>
        <w:rPr>
          <w:sz w:val="18"/>
          <w:szCs w:val="18"/>
        </w:rPr>
      </w:pPr>
      <w:r>
        <w:rPr>
          <w:sz w:val="18"/>
          <w:szCs w:val="18"/>
        </w:rPr>
        <w:t xml:space="preserve">   power outages.</w:t>
      </w:r>
    </w:p>
  </w:footnote>
  <w:footnote w:id="5">
    <w:p w:rsidR="00C52EB3" w:rsidRDefault="00C52EB3">
      <w:pPr>
        <w:pStyle w:val="FootnoteText"/>
      </w:pPr>
      <w:r>
        <w:rPr>
          <w:rStyle w:val="FootnoteReference"/>
        </w:rPr>
        <w:footnoteRef/>
      </w:r>
      <w:r>
        <w:t xml:space="preserve"> The summer emergency rating of 795 kcmil ACSR is</w:t>
      </w:r>
      <w:r w:rsidR="00D44050">
        <w:t xml:space="preserve"> 161 MV</w:t>
      </w:r>
      <w:r>
        <w:t xml:space="preserve">A compared to 92 MVA for 336 kcmil ACSR.  </w:t>
      </w:r>
    </w:p>
  </w:footnote>
  <w:footnote w:id="6">
    <w:p w:rsidR="00AB7039" w:rsidRDefault="00AB7039">
      <w:pPr>
        <w:pStyle w:val="FootnoteText"/>
      </w:pPr>
      <w:r>
        <w:rPr>
          <w:rStyle w:val="FootnoteReference"/>
        </w:rPr>
        <w:footnoteRef/>
      </w:r>
      <w:r>
        <w:t xml:space="preserve"> The high pole will be 97 feet high, and the low pole will be 60 feet high.</w:t>
      </w:r>
    </w:p>
  </w:footnote>
  <w:footnote w:id="7">
    <w:p w:rsidR="00041DFD" w:rsidRDefault="00041DFD">
      <w:pPr>
        <w:pStyle w:val="FootnoteText"/>
      </w:pPr>
      <w:r>
        <w:rPr>
          <w:rStyle w:val="FootnoteReference"/>
        </w:rPr>
        <w:footnoteRef/>
      </w:r>
      <w:r>
        <w:t xml:space="preserve"> In order to facilitate the rebuild of the Line without using custom-designed structures, PPL Electric is attempting to widen its right-of-way across one property.  PPL Electric has appro</w:t>
      </w:r>
      <w:r w:rsidR="00D240BA">
        <w:t>ached the Dunkard Brethren Church for a 0.5 acre increase in the width of the right-of-way that traverses the church property for the installation of guy wires on an angle structure.  If the Church declines, PPL Electric will install a custom-designed steel pole on a concrete foundation within the existing right-of-way.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30CD"/>
    <w:multiLevelType w:val="hybridMultilevel"/>
    <w:tmpl w:val="E7D8E52A"/>
    <w:lvl w:ilvl="0" w:tplc="1C28A2D8">
      <w:start w:val="3"/>
      <w:numFmt w:val="lowerRoman"/>
      <w:lvlText w:val="(%1)"/>
      <w:lvlJc w:val="left"/>
      <w:pPr>
        <w:tabs>
          <w:tab w:val="num" w:pos="1257"/>
        </w:tabs>
        <w:ind w:left="1257" w:hanging="720"/>
      </w:pPr>
      <w:rPr>
        <w:rFonts w:cs="Times New Roman"/>
      </w:rPr>
    </w:lvl>
    <w:lvl w:ilvl="1" w:tplc="04090019">
      <w:start w:val="1"/>
      <w:numFmt w:val="lowerLetter"/>
      <w:lvlText w:val="%2."/>
      <w:lvlJc w:val="left"/>
      <w:pPr>
        <w:tabs>
          <w:tab w:val="num" w:pos="1617"/>
        </w:tabs>
        <w:ind w:left="1617" w:hanging="360"/>
      </w:pPr>
      <w:rPr>
        <w:rFonts w:cs="Times New Roman"/>
      </w:rPr>
    </w:lvl>
    <w:lvl w:ilvl="2" w:tplc="0409001B">
      <w:start w:val="1"/>
      <w:numFmt w:val="lowerRoman"/>
      <w:lvlText w:val="%3."/>
      <w:lvlJc w:val="right"/>
      <w:pPr>
        <w:tabs>
          <w:tab w:val="num" w:pos="2337"/>
        </w:tabs>
        <w:ind w:left="2337" w:hanging="180"/>
      </w:pPr>
      <w:rPr>
        <w:rFonts w:cs="Times New Roman"/>
      </w:rPr>
    </w:lvl>
    <w:lvl w:ilvl="3" w:tplc="0409000F">
      <w:start w:val="1"/>
      <w:numFmt w:val="decimal"/>
      <w:lvlText w:val="%4."/>
      <w:lvlJc w:val="left"/>
      <w:pPr>
        <w:tabs>
          <w:tab w:val="num" w:pos="3057"/>
        </w:tabs>
        <w:ind w:left="3057" w:hanging="360"/>
      </w:pPr>
      <w:rPr>
        <w:rFonts w:cs="Times New Roman"/>
      </w:rPr>
    </w:lvl>
    <w:lvl w:ilvl="4" w:tplc="04090019">
      <w:start w:val="1"/>
      <w:numFmt w:val="lowerLetter"/>
      <w:lvlText w:val="%5."/>
      <w:lvlJc w:val="left"/>
      <w:pPr>
        <w:tabs>
          <w:tab w:val="num" w:pos="3777"/>
        </w:tabs>
        <w:ind w:left="3777" w:hanging="360"/>
      </w:pPr>
      <w:rPr>
        <w:rFonts w:cs="Times New Roman"/>
      </w:rPr>
    </w:lvl>
    <w:lvl w:ilvl="5" w:tplc="0409001B">
      <w:start w:val="1"/>
      <w:numFmt w:val="lowerRoman"/>
      <w:lvlText w:val="%6."/>
      <w:lvlJc w:val="right"/>
      <w:pPr>
        <w:tabs>
          <w:tab w:val="num" w:pos="4497"/>
        </w:tabs>
        <w:ind w:left="4497" w:hanging="180"/>
      </w:pPr>
      <w:rPr>
        <w:rFonts w:cs="Times New Roman"/>
      </w:rPr>
    </w:lvl>
    <w:lvl w:ilvl="6" w:tplc="0409000F">
      <w:start w:val="1"/>
      <w:numFmt w:val="decimal"/>
      <w:lvlText w:val="%7."/>
      <w:lvlJc w:val="left"/>
      <w:pPr>
        <w:tabs>
          <w:tab w:val="num" w:pos="5217"/>
        </w:tabs>
        <w:ind w:left="5217" w:hanging="360"/>
      </w:pPr>
      <w:rPr>
        <w:rFonts w:cs="Times New Roman"/>
      </w:rPr>
    </w:lvl>
    <w:lvl w:ilvl="7" w:tplc="04090019">
      <w:start w:val="1"/>
      <w:numFmt w:val="lowerLetter"/>
      <w:lvlText w:val="%8."/>
      <w:lvlJc w:val="left"/>
      <w:pPr>
        <w:tabs>
          <w:tab w:val="num" w:pos="5937"/>
        </w:tabs>
        <w:ind w:left="5937" w:hanging="360"/>
      </w:pPr>
      <w:rPr>
        <w:rFonts w:cs="Times New Roman"/>
      </w:rPr>
    </w:lvl>
    <w:lvl w:ilvl="8" w:tplc="0409001B">
      <w:start w:val="1"/>
      <w:numFmt w:val="lowerRoman"/>
      <w:lvlText w:val="%9."/>
      <w:lvlJc w:val="right"/>
      <w:pPr>
        <w:tabs>
          <w:tab w:val="num" w:pos="6657"/>
        </w:tabs>
        <w:ind w:left="6657" w:hanging="180"/>
      </w:pPr>
      <w:rPr>
        <w:rFonts w:cs="Times New Roman"/>
      </w:rPr>
    </w:lvl>
  </w:abstractNum>
  <w:abstractNum w:abstractNumId="1">
    <w:nsid w:val="12CE0C6D"/>
    <w:multiLevelType w:val="hybridMultilevel"/>
    <w:tmpl w:val="D786B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85087"/>
    <w:multiLevelType w:val="hybridMultilevel"/>
    <w:tmpl w:val="5D04F61C"/>
    <w:lvl w:ilvl="0" w:tplc="7E9216F2">
      <w:start w:val="1"/>
      <w:numFmt w:val="lowerRoman"/>
      <w:lvlText w:val="(%1)"/>
      <w:lvlJc w:val="left"/>
      <w:pPr>
        <w:tabs>
          <w:tab w:val="num" w:pos="1410"/>
        </w:tabs>
        <w:ind w:left="1410" w:hanging="720"/>
      </w:pPr>
      <w:rPr>
        <w:rFonts w:cs="Times New Roman"/>
      </w:rPr>
    </w:lvl>
    <w:lvl w:ilvl="1" w:tplc="42263AB0">
      <w:start w:val="13"/>
      <w:numFmt w:val="decimal"/>
      <w:lvlText w:val="%2."/>
      <w:lvlJc w:val="left"/>
      <w:pPr>
        <w:tabs>
          <w:tab w:val="num" w:pos="2850"/>
        </w:tabs>
        <w:ind w:left="2850" w:hanging="1440"/>
      </w:pPr>
    </w:lvl>
    <w:lvl w:ilvl="2" w:tplc="0409001B">
      <w:start w:val="1"/>
      <w:numFmt w:val="lowerRoman"/>
      <w:lvlText w:val="%3."/>
      <w:lvlJc w:val="right"/>
      <w:pPr>
        <w:tabs>
          <w:tab w:val="num" w:pos="2490"/>
        </w:tabs>
        <w:ind w:left="2490" w:hanging="180"/>
      </w:pPr>
      <w:rPr>
        <w:rFonts w:cs="Times New Roman"/>
      </w:rPr>
    </w:lvl>
    <w:lvl w:ilvl="3" w:tplc="0409000F">
      <w:start w:val="1"/>
      <w:numFmt w:val="decimal"/>
      <w:lvlText w:val="%4."/>
      <w:lvlJc w:val="left"/>
      <w:pPr>
        <w:tabs>
          <w:tab w:val="num" w:pos="3210"/>
        </w:tabs>
        <w:ind w:left="3210" w:hanging="360"/>
      </w:pPr>
      <w:rPr>
        <w:rFonts w:cs="Times New Roman"/>
      </w:rPr>
    </w:lvl>
    <w:lvl w:ilvl="4" w:tplc="04090019">
      <w:start w:val="1"/>
      <w:numFmt w:val="lowerLetter"/>
      <w:lvlText w:val="%5."/>
      <w:lvlJc w:val="left"/>
      <w:pPr>
        <w:tabs>
          <w:tab w:val="num" w:pos="3930"/>
        </w:tabs>
        <w:ind w:left="3930" w:hanging="360"/>
      </w:pPr>
      <w:rPr>
        <w:rFonts w:cs="Times New Roman"/>
      </w:rPr>
    </w:lvl>
    <w:lvl w:ilvl="5" w:tplc="0409001B">
      <w:start w:val="1"/>
      <w:numFmt w:val="lowerRoman"/>
      <w:lvlText w:val="%6."/>
      <w:lvlJc w:val="right"/>
      <w:pPr>
        <w:tabs>
          <w:tab w:val="num" w:pos="4650"/>
        </w:tabs>
        <w:ind w:left="4650" w:hanging="180"/>
      </w:pPr>
      <w:rPr>
        <w:rFonts w:cs="Times New Roman"/>
      </w:rPr>
    </w:lvl>
    <w:lvl w:ilvl="6" w:tplc="0409000F">
      <w:start w:val="1"/>
      <w:numFmt w:val="decimal"/>
      <w:lvlText w:val="%7."/>
      <w:lvlJc w:val="left"/>
      <w:pPr>
        <w:tabs>
          <w:tab w:val="num" w:pos="5370"/>
        </w:tabs>
        <w:ind w:left="5370" w:hanging="360"/>
      </w:pPr>
      <w:rPr>
        <w:rFonts w:cs="Times New Roman"/>
      </w:rPr>
    </w:lvl>
    <w:lvl w:ilvl="7" w:tplc="04090019">
      <w:start w:val="1"/>
      <w:numFmt w:val="lowerLetter"/>
      <w:lvlText w:val="%8."/>
      <w:lvlJc w:val="left"/>
      <w:pPr>
        <w:tabs>
          <w:tab w:val="num" w:pos="6090"/>
        </w:tabs>
        <w:ind w:left="6090" w:hanging="360"/>
      </w:pPr>
      <w:rPr>
        <w:rFonts w:cs="Times New Roman"/>
      </w:rPr>
    </w:lvl>
    <w:lvl w:ilvl="8" w:tplc="0409001B">
      <w:start w:val="1"/>
      <w:numFmt w:val="lowerRoman"/>
      <w:lvlText w:val="%9."/>
      <w:lvlJc w:val="right"/>
      <w:pPr>
        <w:tabs>
          <w:tab w:val="num" w:pos="6810"/>
        </w:tabs>
        <w:ind w:left="6810" w:hanging="180"/>
      </w:pPr>
      <w:rPr>
        <w:rFonts w:cs="Times New Roman"/>
      </w:rPr>
    </w:lvl>
  </w:abstractNum>
  <w:abstractNum w:abstractNumId="3">
    <w:nsid w:val="61427685"/>
    <w:multiLevelType w:val="hybridMultilevel"/>
    <w:tmpl w:val="A9E649BC"/>
    <w:lvl w:ilvl="0" w:tplc="335A62D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659F3E6F"/>
    <w:multiLevelType w:val="hybridMultilevel"/>
    <w:tmpl w:val="F452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0B"/>
    <w:rsid w:val="0001216A"/>
    <w:rsid w:val="00020759"/>
    <w:rsid w:val="00020798"/>
    <w:rsid w:val="000363B2"/>
    <w:rsid w:val="00040BF9"/>
    <w:rsid w:val="00041DFD"/>
    <w:rsid w:val="0004351B"/>
    <w:rsid w:val="00050508"/>
    <w:rsid w:val="0005379B"/>
    <w:rsid w:val="00055AA7"/>
    <w:rsid w:val="00064753"/>
    <w:rsid w:val="000828C6"/>
    <w:rsid w:val="00083548"/>
    <w:rsid w:val="000E504B"/>
    <w:rsid w:val="001046A9"/>
    <w:rsid w:val="00107589"/>
    <w:rsid w:val="001256FB"/>
    <w:rsid w:val="00151E9F"/>
    <w:rsid w:val="00154025"/>
    <w:rsid w:val="001629DC"/>
    <w:rsid w:val="00164FD5"/>
    <w:rsid w:val="001708C0"/>
    <w:rsid w:val="00174860"/>
    <w:rsid w:val="00183E61"/>
    <w:rsid w:val="00192322"/>
    <w:rsid w:val="00194622"/>
    <w:rsid w:val="001970F3"/>
    <w:rsid w:val="001A34AF"/>
    <w:rsid w:val="001A38B5"/>
    <w:rsid w:val="001A7CCE"/>
    <w:rsid w:val="001C3D0E"/>
    <w:rsid w:val="001D506A"/>
    <w:rsid w:val="00204B39"/>
    <w:rsid w:val="00205A69"/>
    <w:rsid w:val="00222089"/>
    <w:rsid w:val="002353EA"/>
    <w:rsid w:val="00244DE6"/>
    <w:rsid w:val="00260C8C"/>
    <w:rsid w:val="0026203C"/>
    <w:rsid w:val="00275447"/>
    <w:rsid w:val="00285D59"/>
    <w:rsid w:val="002B1574"/>
    <w:rsid w:val="002B4021"/>
    <w:rsid w:val="002B5FAB"/>
    <w:rsid w:val="002E3423"/>
    <w:rsid w:val="002E639D"/>
    <w:rsid w:val="0031630D"/>
    <w:rsid w:val="00321781"/>
    <w:rsid w:val="0032210D"/>
    <w:rsid w:val="00330004"/>
    <w:rsid w:val="00330C72"/>
    <w:rsid w:val="003329EE"/>
    <w:rsid w:val="003416BF"/>
    <w:rsid w:val="00344A7E"/>
    <w:rsid w:val="0034786B"/>
    <w:rsid w:val="003521F2"/>
    <w:rsid w:val="0035612C"/>
    <w:rsid w:val="003564B8"/>
    <w:rsid w:val="003672FA"/>
    <w:rsid w:val="0037216B"/>
    <w:rsid w:val="003829A3"/>
    <w:rsid w:val="00383CDD"/>
    <w:rsid w:val="003943E2"/>
    <w:rsid w:val="00394AC5"/>
    <w:rsid w:val="003A2568"/>
    <w:rsid w:val="003A58CF"/>
    <w:rsid w:val="003C3BE4"/>
    <w:rsid w:val="003D5394"/>
    <w:rsid w:val="003E5DD7"/>
    <w:rsid w:val="003E768C"/>
    <w:rsid w:val="003F3118"/>
    <w:rsid w:val="004170AB"/>
    <w:rsid w:val="00422734"/>
    <w:rsid w:val="00426AD3"/>
    <w:rsid w:val="00434B43"/>
    <w:rsid w:val="0044136D"/>
    <w:rsid w:val="00446B9E"/>
    <w:rsid w:val="00464D06"/>
    <w:rsid w:val="0049072C"/>
    <w:rsid w:val="00497B5C"/>
    <w:rsid w:val="004B0FDB"/>
    <w:rsid w:val="004D5510"/>
    <w:rsid w:val="004E6CD9"/>
    <w:rsid w:val="004F62AB"/>
    <w:rsid w:val="00502234"/>
    <w:rsid w:val="00517A6F"/>
    <w:rsid w:val="005245A5"/>
    <w:rsid w:val="00526937"/>
    <w:rsid w:val="00527C67"/>
    <w:rsid w:val="005306B9"/>
    <w:rsid w:val="00530719"/>
    <w:rsid w:val="00536D28"/>
    <w:rsid w:val="00541A14"/>
    <w:rsid w:val="00547D84"/>
    <w:rsid w:val="00572E94"/>
    <w:rsid w:val="00575156"/>
    <w:rsid w:val="00586ECA"/>
    <w:rsid w:val="005948FF"/>
    <w:rsid w:val="005A1BB0"/>
    <w:rsid w:val="005A690C"/>
    <w:rsid w:val="005B4AE8"/>
    <w:rsid w:val="005D0E97"/>
    <w:rsid w:val="005D2CE8"/>
    <w:rsid w:val="005D72F0"/>
    <w:rsid w:val="005E18BE"/>
    <w:rsid w:val="005E3A56"/>
    <w:rsid w:val="00600C3E"/>
    <w:rsid w:val="00621E6A"/>
    <w:rsid w:val="00631B3E"/>
    <w:rsid w:val="006550FC"/>
    <w:rsid w:val="006613AC"/>
    <w:rsid w:val="006954DA"/>
    <w:rsid w:val="006A5019"/>
    <w:rsid w:val="006A7FB9"/>
    <w:rsid w:val="006B7111"/>
    <w:rsid w:val="006F0A58"/>
    <w:rsid w:val="0070093D"/>
    <w:rsid w:val="00745044"/>
    <w:rsid w:val="007654B3"/>
    <w:rsid w:val="00765FF0"/>
    <w:rsid w:val="007749B1"/>
    <w:rsid w:val="0078178E"/>
    <w:rsid w:val="007833DD"/>
    <w:rsid w:val="00793038"/>
    <w:rsid w:val="007B2F77"/>
    <w:rsid w:val="007D2053"/>
    <w:rsid w:val="007D6E2D"/>
    <w:rsid w:val="007F4B91"/>
    <w:rsid w:val="007F6577"/>
    <w:rsid w:val="0081100A"/>
    <w:rsid w:val="00813E3C"/>
    <w:rsid w:val="0082121F"/>
    <w:rsid w:val="00822E2A"/>
    <w:rsid w:val="0085740D"/>
    <w:rsid w:val="00875B9B"/>
    <w:rsid w:val="00882D61"/>
    <w:rsid w:val="00890AFF"/>
    <w:rsid w:val="008B40B5"/>
    <w:rsid w:val="008C27FB"/>
    <w:rsid w:val="008C63C6"/>
    <w:rsid w:val="008D2ED6"/>
    <w:rsid w:val="008D4216"/>
    <w:rsid w:val="00916F10"/>
    <w:rsid w:val="00921CAA"/>
    <w:rsid w:val="009248C9"/>
    <w:rsid w:val="00943224"/>
    <w:rsid w:val="009619AD"/>
    <w:rsid w:val="009758D3"/>
    <w:rsid w:val="00977983"/>
    <w:rsid w:val="00982C39"/>
    <w:rsid w:val="0098495C"/>
    <w:rsid w:val="00996676"/>
    <w:rsid w:val="009A03D5"/>
    <w:rsid w:val="009A3B80"/>
    <w:rsid w:val="009C20FF"/>
    <w:rsid w:val="009C2919"/>
    <w:rsid w:val="009E0AC5"/>
    <w:rsid w:val="009F3EC4"/>
    <w:rsid w:val="00A006E9"/>
    <w:rsid w:val="00A02A76"/>
    <w:rsid w:val="00A33603"/>
    <w:rsid w:val="00A45EAA"/>
    <w:rsid w:val="00A53E29"/>
    <w:rsid w:val="00A65B71"/>
    <w:rsid w:val="00A67DCB"/>
    <w:rsid w:val="00A859EE"/>
    <w:rsid w:val="00A92738"/>
    <w:rsid w:val="00A94BBA"/>
    <w:rsid w:val="00AB1497"/>
    <w:rsid w:val="00AB7039"/>
    <w:rsid w:val="00AC26C9"/>
    <w:rsid w:val="00AD0743"/>
    <w:rsid w:val="00AD2A69"/>
    <w:rsid w:val="00AD5BA8"/>
    <w:rsid w:val="00AD72EA"/>
    <w:rsid w:val="00AE7B1C"/>
    <w:rsid w:val="00AF300A"/>
    <w:rsid w:val="00AF3B12"/>
    <w:rsid w:val="00AF79DF"/>
    <w:rsid w:val="00B02D5D"/>
    <w:rsid w:val="00B16FF6"/>
    <w:rsid w:val="00B33790"/>
    <w:rsid w:val="00B37F16"/>
    <w:rsid w:val="00B50AB6"/>
    <w:rsid w:val="00B54331"/>
    <w:rsid w:val="00B54C3E"/>
    <w:rsid w:val="00B6465B"/>
    <w:rsid w:val="00B81DE3"/>
    <w:rsid w:val="00B83710"/>
    <w:rsid w:val="00B958BB"/>
    <w:rsid w:val="00B95E84"/>
    <w:rsid w:val="00BC12B7"/>
    <w:rsid w:val="00BC2491"/>
    <w:rsid w:val="00BC51F2"/>
    <w:rsid w:val="00BD288A"/>
    <w:rsid w:val="00BF24CA"/>
    <w:rsid w:val="00C045CE"/>
    <w:rsid w:val="00C159BE"/>
    <w:rsid w:val="00C21D0E"/>
    <w:rsid w:val="00C255AB"/>
    <w:rsid w:val="00C3009C"/>
    <w:rsid w:val="00C52EB3"/>
    <w:rsid w:val="00C537FE"/>
    <w:rsid w:val="00C57267"/>
    <w:rsid w:val="00C57993"/>
    <w:rsid w:val="00C7066B"/>
    <w:rsid w:val="00C736A3"/>
    <w:rsid w:val="00C73961"/>
    <w:rsid w:val="00C77791"/>
    <w:rsid w:val="00C8584D"/>
    <w:rsid w:val="00C85D89"/>
    <w:rsid w:val="00C926A3"/>
    <w:rsid w:val="00C931A5"/>
    <w:rsid w:val="00CA1D66"/>
    <w:rsid w:val="00CA4C09"/>
    <w:rsid w:val="00CB1694"/>
    <w:rsid w:val="00CC3733"/>
    <w:rsid w:val="00CC6A70"/>
    <w:rsid w:val="00CC6E29"/>
    <w:rsid w:val="00D0280E"/>
    <w:rsid w:val="00D240BA"/>
    <w:rsid w:val="00D3486E"/>
    <w:rsid w:val="00D43132"/>
    <w:rsid w:val="00D44050"/>
    <w:rsid w:val="00D44D2B"/>
    <w:rsid w:val="00D455CB"/>
    <w:rsid w:val="00D51535"/>
    <w:rsid w:val="00D54887"/>
    <w:rsid w:val="00D66E14"/>
    <w:rsid w:val="00D71D0B"/>
    <w:rsid w:val="00D73F17"/>
    <w:rsid w:val="00D74B18"/>
    <w:rsid w:val="00D76F9A"/>
    <w:rsid w:val="00D861B4"/>
    <w:rsid w:val="00D92CD5"/>
    <w:rsid w:val="00D97A89"/>
    <w:rsid w:val="00DA5CE3"/>
    <w:rsid w:val="00DD6958"/>
    <w:rsid w:val="00DE5E7A"/>
    <w:rsid w:val="00DF35F5"/>
    <w:rsid w:val="00E04AF7"/>
    <w:rsid w:val="00E06CA9"/>
    <w:rsid w:val="00E21DF1"/>
    <w:rsid w:val="00E23ABB"/>
    <w:rsid w:val="00E30C03"/>
    <w:rsid w:val="00E3350D"/>
    <w:rsid w:val="00E34115"/>
    <w:rsid w:val="00E37C0B"/>
    <w:rsid w:val="00E63982"/>
    <w:rsid w:val="00E66AD3"/>
    <w:rsid w:val="00E67C2C"/>
    <w:rsid w:val="00E82BCB"/>
    <w:rsid w:val="00E868BF"/>
    <w:rsid w:val="00EB1CD5"/>
    <w:rsid w:val="00EB7483"/>
    <w:rsid w:val="00EE325D"/>
    <w:rsid w:val="00EF625C"/>
    <w:rsid w:val="00F055E0"/>
    <w:rsid w:val="00F07D7C"/>
    <w:rsid w:val="00F12A7D"/>
    <w:rsid w:val="00F23438"/>
    <w:rsid w:val="00F4146A"/>
    <w:rsid w:val="00F425F8"/>
    <w:rsid w:val="00F43894"/>
    <w:rsid w:val="00F4783A"/>
    <w:rsid w:val="00F553C8"/>
    <w:rsid w:val="00F86313"/>
    <w:rsid w:val="00F91A2F"/>
    <w:rsid w:val="00F957D3"/>
    <w:rsid w:val="00FA5B59"/>
    <w:rsid w:val="00FA6351"/>
    <w:rsid w:val="00FB5A9E"/>
    <w:rsid w:val="00FC480F"/>
    <w:rsid w:val="00FD0284"/>
    <w:rsid w:val="00FD5653"/>
    <w:rsid w:val="00FE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A20BB-464B-4E94-BB6D-6FF8C530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7</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Miller, Sara</cp:lastModifiedBy>
  <cp:revision>39</cp:revision>
  <cp:lastPrinted>2012-08-31T11:14:00Z</cp:lastPrinted>
  <dcterms:created xsi:type="dcterms:W3CDTF">2012-08-14T18:46:00Z</dcterms:created>
  <dcterms:modified xsi:type="dcterms:W3CDTF">2012-08-31T11:14:00Z</dcterms:modified>
</cp:coreProperties>
</file>