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8FE" w:rsidRPr="00F048FE" w:rsidRDefault="00F048FE" w:rsidP="0020399E">
      <w:pPr>
        <w:pStyle w:val="TxBrc2"/>
        <w:widowControl/>
        <w:spacing w:line="240" w:lineRule="auto"/>
        <w:ind w:firstLine="0"/>
        <w:rPr>
          <w:b/>
          <w:szCs w:val="26"/>
        </w:rPr>
      </w:pPr>
      <w:r w:rsidRPr="00F048FE">
        <w:rPr>
          <w:b/>
          <w:szCs w:val="26"/>
        </w:rPr>
        <w:t>PENNSYLVANIA</w:t>
      </w:r>
    </w:p>
    <w:p w:rsidR="00F048FE" w:rsidRPr="00F048FE" w:rsidRDefault="00F048FE" w:rsidP="0020399E">
      <w:pPr>
        <w:pStyle w:val="TxBrc2"/>
        <w:widowControl/>
        <w:spacing w:line="240" w:lineRule="auto"/>
        <w:ind w:firstLine="0"/>
        <w:rPr>
          <w:b/>
          <w:szCs w:val="26"/>
        </w:rPr>
      </w:pPr>
      <w:r w:rsidRPr="00F048FE">
        <w:rPr>
          <w:b/>
          <w:szCs w:val="26"/>
        </w:rPr>
        <w:t>PUBLIC UTILITY COMMISSION</w:t>
      </w:r>
    </w:p>
    <w:p w:rsidR="00F048FE" w:rsidRPr="00F048FE" w:rsidRDefault="00F048FE" w:rsidP="0020399E">
      <w:pPr>
        <w:pStyle w:val="TxBrc2"/>
        <w:widowControl/>
        <w:spacing w:line="240" w:lineRule="auto"/>
        <w:ind w:firstLine="0"/>
        <w:rPr>
          <w:b/>
          <w:szCs w:val="26"/>
        </w:rPr>
      </w:pPr>
      <w:r w:rsidRPr="00F048FE">
        <w:rPr>
          <w:b/>
          <w:szCs w:val="26"/>
        </w:rPr>
        <w:t>Harrisburg, PA 17105</w:t>
      </w:r>
    </w:p>
    <w:p w:rsidR="00F048FE" w:rsidRPr="00F048FE" w:rsidRDefault="00F048FE" w:rsidP="0020399E">
      <w:pPr>
        <w:pStyle w:val="TxBrc2"/>
        <w:widowControl/>
        <w:spacing w:line="360" w:lineRule="auto"/>
        <w:ind w:firstLine="0"/>
        <w:jc w:val="left"/>
        <w:rPr>
          <w:szCs w:val="26"/>
        </w:rPr>
      </w:pPr>
    </w:p>
    <w:p w:rsidR="00F048FE" w:rsidRPr="00F048FE" w:rsidRDefault="00F048FE" w:rsidP="0020399E">
      <w:pPr>
        <w:pStyle w:val="TxBrc2"/>
        <w:widowControl/>
        <w:spacing w:line="360" w:lineRule="auto"/>
        <w:ind w:firstLine="0"/>
        <w:jc w:val="left"/>
        <w:rPr>
          <w:szCs w:val="26"/>
        </w:rPr>
      </w:pPr>
    </w:p>
    <w:p w:rsidR="00F048FE" w:rsidRPr="00F048FE" w:rsidRDefault="00F048FE" w:rsidP="0020399E">
      <w:pPr>
        <w:pStyle w:val="TxBrc2"/>
        <w:widowControl/>
        <w:spacing w:line="240" w:lineRule="auto"/>
        <w:jc w:val="right"/>
        <w:rPr>
          <w:szCs w:val="26"/>
        </w:rPr>
      </w:pPr>
      <w:r w:rsidRPr="00F048FE">
        <w:rPr>
          <w:szCs w:val="26"/>
        </w:rPr>
        <w:t xml:space="preserve">Public Meeting held </w:t>
      </w:r>
      <w:r w:rsidR="002637D1">
        <w:rPr>
          <w:szCs w:val="26"/>
        </w:rPr>
        <w:t xml:space="preserve">August </w:t>
      </w:r>
      <w:r w:rsidR="00F73A23">
        <w:rPr>
          <w:szCs w:val="26"/>
        </w:rPr>
        <w:t>30</w:t>
      </w:r>
      <w:r w:rsidRPr="00F048FE">
        <w:rPr>
          <w:szCs w:val="26"/>
        </w:rPr>
        <w:t>, 2012</w:t>
      </w:r>
    </w:p>
    <w:p w:rsidR="00F048FE" w:rsidRPr="00F048FE" w:rsidRDefault="00F048FE" w:rsidP="0020399E">
      <w:pPr>
        <w:jc w:val="left"/>
        <w:rPr>
          <w:sz w:val="26"/>
          <w:szCs w:val="26"/>
        </w:rPr>
      </w:pPr>
    </w:p>
    <w:p w:rsidR="00F048FE" w:rsidRPr="00F048FE" w:rsidRDefault="00F048FE" w:rsidP="0020399E">
      <w:pPr>
        <w:spacing w:line="240" w:lineRule="auto"/>
        <w:jc w:val="left"/>
        <w:rPr>
          <w:sz w:val="26"/>
          <w:szCs w:val="26"/>
        </w:rPr>
      </w:pPr>
      <w:r w:rsidRPr="00F048FE">
        <w:rPr>
          <w:sz w:val="26"/>
          <w:szCs w:val="26"/>
        </w:rPr>
        <w:t>Commissioners Present:</w:t>
      </w:r>
    </w:p>
    <w:p w:rsidR="00F048FE" w:rsidRPr="00F048FE" w:rsidRDefault="00F048FE" w:rsidP="0020399E">
      <w:pPr>
        <w:spacing w:line="240" w:lineRule="auto"/>
        <w:jc w:val="left"/>
        <w:rPr>
          <w:sz w:val="26"/>
          <w:szCs w:val="26"/>
        </w:rPr>
      </w:pPr>
    </w:p>
    <w:p w:rsidR="00F048FE" w:rsidRPr="00F048FE" w:rsidRDefault="00F048FE" w:rsidP="0020399E">
      <w:pPr>
        <w:spacing w:line="240" w:lineRule="auto"/>
        <w:ind w:left="720"/>
        <w:jc w:val="left"/>
        <w:rPr>
          <w:sz w:val="26"/>
          <w:szCs w:val="26"/>
        </w:rPr>
      </w:pPr>
      <w:r w:rsidRPr="00F048FE">
        <w:rPr>
          <w:sz w:val="26"/>
          <w:szCs w:val="26"/>
        </w:rPr>
        <w:t xml:space="preserve">Robert F. </w:t>
      </w:r>
      <w:proofErr w:type="spellStart"/>
      <w:r w:rsidRPr="00F048FE">
        <w:rPr>
          <w:sz w:val="26"/>
          <w:szCs w:val="26"/>
        </w:rPr>
        <w:t>Powelson</w:t>
      </w:r>
      <w:proofErr w:type="spellEnd"/>
      <w:r w:rsidRPr="00F048FE">
        <w:rPr>
          <w:sz w:val="26"/>
          <w:szCs w:val="26"/>
        </w:rPr>
        <w:t>, Chairman</w:t>
      </w:r>
    </w:p>
    <w:p w:rsidR="00F048FE" w:rsidRPr="00F048FE" w:rsidRDefault="00F048FE" w:rsidP="0020399E">
      <w:pPr>
        <w:spacing w:line="240" w:lineRule="auto"/>
        <w:ind w:left="720"/>
        <w:jc w:val="left"/>
        <w:rPr>
          <w:sz w:val="26"/>
          <w:szCs w:val="26"/>
        </w:rPr>
      </w:pPr>
      <w:r w:rsidRPr="00F048FE">
        <w:rPr>
          <w:sz w:val="26"/>
          <w:szCs w:val="26"/>
        </w:rPr>
        <w:t>John F. Coleman, Jr., Vice Chairman</w:t>
      </w:r>
    </w:p>
    <w:p w:rsidR="00F048FE" w:rsidRPr="00F048FE" w:rsidRDefault="00F048FE" w:rsidP="0020399E">
      <w:pPr>
        <w:spacing w:line="240" w:lineRule="auto"/>
        <w:ind w:left="720"/>
        <w:jc w:val="left"/>
        <w:rPr>
          <w:sz w:val="26"/>
          <w:szCs w:val="26"/>
        </w:rPr>
      </w:pPr>
      <w:r w:rsidRPr="00F048FE">
        <w:rPr>
          <w:sz w:val="26"/>
          <w:szCs w:val="26"/>
        </w:rPr>
        <w:t>Wayne E. Gardner</w:t>
      </w:r>
    </w:p>
    <w:p w:rsidR="00F048FE" w:rsidRPr="00F048FE" w:rsidRDefault="00F048FE" w:rsidP="0020399E">
      <w:pPr>
        <w:spacing w:line="240" w:lineRule="auto"/>
        <w:ind w:left="720"/>
        <w:jc w:val="left"/>
        <w:rPr>
          <w:sz w:val="26"/>
          <w:szCs w:val="26"/>
        </w:rPr>
      </w:pPr>
      <w:r w:rsidRPr="00F048FE">
        <w:rPr>
          <w:sz w:val="26"/>
          <w:szCs w:val="26"/>
        </w:rPr>
        <w:t xml:space="preserve">James H. </w:t>
      </w:r>
      <w:proofErr w:type="spellStart"/>
      <w:r w:rsidRPr="00F048FE">
        <w:rPr>
          <w:sz w:val="26"/>
          <w:szCs w:val="26"/>
        </w:rPr>
        <w:t>Cawley</w:t>
      </w:r>
      <w:proofErr w:type="spellEnd"/>
    </w:p>
    <w:p w:rsidR="00F048FE" w:rsidRPr="00F048FE" w:rsidRDefault="00F048FE" w:rsidP="0020399E">
      <w:pPr>
        <w:ind w:left="720"/>
        <w:jc w:val="left"/>
        <w:rPr>
          <w:sz w:val="26"/>
          <w:szCs w:val="26"/>
        </w:rPr>
      </w:pPr>
      <w:r w:rsidRPr="00F048FE">
        <w:rPr>
          <w:sz w:val="26"/>
          <w:szCs w:val="26"/>
        </w:rPr>
        <w:t xml:space="preserve">Pamela A. </w:t>
      </w:r>
      <w:proofErr w:type="spellStart"/>
      <w:r w:rsidRPr="00F048FE">
        <w:rPr>
          <w:sz w:val="26"/>
          <w:szCs w:val="26"/>
        </w:rPr>
        <w:t>Witmer</w:t>
      </w:r>
      <w:proofErr w:type="spellEnd"/>
    </w:p>
    <w:p w:rsidR="00F048FE" w:rsidRPr="00F048FE" w:rsidRDefault="00F048FE" w:rsidP="0020399E">
      <w:pPr>
        <w:jc w:val="left"/>
        <w:rPr>
          <w:sz w:val="26"/>
          <w:szCs w:val="26"/>
        </w:rPr>
      </w:pPr>
    </w:p>
    <w:p w:rsidR="00F048FE" w:rsidRPr="00F048FE" w:rsidRDefault="00F048FE" w:rsidP="0020399E">
      <w:pPr>
        <w:jc w:val="left"/>
        <w:rPr>
          <w:sz w:val="26"/>
          <w:szCs w:val="26"/>
        </w:rPr>
      </w:pPr>
    </w:p>
    <w:tbl>
      <w:tblPr>
        <w:tblW w:w="0" w:type="auto"/>
        <w:tblLook w:val="04A0" w:firstRow="1" w:lastRow="0" w:firstColumn="1" w:lastColumn="0" w:noHBand="0" w:noVBand="1"/>
      </w:tblPr>
      <w:tblGrid>
        <w:gridCol w:w="5778"/>
        <w:gridCol w:w="3798"/>
      </w:tblGrid>
      <w:tr w:rsidR="00F048FE" w:rsidRPr="00F048FE" w:rsidTr="001803A0">
        <w:tc>
          <w:tcPr>
            <w:tcW w:w="5778" w:type="dxa"/>
          </w:tcPr>
          <w:p w:rsidR="00F048FE" w:rsidRPr="00F048FE" w:rsidRDefault="002637D1" w:rsidP="0020399E">
            <w:pPr>
              <w:pStyle w:val="TxBrc4"/>
              <w:widowControl/>
              <w:tabs>
                <w:tab w:val="left" w:pos="204"/>
              </w:tabs>
              <w:spacing w:line="240" w:lineRule="auto"/>
              <w:ind w:firstLine="0"/>
              <w:jc w:val="left"/>
              <w:rPr>
                <w:bCs/>
                <w:szCs w:val="26"/>
              </w:rPr>
            </w:pPr>
            <w:r>
              <w:rPr>
                <w:bCs/>
                <w:szCs w:val="26"/>
              </w:rPr>
              <w:t xml:space="preserve">Thom Greco, d/b/a </w:t>
            </w:r>
            <w:r w:rsidR="00DC12BE">
              <w:rPr>
                <w:bCs/>
                <w:szCs w:val="26"/>
              </w:rPr>
              <w:t>Phoenix Estates</w:t>
            </w:r>
          </w:p>
          <w:p w:rsidR="00930364" w:rsidRDefault="00930364" w:rsidP="0020399E">
            <w:pPr>
              <w:pStyle w:val="TxBrc4"/>
              <w:widowControl/>
              <w:tabs>
                <w:tab w:val="left" w:pos="204"/>
              </w:tabs>
              <w:spacing w:line="240" w:lineRule="auto"/>
              <w:ind w:firstLine="0"/>
              <w:jc w:val="left"/>
              <w:rPr>
                <w:bCs/>
                <w:szCs w:val="26"/>
              </w:rPr>
            </w:pPr>
          </w:p>
          <w:p w:rsidR="00F048FE" w:rsidRPr="00F048FE" w:rsidRDefault="00930364" w:rsidP="0020399E">
            <w:pPr>
              <w:pStyle w:val="TxBrc4"/>
              <w:widowControl/>
              <w:tabs>
                <w:tab w:val="left" w:pos="1848"/>
              </w:tabs>
              <w:spacing w:line="240" w:lineRule="auto"/>
              <w:ind w:firstLine="0"/>
              <w:jc w:val="left"/>
              <w:rPr>
                <w:bCs/>
                <w:szCs w:val="26"/>
              </w:rPr>
            </w:pPr>
            <w:r>
              <w:rPr>
                <w:bCs/>
                <w:szCs w:val="26"/>
              </w:rPr>
              <w:tab/>
            </w:r>
            <w:proofErr w:type="gramStart"/>
            <w:r w:rsidR="00F048FE" w:rsidRPr="00F048FE">
              <w:rPr>
                <w:bCs/>
                <w:szCs w:val="26"/>
              </w:rPr>
              <w:t>v</w:t>
            </w:r>
            <w:proofErr w:type="gramEnd"/>
            <w:r w:rsidR="00F048FE" w:rsidRPr="00F048FE">
              <w:rPr>
                <w:bCs/>
                <w:szCs w:val="26"/>
              </w:rPr>
              <w:t>.</w:t>
            </w:r>
          </w:p>
          <w:p w:rsidR="00F048FE" w:rsidRPr="00F048FE" w:rsidRDefault="00F048FE" w:rsidP="0020399E">
            <w:pPr>
              <w:pStyle w:val="TxBrc4"/>
              <w:widowControl/>
              <w:tabs>
                <w:tab w:val="left" w:pos="204"/>
              </w:tabs>
              <w:spacing w:line="240" w:lineRule="auto"/>
              <w:ind w:firstLine="0"/>
              <w:jc w:val="left"/>
              <w:rPr>
                <w:bCs/>
                <w:szCs w:val="26"/>
              </w:rPr>
            </w:pPr>
          </w:p>
          <w:p w:rsidR="00F048FE" w:rsidRPr="00F048FE" w:rsidRDefault="00DC12BE" w:rsidP="0020399E">
            <w:pPr>
              <w:pStyle w:val="TxBrc4"/>
              <w:widowControl/>
              <w:tabs>
                <w:tab w:val="left" w:pos="204"/>
              </w:tabs>
              <w:spacing w:line="240" w:lineRule="auto"/>
              <w:ind w:firstLine="0"/>
              <w:jc w:val="left"/>
              <w:rPr>
                <w:b/>
                <w:bCs/>
                <w:szCs w:val="26"/>
              </w:rPr>
            </w:pPr>
            <w:r>
              <w:rPr>
                <w:bCs/>
                <w:szCs w:val="26"/>
              </w:rPr>
              <w:t>PPL Electric Utilities Corporation</w:t>
            </w:r>
          </w:p>
        </w:tc>
        <w:tc>
          <w:tcPr>
            <w:tcW w:w="3798" w:type="dxa"/>
          </w:tcPr>
          <w:p w:rsidR="00F048FE" w:rsidRDefault="002637D1" w:rsidP="0020399E">
            <w:pPr>
              <w:pStyle w:val="TxBrc4"/>
              <w:widowControl/>
              <w:tabs>
                <w:tab w:val="left" w:pos="204"/>
              </w:tabs>
              <w:spacing w:line="240" w:lineRule="auto"/>
              <w:ind w:firstLine="0"/>
              <w:jc w:val="right"/>
              <w:rPr>
                <w:bCs/>
                <w:szCs w:val="26"/>
              </w:rPr>
            </w:pPr>
            <w:r>
              <w:rPr>
                <w:bCs/>
                <w:szCs w:val="26"/>
              </w:rPr>
              <w:t>C-201</w:t>
            </w:r>
            <w:r w:rsidR="00DC12BE">
              <w:rPr>
                <w:bCs/>
                <w:szCs w:val="26"/>
              </w:rPr>
              <w:t>0-21</w:t>
            </w:r>
            <w:r>
              <w:rPr>
                <w:bCs/>
                <w:szCs w:val="26"/>
              </w:rPr>
              <w:t>9</w:t>
            </w:r>
            <w:r w:rsidR="00DC12BE">
              <w:rPr>
                <w:bCs/>
                <w:szCs w:val="26"/>
              </w:rPr>
              <w:t>8079</w:t>
            </w:r>
          </w:p>
          <w:p w:rsidR="00DC12BE" w:rsidRPr="00F048FE" w:rsidRDefault="00DC12BE" w:rsidP="0020399E">
            <w:pPr>
              <w:pStyle w:val="TxBrc4"/>
              <w:widowControl/>
              <w:tabs>
                <w:tab w:val="left" w:pos="204"/>
              </w:tabs>
              <w:spacing w:line="240" w:lineRule="auto"/>
              <w:ind w:firstLine="0"/>
              <w:jc w:val="right"/>
              <w:rPr>
                <w:bCs/>
                <w:szCs w:val="26"/>
              </w:rPr>
            </w:pPr>
            <w:r>
              <w:rPr>
                <w:bCs/>
                <w:szCs w:val="26"/>
              </w:rPr>
              <w:t>C-2011-2229033</w:t>
            </w:r>
          </w:p>
        </w:tc>
      </w:tr>
    </w:tbl>
    <w:p w:rsidR="00F048FE" w:rsidRPr="00F048FE" w:rsidRDefault="00F048FE" w:rsidP="0020399E">
      <w:pPr>
        <w:pStyle w:val="TxBrc4"/>
        <w:widowControl/>
        <w:tabs>
          <w:tab w:val="left" w:pos="204"/>
        </w:tabs>
        <w:spacing w:line="360" w:lineRule="auto"/>
        <w:ind w:firstLine="0"/>
        <w:jc w:val="left"/>
        <w:rPr>
          <w:bCs/>
          <w:szCs w:val="26"/>
        </w:rPr>
      </w:pPr>
    </w:p>
    <w:p w:rsidR="00F048FE" w:rsidRPr="00F048FE" w:rsidRDefault="00F048FE" w:rsidP="0020399E">
      <w:pPr>
        <w:pStyle w:val="TxBrc4"/>
        <w:widowControl/>
        <w:tabs>
          <w:tab w:val="left" w:pos="204"/>
        </w:tabs>
        <w:spacing w:line="360" w:lineRule="auto"/>
        <w:ind w:firstLine="0"/>
        <w:jc w:val="left"/>
        <w:rPr>
          <w:bCs/>
          <w:szCs w:val="26"/>
        </w:rPr>
      </w:pPr>
    </w:p>
    <w:p w:rsidR="00F048FE" w:rsidRPr="00F048FE" w:rsidRDefault="00F048FE" w:rsidP="0020399E">
      <w:pPr>
        <w:pStyle w:val="TxBrc4"/>
        <w:widowControl/>
        <w:tabs>
          <w:tab w:val="left" w:pos="204"/>
        </w:tabs>
        <w:spacing w:line="240" w:lineRule="auto"/>
        <w:ind w:firstLine="0"/>
        <w:rPr>
          <w:b/>
          <w:bCs/>
          <w:szCs w:val="26"/>
          <w:u w:val="single" w:color="000000"/>
        </w:rPr>
      </w:pPr>
      <w:r w:rsidRPr="00F048FE">
        <w:rPr>
          <w:b/>
          <w:bCs/>
          <w:szCs w:val="26"/>
        </w:rPr>
        <w:t>OPINION AND ORDER</w:t>
      </w:r>
    </w:p>
    <w:p w:rsidR="00F048FE" w:rsidRPr="00F048FE" w:rsidRDefault="00F048FE" w:rsidP="0020399E">
      <w:pPr>
        <w:tabs>
          <w:tab w:val="left" w:pos="204"/>
        </w:tabs>
        <w:jc w:val="left"/>
        <w:rPr>
          <w:bCs/>
          <w:sz w:val="26"/>
          <w:szCs w:val="26"/>
        </w:rPr>
      </w:pPr>
    </w:p>
    <w:p w:rsidR="00F048FE" w:rsidRPr="00F048FE" w:rsidRDefault="00F048FE" w:rsidP="0020399E">
      <w:pPr>
        <w:jc w:val="left"/>
        <w:rPr>
          <w:sz w:val="26"/>
          <w:szCs w:val="26"/>
        </w:rPr>
      </w:pPr>
      <w:r w:rsidRPr="00F048FE">
        <w:rPr>
          <w:b/>
          <w:sz w:val="26"/>
          <w:szCs w:val="26"/>
        </w:rPr>
        <w:t>BY THE COMMISSION:</w:t>
      </w:r>
    </w:p>
    <w:p w:rsidR="00F048FE" w:rsidRPr="00F048FE" w:rsidRDefault="00F048FE" w:rsidP="0020399E">
      <w:pPr>
        <w:jc w:val="left"/>
        <w:rPr>
          <w:sz w:val="26"/>
          <w:szCs w:val="26"/>
        </w:rPr>
      </w:pPr>
    </w:p>
    <w:p w:rsidR="00F048FE" w:rsidRDefault="00F048FE" w:rsidP="0020399E">
      <w:pPr>
        <w:jc w:val="left"/>
        <w:rPr>
          <w:sz w:val="26"/>
          <w:szCs w:val="26"/>
        </w:rPr>
      </w:pPr>
      <w:r w:rsidRPr="00F048FE">
        <w:rPr>
          <w:sz w:val="26"/>
          <w:szCs w:val="26"/>
        </w:rPr>
        <w:tab/>
      </w:r>
      <w:r w:rsidRPr="00F048FE">
        <w:rPr>
          <w:sz w:val="26"/>
          <w:szCs w:val="26"/>
        </w:rPr>
        <w:tab/>
        <w:t xml:space="preserve">Before the Pennsylvania Public Utility Commission (Commission) for consideration and disposition are the Exceptions of </w:t>
      </w:r>
      <w:r w:rsidR="002637D1">
        <w:rPr>
          <w:bCs/>
          <w:sz w:val="26"/>
          <w:szCs w:val="26"/>
        </w:rPr>
        <w:t xml:space="preserve">Thom Greco, d/b/a </w:t>
      </w:r>
      <w:r w:rsidR="00DC12BE">
        <w:rPr>
          <w:bCs/>
          <w:sz w:val="26"/>
          <w:szCs w:val="26"/>
        </w:rPr>
        <w:t>Phoenix Estates</w:t>
      </w:r>
      <w:r w:rsidRPr="00F048FE">
        <w:rPr>
          <w:bCs/>
          <w:sz w:val="26"/>
          <w:szCs w:val="26"/>
        </w:rPr>
        <w:t xml:space="preserve"> </w:t>
      </w:r>
      <w:r w:rsidRPr="00F048FE">
        <w:rPr>
          <w:sz w:val="26"/>
          <w:szCs w:val="26"/>
        </w:rPr>
        <w:t xml:space="preserve">(Complainant), filed on </w:t>
      </w:r>
      <w:r w:rsidR="00DC12BE">
        <w:rPr>
          <w:sz w:val="26"/>
          <w:szCs w:val="26"/>
        </w:rPr>
        <w:t>March 14</w:t>
      </w:r>
      <w:r w:rsidRPr="00F048FE">
        <w:rPr>
          <w:sz w:val="26"/>
          <w:szCs w:val="26"/>
        </w:rPr>
        <w:t>, 201</w:t>
      </w:r>
      <w:r w:rsidR="00DC12BE">
        <w:rPr>
          <w:sz w:val="26"/>
          <w:szCs w:val="26"/>
        </w:rPr>
        <w:t>2</w:t>
      </w:r>
      <w:r w:rsidRPr="00F048FE">
        <w:rPr>
          <w:sz w:val="26"/>
          <w:szCs w:val="26"/>
        </w:rPr>
        <w:t xml:space="preserve">, to the Initial Decision (I.D.) of Administrative Law Judge </w:t>
      </w:r>
      <w:r w:rsidR="002637D1">
        <w:rPr>
          <w:sz w:val="26"/>
          <w:szCs w:val="26"/>
        </w:rPr>
        <w:t xml:space="preserve">Ember S. </w:t>
      </w:r>
      <w:proofErr w:type="spellStart"/>
      <w:r w:rsidR="002637D1">
        <w:rPr>
          <w:sz w:val="26"/>
          <w:szCs w:val="26"/>
        </w:rPr>
        <w:t>Jandebeur</w:t>
      </w:r>
      <w:proofErr w:type="spellEnd"/>
      <w:r w:rsidRPr="00F048FE">
        <w:rPr>
          <w:sz w:val="26"/>
          <w:szCs w:val="26"/>
        </w:rPr>
        <w:t xml:space="preserve"> (ALJ), issued </w:t>
      </w:r>
      <w:r w:rsidR="00715BEB">
        <w:rPr>
          <w:sz w:val="26"/>
          <w:szCs w:val="26"/>
        </w:rPr>
        <w:t xml:space="preserve">on </w:t>
      </w:r>
      <w:r w:rsidR="00DC12BE">
        <w:rPr>
          <w:sz w:val="26"/>
          <w:szCs w:val="26"/>
        </w:rPr>
        <w:t>February 27</w:t>
      </w:r>
      <w:r w:rsidRPr="00F048FE">
        <w:rPr>
          <w:sz w:val="26"/>
          <w:szCs w:val="26"/>
        </w:rPr>
        <w:t xml:space="preserve">, 2012.  Replies to Exceptions were filed by </w:t>
      </w:r>
      <w:r w:rsidR="00DC12BE">
        <w:rPr>
          <w:bCs/>
          <w:sz w:val="26"/>
          <w:szCs w:val="26"/>
        </w:rPr>
        <w:t>PPL Electric Utilities Corporation</w:t>
      </w:r>
      <w:r w:rsidRPr="00F048FE">
        <w:rPr>
          <w:sz w:val="26"/>
          <w:szCs w:val="26"/>
        </w:rPr>
        <w:t xml:space="preserve"> (</w:t>
      </w:r>
      <w:r w:rsidR="002637D1">
        <w:rPr>
          <w:sz w:val="26"/>
          <w:szCs w:val="26"/>
        </w:rPr>
        <w:t>P</w:t>
      </w:r>
      <w:r w:rsidR="00DC12BE">
        <w:rPr>
          <w:sz w:val="26"/>
          <w:szCs w:val="26"/>
        </w:rPr>
        <w:t>PL</w:t>
      </w:r>
      <w:r w:rsidRPr="00F048FE">
        <w:rPr>
          <w:sz w:val="26"/>
          <w:szCs w:val="26"/>
        </w:rPr>
        <w:t xml:space="preserve">) on </w:t>
      </w:r>
      <w:r w:rsidR="00DC12BE">
        <w:rPr>
          <w:sz w:val="26"/>
          <w:szCs w:val="26"/>
        </w:rPr>
        <w:t>March 26</w:t>
      </w:r>
      <w:r w:rsidRPr="00F048FE">
        <w:rPr>
          <w:sz w:val="26"/>
          <w:szCs w:val="26"/>
        </w:rPr>
        <w:t xml:space="preserve">, 2012. </w:t>
      </w:r>
    </w:p>
    <w:p w:rsidR="00DC12BE" w:rsidRPr="00F048FE" w:rsidRDefault="00DC12BE" w:rsidP="0020399E">
      <w:pPr>
        <w:jc w:val="left"/>
        <w:rPr>
          <w:sz w:val="26"/>
          <w:szCs w:val="26"/>
        </w:rPr>
      </w:pPr>
    </w:p>
    <w:p w:rsidR="000172F8" w:rsidRPr="009C700B" w:rsidRDefault="000172F8" w:rsidP="0020399E">
      <w:pPr>
        <w:pStyle w:val="Heading1"/>
        <w:keepLines w:val="0"/>
        <w:spacing w:before="0"/>
        <w:rPr>
          <w:rFonts w:ascii="Times New Roman" w:hAnsi="Times New Roman" w:cs="Times New Roman"/>
          <w:color w:val="auto"/>
          <w:sz w:val="26"/>
          <w:szCs w:val="26"/>
        </w:rPr>
      </w:pPr>
      <w:r w:rsidRPr="009C700B">
        <w:rPr>
          <w:rFonts w:ascii="Times New Roman" w:hAnsi="Times New Roman" w:cs="Times New Roman"/>
          <w:color w:val="auto"/>
          <w:sz w:val="26"/>
          <w:szCs w:val="26"/>
        </w:rPr>
        <w:lastRenderedPageBreak/>
        <w:t>History of the Proceeding</w:t>
      </w:r>
    </w:p>
    <w:p w:rsidR="009C700B" w:rsidRPr="009C700B" w:rsidRDefault="009C700B" w:rsidP="0020399E">
      <w:pPr>
        <w:keepNext/>
        <w:tabs>
          <w:tab w:val="left" w:pos="-1440"/>
          <w:tab w:val="left" w:pos="-720"/>
        </w:tabs>
        <w:ind w:firstLine="1440"/>
        <w:jc w:val="left"/>
        <w:rPr>
          <w:sz w:val="26"/>
          <w:szCs w:val="26"/>
        </w:rPr>
      </w:pPr>
    </w:p>
    <w:p w:rsidR="008B11B6" w:rsidRDefault="009C700B" w:rsidP="0020399E">
      <w:pPr>
        <w:tabs>
          <w:tab w:val="left" w:pos="-1440"/>
          <w:tab w:val="left" w:pos="-720"/>
        </w:tabs>
        <w:ind w:firstLine="1440"/>
        <w:jc w:val="left"/>
        <w:rPr>
          <w:sz w:val="26"/>
          <w:szCs w:val="26"/>
        </w:rPr>
      </w:pPr>
      <w:r w:rsidRPr="009C700B">
        <w:rPr>
          <w:sz w:val="26"/>
          <w:szCs w:val="26"/>
        </w:rPr>
        <w:t xml:space="preserve">On </w:t>
      </w:r>
      <w:r w:rsidR="00DC12BE">
        <w:rPr>
          <w:sz w:val="26"/>
          <w:szCs w:val="26"/>
        </w:rPr>
        <w:t>September 7</w:t>
      </w:r>
      <w:r w:rsidRPr="009C700B">
        <w:rPr>
          <w:sz w:val="26"/>
          <w:szCs w:val="26"/>
        </w:rPr>
        <w:t>, 201</w:t>
      </w:r>
      <w:r w:rsidR="00DC12BE">
        <w:rPr>
          <w:sz w:val="26"/>
          <w:szCs w:val="26"/>
        </w:rPr>
        <w:t>0 and March 3, 2011</w:t>
      </w:r>
      <w:r w:rsidRPr="009C700B">
        <w:rPr>
          <w:sz w:val="26"/>
          <w:szCs w:val="26"/>
        </w:rPr>
        <w:t xml:space="preserve">, </w:t>
      </w:r>
      <w:r w:rsidR="004879CE">
        <w:rPr>
          <w:sz w:val="26"/>
          <w:szCs w:val="26"/>
        </w:rPr>
        <w:t>the Complainant</w:t>
      </w:r>
      <w:r w:rsidRPr="009C700B">
        <w:rPr>
          <w:sz w:val="26"/>
          <w:szCs w:val="26"/>
        </w:rPr>
        <w:t xml:space="preserve"> filed </w:t>
      </w:r>
      <w:r w:rsidR="00DC12BE">
        <w:rPr>
          <w:sz w:val="26"/>
          <w:szCs w:val="26"/>
        </w:rPr>
        <w:t xml:space="preserve">two </w:t>
      </w:r>
      <w:r>
        <w:rPr>
          <w:sz w:val="26"/>
          <w:szCs w:val="26"/>
        </w:rPr>
        <w:t>Formal Complaint</w:t>
      </w:r>
      <w:r w:rsidR="00DC12BE">
        <w:rPr>
          <w:sz w:val="26"/>
          <w:szCs w:val="26"/>
        </w:rPr>
        <w:t>s</w:t>
      </w:r>
      <w:r>
        <w:rPr>
          <w:sz w:val="26"/>
          <w:szCs w:val="26"/>
        </w:rPr>
        <w:t xml:space="preserve"> </w:t>
      </w:r>
      <w:r w:rsidR="00715BEB">
        <w:rPr>
          <w:sz w:val="26"/>
          <w:szCs w:val="26"/>
        </w:rPr>
        <w:t xml:space="preserve">(Complaints) </w:t>
      </w:r>
      <w:r>
        <w:rPr>
          <w:sz w:val="26"/>
          <w:szCs w:val="26"/>
        </w:rPr>
        <w:t>with the</w:t>
      </w:r>
      <w:r w:rsidRPr="009C700B">
        <w:rPr>
          <w:sz w:val="26"/>
          <w:szCs w:val="26"/>
        </w:rPr>
        <w:t xml:space="preserve"> Commission against </w:t>
      </w:r>
      <w:r w:rsidR="004879CE">
        <w:rPr>
          <w:sz w:val="26"/>
          <w:szCs w:val="26"/>
        </w:rPr>
        <w:t>P</w:t>
      </w:r>
      <w:r w:rsidR="00DC12BE">
        <w:rPr>
          <w:sz w:val="26"/>
          <w:szCs w:val="26"/>
        </w:rPr>
        <w:t>PL</w:t>
      </w:r>
      <w:r w:rsidRPr="009C700B">
        <w:rPr>
          <w:sz w:val="26"/>
          <w:szCs w:val="26"/>
        </w:rPr>
        <w:t xml:space="preserve"> alleging</w:t>
      </w:r>
      <w:r w:rsidR="0020399E">
        <w:rPr>
          <w:sz w:val="26"/>
          <w:szCs w:val="26"/>
        </w:rPr>
        <w:t xml:space="preserve"> at</w:t>
      </w:r>
      <w:r w:rsidR="00DC12BE">
        <w:rPr>
          <w:sz w:val="26"/>
          <w:szCs w:val="26"/>
        </w:rPr>
        <w:t xml:space="preserve">: </w:t>
      </w:r>
      <w:r w:rsidR="0020399E">
        <w:rPr>
          <w:sz w:val="26"/>
          <w:szCs w:val="26"/>
        </w:rPr>
        <w:t>(1) </w:t>
      </w:r>
      <w:r w:rsidR="00DC12BE">
        <w:rPr>
          <w:sz w:val="26"/>
          <w:szCs w:val="26"/>
        </w:rPr>
        <w:t>Docket No. C-2010-2198079</w:t>
      </w:r>
      <w:r w:rsidR="002725F1">
        <w:rPr>
          <w:sz w:val="26"/>
          <w:szCs w:val="26"/>
        </w:rPr>
        <w:t>,</w:t>
      </w:r>
      <w:r w:rsidR="00DC12BE">
        <w:rPr>
          <w:sz w:val="26"/>
          <w:szCs w:val="26"/>
        </w:rPr>
        <w:t xml:space="preserve"> that the account was scheduled for termination without prior notice, and </w:t>
      </w:r>
      <w:r w:rsidR="0020399E">
        <w:rPr>
          <w:sz w:val="26"/>
          <w:szCs w:val="26"/>
        </w:rPr>
        <w:t xml:space="preserve">(2) </w:t>
      </w:r>
      <w:r w:rsidR="00DC12BE">
        <w:rPr>
          <w:sz w:val="26"/>
          <w:szCs w:val="26"/>
        </w:rPr>
        <w:t>Docket No. C-2011-2229033, that electric service improperly</w:t>
      </w:r>
      <w:r w:rsidR="00715BEB">
        <w:rPr>
          <w:sz w:val="26"/>
          <w:szCs w:val="26"/>
        </w:rPr>
        <w:t xml:space="preserve"> had b</w:t>
      </w:r>
      <w:r w:rsidR="00DC12BE">
        <w:rPr>
          <w:sz w:val="26"/>
          <w:szCs w:val="26"/>
        </w:rPr>
        <w:t xml:space="preserve">een terminated.  </w:t>
      </w:r>
      <w:r w:rsidR="00F81168">
        <w:rPr>
          <w:sz w:val="26"/>
          <w:szCs w:val="26"/>
        </w:rPr>
        <w:t xml:space="preserve">On </w:t>
      </w:r>
      <w:r w:rsidR="00DC12BE">
        <w:rPr>
          <w:sz w:val="26"/>
          <w:szCs w:val="26"/>
        </w:rPr>
        <w:t xml:space="preserve">September 29, 2010 and </w:t>
      </w:r>
      <w:r w:rsidR="00F81168">
        <w:rPr>
          <w:sz w:val="26"/>
          <w:szCs w:val="26"/>
        </w:rPr>
        <w:t xml:space="preserve">March </w:t>
      </w:r>
      <w:r w:rsidR="00DC12BE">
        <w:rPr>
          <w:sz w:val="26"/>
          <w:szCs w:val="26"/>
        </w:rPr>
        <w:t>24</w:t>
      </w:r>
      <w:r w:rsidR="00F81168">
        <w:rPr>
          <w:sz w:val="26"/>
          <w:szCs w:val="26"/>
        </w:rPr>
        <w:t>, 2011, P</w:t>
      </w:r>
      <w:r w:rsidR="00DC12BE">
        <w:rPr>
          <w:sz w:val="26"/>
          <w:szCs w:val="26"/>
        </w:rPr>
        <w:t>PL</w:t>
      </w:r>
      <w:r w:rsidR="00F81168">
        <w:rPr>
          <w:sz w:val="26"/>
          <w:szCs w:val="26"/>
        </w:rPr>
        <w:t xml:space="preserve"> filed </w:t>
      </w:r>
      <w:r w:rsidR="0020399E">
        <w:rPr>
          <w:sz w:val="26"/>
          <w:szCs w:val="26"/>
        </w:rPr>
        <w:t xml:space="preserve">respective </w:t>
      </w:r>
      <w:r w:rsidR="00F81168">
        <w:rPr>
          <w:sz w:val="26"/>
          <w:szCs w:val="26"/>
        </w:rPr>
        <w:t>Answer</w:t>
      </w:r>
      <w:r w:rsidR="002725F1">
        <w:rPr>
          <w:sz w:val="26"/>
          <w:szCs w:val="26"/>
        </w:rPr>
        <w:t>s</w:t>
      </w:r>
      <w:r w:rsidR="00D56D41">
        <w:rPr>
          <w:sz w:val="26"/>
          <w:szCs w:val="26"/>
        </w:rPr>
        <w:t xml:space="preserve"> denying the material allegations in the Complaint</w:t>
      </w:r>
      <w:r w:rsidR="00DC12BE">
        <w:rPr>
          <w:sz w:val="26"/>
          <w:szCs w:val="26"/>
        </w:rPr>
        <w:t>s</w:t>
      </w:r>
      <w:r w:rsidR="000B1476">
        <w:rPr>
          <w:sz w:val="26"/>
          <w:szCs w:val="26"/>
        </w:rPr>
        <w:t xml:space="preserve">.  </w:t>
      </w:r>
    </w:p>
    <w:p w:rsidR="00622C0D" w:rsidRPr="00E06B61" w:rsidRDefault="00622C0D" w:rsidP="0020399E">
      <w:pPr>
        <w:ind w:firstLine="1440"/>
        <w:jc w:val="left"/>
        <w:rPr>
          <w:sz w:val="26"/>
          <w:szCs w:val="26"/>
        </w:rPr>
      </w:pPr>
    </w:p>
    <w:p w:rsidR="009C700B" w:rsidRPr="009C700B" w:rsidRDefault="009C700B" w:rsidP="0020399E">
      <w:pPr>
        <w:tabs>
          <w:tab w:val="left" w:pos="2160"/>
        </w:tabs>
        <w:ind w:firstLine="1440"/>
        <w:jc w:val="left"/>
        <w:rPr>
          <w:sz w:val="26"/>
          <w:szCs w:val="26"/>
        </w:rPr>
      </w:pPr>
      <w:r w:rsidRPr="009C700B">
        <w:rPr>
          <w:sz w:val="26"/>
          <w:szCs w:val="26"/>
        </w:rPr>
        <w:t>By Hearing Notice</w:t>
      </w:r>
      <w:r w:rsidR="00174BE0">
        <w:rPr>
          <w:sz w:val="26"/>
          <w:szCs w:val="26"/>
        </w:rPr>
        <w:t>s</w:t>
      </w:r>
      <w:r w:rsidRPr="009C700B">
        <w:rPr>
          <w:sz w:val="26"/>
          <w:szCs w:val="26"/>
        </w:rPr>
        <w:t xml:space="preserve"> dated </w:t>
      </w:r>
      <w:r w:rsidR="00612267">
        <w:rPr>
          <w:sz w:val="26"/>
          <w:szCs w:val="26"/>
        </w:rPr>
        <w:t>August 8, 2011 and October</w:t>
      </w:r>
      <w:r w:rsidRPr="009C700B">
        <w:rPr>
          <w:sz w:val="26"/>
          <w:szCs w:val="26"/>
        </w:rPr>
        <w:t xml:space="preserve"> </w:t>
      </w:r>
      <w:r w:rsidR="00612267">
        <w:rPr>
          <w:sz w:val="26"/>
          <w:szCs w:val="26"/>
        </w:rPr>
        <w:t>6</w:t>
      </w:r>
      <w:r w:rsidRPr="009C700B">
        <w:rPr>
          <w:sz w:val="26"/>
          <w:szCs w:val="26"/>
        </w:rPr>
        <w:t xml:space="preserve">, 2011, the </w:t>
      </w:r>
      <w:r w:rsidR="00174BE0">
        <w:rPr>
          <w:sz w:val="26"/>
          <w:szCs w:val="26"/>
        </w:rPr>
        <w:t>P</w:t>
      </w:r>
      <w:r w:rsidRPr="009C700B">
        <w:rPr>
          <w:sz w:val="26"/>
          <w:szCs w:val="26"/>
        </w:rPr>
        <w:t xml:space="preserve">arties were notified that an Initial Hearing was scheduled for </w:t>
      </w:r>
      <w:r w:rsidR="00612267">
        <w:rPr>
          <w:sz w:val="26"/>
          <w:szCs w:val="26"/>
        </w:rPr>
        <w:t>October 18</w:t>
      </w:r>
      <w:r w:rsidRPr="009C700B">
        <w:rPr>
          <w:sz w:val="26"/>
          <w:szCs w:val="26"/>
        </w:rPr>
        <w:t>, 201</w:t>
      </w:r>
      <w:r w:rsidR="00612267">
        <w:rPr>
          <w:sz w:val="26"/>
          <w:szCs w:val="26"/>
        </w:rPr>
        <w:t>1</w:t>
      </w:r>
      <w:r w:rsidRPr="009C700B">
        <w:rPr>
          <w:sz w:val="26"/>
          <w:szCs w:val="26"/>
        </w:rPr>
        <w:t xml:space="preserve">.  </w:t>
      </w:r>
      <w:r w:rsidR="00612267">
        <w:rPr>
          <w:sz w:val="26"/>
          <w:szCs w:val="26"/>
        </w:rPr>
        <w:t>The two Complaints were scheduled to be heard on the same date because they pertain to the same</w:t>
      </w:r>
      <w:r w:rsidR="00715BEB">
        <w:rPr>
          <w:sz w:val="26"/>
          <w:szCs w:val="26"/>
        </w:rPr>
        <w:t xml:space="preserve"> business address and service.</w:t>
      </w:r>
    </w:p>
    <w:p w:rsidR="009C700B" w:rsidRPr="00CF67CB" w:rsidRDefault="009C700B" w:rsidP="0020399E">
      <w:pPr>
        <w:ind w:firstLine="1440"/>
        <w:jc w:val="left"/>
        <w:rPr>
          <w:sz w:val="26"/>
          <w:szCs w:val="26"/>
        </w:rPr>
      </w:pPr>
    </w:p>
    <w:p w:rsidR="00F9505E" w:rsidRDefault="00F64935" w:rsidP="0020399E">
      <w:pPr>
        <w:tabs>
          <w:tab w:val="left" w:pos="-1440"/>
          <w:tab w:val="left" w:pos="-720"/>
        </w:tabs>
        <w:jc w:val="left"/>
        <w:rPr>
          <w:sz w:val="26"/>
          <w:szCs w:val="26"/>
        </w:rPr>
      </w:pPr>
      <w:r w:rsidRPr="00CF67CB">
        <w:rPr>
          <w:sz w:val="26"/>
          <w:szCs w:val="26"/>
        </w:rPr>
        <w:tab/>
      </w:r>
      <w:r w:rsidRPr="00CF67CB">
        <w:rPr>
          <w:sz w:val="26"/>
          <w:szCs w:val="26"/>
        </w:rPr>
        <w:tab/>
      </w:r>
      <w:r w:rsidR="00F9505E" w:rsidRPr="00CF67CB">
        <w:rPr>
          <w:sz w:val="26"/>
          <w:szCs w:val="26"/>
        </w:rPr>
        <w:t xml:space="preserve">The hearing convened as scheduled.  The Complainant was represented by </w:t>
      </w:r>
      <w:r w:rsidR="00174BE0">
        <w:rPr>
          <w:sz w:val="26"/>
          <w:szCs w:val="26"/>
        </w:rPr>
        <w:t>c</w:t>
      </w:r>
      <w:r w:rsidR="00F9505E" w:rsidRPr="00CF67CB">
        <w:rPr>
          <w:sz w:val="26"/>
          <w:szCs w:val="26"/>
        </w:rPr>
        <w:t xml:space="preserve">ounsel and proffered </w:t>
      </w:r>
      <w:r w:rsidR="00612267">
        <w:rPr>
          <w:sz w:val="26"/>
          <w:szCs w:val="26"/>
        </w:rPr>
        <w:t xml:space="preserve">two </w:t>
      </w:r>
      <w:r w:rsidR="00F9505E" w:rsidRPr="00CF67CB">
        <w:rPr>
          <w:sz w:val="26"/>
          <w:szCs w:val="26"/>
        </w:rPr>
        <w:t>exhibits that were entered into the record.  P</w:t>
      </w:r>
      <w:r w:rsidR="00612267">
        <w:rPr>
          <w:sz w:val="26"/>
          <w:szCs w:val="26"/>
        </w:rPr>
        <w:t>PL was represented by C</w:t>
      </w:r>
      <w:r w:rsidR="00F9505E" w:rsidRPr="00CF67CB">
        <w:rPr>
          <w:sz w:val="26"/>
          <w:szCs w:val="26"/>
        </w:rPr>
        <w:t xml:space="preserve">ounsel and proffered </w:t>
      </w:r>
      <w:r w:rsidR="00612267">
        <w:rPr>
          <w:sz w:val="26"/>
          <w:szCs w:val="26"/>
        </w:rPr>
        <w:t>seven</w:t>
      </w:r>
      <w:r w:rsidR="00F9505E" w:rsidRPr="00CF67CB">
        <w:rPr>
          <w:sz w:val="26"/>
          <w:szCs w:val="26"/>
        </w:rPr>
        <w:t xml:space="preserve"> exhibits</w:t>
      </w:r>
      <w:r w:rsidR="00612267">
        <w:rPr>
          <w:sz w:val="26"/>
          <w:szCs w:val="26"/>
        </w:rPr>
        <w:t xml:space="preserve"> of which five were</w:t>
      </w:r>
      <w:r w:rsidR="00F9505E" w:rsidRPr="00CF67CB">
        <w:rPr>
          <w:sz w:val="26"/>
          <w:szCs w:val="26"/>
        </w:rPr>
        <w:t xml:space="preserve"> entered into the record.  The record closed on </w:t>
      </w:r>
      <w:r w:rsidR="00612267">
        <w:rPr>
          <w:sz w:val="26"/>
          <w:szCs w:val="26"/>
        </w:rPr>
        <w:t>November 18</w:t>
      </w:r>
      <w:r w:rsidR="00F9505E" w:rsidRPr="00CF67CB">
        <w:rPr>
          <w:sz w:val="26"/>
          <w:szCs w:val="26"/>
        </w:rPr>
        <w:t>, 201</w:t>
      </w:r>
      <w:r w:rsidR="00612267">
        <w:rPr>
          <w:sz w:val="26"/>
          <w:szCs w:val="26"/>
        </w:rPr>
        <w:t>1</w:t>
      </w:r>
      <w:r w:rsidR="00F9505E" w:rsidRPr="00CF67CB">
        <w:rPr>
          <w:sz w:val="26"/>
          <w:szCs w:val="26"/>
        </w:rPr>
        <w:t xml:space="preserve">.  </w:t>
      </w:r>
    </w:p>
    <w:p w:rsidR="00174BE0" w:rsidRDefault="00174BE0" w:rsidP="0020399E">
      <w:pPr>
        <w:tabs>
          <w:tab w:val="left" w:pos="-1440"/>
          <w:tab w:val="left" w:pos="-720"/>
        </w:tabs>
        <w:jc w:val="left"/>
        <w:rPr>
          <w:sz w:val="26"/>
          <w:szCs w:val="26"/>
        </w:rPr>
      </w:pPr>
    </w:p>
    <w:p w:rsidR="00174BE0" w:rsidRDefault="00174BE0" w:rsidP="0020399E">
      <w:pPr>
        <w:tabs>
          <w:tab w:val="left" w:pos="-1440"/>
          <w:tab w:val="left" w:pos="-720"/>
        </w:tabs>
        <w:jc w:val="left"/>
        <w:rPr>
          <w:sz w:val="26"/>
          <w:szCs w:val="26"/>
        </w:rPr>
      </w:pPr>
      <w:r>
        <w:rPr>
          <w:sz w:val="26"/>
          <w:szCs w:val="26"/>
        </w:rPr>
        <w:tab/>
      </w:r>
      <w:r>
        <w:rPr>
          <w:sz w:val="26"/>
          <w:szCs w:val="26"/>
        </w:rPr>
        <w:tab/>
        <w:t>In an Initial Decision, issued on February 27, 2012, the ALJ denied and dismissed both Formal Complaints.</w:t>
      </w:r>
    </w:p>
    <w:p w:rsidR="00612267" w:rsidRPr="00CF67CB" w:rsidRDefault="00612267" w:rsidP="0020399E">
      <w:pPr>
        <w:tabs>
          <w:tab w:val="left" w:pos="-1440"/>
          <w:tab w:val="left" w:pos="-720"/>
        </w:tabs>
        <w:jc w:val="left"/>
        <w:rPr>
          <w:sz w:val="26"/>
          <w:szCs w:val="26"/>
        </w:rPr>
      </w:pPr>
    </w:p>
    <w:p w:rsidR="00F9505E" w:rsidRPr="00CF67CB" w:rsidRDefault="00F9505E" w:rsidP="0020399E">
      <w:pPr>
        <w:tabs>
          <w:tab w:val="left" w:pos="-1440"/>
          <w:tab w:val="left" w:pos="-720"/>
        </w:tabs>
        <w:jc w:val="left"/>
        <w:rPr>
          <w:sz w:val="26"/>
          <w:szCs w:val="26"/>
        </w:rPr>
      </w:pPr>
      <w:r w:rsidRPr="00CF67CB">
        <w:rPr>
          <w:spacing w:val="-3"/>
          <w:sz w:val="26"/>
          <w:szCs w:val="26"/>
        </w:rPr>
        <w:tab/>
      </w:r>
      <w:r w:rsidRPr="00CF67CB">
        <w:rPr>
          <w:spacing w:val="-3"/>
          <w:sz w:val="26"/>
          <w:szCs w:val="26"/>
        </w:rPr>
        <w:tab/>
        <w:t xml:space="preserve">As previously noted, </w:t>
      </w:r>
      <w:r w:rsidRPr="00CF67CB">
        <w:rPr>
          <w:sz w:val="26"/>
          <w:szCs w:val="26"/>
        </w:rPr>
        <w:t>Exceptions were filed by the Complainant on</w:t>
      </w:r>
      <w:r w:rsidR="00715BEB">
        <w:rPr>
          <w:sz w:val="26"/>
          <w:szCs w:val="26"/>
        </w:rPr>
        <w:t xml:space="preserve"> </w:t>
      </w:r>
      <w:r w:rsidR="00612267">
        <w:rPr>
          <w:sz w:val="26"/>
          <w:szCs w:val="26"/>
        </w:rPr>
        <w:t>March</w:t>
      </w:r>
      <w:r w:rsidR="00715BEB">
        <w:rPr>
          <w:sz w:val="26"/>
          <w:szCs w:val="26"/>
        </w:rPr>
        <w:t> </w:t>
      </w:r>
      <w:r w:rsidR="00612267">
        <w:rPr>
          <w:sz w:val="26"/>
          <w:szCs w:val="26"/>
        </w:rPr>
        <w:t>14</w:t>
      </w:r>
      <w:r w:rsidRPr="00CF67CB">
        <w:rPr>
          <w:sz w:val="26"/>
          <w:szCs w:val="26"/>
        </w:rPr>
        <w:t xml:space="preserve">, 2012, and Replies to Exceptions were filed by </w:t>
      </w:r>
      <w:r w:rsidR="00422219">
        <w:rPr>
          <w:sz w:val="26"/>
          <w:szCs w:val="26"/>
        </w:rPr>
        <w:t>P</w:t>
      </w:r>
      <w:r w:rsidR="00612267">
        <w:rPr>
          <w:sz w:val="26"/>
          <w:szCs w:val="26"/>
        </w:rPr>
        <w:t>PL</w:t>
      </w:r>
      <w:r w:rsidRPr="00CF67CB">
        <w:rPr>
          <w:sz w:val="26"/>
          <w:szCs w:val="26"/>
        </w:rPr>
        <w:t xml:space="preserve"> on </w:t>
      </w:r>
      <w:r w:rsidR="00612267">
        <w:rPr>
          <w:sz w:val="26"/>
          <w:szCs w:val="26"/>
        </w:rPr>
        <w:t>March 26</w:t>
      </w:r>
      <w:r w:rsidRPr="00CF67CB">
        <w:rPr>
          <w:sz w:val="26"/>
          <w:szCs w:val="26"/>
        </w:rPr>
        <w:t xml:space="preserve">, 2012.  </w:t>
      </w:r>
    </w:p>
    <w:p w:rsidR="00DA0A78" w:rsidRPr="009C700B" w:rsidRDefault="00DA0A78" w:rsidP="0020399E">
      <w:pPr>
        <w:jc w:val="left"/>
        <w:rPr>
          <w:sz w:val="26"/>
          <w:szCs w:val="26"/>
        </w:rPr>
      </w:pPr>
    </w:p>
    <w:p w:rsidR="000172F8" w:rsidRPr="00171D7C" w:rsidRDefault="000172F8" w:rsidP="0020399E">
      <w:pPr>
        <w:keepNext/>
        <w:suppressAutoHyphens/>
        <w:rPr>
          <w:b/>
          <w:spacing w:val="-3"/>
          <w:sz w:val="26"/>
          <w:szCs w:val="26"/>
        </w:rPr>
      </w:pPr>
      <w:r w:rsidRPr="00171D7C">
        <w:rPr>
          <w:b/>
          <w:spacing w:val="-3"/>
          <w:sz w:val="26"/>
          <w:szCs w:val="26"/>
        </w:rPr>
        <w:t>Discussion</w:t>
      </w:r>
    </w:p>
    <w:p w:rsidR="00733756" w:rsidRDefault="00733756" w:rsidP="0020399E">
      <w:pPr>
        <w:keepNext/>
        <w:jc w:val="left"/>
        <w:rPr>
          <w:rFonts w:eastAsia="Times New Roman"/>
          <w:sz w:val="26"/>
          <w:szCs w:val="26"/>
        </w:rPr>
      </w:pPr>
    </w:p>
    <w:p w:rsidR="00733756" w:rsidRPr="00FF7AE0" w:rsidRDefault="004361D2" w:rsidP="0020399E">
      <w:pPr>
        <w:jc w:val="left"/>
        <w:rPr>
          <w:rFonts w:eastAsia="Times New Roman"/>
          <w:sz w:val="26"/>
          <w:szCs w:val="26"/>
        </w:rPr>
      </w:pPr>
      <w:r>
        <w:rPr>
          <w:rFonts w:eastAsia="Times New Roman"/>
          <w:sz w:val="26"/>
          <w:szCs w:val="26"/>
        </w:rPr>
        <w:tab/>
      </w:r>
      <w:r>
        <w:rPr>
          <w:rFonts w:eastAsia="Times New Roman"/>
          <w:sz w:val="26"/>
          <w:szCs w:val="26"/>
        </w:rPr>
        <w:tab/>
      </w:r>
      <w:r w:rsidR="00733756" w:rsidRPr="00FF7AE0">
        <w:rPr>
          <w:rFonts w:eastAsia="Times New Roman"/>
          <w:sz w:val="26"/>
          <w:szCs w:val="26"/>
        </w:rPr>
        <w:t xml:space="preserve">As the proponent of a rule or order, the Complainant in this proceeding bears the burden of proof pursuant to Section 332(a) of the Code, 66 Pa. C.S. § 332(a).  </w:t>
      </w:r>
      <w:r w:rsidR="00733756" w:rsidRPr="00FF7AE0">
        <w:rPr>
          <w:rFonts w:eastAsia="Times New Roman"/>
          <w:sz w:val="26"/>
          <w:szCs w:val="26"/>
        </w:rPr>
        <w:lastRenderedPageBreak/>
        <w:t xml:space="preserve">To establish a sufficient case and satisfy the burden of proof, the Complainant must show that the Respondent is responsible or accountable for the problem described in the Complaint.  </w:t>
      </w:r>
      <w:proofErr w:type="gramStart"/>
      <w:r w:rsidR="00733756" w:rsidRPr="00FF7AE0">
        <w:rPr>
          <w:rFonts w:eastAsia="Times New Roman"/>
          <w:i/>
          <w:sz w:val="26"/>
          <w:szCs w:val="26"/>
        </w:rPr>
        <w:t>Patterson v.</w:t>
      </w:r>
      <w:proofErr w:type="gramEnd"/>
      <w:r w:rsidR="00733756" w:rsidRPr="00FF7AE0">
        <w:rPr>
          <w:rFonts w:eastAsia="Times New Roman"/>
          <w:i/>
          <w:sz w:val="26"/>
          <w:szCs w:val="26"/>
        </w:rPr>
        <w:t xml:space="preserve"> </w:t>
      </w:r>
      <w:proofErr w:type="gramStart"/>
      <w:r w:rsidR="00733756" w:rsidRPr="00FF7AE0">
        <w:rPr>
          <w:rFonts w:eastAsia="Times New Roman"/>
          <w:i/>
          <w:sz w:val="26"/>
          <w:szCs w:val="26"/>
        </w:rPr>
        <w:t>The Bell Telephone Company of Pennsylvania</w:t>
      </w:r>
      <w:r w:rsidR="00733756" w:rsidRPr="00FF7AE0">
        <w:rPr>
          <w:rFonts w:eastAsia="Times New Roman"/>
          <w:sz w:val="26"/>
          <w:szCs w:val="26"/>
        </w:rPr>
        <w:t>, 72 Pa. P.U.C. 196 (1990).</w:t>
      </w:r>
      <w:proofErr w:type="gramEnd"/>
      <w:r w:rsidR="00733756" w:rsidRPr="00FF7AE0">
        <w:rPr>
          <w:rFonts w:eastAsia="Times New Roman"/>
          <w:sz w:val="26"/>
          <w:szCs w:val="26"/>
        </w:rPr>
        <w:t xml:space="preserve">  Such a showing must be by a preponderance of the evidence.  </w:t>
      </w:r>
      <w:proofErr w:type="gramStart"/>
      <w:r w:rsidR="00733756" w:rsidRPr="00FF7AE0">
        <w:rPr>
          <w:rFonts w:eastAsia="Times New Roman"/>
          <w:i/>
          <w:iCs/>
          <w:sz w:val="26"/>
          <w:szCs w:val="26"/>
        </w:rPr>
        <w:t xml:space="preserve">Samuel J. </w:t>
      </w:r>
      <w:proofErr w:type="spellStart"/>
      <w:r w:rsidR="00733756" w:rsidRPr="00FF7AE0">
        <w:rPr>
          <w:rFonts w:eastAsia="Times New Roman"/>
          <w:i/>
          <w:iCs/>
          <w:sz w:val="26"/>
          <w:szCs w:val="26"/>
        </w:rPr>
        <w:t>Lansberry</w:t>
      </w:r>
      <w:proofErr w:type="spellEnd"/>
      <w:r w:rsidR="00733756" w:rsidRPr="00FF7AE0">
        <w:rPr>
          <w:rFonts w:eastAsia="Times New Roman"/>
          <w:i/>
          <w:iCs/>
          <w:sz w:val="26"/>
          <w:szCs w:val="26"/>
        </w:rPr>
        <w:t>, Inc. v. Pa. PUC</w:t>
      </w:r>
      <w:r w:rsidR="00733756" w:rsidRPr="00FF7AE0">
        <w:rPr>
          <w:rFonts w:eastAsia="Times New Roman"/>
          <w:sz w:val="26"/>
          <w:szCs w:val="26"/>
        </w:rPr>
        <w:t xml:space="preserve">, 578 A.2d 600 (Pa. </w:t>
      </w:r>
      <w:proofErr w:type="spellStart"/>
      <w:r w:rsidR="00733756" w:rsidRPr="00FF7AE0">
        <w:rPr>
          <w:rFonts w:eastAsia="Times New Roman"/>
          <w:sz w:val="26"/>
          <w:szCs w:val="26"/>
        </w:rPr>
        <w:t>Cmwlth</w:t>
      </w:r>
      <w:proofErr w:type="spellEnd"/>
      <w:r w:rsidR="00733756" w:rsidRPr="00FF7AE0">
        <w:rPr>
          <w:rFonts w:eastAsia="Times New Roman"/>
          <w:sz w:val="26"/>
          <w:szCs w:val="26"/>
        </w:rPr>
        <w:t xml:space="preserve">. 1990), </w:t>
      </w:r>
      <w:proofErr w:type="spellStart"/>
      <w:r w:rsidR="00733756" w:rsidRPr="00FF7AE0">
        <w:rPr>
          <w:rFonts w:eastAsia="Times New Roman"/>
          <w:i/>
          <w:sz w:val="26"/>
          <w:szCs w:val="26"/>
        </w:rPr>
        <w:t>alloc</w:t>
      </w:r>
      <w:proofErr w:type="spellEnd"/>
      <w:r w:rsidR="00733756" w:rsidRPr="00FF7AE0">
        <w:rPr>
          <w:rFonts w:eastAsia="Times New Roman"/>
          <w:i/>
          <w:sz w:val="26"/>
          <w:szCs w:val="26"/>
        </w:rPr>
        <w:t>.</w:t>
      </w:r>
      <w:proofErr w:type="gramEnd"/>
      <w:r w:rsidR="00733756" w:rsidRPr="00FF7AE0">
        <w:rPr>
          <w:rFonts w:eastAsia="Times New Roman"/>
          <w:i/>
          <w:sz w:val="26"/>
          <w:szCs w:val="26"/>
        </w:rPr>
        <w:t xml:space="preserve"> </w:t>
      </w:r>
      <w:proofErr w:type="gramStart"/>
      <w:r w:rsidR="00733756" w:rsidRPr="00FF7AE0">
        <w:rPr>
          <w:rFonts w:eastAsia="Times New Roman"/>
          <w:i/>
          <w:sz w:val="26"/>
          <w:szCs w:val="26"/>
        </w:rPr>
        <w:t>denied</w:t>
      </w:r>
      <w:proofErr w:type="gramEnd"/>
      <w:r w:rsidR="00733756" w:rsidRPr="00FF7AE0">
        <w:rPr>
          <w:rFonts w:eastAsia="Times New Roman"/>
          <w:i/>
          <w:sz w:val="26"/>
          <w:szCs w:val="26"/>
        </w:rPr>
        <w:t>,</w:t>
      </w:r>
      <w:r w:rsidR="00736766">
        <w:rPr>
          <w:rFonts w:eastAsia="Times New Roman"/>
          <w:sz w:val="26"/>
          <w:szCs w:val="26"/>
        </w:rPr>
        <w:t xml:space="preserve"> 529 Pa. </w:t>
      </w:r>
      <w:r w:rsidR="00733756" w:rsidRPr="00FF7AE0">
        <w:rPr>
          <w:rFonts w:eastAsia="Times New Roman"/>
          <w:sz w:val="26"/>
          <w:szCs w:val="26"/>
        </w:rPr>
        <w:t xml:space="preserve">654, 602 A.2d 863 (1992).  That is, the Complainant’s evidence must be more convincing, by even the smallest amount, than that presented by the Respondent.  </w:t>
      </w:r>
      <w:proofErr w:type="gramStart"/>
      <w:r w:rsidR="00733756" w:rsidRPr="00FF7AE0">
        <w:rPr>
          <w:rFonts w:eastAsia="Times New Roman"/>
          <w:i/>
          <w:sz w:val="26"/>
          <w:szCs w:val="26"/>
        </w:rPr>
        <w:t>Se-Ling Hosiery, Inc. v. Margulies</w:t>
      </w:r>
      <w:r w:rsidR="00733756" w:rsidRPr="00FF7AE0">
        <w:rPr>
          <w:rFonts w:eastAsia="Times New Roman"/>
          <w:sz w:val="26"/>
          <w:szCs w:val="26"/>
        </w:rPr>
        <w:t>, 364 Pa. 45, 70 A.2d 854 (1950).</w:t>
      </w:r>
      <w:proofErr w:type="gramEnd"/>
      <w:r w:rsidR="00733756" w:rsidRPr="00FF7AE0">
        <w:rPr>
          <w:rFonts w:eastAsia="Times New Roman"/>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00733756" w:rsidRPr="00FF7AE0">
        <w:rPr>
          <w:rFonts w:eastAsia="Times New Roman"/>
          <w:i/>
          <w:sz w:val="26"/>
          <w:szCs w:val="26"/>
        </w:rPr>
        <w:t xml:space="preserve">Norfolk &amp; Western Ry. Co. v. Pa. PUC, </w:t>
      </w:r>
      <w:r w:rsidR="00733756" w:rsidRPr="00FF7AE0">
        <w:rPr>
          <w:rFonts w:eastAsia="Times New Roman"/>
          <w:sz w:val="26"/>
          <w:szCs w:val="26"/>
        </w:rPr>
        <w:t>489 Pa. 109, 413 A.2d 1037 (1980).</w:t>
      </w:r>
      <w:proofErr w:type="gramEnd"/>
    </w:p>
    <w:p w:rsidR="00733756" w:rsidRPr="00FF7AE0" w:rsidRDefault="00733756" w:rsidP="0020399E">
      <w:pPr>
        <w:jc w:val="left"/>
        <w:rPr>
          <w:rFonts w:eastAsia="Times New Roman"/>
          <w:sz w:val="26"/>
          <w:szCs w:val="26"/>
        </w:rPr>
      </w:pPr>
    </w:p>
    <w:p w:rsidR="00733756" w:rsidRPr="00FF7AE0" w:rsidRDefault="00733756" w:rsidP="0020399E">
      <w:pPr>
        <w:ind w:firstLine="1440"/>
        <w:jc w:val="left"/>
        <w:rPr>
          <w:rFonts w:eastAsia="Times New Roman"/>
          <w:sz w:val="26"/>
          <w:szCs w:val="20"/>
        </w:rPr>
      </w:pPr>
      <w:r w:rsidRPr="00FF7AE0">
        <w:rPr>
          <w:rFonts w:eastAsia="Times New Roman"/>
          <w:sz w:val="26"/>
          <w:szCs w:val="20"/>
        </w:rPr>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FF7AE0">
        <w:rPr>
          <w:rFonts w:eastAsia="Times New Roman"/>
          <w:iCs/>
          <w:sz w:val="26"/>
          <w:szCs w:val="20"/>
        </w:rPr>
        <w:t xml:space="preserve"> </w:t>
      </w:r>
      <w:hyperlink r:id="rId8" w:history="1">
        <w:r w:rsidRPr="005F20C4">
          <w:rPr>
            <w:rFonts w:eastAsia="Times New Roman"/>
            <w:i/>
            <w:sz w:val="26"/>
            <w:szCs w:val="20"/>
          </w:rPr>
          <w:t>Burleson v. Pa. PUC</w:t>
        </w:r>
        <w:r w:rsidRPr="005F20C4">
          <w:rPr>
            <w:rFonts w:eastAsia="Times New Roman"/>
            <w:sz w:val="26"/>
            <w:szCs w:val="20"/>
          </w:rPr>
          <w:t xml:space="preserve">, 443 A.2d </w:t>
        </w:r>
        <w:r w:rsidRPr="00FF7AE0">
          <w:rPr>
            <w:rFonts w:ascii="Times New (W1)" w:eastAsia="Times New Roman" w:hAnsi="Times New (W1)"/>
            <w:sz w:val="26"/>
            <w:szCs w:val="20"/>
          </w:rPr>
          <w:t xml:space="preserve">1373 (Pa. </w:t>
        </w:r>
        <w:proofErr w:type="spellStart"/>
        <w:r w:rsidRPr="00FF7AE0">
          <w:rPr>
            <w:rFonts w:ascii="Times New (W1)" w:eastAsia="Times New Roman" w:hAnsi="Times New (W1)"/>
            <w:sz w:val="26"/>
            <w:szCs w:val="20"/>
          </w:rPr>
          <w:t>Cmwlth</w:t>
        </w:r>
        <w:proofErr w:type="spellEnd"/>
        <w:r w:rsidRPr="00FF7AE0">
          <w:rPr>
            <w:rFonts w:ascii="Times New (W1)" w:eastAsia="Times New Roman" w:hAnsi="Times New (W1)"/>
            <w:sz w:val="26"/>
            <w:szCs w:val="20"/>
          </w:rPr>
          <w:t xml:space="preserve">. 1982), </w:t>
        </w:r>
        <w:proofErr w:type="spellStart"/>
        <w:r w:rsidRPr="005F20C4">
          <w:rPr>
            <w:rFonts w:eastAsia="Times New Roman"/>
            <w:i/>
            <w:sz w:val="26"/>
            <w:szCs w:val="20"/>
          </w:rPr>
          <w:t>aff’d</w:t>
        </w:r>
        <w:proofErr w:type="spellEnd"/>
        <w:r w:rsidRPr="005F20C4">
          <w:rPr>
            <w:rFonts w:eastAsia="Times New Roman"/>
            <w:sz w:val="26"/>
            <w:szCs w:val="20"/>
          </w:rPr>
          <w:t>,</w:t>
        </w:r>
        <w:r w:rsidRPr="00FF7AE0">
          <w:rPr>
            <w:rFonts w:ascii="Times New (W1)" w:eastAsia="Times New Roman" w:hAnsi="Times New (W1)"/>
            <w:sz w:val="26"/>
            <w:szCs w:val="20"/>
          </w:rPr>
          <w:t xml:space="preserve"> 501 Pa. 433, 461 A.2d 1234 (1983).</w:t>
        </w:r>
      </w:hyperlink>
      <w:r w:rsidRPr="00FF7AE0">
        <w:rPr>
          <w:rFonts w:ascii="Times New (W1)" w:eastAsia="Times New Roman" w:hAnsi="Times New (W1)"/>
          <w:iCs/>
          <w:sz w:val="26"/>
          <w:szCs w:val="20"/>
        </w:rPr>
        <w:t xml:space="preserve">  </w:t>
      </w:r>
      <w:r w:rsidRPr="00FF7AE0">
        <w:rPr>
          <w:rFonts w:eastAsia="Times New Roman"/>
          <w:sz w:val="26"/>
          <w:szCs w:val="20"/>
        </w:rPr>
        <w:t xml:space="preserve">While the burden of persuasion may </w:t>
      </w:r>
      <w:r w:rsidRPr="00FF7AE0">
        <w:rPr>
          <w:rFonts w:eastAsia="Times New Roman"/>
          <w:bCs/>
          <w:sz w:val="26"/>
          <w:szCs w:val="20"/>
        </w:rPr>
        <w:t>shift</w:t>
      </w:r>
      <w:r w:rsidRPr="00FF7AE0">
        <w:rPr>
          <w:rFonts w:eastAsia="Times New Roman"/>
          <w:sz w:val="26"/>
          <w:szCs w:val="20"/>
        </w:rPr>
        <w:t xml:space="preserve"> back and forth during a proceeding, the </w:t>
      </w:r>
      <w:r w:rsidRPr="00FF7AE0">
        <w:rPr>
          <w:rFonts w:eastAsia="Times New Roman"/>
          <w:bCs/>
          <w:sz w:val="26"/>
          <w:szCs w:val="20"/>
        </w:rPr>
        <w:t>burden of proof</w:t>
      </w:r>
      <w:r w:rsidRPr="00FF7AE0">
        <w:rPr>
          <w:rFonts w:eastAsia="Times New Roman"/>
          <w:sz w:val="26"/>
          <w:szCs w:val="20"/>
        </w:rPr>
        <w:t xml:space="preserve"> never </w:t>
      </w:r>
      <w:r w:rsidRPr="00FF7AE0">
        <w:rPr>
          <w:rFonts w:eastAsia="Times New Roman"/>
          <w:bCs/>
          <w:sz w:val="26"/>
          <w:szCs w:val="20"/>
        </w:rPr>
        <w:t>shifts. The burden of proof</w:t>
      </w:r>
      <w:r w:rsidRPr="00FF7AE0">
        <w:rPr>
          <w:rFonts w:eastAsia="Times New Roman"/>
          <w:sz w:val="26"/>
          <w:szCs w:val="20"/>
        </w:rPr>
        <w:t xml:space="preserve"> always remains on the party seeking affirmative relief from the Commission.  </w:t>
      </w:r>
      <w:proofErr w:type="spellStart"/>
      <w:proofErr w:type="gramStart"/>
      <w:r w:rsidRPr="00FF7AE0">
        <w:rPr>
          <w:rFonts w:eastAsia="Times New Roman"/>
          <w:i/>
          <w:sz w:val="26"/>
          <w:szCs w:val="20"/>
        </w:rPr>
        <w:t>Milkie</w:t>
      </w:r>
      <w:proofErr w:type="spellEnd"/>
      <w:r w:rsidRPr="00FF7AE0">
        <w:rPr>
          <w:rFonts w:eastAsia="Times New Roman"/>
          <w:i/>
          <w:sz w:val="26"/>
          <w:szCs w:val="20"/>
        </w:rPr>
        <w:t xml:space="preserve"> v. Pa. PUC, </w:t>
      </w:r>
      <w:r w:rsidRPr="00FF7AE0">
        <w:rPr>
          <w:rFonts w:eastAsia="Times New Roman"/>
          <w:sz w:val="26"/>
          <w:szCs w:val="20"/>
        </w:rPr>
        <w:t xml:space="preserve">768 A.2d 1217 (Pa. </w:t>
      </w:r>
      <w:proofErr w:type="spellStart"/>
      <w:r w:rsidRPr="00FF7AE0">
        <w:rPr>
          <w:rFonts w:eastAsia="Times New Roman"/>
          <w:sz w:val="26"/>
          <w:szCs w:val="20"/>
        </w:rPr>
        <w:t>Cmwlth</w:t>
      </w:r>
      <w:proofErr w:type="spellEnd"/>
      <w:r w:rsidRPr="00FF7AE0">
        <w:rPr>
          <w:rFonts w:eastAsia="Times New Roman"/>
          <w:sz w:val="26"/>
          <w:szCs w:val="20"/>
        </w:rPr>
        <w:t>. 2001).</w:t>
      </w:r>
      <w:proofErr w:type="gramEnd"/>
      <w:r w:rsidRPr="00FF7AE0">
        <w:rPr>
          <w:rFonts w:eastAsia="Times New Roman"/>
          <w:sz w:val="26"/>
          <w:szCs w:val="20"/>
        </w:rPr>
        <w:t xml:space="preserve">  </w:t>
      </w:r>
    </w:p>
    <w:p w:rsidR="00733756" w:rsidRPr="00FF7AE0" w:rsidRDefault="00733756" w:rsidP="0020399E">
      <w:pPr>
        <w:jc w:val="left"/>
        <w:rPr>
          <w:rFonts w:eastAsia="Times New Roman"/>
          <w:sz w:val="26"/>
          <w:szCs w:val="20"/>
        </w:rPr>
      </w:pPr>
    </w:p>
    <w:p w:rsidR="00733756" w:rsidRPr="001C3FE7" w:rsidRDefault="00733756" w:rsidP="0020399E">
      <w:pPr>
        <w:pStyle w:val="BodyText2"/>
      </w:pPr>
      <w:r>
        <w:tab/>
      </w:r>
      <w:r>
        <w:tab/>
      </w:r>
      <w:r w:rsidRPr="001C3FE7">
        <w:t xml:space="preserve">The ALJ made </w:t>
      </w:r>
      <w:r w:rsidR="00922B73">
        <w:t>twenty-seven</w:t>
      </w:r>
      <w:r w:rsidRPr="001C3FE7">
        <w:t xml:space="preserve"> Findings of Fact and reached </w:t>
      </w:r>
      <w:r w:rsidR="0012116F">
        <w:t>four</w:t>
      </w:r>
      <w:r w:rsidRPr="001C3FE7">
        <w:t xml:space="preserve"> Conclusions of Law.  </w:t>
      </w:r>
      <w:proofErr w:type="gramStart"/>
      <w:r w:rsidR="0012116F">
        <w:t xml:space="preserve">I.D. at </w:t>
      </w:r>
      <w:r w:rsidR="00922B73">
        <w:t>2</w:t>
      </w:r>
      <w:r w:rsidR="0012116F">
        <w:t>-</w:t>
      </w:r>
      <w:r w:rsidR="00922B73">
        <w:t>4</w:t>
      </w:r>
      <w:r w:rsidR="0012116F">
        <w:t xml:space="preserve">, </w:t>
      </w:r>
      <w:r w:rsidR="00922B73">
        <w:t>9</w:t>
      </w:r>
      <w:r>
        <w:t>.</w:t>
      </w:r>
      <w:proofErr w:type="gramEnd"/>
      <w:r>
        <w:t xml:space="preserve">  </w:t>
      </w:r>
      <w:r w:rsidRPr="001C3FE7">
        <w:t>The Findings of Fact and Conclusions of Law are incorporated herein by reference and are adopted without comment unless they are either expressly or by necessary implication rejected or modified by this Opinion and Order.</w:t>
      </w:r>
    </w:p>
    <w:p w:rsidR="00733756" w:rsidRPr="001C3FE7" w:rsidRDefault="00733756" w:rsidP="0020399E">
      <w:pPr>
        <w:tabs>
          <w:tab w:val="left" w:pos="-1440"/>
          <w:tab w:val="left" w:pos="-720"/>
        </w:tabs>
        <w:suppressAutoHyphens/>
        <w:jc w:val="left"/>
        <w:rPr>
          <w:spacing w:val="-3"/>
          <w:sz w:val="26"/>
          <w:szCs w:val="26"/>
        </w:rPr>
      </w:pPr>
    </w:p>
    <w:p w:rsidR="00974E8E" w:rsidRDefault="00733756" w:rsidP="0020399E">
      <w:pPr>
        <w:jc w:val="left"/>
        <w:rPr>
          <w:rFonts w:ascii="Times New (W1)" w:hAnsi="Times New (W1)"/>
          <w:sz w:val="26"/>
        </w:rPr>
      </w:pPr>
      <w:r>
        <w:rPr>
          <w:rFonts w:ascii="Times New (W1)" w:hAnsi="Times New (W1)"/>
          <w:sz w:val="26"/>
        </w:rPr>
        <w:lastRenderedPageBreak/>
        <w:tab/>
      </w:r>
      <w:r>
        <w:rPr>
          <w:rFonts w:ascii="Times New (W1)" w:hAnsi="Times New (W1)"/>
          <w:sz w:val="26"/>
        </w:rPr>
        <w:tab/>
      </w:r>
      <w:r w:rsidRPr="001C3FE7">
        <w:rPr>
          <w:rFonts w:ascii="Times New (W1)" w:hAnsi="Times New (W1)"/>
          <w:sz w:val="26"/>
        </w:rPr>
        <w:t xml:space="preserve">Before addressing the Exceptions, it is noted that any issue or Exception that we do not specifically discuss shall be deemed to have been duly considered and denied without further discussion.  The Commission is not required to consider expressly or at length each contention or argument raised by the parties. </w:t>
      </w:r>
      <w:r w:rsidRPr="001C3FE7">
        <w:rPr>
          <w:rFonts w:ascii="Times New (W1)" w:hAnsi="Times New (W1)"/>
          <w:i/>
          <w:sz w:val="26"/>
        </w:rPr>
        <w:t xml:space="preserve"> </w:t>
      </w:r>
      <w:r w:rsidRPr="005F20C4">
        <w:rPr>
          <w:i/>
          <w:sz w:val="26"/>
        </w:rPr>
        <w:t>Consolidated Rail Corp. v. Pennsylvania Public Utility Commission</w:t>
      </w:r>
      <w:r w:rsidRPr="005F20C4">
        <w:rPr>
          <w:sz w:val="26"/>
        </w:rPr>
        <w:t>,</w:t>
      </w:r>
      <w:r w:rsidRPr="001C3FE7">
        <w:rPr>
          <w:rFonts w:ascii="Times New (W1)" w:hAnsi="Times New (W1)"/>
          <w:sz w:val="26"/>
        </w:rPr>
        <w:t xml:space="preserve"> 625 A.2d 741 (Pa. </w:t>
      </w:r>
      <w:proofErr w:type="spellStart"/>
      <w:r w:rsidRPr="001C3FE7">
        <w:rPr>
          <w:rFonts w:ascii="Times New (W1)" w:hAnsi="Times New (W1)"/>
          <w:sz w:val="26"/>
        </w:rPr>
        <w:t>Cmwlth</w:t>
      </w:r>
      <w:proofErr w:type="spellEnd"/>
      <w:r w:rsidRPr="001C3FE7">
        <w:rPr>
          <w:rFonts w:ascii="Times New (W1)" w:hAnsi="Times New (W1)"/>
          <w:sz w:val="26"/>
        </w:rPr>
        <w:t>. 1993).</w:t>
      </w:r>
    </w:p>
    <w:p w:rsidR="00B76684" w:rsidRDefault="00B76684" w:rsidP="0020399E">
      <w:pPr>
        <w:pStyle w:val="Heading3"/>
        <w:keepNext w:val="0"/>
        <w:keepLines w:val="0"/>
        <w:spacing w:before="0"/>
        <w:rPr>
          <w:rFonts w:ascii="Times New (W1)" w:eastAsia="Calibri" w:hAnsi="Times New (W1)" w:cs="Times New Roman"/>
          <w:b w:val="0"/>
          <w:bCs w:val="0"/>
          <w:color w:val="auto"/>
          <w:sz w:val="26"/>
        </w:rPr>
      </w:pPr>
    </w:p>
    <w:p w:rsidR="005A5636" w:rsidRPr="005A5636" w:rsidRDefault="00B76684" w:rsidP="0020399E">
      <w:pPr>
        <w:pStyle w:val="BodyTextIndent"/>
      </w:pPr>
      <w:r>
        <w:t>With respect to the Complaint filed a</w:t>
      </w:r>
      <w:r w:rsidR="005A5636">
        <w:t>t</w:t>
      </w:r>
      <w:r w:rsidR="00E5114A">
        <w:t xml:space="preserve"> Docket No. C-2010-2198079, t</w:t>
      </w:r>
      <w:r w:rsidR="00A76731">
        <w:t xml:space="preserve">he ALJ found that </w:t>
      </w:r>
      <w:r w:rsidR="005A5636">
        <w:t xml:space="preserve">the Complainant failed to prove that he did not receive the notice of termination.  The </w:t>
      </w:r>
      <w:r>
        <w:t>ALJ</w:t>
      </w:r>
      <w:r w:rsidR="005A5636">
        <w:t xml:space="preserve"> stated that PPL had the correct mailing address, and the notice was not returned as undeliverable.  </w:t>
      </w:r>
      <w:r>
        <w:t>The ALJ noted that n</w:t>
      </w:r>
      <w:r w:rsidR="005A5636">
        <w:t>otice mailed to a party’s last known address and not returned by the United States Postal Service is presumed to have been received.</w:t>
      </w:r>
      <w:r>
        <w:t xml:space="preserve">  I.D. at 6 (citing</w:t>
      </w:r>
      <w:r w:rsidR="005A5636">
        <w:t xml:space="preserve"> </w:t>
      </w:r>
      <w:proofErr w:type="spellStart"/>
      <w:r w:rsidR="005A5636">
        <w:rPr>
          <w:i/>
        </w:rPr>
        <w:t>Chartiers</w:t>
      </w:r>
      <w:proofErr w:type="spellEnd"/>
      <w:r w:rsidR="005A5636">
        <w:rPr>
          <w:i/>
        </w:rPr>
        <w:t xml:space="preserve"> Industrial and Commercial Development Authority v. Allegheny County Board of Property Assessment Appeals and Review, </w:t>
      </w:r>
      <w:r w:rsidR="005A5636">
        <w:t xml:space="preserve">645 A.2d.944 (Pa. </w:t>
      </w:r>
      <w:proofErr w:type="spellStart"/>
      <w:r w:rsidR="005A5636">
        <w:t>Cmwlth</w:t>
      </w:r>
      <w:proofErr w:type="spellEnd"/>
      <w:r w:rsidR="005A5636">
        <w:t>. 1994</w:t>
      </w:r>
      <w:r>
        <w:t xml:space="preserve">)).  </w:t>
      </w:r>
      <w:r w:rsidR="005A5636">
        <w:t>Therefore, the ALJ denied and dismissed this Complaint.</w:t>
      </w:r>
      <w:r>
        <w:t xml:space="preserve">  </w:t>
      </w:r>
      <w:proofErr w:type="gramStart"/>
      <w:r>
        <w:t>I.D. at 6.</w:t>
      </w:r>
      <w:proofErr w:type="gramEnd"/>
    </w:p>
    <w:p w:rsidR="005A5636" w:rsidRDefault="005A5636" w:rsidP="0020399E">
      <w:pPr>
        <w:pStyle w:val="BodyTextIndent"/>
      </w:pPr>
    </w:p>
    <w:p w:rsidR="00A42C6F" w:rsidRDefault="00A42C6F" w:rsidP="0020399E">
      <w:pPr>
        <w:pStyle w:val="BodyTextIndent"/>
        <w:ind w:firstLine="0"/>
      </w:pPr>
      <w:r>
        <w:tab/>
      </w:r>
      <w:r>
        <w:tab/>
      </w:r>
      <w:proofErr w:type="gramStart"/>
      <w:r>
        <w:t>Regarding the Complainant a</w:t>
      </w:r>
      <w:r w:rsidR="0020751D">
        <w:t>t Docket No.</w:t>
      </w:r>
      <w:proofErr w:type="gramEnd"/>
      <w:r w:rsidR="0020751D">
        <w:t xml:space="preserve"> C-2011-2229033, the </w:t>
      </w:r>
      <w:r>
        <w:t xml:space="preserve">ALJ found that, based on the record, PPL’s actions were in accordance with the Commission’s Regulations that require the utility to make personal contact at least three days prior to the intended termination.  </w:t>
      </w:r>
      <w:proofErr w:type="gramStart"/>
      <w:r>
        <w:t>52 Pa. Code § 55.1, 55.2.</w:t>
      </w:r>
      <w:proofErr w:type="gramEnd"/>
      <w:r>
        <w:t xml:space="preserve">  In reaching this conclusion, the ALJ noted that the </w:t>
      </w:r>
      <w:r w:rsidR="0018146A">
        <w:t xml:space="preserve">Complainant received a bill for electric service in the amount of $1,397.89, which stated that this amount was to be paid no later than February 2, 2011.  </w:t>
      </w:r>
      <w:r>
        <w:t>The ALJ additionally explained that o</w:t>
      </w:r>
      <w:r w:rsidR="0018146A">
        <w:t>n February 7, 2011, PPL sent a “commercial termination letter” to the Complainant which stated that the shut-off date was February 1</w:t>
      </w:r>
      <w:r w:rsidR="00735FEB">
        <w:t>4</w:t>
      </w:r>
      <w:r>
        <w:t xml:space="preserve">, 2011, and contained </w:t>
      </w:r>
      <w:r w:rsidR="0018146A">
        <w:t xml:space="preserve">detailed instructions regarding making a payment and notifying a PPL representative of the payment confirmation number or receipt information.  </w:t>
      </w:r>
      <w:r>
        <w:rPr>
          <w:i/>
        </w:rPr>
        <w:t xml:space="preserve">Id. </w:t>
      </w:r>
      <w:r w:rsidR="00736766">
        <w:t>At 7; Tr. </w:t>
      </w:r>
      <w:r>
        <w:t>at 77-78</w:t>
      </w:r>
      <w:r w:rsidR="0018146A">
        <w:t xml:space="preserve">.  </w:t>
      </w:r>
    </w:p>
    <w:p w:rsidR="00A42C6F" w:rsidRDefault="00A42C6F" w:rsidP="0020399E">
      <w:pPr>
        <w:pStyle w:val="BodyTextIndent"/>
        <w:ind w:firstLine="0"/>
      </w:pPr>
    </w:p>
    <w:p w:rsidR="0018146A" w:rsidRDefault="00A42C6F" w:rsidP="0020399E">
      <w:pPr>
        <w:pStyle w:val="BodyTextIndent"/>
        <w:ind w:firstLine="0"/>
      </w:pPr>
      <w:r>
        <w:tab/>
      </w:r>
      <w:r>
        <w:tab/>
      </w:r>
      <w:r w:rsidR="0018146A">
        <w:t xml:space="preserve">The Complainant made a payment of $1,397.89 </w:t>
      </w:r>
      <w:r w:rsidR="001770A1">
        <w:t xml:space="preserve">on February 11, 2011, </w:t>
      </w:r>
      <w:r w:rsidR="0018146A">
        <w:t>at United Check Cashing</w:t>
      </w:r>
      <w:r w:rsidR="001770A1">
        <w:t>, a PPL authorized payment center</w:t>
      </w:r>
      <w:r w:rsidR="0018146A">
        <w:t xml:space="preserve">.  </w:t>
      </w:r>
      <w:r w:rsidR="00EA3560">
        <w:t xml:space="preserve">PPL </w:t>
      </w:r>
      <w:r>
        <w:t xml:space="preserve">stated that it </w:t>
      </w:r>
      <w:r w:rsidR="00EA3560">
        <w:t xml:space="preserve">does not </w:t>
      </w:r>
      <w:r w:rsidR="00EA3560">
        <w:lastRenderedPageBreak/>
        <w:t>receive simultaneous notification when payment is made at a payment center</w:t>
      </w:r>
      <w:r w:rsidR="00BC4060">
        <w:t>.  T</w:t>
      </w:r>
      <w:r w:rsidR="00EA3560">
        <w:t xml:space="preserve">here is a delay </w:t>
      </w:r>
      <w:r w:rsidR="0020399E">
        <w:t xml:space="preserve">of three to four days </w:t>
      </w:r>
      <w:r w:rsidR="00EA3560">
        <w:t xml:space="preserve">in the transfer of information.  The Complainant </w:t>
      </w:r>
      <w:r>
        <w:t xml:space="preserve">did not notify PPL that he made the payment, as had been delineated in the termination letter.  </w:t>
      </w:r>
      <w:proofErr w:type="gramStart"/>
      <w:r>
        <w:t>Tr. at 60, 63.</w:t>
      </w:r>
      <w:proofErr w:type="gramEnd"/>
      <w:r>
        <w:t xml:space="preserve">  </w:t>
      </w:r>
      <w:r w:rsidR="00EA3560">
        <w:t xml:space="preserve">PPL avers that its standard operating procedure is to document customer calls to its customer service, and there is no record of a call from either the Complainant or </w:t>
      </w:r>
      <w:r>
        <w:t xml:space="preserve">his employee, </w:t>
      </w:r>
      <w:r w:rsidR="00EA3560">
        <w:t xml:space="preserve">Mary </w:t>
      </w:r>
      <w:proofErr w:type="spellStart"/>
      <w:r w:rsidR="00EA3560">
        <w:t>Tenza</w:t>
      </w:r>
      <w:proofErr w:type="spellEnd"/>
      <w:r w:rsidR="005C2993">
        <w:rPr>
          <w:rStyle w:val="FootnoteReference"/>
        </w:rPr>
        <w:footnoteReference w:id="1"/>
      </w:r>
      <w:r>
        <w:t>, whom the Complainant states made the call</w:t>
      </w:r>
      <w:r w:rsidR="00EA3560">
        <w:t xml:space="preserve"> on February 11, 2011.  Tr.</w:t>
      </w:r>
      <w:r w:rsidR="003D4311">
        <w:t> </w:t>
      </w:r>
      <w:r w:rsidR="00EA3560">
        <w:t>at</w:t>
      </w:r>
      <w:r w:rsidR="003D4311">
        <w:t> </w:t>
      </w:r>
      <w:r w:rsidR="00EA3560">
        <w:t>80, 86.</w:t>
      </w:r>
      <w:r w:rsidR="00F35371">
        <w:rPr>
          <w:rStyle w:val="FootnoteReference"/>
        </w:rPr>
        <w:footnoteReference w:id="2"/>
      </w:r>
      <w:r w:rsidR="008F4F7C">
        <w:t xml:space="preserve">  The ALJ concluded that it is the responsibility of a customer to pay any undisputed bill by its due date</w:t>
      </w:r>
      <w:r>
        <w:t>, in this case, February 2, 2011</w:t>
      </w:r>
      <w:r w:rsidR="008F4F7C">
        <w:t xml:space="preserve">.  </w:t>
      </w:r>
      <w:proofErr w:type="gramStart"/>
      <w:r w:rsidR="008F4F7C">
        <w:t>52 Pa. Code § 5</w:t>
      </w:r>
      <w:r>
        <w:t>6.21.</w:t>
      </w:r>
      <w:proofErr w:type="gramEnd"/>
      <w:r>
        <w:t xml:space="preserve">  Since that was not done</w:t>
      </w:r>
      <w:r w:rsidR="008F4F7C">
        <w:t xml:space="preserve">, termination was unfortunate, but not a violation of law or the Commission’s </w:t>
      </w:r>
      <w:r>
        <w:t>R</w:t>
      </w:r>
      <w:r w:rsidR="008F4F7C">
        <w:t xml:space="preserve">egulations or </w:t>
      </w:r>
      <w:r>
        <w:t>O</w:t>
      </w:r>
      <w:r w:rsidR="008F4F7C">
        <w:t xml:space="preserve">rders.  </w:t>
      </w:r>
      <w:proofErr w:type="gramStart"/>
      <w:r w:rsidR="008F4F7C">
        <w:t>I.D. at 9.</w:t>
      </w:r>
      <w:proofErr w:type="gramEnd"/>
    </w:p>
    <w:p w:rsidR="0020751D" w:rsidRDefault="0020751D" w:rsidP="0020399E">
      <w:pPr>
        <w:pStyle w:val="BodyTextIndent"/>
      </w:pPr>
    </w:p>
    <w:p w:rsidR="00D8035E" w:rsidRPr="00D8035E" w:rsidRDefault="008F4F7C" w:rsidP="0020399E">
      <w:pPr>
        <w:pStyle w:val="BodyTextIndent"/>
        <w:rPr>
          <w:spacing w:val="-3"/>
        </w:rPr>
      </w:pPr>
      <w:r>
        <w:t>Th</w:t>
      </w:r>
      <w:r w:rsidR="00CB0005">
        <w:t xml:space="preserve">e ALJ recommended </w:t>
      </w:r>
      <w:r>
        <w:t>that both</w:t>
      </w:r>
      <w:r w:rsidR="00CB0005">
        <w:t xml:space="preserve"> Complaint</w:t>
      </w:r>
      <w:r w:rsidR="00523420">
        <w:t xml:space="preserve">s </w:t>
      </w:r>
      <w:r w:rsidR="00CB0005">
        <w:t>be dismissed because the Complainant failed to show that P</w:t>
      </w:r>
      <w:r>
        <w:t>PL</w:t>
      </w:r>
      <w:r w:rsidR="00CB0005">
        <w:t xml:space="preserve"> was </w:t>
      </w:r>
      <w:r>
        <w:t>responsible</w:t>
      </w:r>
      <w:r w:rsidR="00453089">
        <w:t xml:space="preserve"> for the problems described in the Complaints</w:t>
      </w:r>
      <w:r w:rsidR="00CB0005">
        <w:t xml:space="preserve">.  </w:t>
      </w:r>
      <w:proofErr w:type="gramStart"/>
      <w:r w:rsidR="003C0D1F">
        <w:t xml:space="preserve">I.D. at </w:t>
      </w:r>
      <w:r>
        <w:t>9</w:t>
      </w:r>
      <w:r w:rsidR="003C0D1F">
        <w:t>.</w:t>
      </w:r>
      <w:proofErr w:type="gramEnd"/>
      <w:r w:rsidR="003C0D1F">
        <w:t xml:space="preserve"> </w:t>
      </w:r>
    </w:p>
    <w:p w:rsidR="00CF67CB" w:rsidRPr="00D8035E" w:rsidRDefault="00CF67CB" w:rsidP="0020399E">
      <w:pPr>
        <w:jc w:val="left"/>
        <w:rPr>
          <w:sz w:val="26"/>
          <w:szCs w:val="26"/>
        </w:rPr>
      </w:pPr>
    </w:p>
    <w:p w:rsidR="009802BD" w:rsidRPr="009802BD" w:rsidRDefault="009A4419" w:rsidP="0020399E">
      <w:pPr>
        <w:pStyle w:val="BodyText2"/>
        <w:rPr>
          <w:rFonts w:ascii="Times New Roman" w:hAnsi="Times New Roman"/>
          <w:szCs w:val="26"/>
        </w:rPr>
      </w:pPr>
      <w:r w:rsidRPr="00BD0851">
        <w:rPr>
          <w:rFonts w:ascii="Times New Roman" w:hAnsi="Times New Roman"/>
          <w:szCs w:val="26"/>
        </w:rPr>
        <w:tab/>
      </w:r>
      <w:r w:rsidRPr="00BD0851">
        <w:rPr>
          <w:rFonts w:ascii="Times New Roman" w:hAnsi="Times New Roman"/>
          <w:szCs w:val="26"/>
        </w:rPr>
        <w:tab/>
      </w:r>
      <w:r w:rsidR="0061000D" w:rsidRPr="00BD0851">
        <w:rPr>
          <w:rFonts w:ascii="Times New Roman" w:hAnsi="Times New Roman"/>
          <w:szCs w:val="26"/>
        </w:rPr>
        <w:t xml:space="preserve">The Complainant submitted </w:t>
      </w:r>
      <w:r w:rsidR="001A41DD">
        <w:rPr>
          <w:rFonts w:ascii="Times New Roman" w:hAnsi="Times New Roman"/>
          <w:szCs w:val="26"/>
        </w:rPr>
        <w:t>eight</w:t>
      </w:r>
      <w:r w:rsidR="0061000D" w:rsidRPr="00BD0851">
        <w:rPr>
          <w:rFonts w:ascii="Times New Roman" w:hAnsi="Times New Roman"/>
          <w:szCs w:val="26"/>
        </w:rPr>
        <w:t xml:space="preserve"> numbered Exceptions to the ALJ’</w:t>
      </w:r>
      <w:r w:rsidR="008D5B77" w:rsidRPr="00BD0851">
        <w:rPr>
          <w:rFonts w:ascii="Times New Roman" w:hAnsi="Times New Roman"/>
          <w:szCs w:val="26"/>
        </w:rPr>
        <w:t>s Initial Decision.</w:t>
      </w:r>
      <w:r w:rsidR="003D4311">
        <w:rPr>
          <w:rStyle w:val="FootnoteReference"/>
          <w:rFonts w:ascii="Times New Roman" w:hAnsi="Times New Roman"/>
          <w:szCs w:val="26"/>
        </w:rPr>
        <w:footnoteReference w:id="3"/>
      </w:r>
      <w:r w:rsidR="008D5B77" w:rsidRPr="00BD0851">
        <w:rPr>
          <w:rFonts w:ascii="Times New Roman" w:hAnsi="Times New Roman"/>
          <w:szCs w:val="26"/>
        </w:rPr>
        <w:t xml:space="preserve">  </w:t>
      </w:r>
      <w:r w:rsidR="007C6924">
        <w:rPr>
          <w:rFonts w:ascii="Times New Roman" w:hAnsi="Times New Roman"/>
          <w:szCs w:val="26"/>
        </w:rPr>
        <w:t xml:space="preserve">The core exception is </w:t>
      </w:r>
      <w:r w:rsidR="00C0732F">
        <w:rPr>
          <w:rFonts w:ascii="Times New Roman" w:hAnsi="Times New Roman"/>
          <w:szCs w:val="26"/>
        </w:rPr>
        <w:t>the</w:t>
      </w:r>
      <w:r w:rsidR="009802BD">
        <w:rPr>
          <w:rFonts w:ascii="Times New Roman" w:hAnsi="Times New Roman"/>
          <w:szCs w:val="26"/>
        </w:rPr>
        <w:t xml:space="preserve"> first Exception</w:t>
      </w:r>
      <w:r w:rsidR="005361D4">
        <w:rPr>
          <w:rFonts w:ascii="Times New Roman" w:hAnsi="Times New Roman"/>
          <w:szCs w:val="26"/>
        </w:rPr>
        <w:t xml:space="preserve"> in which the </w:t>
      </w:r>
      <w:r w:rsidR="009802BD">
        <w:rPr>
          <w:rFonts w:ascii="Times New Roman" w:hAnsi="Times New Roman"/>
          <w:szCs w:val="26"/>
        </w:rPr>
        <w:t>Complainant asserts that the</w:t>
      </w:r>
      <w:r w:rsidR="00816B0F">
        <w:rPr>
          <w:rFonts w:ascii="Times New Roman" w:hAnsi="Times New Roman"/>
          <w:szCs w:val="26"/>
        </w:rPr>
        <w:t xml:space="preserve"> ALJ</w:t>
      </w:r>
      <w:r w:rsidR="009802BD">
        <w:rPr>
          <w:rFonts w:ascii="Times New Roman" w:hAnsi="Times New Roman"/>
          <w:szCs w:val="26"/>
        </w:rPr>
        <w:t xml:space="preserve"> </w:t>
      </w:r>
      <w:r w:rsidR="001A41DD">
        <w:rPr>
          <w:rFonts w:ascii="Times New Roman" w:hAnsi="Times New Roman"/>
          <w:szCs w:val="26"/>
        </w:rPr>
        <w:t xml:space="preserve">ignored the Stipulation of the </w:t>
      </w:r>
      <w:r w:rsidR="002C4224">
        <w:rPr>
          <w:rFonts w:ascii="Times New Roman" w:hAnsi="Times New Roman"/>
          <w:szCs w:val="26"/>
        </w:rPr>
        <w:t>P</w:t>
      </w:r>
      <w:r w:rsidR="001A41DD">
        <w:rPr>
          <w:rFonts w:ascii="Times New Roman" w:hAnsi="Times New Roman"/>
          <w:szCs w:val="26"/>
        </w:rPr>
        <w:t>arties.  Exc. at 1-2.</w:t>
      </w:r>
      <w:r w:rsidR="00B344DD">
        <w:rPr>
          <w:rFonts w:ascii="Times New Roman" w:hAnsi="Times New Roman"/>
          <w:szCs w:val="26"/>
        </w:rPr>
        <w:t xml:space="preserve">  </w:t>
      </w:r>
      <w:r w:rsidR="001A41DD">
        <w:rPr>
          <w:rFonts w:ascii="Times New Roman" w:hAnsi="Times New Roman"/>
          <w:szCs w:val="26"/>
        </w:rPr>
        <w:t xml:space="preserve">The Complainant avers that the </w:t>
      </w:r>
      <w:r w:rsidR="005361D4">
        <w:rPr>
          <w:rFonts w:ascii="Times New Roman" w:hAnsi="Times New Roman"/>
          <w:szCs w:val="26"/>
        </w:rPr>
        <w:t>P</w:t>
      </w:r>
      <w:r w:rsidR="001A41DD">
        <w:rPr>
          <w:rFonts w:ascii="Times New Roman" w:hAnsi="Times New Roman"/>
          <w:szCs w:val="26"/>
        </w:rPr>
        <w:t xml:space="preserve">arties stipulated that Mary </w:t>
      </w:r>
      <w:proofErr w:type="spellStart"/>
      <w:r w:rsidR="001A41DD">
        <w:rPr>
          <w:rFonts w:ascii="Times New Roman" w:hAnsi="Times New Roman"/>
          <w:szCs w:val="26"/>
        </w:rPr>
        <w:t>Tenza</w:t>
      </w:r>
      <w:proofErr w:type="spellEnd"/>
      <w:r w:rsidR="001A41DD">
        <w:rPr>
          <w:rFonts w:ascii="Times New Roman" w:hAnsi="Times New Roman"/>
          <w:szCs w:val="26"/>
        </w:rPr>
        <w:t xml:space="preserve"> notified PPL of the payment on February 11, 2011.</w:t>
      </w:r>
    </w:p>
    <w:p w:rsidR="009802BD" w:rsidRPr="008A4779" w:rsidRDefault="009802BD" w:rsidP="0020399E"/>
    <w:p w:rsidR="007208C4" w:rsidRDefault="009802BD" w:rsidP="0020399E">
      <w:pPr>
        <w:jc w:val="left"/>
        <w:rPr>
          <w:rFonts w:eastAsiaTheme="minorEastAsia"/>
          <w:sz w:val="26"/>
          <w:szCs w:val="26"/>
        </w:rPr>
      </w:pPr>
      <w:r w:rsidRPr="009802BD">
        <w:rPr>
          <w:sz w:val="26"/>
          <w:szCs w:val="26"/>
        </w:rPr>
        <w:lastRenderedPageBreak/>
        <w:tab/>
      </w:r>
      <w:r w:rsidRPr="009802BD">
        <w:rPr>
          <w:sz w:val="26"/>
          <w:szCs w:val="26"/>
        </w:rPr>
        <w:tab/>
        <w:t>In response</w:t>
      </w:r>
      <w:r w:rsidR="005361D4">
        <w:rPr>
          <w:sz w:val="26"/>
          <w:szCs w:val="26"/>
        </w:rPr>
        <w:t xml:space="preserve">, </w:t>
      </w:r>
      <w:r w:rsidRPr="009802BD">
        <w:rPr>
          <w:sz w:val="26"/>
          <w:szCs w:val="26"/>
        </w:rPr>
        <w:t>P</w:t>
      </w:r>
      <w:r w:rsidR="007208C4">
        <w:rPr>
          <w:sz w:val="26"/>
          <w:szCs w:val="26"/>
        </w:rPr>
        <w:t>PL</w:t>
      </w:r>
      <w:r w:rsidRPr="009802BD">
        <w:rPr>
          <w:sz w:val="26"/>
          <w:szCs w:val="26"/>
        </w:rPr>
        <w:t xml:space="preserve"> </w:t>
      </w:r>
      <w:r w:rsidR="005361D4">
        <w:rPr>
          <w:sz w:val="26"/>
          <w:szCs w:val="26"/>
        </w:rPr>
        <w:t xml:space="preserve">submits that </w:t>
      </w:r>
      <w:r>
        <w:rPr>
          <w:rFonts w:eastAsiaTheme="minorEastAsia"/>
          <w:sz w:val="26"/>
          <w:szCs w:val="26"/>
        </w:rPr>
        <w:t>t</w:t>
      </w:r>
      <w:r w:rsidRPr="009802BD">
        <w:rPr>
          <w:rFonts w:eastAsiaTheme="minorEastAsia"/>
          <w:sz w:val="26"/>
          <w:szCs w:val="26"/>
        </w:rPr>
        <w:t xml:space="preserve">he </w:t>
      </w:r>
      <w:r w:rsidR="007208C4">
        <w:rPr>
          <w:rFonts w:eastAsiaTheme="minorEastAsia"/>
          <w:sz w:val="26"/>
          <w:szCs w:val="26"/>
        </w:rPr>
        <w:t>Complainant completely misstate</w:t>
      </w:r>
      <w:r w:rsidR="00FF171D">
        <w:rPr>
          <w:rFonts w:eastAsiaTheme="minorEastAsia"/>
          <w:sz w:val="26"/>
          <w:szCs w:val="26"/>
        </w:rPr>
        <w:t>s</w:t>
      </w:r>
      <w:r w:rsidR="007208C4">
        <w:rPr>
          <w:rFonts w:eastAsiaTheme="minorEastAsia"/>
          <w:sz w:val="26"/>
          <w:szCs w:val="26"/>
        </w:rPr>
        <w:t xml:space="preserve"> the Stipulation </w:t>
      </w:r>
      <w:r w:rsidR="00FF171D">
        <w:rPr>
          <w:rFonts w:eastAsiaTheme="minorEastAsia"/>
          <w:sz w:val="26"/>
          <w:szCs w:val="26"/>
        </w:rPr>
        <w:t xml:space="preserve">that </w:t>
      </w:r>
      <w:r w:rsidR="007208C4">
        <w:rPr>
          <w:rFonts w:eastAsiaTheme="minorEastAsia"/>
          <w:sz w:val="26"/>
          <w:szCs w:val="26"/>
        </w:rPr>
        <w:t xml:space="preserve">the </w:t>
      </w:r>
      <w:r w:rsidR="005361D4">
        <w:rPr>
          <w:rFonts w:eastAsiaTheme="minorEastAsia"/>
          <w:sz w:val="26"/>
          <w:szCs w:val="26"/>
        </w:rPr>
        <w:t>P</w:t>
      </w:r>
      <w:r w:rsidR="007208C4">
        <w:rPr>
          <w:rFonts w:eastAsiaTheme="minorEastAsia"/>
          <w:sz w:val="26"/>
          <w:szCs w:val="26"/>
        </w:rPr>
        <w:t>arties placed on the record.</w:t>
      </w:r>
      <w:r w:rsidRPr="009802BD">
        <w:rPr>
          <w:rFonts w:eastAsiaTheme="minorEastAsia"/>
          <w:sz w:val="26"/>
          <w:szCs w:val="26"/>
        </w:rPr>
        <w:t xml:space="preserve"> </w:t>
      </w:r>
      <w:r w:rsidR="007208C4">
        <w:rPr>
          <w:rFonts w:eastAsiaTheme="minorEastAsia"/>
          <w:sz w:val="26"/>
          <w:szCs w:val="26"/>
        </w:rPr>
        <w:t xml:space="preserve"> R. Exc. at 1.  PPL avers that the ALJ correctly stated what the parties stipulated</w:t>
      </w:r>
      <w:r w:rsidR="00FF171D">
        <w:rPr>
          <w:rFonts w:eastAsiaTheme="minorEastAsia"/>
          <w:sz w:val="26"/>
          <w:szCs w:val="26"/>
        </w:rPr>
        <w:t xml:space="preserve"> – that </w:t>
      </w:r>
      <w:r w:rsidR="007208C4">
        <w:rPr>
          <w:rFonts w:eastAsiaTheme="minorEastAsia"/>
          <w:sz w:val="26"/>
          <w:szCs w:val="26"/>
        </w:rPr>
        <w:t xml:space="preserve">Ms. </w:t>
      </w:r>
      <w:proofErr w:type="spellStart"/>
      <w:r w:rsidR="007208C4">
        <w:rPr>
          <w:rFonts w:eastAsiaTheme="minorEastAsia"/>
          <w:sz w:val="26"/>
          <w:szCs w:val="26"/>
        </w:rPr>
        <w:t>Tenza</w:t>
      </w:r>
      <w:proofErr w:type="spellEnd"/>
      <w:r w:rsidR="007208C4">
        <w:rPr>
          <w:rFonts w:eastAsiaTheme="minorEastAsia"/>
          <w:sz w:val="26"/>
          <w:szCs w:val="26"/>
        </w:rPr>
        <w:t xml:space="preserve"> would testify that she made such a call</w:t>
      </w:r>
      <w:r w:rsidR="00FF171D">
        <w:rPr>
          <w:rFonts w:eastAsiaTheme="minorEastAsia"/>
          <w:sz w:val="26"/>
          <w:szCs w:val="26"/>
        </w:rPr>
        <w:t xml:space="preserve"> – </w:t>
      </w:r>
      <w:r w:rsidR="007208C4">
        <w:rPr>
          <w:rFonts w:eastAsiaTheme="minorEastAsia"/>
          <w:sz w:val="26"/>
          <w:szCs w:val="26"/>
        </w:rPr>
        <w:t xml:space="preserve">not that Ms. </w:t>
      </w:r>
      <w:proofErr w:type="spellStart"/>
      <w:r w:rsidR="007208C4">
        <w:rPr>
          <w:rFonts w:eastAsiaTheme="minorEastAsia"/>
          <w:sz w:val="26"/>
          <w:szCs w:val="26"/>
        </w:rPr>
        <w:t>Tenza</w:t>
      </w:r>
      <w:proofErr w:type="spellEnd"/>
      <w:r w:rsidR="00B344DD">
        <w:rPr>
          <w:rFonts w:eastAsiaTheme="minorEastAsia"/>
          <w:sz w:val="26"/>
          <w:szCs w:val="26"/>
        </w:rPr>
        <w:t>,</w:t>
      </w:r>
      <w:r w:rsidR="007208C4">
        <w:rPr>
          <w:rFonts w:eastAsiaTheme="minorEastAsia"/>
          <w:sz w:val="26"/>
          <w:szCs w:val="26"/>
        </w:rPr>
        <w:t xml:space="preserve"> in fact</w:t>
      </w:r>
      <w:r w:rsidR="00B344DD">
        <w:rPr>
          <w:rFonts w:eastAsiaTheme="minorEastAsia"/>
          <w:sz w:val="26"/>
          <w:szCs w:val="26"/>
        </w:rPr>
        <w:t>,</w:t>
      </w:r>
      <w:r w:rsidR="007208C4">
        <w:rPr>
          <w:rFonts w:eastAsiaTheme="minorEastAsia"/>
          <w:sz w:val="26"/>
          <w:szCs w:val="26"/>
        </w:rPr>
        <w:t xml:space="preserve"> made the call</w:t>
      </w:r>
      <w:r w:rsidR="00C0732F">
        <w:rPr>
          <w:rFonts w:eastAsiaTheme="minorEastAsia"/>
          <w:sz w:val="26"/>
          <w:szCs w:val="26"/>
        </w:rPr>
        <w:t xml:space="preserve"> to </w:t>
      </w:r>
      <w:r w:rsidR="00C0732F" w:rsidRPr="00C0732F">
        <w:rPr>
          <w:rFonts w:eastAsiaTheme="minorEastAsia"/>
          <w:sz w:val="26"/>
          <w:szCs w:val="26"/>
        </w:rPr>
        <w:t>notif</w:t>
      </w:r>
      <w:r w:rsidR="00C0732F">
        <w:rPr>
          <w:rFonts w:eastAsiaTheme="minorEastAsia"/>
          <w:sz w:val="26"/>
          <w:szCs w:val="26"/>
        </w:rPr>
        <w:t>y</w:t>
      </w:r>
      <w:r w:rsidR="00C0732F" w:rsidRPr="00C0732F">
        <w:rPr>
          <w:rFonts w:eastAsiaTheme="minorEastAsia"/>
          <w:sz w:val="26"/>
          <w:szCs w:val="26"/>
        </w:rPr>
        <w:t xml:space="preserve"> PPL of the payment on February 11, 2011</w:t>
      </w:r>
      <w:r w:rsidR="007208C4">
        <w:rPr>
          <w:rFonts w:eastAsiaTheme="minorEastAsia"/>
          <w:sz w:val="26"/>
          <w:szCs w:val="26"/>
        </w:rPr>
        <w:t>.  R. Exc. at 1.</w:t>
      </w:r>
    </w:p>
    <w:p w:rsidR="007208C4" w:rsidRDefault="007208C4" w:rsidP="0020399E">
      <w:pPr>
        <w:jc w:val="left"/>
        <w:rPr>
          <w:rFonts w:eastAsiaTheme="minorEastAsia"/>
          <w:sz w:val="26"/>
          <w:szCs w:val="26"/>
        </w:rPr>
      </w:pPr>
    </w:p>
    <w:p w:rsidR="007C6924" w:rsidRDefault="00230179"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r>
      <w:r w:rsidR="005A2A14">
        <w:rPr>
          <w:rFonts w:ascii="Times New Roman" w:hAnsi="Times New Roman"/>
          <w:szCs w:val="26"/>
        </w:rPr>
        <w:t>Based upon our review of the record</w:t>
      </w:r>
      <w:r w:rsidR="00153F77">
        <w:rPr>
          <w:rFonts w:ascii="Times New Roman" w:hAnsi="Times New Roman"/>
          <w:szCs w:val="26"/>
        </w:rPr>
        <w:t>,</w:t>
      </w:r>
      <w:r w:rsidR="005A2A14">
        <w:rPr>
          <w:rFonts w:ascii="Times New Roman" w:hAnsi="Times New Roman"/>
          <w:szCs w:val="26"/>
        </w:rPr>
        <w:t xml:space="preserve"> we believe that the </w:t>
      </w:r>
      <w:r w:rsidR="007C6924">
        <w:rPr>
          <w:rFonts w:ascii="Times New Roman" w:hAnsi="Times New Roman"/>
          <w:szCs w:val="26"/>
        </w:rPr>
        <w:t xml:space="preserve">ALJ correctly stated what the parties </w:t>
      </w:r>
      <w:r w:rsidR="00C0732F">
        <w:rPr>
          <w:rFonts w:ascii="Times New Roman" w:hAnsi="Times New Roman"/>
          <w:szCs w:val="26"/>
        </w:rPr>
        <w:t xml:space="preserve">had indeed </w:t>
      </w:r>
      <w:r w:rsidR="007C6924">
        <w:rPr>
          <w:rFonts w:ascii="Times New Roman" w:hAnsi="Times New Roman"/>
          <w:szCs w:val="26"/>
        </w:rPr>
        <w:t xml:space="preserve">stipulated.  The stipulation is that Ms. </w:t>
      </w:r>
      <w:proofErr w:type="spellStart"/>
      <w:r w:rsidR="007C6924">
        <w:rPr>
          <w:rFonts w:ascii="Times New Roman" w:hAnsi="Times New Roman"/>
          <w:szCs w:val="26"/>
        </w:rPr>
        <w:t>Tenza</w:t>
      </w:r>
      <w:proofErr w:type="spellEnd"/>
      <w:r w:rsidR="007C6924">
        <w:rPr>
          <w:rFonts w:ascii="Times New Roman" w:hAnsi="Times New Roman"/>
          <w:szCs w:val="26"/>
        </w:rPr>
        <w:t xml:space="preserve"> would testify that she made such a call, not that Ms. </w:t>
      </w:r>
      <w:proofErr w:type="spellStart"/>
      <w:r w:rsidR="007C6924">
        <w:rPr>
          <w:rFonts w:ascii="Times New Roman" w:hAnsi="Times New Roman"/>
          <w:szCs w:val="26"/>
        </w:rPr>
        <w:t>Tenza</w:t>
      </w:r>
      <w:proofErr w:type="spellEnd"/>
      <w:r w:rsidR="00153F77">
        <w:rPr>
          <w:rFonts w:ascii="Times New Roman" w:hAnsi="Times New Roman"/>
          <w:szCs w:val="26"/>
        </w:rPr>
        <w:t>,</w:t>
      </w:r>
      <w:r w:rsidR="007C6924">
        <w:rPr>
          <w:rFonts w:ascii="Times New Roman" w:hAnsi="Times New Roman"/>
          <w:szCs w:val="26"/>
        </w:rPr>
        <w:t xml:space="preserve"> in fact</w:t>
      </w:r>
      <w:r w:rsidR="00153F77">
        <w:rPr>
          <w:rFonts w:ascii="Times New Roman" w:hAnsi="Times New Roman"/>
          <w:szCs w:val="26"/>
        </w:rPr>
        <w:t>,</w:t>
      </w:r>
      <w:r w:rsidR="00736766">
        <w:rPr>
          <w:rFonts w:ascii="Times New Roman" w:hAnsi="Times New Roman"/>
          <w:szCs w:val="26"/>
        </w:rPr>
        <w:t xml:space="preserve"> did make the call.  </w:t>
      </w:r>
      <w:proofErr w:type="gramStart"/>
      <w:r w:rsidR="00736766">
        <w:rPr>
          <w:rFonts w:ascii="Times New Roman" w:hAnsi="Times New Roman"/>
          <w:szCs w:val="26"/>
        </w:rPr>
        <w:t>Tr. at </w:t>
      </w:r>
      <w:r w:rsidR="007C6924">
        <w:rPr>
          <w:rFonts w:ascii="Times New Roman" w:hAnsi="Times New Roman"/>
          <w:szCs w:val="26"/>
        </w:rPr>
        <w:t>71</w:t>
      </w:r>
      <w:r w:rsidR="00C0732F">
        <w:rPr>
          <w:rFonts w:ascii="Times New Roman" w:hAnsi="Times New Roman"/>
          <w:szCs w:val="26"/>
        </w:rPr>
        <w:noBreakHyphen/>
      </w:r>
      <w:r w:rsidR="007C6924">
        <w:rPr>
          <w:rFonts w:ascii="Times New Roman" w:hAnsi="Times New Roman"/>
          <w:szCs w:val="26"/>
        </w:rPr>
        <w:t>72.</w:t>
      </w:r>
      <w:proofErr w:type="gramEnd"/>
      <w:r w:rsidR="007E5327">
        <w:rPr>
          <w:rFonts w:ascii="Times New Roman" w:hAnsi="Times New Roman"/>
          <w:szCs w:val="26"/>
        </w:rPr>
        <w:t xml:space="preserve">  Accordingly, we shall deny the first Exception.</w:t>
      </w:r>
    </w:p>
    <w:p w:rsidR="00645868" w:rsidRDefault="00645868" w:rsidP="0020399E">
      <w:pPr>
        <w:pStyle w:val="BodyText2"/>
        <w:rPr>
          <w:rFonts w:ascii="Times New Roman" w:hAnsi="Times New Roman"/>
          <w:szCs w:val="26"/>
        </w:rPr>
      </w:pPr>
    </w:p>
    <w:p w:rsidR="00645868" w:rsidRDefault="00645868"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t>In Exceptions two through five, the Complainant contends that various Finding</w:t>
      </w:r>
      <w:r w:rsidR="00AA1752">
        <w:rPr>
          <w:rFonts w:ascii="Times New Roman" w:hAnsi="Times New Roman"/>
          <w:szCs w:val="26"/>
        </w:rPr>
        <w:t>s</w:t>
      </w:r>
      <w:r>
        <w:rPr>
          <w:rFonts w:ascii="Times New Roman" w:hAnsi="Times New Roman"/>
          <w:szCs w:val="26"/>
        </w:rPr>
        <w:t xml:space="preserve"> of Fact are not supported by the evidence of record or are improper or irrelevant.  </w:t>
      </w:r>
      <w:proofErr w:type="gramStart"/>
      <w:r>
        <w:rPr>
          <w:rFonts w:ascii="Times New Roman" w:hAnsi="Times New Roman"/>
          <w:szCs w:val="26"/>
        </w:rPr>
        <w:t>Exc. at 3.</w:t>
      </w:r>
      <w:proofErr w:type="gramEnd"/>
    </w:p>
    <w:p w:rsidR="00645868" w:rsidRDefault="00645868" w:rsidP="0020399E">
      <w:pPr>
        <w:pStyle w:val="BodyText2"/>
        <w:rPr>
          <w:rFonts w:ascii="Times New Roman" w:hAnsi="Times New Roman"/>
          <w:szCs w:val="26"/>
        </w:rPr>
      </w:pPr>
    </w:p>
    <w:p w:rsidR="00645868" w:rsidRDefault="00645868"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r>
      <w:r w:rsidR="0092482A">
        <w:rPr>
          <w:rFonts w:ascii="Times New Roman" w:hAnsi="Times New Roman"/>
          <w:szCs w:val="26"/>
        </w:rPr>
        <w:t>The Complainant’s Exceptions refer</w:t>
      </w:r>
      <w:r>
        <w:rPr>
          <w:rFonts w:ascii="Times New Roman" w:hAnsi="Times New Roman"/>
          <w:szCs w:val="26"/>
        </w:rPr>
        <w:t xml:space="preserve"> to Finding</w:t>
      </w:r>
      <w:r w:rsidR="008143F4">
        <w:rPr>
          <w:rFonts w:ascii="Times New Roman" w:hAnsi="Times New Roman"/>
          <w:szCs w:val="26"/>
        </w:rPr>
        <w:t>s</w:t>
      </w:r>
      <w:r>
        <w:rPr>
          <w:rFonts w:ascii="Times New Roman" w:hAnsi="Times New Roman"/>
          <w:szCs w:val="26"/>
        </w:rPr>
        <w:t xml:space="preserve"> of Fact</w:t>
      </w:r>
      <w:r w:rsidR="008143F4">
        <w:rPr>
          <w:rFonts w:ascii="Times New Roman" w:hAnsi="Times New Roman"/>
          <w:szCs w:val="26"/>
        </w:rPr>
        <w:t xml:space="preserve"> numbers</w:t>
      </w:r>
      <w:r>
        <w:rPr>
          <w:rFonts w:ascii="Times New Roman" w:hAnsi="Times New Roman"/>
          <w:szCs w:val="26"/>
        </w:rPr>
        <w:t xml:space="preserve"> 19, 20, 22 and 23.  These Finding of Fact </w:t>
      </w:r>
      <w:r w:rsidR="0023422B">
        <w:rPr>
          <w:rFonts w:ascii="Times New Roman" w:hAnsi="Times New Roman"/>
          <w:szCs w:val="26"/>
        </w:rPr>
        <w:t xml:space="preserve">relate to </w:t>
      </w:r>
      <w:r>
        <w:rPr>
          <w:rFonts w:ascii="Times New Roman" w:hAnsi="Times New Roman"/>
          <w:szCs w:val="26"/>
        </w:rPr>
        <w:t>the issue of how the payment was made (at an authorized payment center instead of paying PPL directly)</w:t>
      </w:r>
      <w:r w:rsidR="00C34A74">
        <w:rPr>
          <w:rFonts w:ascii="Times New Roman" w:hAnsi="Times New Roman"/>
          <w:szCs w:val="26"/>
        </w:rPr>
        <w:t>,</w:t>
      </w:r>
      <w:r>
        <w:rPr>
          <w:rFonts w:ascii="Times New Roman" w:hAnsi="Times New Roman"/>
          <w:szCs w:val="26"/>
        </w:rPr>
        <w:t xml:space="preserve"> and why the payment was made after the due date (Complainant has a cash flow problem and a history of late payments).</w:t>
      </w:r>
    </w:p>
    <w:p w:rsidR="00033F63" w:rsidRDefault="00033F63" w:rsidP="0020399E">
      <w:pPr>
        <w:pStyle w:val="BodyText2"/>
        <w:rPr>
          <w:rFonts w:ascii="Times New Roman" w:hAnsi="Times New Roman"/>
          <w:szCs w:val="26"/>
        </w:rPr>
      </w:pPr>
    </w:p>
    <w:p w:rsidR="00033F63" w:rsidRDefault="00033F63"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t xml:space="preserve">PPL </w:t>
      </w:r>
      <w:r w:rsidR="00325327">
        <w:rPr>
          <w:rFonts w:ascii="Times New Roman" w:hAnsi="Times New Roman"/>
          <w:szCs w:val="26"/>
        </w:rPr>
        <w:t>replies that it denies that the Finding</w:t>
      </w:r>
      <w:r w:rsidR="00B266CB">
        <w:rPr>
          <w:rFonts w:ascii="Times New Roman" w:hAnsi="Times New Roman"/>
          <w:szCs w:val="26"/>
        </w:rPr>
        <w:t>s</w:t>
      </w:r>
      <w:r w:rsidR="00325327">
        <w:rPr>
          <w:rFonts w:ascii="Times New Roman" w:hAnsi="Times New Roman"/>
          <w:szCs w:val="26"/>
        </w:rPr>
        <w:t xml:space="preserve"> of Fact in question are not supported by the evidence of record or are otherwise improper.  There is </w:t>
      </w:r>
      <w:r w:rsidR="008143F4">
        <w:rPr>
          <w:rFonts w:ascii="Times New Roman" w:hAnsi="Times New Roman"/>
          <w:szCs w:val="26"/>
        </w:rPr>
        <w:t xml:space="preserve">record </w:t>
      </w:r>
      <w:r w:rsidR="00325327">
        <w:rPr>
          <w:rFonts w:ascii="Times New Roman" w:hAnsi="Times New Roman"/>
          <w:szCs w:val="26"/>
        </w:rPr>
        <w:t>evidence that direct payments can be made to PPL by calling or making an online payment.  Doing so would provide immediate notification to PPL of the payment.  PPL also s</w:t>
      </w:r>
      <w:r w:rsidR="00B266CB">
        <w:rPr>
          <w:rFonts w:ascii="Times New Roman" w:hAnsi="Times New Roman"/>
          <w:szCs w:val="26"/>
        </w:rPr>
        <w:t>ubmits</w:t>
      </w:r>
      <w:r w:rsidR="00325327">
        <w:rPr>
          <w:rFonts w:ascii="Times New Roman" w:hAnsi="Times New Roman"/>
          <w:szCs w:val="26"/>
        </w:rPr>
        <w:t xml:space="preserve"> that while the statement in Finding of Fact 20, “[t]he Complainant provided no reason for choosing to pay at United Check Cashing rather than PPL</w:t>
      </w:r>
      <w:r w:rsidR="00B266CB">
        <w:rPr>
          <w:rFonts w:ascii="Times New Roman" w:hAnsi="Times New Roman"/>
          <w:szCs w:val="26"/>
        </w:rPr>
        <w:t>,</w:t>
      </w:r>
      <w:r w:rsidR="00325327">
        <w:rPr>
          <w:rFonts w:ascii="Times New Roman" w:hAnsi="Times New Roman"/>
          <w:szCs w:val="26"/>
        </w:rPr>
        <w:t>”</w:t>
      </w:r>
      <w:r w:rsidR="00AD5B3D">
        <w:rPr>
          <w:rFonts w:ascii="Times New Roman" w:hAnsi="Times New Roman"/>
          <w:szCs w:val="26"/>
        </w:rPr>
        <w:t xml:space="preserve"> is not inconsistent with the evidence of record, a review of the ALJ’s </w:t>
      </w:r>
      <w:r w:rsidR="00957E09">
        <w:rPr>
          <w:rFonts w:ascii="Times New Roman" w:hAnsi="Times New Roman"/>
          <w:szCs w:val="26"/>
        </w:rPr>
        <w:t>decision</w:t>
      </w:r>
      <w:r w:rsidR="00AD5B3D">
        <w:rPr>
          <w:rFonts w:ascii="Times New Roman" w:hAnsi="Times New Roman"/>
          <w:szCs w:val="26"/>
        </w:rPr>
        <w:t xml:space="preserve"> shows that this Finding of Fact was not the basis for her decision.  R. Exc. at 5.</w:t>
      </w:r>
    </w:p>
    <w:p w:rsidR="00AD5B3D" w:rsidRDefault="00AD5B3D" w:rsidP="0020399E">
      <w:pPr>
        <w:pStyle w:val="BodyText2"/>
        <w:rPr>
          <w:rFonts w:ascii="Times New Roman" w:hAnsi="Times New Roman"/>
          <w:szCs w:val="26"/>
        </w:rPr>
      </w:pPr>
    </w:p>
    <w:p w:rsidR="00645868" w:rsidRDefault="00AD5B3D"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r>
      <w:r w:rsidR="000C35E2">
        <w:rPr>
          <w:rFonts w:ascii="Times New Roman" w:hAnsi="Times New Roman"/>
          <w:szCs w:val="26"/>
        </w:rPr>
        <w:t>With r</w:t>
      </w:r>
      <w:r w:rsidR="00F27216">
        <w:rPr>
          <w:rFonts w:ascii="Times New Roman" w:hAnsi="Times New Roman"/>
          <w:szCs w:val="26"/>
        </w:rPr>
        <w:t>egard</w:t>
      </w:r>
      <w:r w:rsidR="000C35E2">
        <w:rPr>
          <w:rFonts w:ascii="Times New Roman" w:hAnsi="Times New Roman"/>
          <w:szCs w:val="26"/>
        </w:rPr>
        <w:t xml:space="preserve"> to</w:t>
      </w:r>
      <w:r w:rsidR="00F27216">
        <w:rPr>
          <w:rFonts w:ascii="Times New Roman" w:hAnsi="Times New Roman"/>
          <w:szCs w:val="26"/>
        </w:rPr>
        <w:t xml:space="preserve"> Finding</w:t>
      </w:r>
      <w:r w:rsidR="008143F4">
        <w:rPr>
          <w:rFonts w:ascii="Times New Roman" w:hAnsi="Times New Roman"/>
          <w:szCs w:val="26"/>
        </w:rPr>
        <w:t>s</w:t>
      </w:r>
      <w:r w:rsidR="00F27216">
        <w:rPr>
          <w:rFonts w:ascii="Times New Roman" w:hAnsi="Times New Roman"/>
          <w:szCs w:val="26"/>
        </w:rPr>
        <w:t xml:space="preserve"> of Fact</w:t>
      </w:r>
      <w:r w:rsidR="008143F4">
        <w:rPr>
          <w:rFonts w:ascii="Times New Roman" w:hAnsi="Times New Roman"/>
          <w:szCs w:val="26"/>
        </w:rPr>
        <w:t xml:space="preserve"> numbers</w:t>
      </w:r>
      <w:r w:rsidR="00F27216">
        <w:rPr>
          <w:rFonts w:ascii="Times New Roman" w:hAnsi="Times New Roman"/>
          <w:szCs w:val="26"/>
        </w:rPr>
        <w:t xml:space="preserve"> 22 and 23, </w:t>
      </w:r>
      <w:r w:rsidR="000C35E2">
        <w:rPr>
          <w:rFonts w:ascii="Times New Roman" w:hAnsi="Times New Roman"/>
          <w:szCs w:val="26"/>
        </w:rPr>
        <w:t>PPL avers that these statements are amply supported by the record evidence.</w:t>
      </w:r>
      <w:r w:rsidR="00A12F0C">
        <w:rPr>
          <w:rFonts w:ascii="Times New Roman" w:hAnsi="Times New Roman"/>
          <w:szCs w:val="26"/>
        </w:rPr>
        <w:t xml:space="preserve">  The Complainant testified that the reason for his troubled payment history is due to lack of income from the property</w:t>
      </w:r>
      <w:r w:rsidR="00B266CB">
        <w:rPr>
          <w:rFonts w:ascii="Times New Roman" w:hAnsi="Times New Roman"/>
          <w:szCs w:val="26"/>
        </w:rPr>
        <w:t xml:space="preserve"> (</w:t>
      </w:r>
      <w:r w:rsidR="00081EDE">
        <w:rPr>
          <w:rFonts w:ascii="Times New Roman" w:hAnsi="Times New Roman"/>
          <w:szCs w:val="26"/>
        </w:rPr>
        <w:t>Tr. at 50</w:t>
      </w:r>
      <w:r w:rsidR="00B266CB">
        <w:rPr>
          <w:rFonts w:ascii="Times New Roman" w:hAnsi="Times New Roman"/>
          <w:szCs w:val="26"/>
        </w:rPr>
        <w:t>)</w:t>
      </w:r>
      <w:r w:rsidR="00A12F0C">
        <w:rPr>
          <w:rFonts w:ascii="Times New Roman" w:hAnsi="Times New Roman"/>
          <w:szCs w:val="26"/>
        </w:rPr>
        <w:t xml:space="preserve"> and PPL Exhibit 1B reveals a history of chronic late payments.  PPL </w:t>
      </w:r>
      <w:r w:rsidR="00B266CB">
        <w:rPr>
          <w:rFonts w:ascii="Times New Roman" w:hAnsi="Times New Roman"/>
          <w:szCs w:val="26"/>
        </w:rPr>
        <w:t xml:space="preserve">notes that </w:t>
      </w:r>
      <w:r w:rsidR="00A12F0C">
        <w:rPr>
          <w:rFonts w:ascii="Times New Roman" w:hAnsi="Times New Roman"/>
          <w:szCs w:val="26"/>
        </w:rPr>
        <w:t>even though these facts are completely supported by the evidence, the ALJ did not use these findings as a basis for her decision.</w:t>
      </w:r>
      <w:r w:rsidR="00081EDE">
        <w:rPr>
          <w:rFonts w:ascii="Times New Roman" w:hAnsi="Times New Roman"/>
          <w:szCs w:val="26"/>
        </w:rPr>
        <w:t xml:space="preserve">  R. Exc. at 6.</w:t>
      </w:r>
    </w:p>
    <w:p w:rsidR="00A12F0C" w:rsidRDefault="00A12F0C" w:rsidP="0020399E">
      <w:pPr>
        <w:pStyle w:val="BodyText2"/>
        <w:rPr>
          <w:rFonts w:ascii="Times New Roman" w:hAnsi="Times New Roman"/>
          <w:szCs w:val="26"/>
        </w:rPr>
      </w:pPr>
    </w:p>
    <w:p w:rsidR="00645868" w:rsidRDefault="00645868" w:rsidP="0020399E">
      <w:pPr>
        <w:pStyle w:val="BodyText2"/>
        <w:rPr>
          <w:rFonts w:ascii="Times New Roman" w:hAnsi="Times New Roman"/>
          <w:szCs w:val="26"/>
        </w:rPr>
      </w:pPr>
      <w:r>
        <w:rPr>
          <w:rFonts w:ascii="Times New Roman" w:hAnsi="Times New Roman"/>
          <w:szCs w:val="26"/>
        </w:rPr>
        <w:tab/>
      </w:r>
      <w:r>
        <w:rPr>
          <w:rFonts w:ascii="Times New Roman" w:hAnsi="Times New Roman"/>
          <w:szCs w:val="26"/>
        </w:rPr>
        <w:tab/>
      </w:r>
      <w:r>
        <w:rPr>
          <w:szCs w:val="26"/>
        </w:rPr>
        <w:t>We find that the ALJ’s Finding</w:t>
      </w:r>
      <w:r w:rsidR="008143F4">
        <w:rPr>
          <w:szCs w:val="26"/>
        </w:rPr>
        <w:t>s</w:t>
      </w:r>
      <w:r>
        <w:rPr>
          <w:szCs w:val="26"/>
        </w:rPr>
        <w:t xml:space="preserve"> of Fact in question are supported by the record and</w:t>
      </w:r>
      <w:r w:rsidR="00B266CB">
        <w:rPr>
          <w:szCs w:val="26"/>
        </w:rPr>
        <w:t>,</w:t>
      </w:r>
      <w:r>
        <w:rPr>
          <w:szCs w:val="26"/>
        </w:rPr>
        <w:t xml:space="preserve"> therefore</w:t>
      </w:r>
      <w:r w:rsidR="00B266CB">
        <w:rPr>
          <w:szCs w:val="26"/>
        </w:rPr>
        <w:t>,</w:t>
      </w:r>
      <w:r>
        <w:rPr>
          <w:szCs w:val="26"/>
        </w:rPr>
        <w:t xml:space="preserve"> proper</w:t>
      </w:r>
      <w:r w:rsidR="00E877FE">
        <w:rPr>
          <w:szCs w:val="26"/>
        </w:rPr>
        <w:t xml:space="preserve">.  </w:t>
      </w:r>
      <w:r w:rsidR="00B266CB">
        <w:rPr>
          <w:szCs w:val="26"/>
        </w:rPr>
        <w:t>We agree with PPL that the</w:t>
      </w:r>
      <w:r w:rsidR="00E877FE">
        <w:rPr>
          <w:szCs w:val="26"/>
        </w:rPr>
        <w:t xml:space="preserve"> ALJ did not rely upon them as the basis for </w:t>
      </w:r>
      <w:r w:rsidR="00B266CB">
        <w:rPr>
          <w:szCs w:val="26"/>
        </w:rPr>
        <w:t>h</w:t>
      </w:r>
      <w:r w:rsidR="008143F4">
        <w:rPr>
          <w:szCs w:val="26"/>
        </w:rPr>
        <w:t>er</w:t>
      </w:r>
      <w:r w:rsidR="00B266CB">
        <w:rPr>
          <w:szCs w:val="26"/>
        </w:rPr>
        <w:t xml:space="preserve"> </w:t>
      </w:r>
      <w:r w:rsidR="00E877FE">
        <w:rPr>
          <w:szCs w:val="26"/>
        </w:rPr>
        <w:t>decision</w:t>
      </w:r>
      <w:r>
        <w:rPr>
          <w:szCs w:val="26"/>
        </w:rPr>
        <w:t>.  Accordingly, Exceptions two through five are denied.</w:t>
      </w:r>
    </w:p>
    <w:p w:rsidR="00645868" w:rsidRDefault="00645868" w:rsidP="0020399E">
      <w:pPr>
        <w:pStyle w:val="BodyText2"/>
        <w:rPr>
          <w:rFonts w:ascii="Times New Roman" w:hAnsi="Times New Roman"/>
          <w:szCs w:val="26"/>
        </w:rPr>
      </w:pPr>
    </w:p>
    <w:p w:rsidR="007E5327" w:rsidRDefault="007E5327" w:rsidP="0020399E">
      <w:pPr>
        <w:pStyle w:val="BodyText2"/>
        <w:rPr>
          <w:szCs w:val="26"/>
        </w:rPr>
      </w:pPr>
      <w:r>
        <w:rPr>
          <w:rFonts w:ascii="Times New Roman" w:hAnsi="Times New Roman"/>
          <w:szCs w:val="26"/>
        </w:rPr>
        <w:tab/>
      </w:r>
      <w:r>
        <w:rPr>
          <w:rFonts w:ascii="Times New Roman" w:hAnsi="Times New Roman"/>
          <w:szCs w:val="26"/>
        </w:rPr>
        <w:tab/>
      </w:r>
      <w:r w:rsidR="00BD0851" w:rsidRPr="00E87E2A">
        <w:rPr>
          <w:szCs w:val="26"/>
        </w:rPr>
        <w:t xml:space="preserve">In his </w:t>
      </w:r>
      <w:r>
        <w:rPr>
          <w:szCs w:val="26"/>
        </w:rPr>
        <w:t>sixth</w:t>
      </w:r>
      <w:r w:rsidR="00BD0851" w:rsidRPr="00E87E2A">
        <w:rPr>
          <w:szCs w:val="26"/>
        </w:rPr>
        <w:t xml:space="preserve"> Exception</w:t>
      </w:r>
      <w:r w:rsidR="00484D68">
        <w:rPr>
          <w:szCs w:val="26"/>
        </w:rPr>
        <w:t>,</w:t>
      </w:r>
      <w:r w:rsidR="00BD0851" w:rsidRPr="00E87E2A">
        <w:rPr>
          <w:szCs w:val="26"/>
        </w:rPr>
        <w:t xml:space="preserve"> the Complainant states that</w:t>
      </w:r>
      <w:r>
        <w:rPr>
          <w:szCs w:val="26"/>
        </w:rPr>
        <w:t xml:space="preserve"> </w:t>
      </w:r>
      <w:r w:rsidR="00FF171D">
        <w:rPr>
          <w:szCs w:val="26"/>
        </w:rPr>
        <w:t xml:space="preserve">the ALJ abused her discretion in denying </w:t>
      </w:r>
      <w:r>
        <w:rPr>
          <w:szCs w:val="26"/>
        </w:rPr>
        <w:t xml:space="preserve">the Complainant’s request for </w:t>
      </w:r>
      <w:r w:rsidR="00153F77">
        <w:rPr>
          <w:szCs w:val="26"/>
        </w:rPr>
        <w:t xml:space="preserve">a </w:t>
      </w:r>
      <w:r>
        <w:rPr>
          <w:szCs w:val="26"/>
        </w:rPr>
        <w:t>continuance.</w:t>
      </w:r>
      <w:r w:rsidR="00F86BDB">
        <w:rPr>
          <w:szCs w:val="26"/>
        </w:rPr>
        <w:t xml:space="preserve">  The Complainant avers that the testimony of Ms. </w:t>
      </w:r>
      <w:proofErr w:type="spellStart"/>
      <w:r w:rsidR="00F86BDB">
        <w:rPr>
          <w:szCs w:val="26"/>
        </w:rPr>
        <w:t>Tenza</w:t>
      </w:r>
      <w:proofErr w:type="spellEnd"/>
      <w:r w:rsidR="00F86BDB">
        <w:rPr>
          <w:szCs w:val="26"/>
        </w:rPr>
        <w:t xml:space="preserve"> was crucial to the case.  Exc. at 3-4.</w:t>
      </w:r>
    </w:p>
    <w:p w:rsidR="00F86BDB" w:rsidRDefault="00F86BDB" w:rsidP="0020399E">
      <w:pPr>
        <w:jc w:val="left"/>
        <w:rPr>
          <w:sz w:val="26"/>
          <w:szCs w:val="26"/>
        </w:rPr>
      </w:pPr>
    </w:p>
    <w:p w:rsidR="00E81ED3" w:rsidRDefault="00F86BDB" w:rsidP="0020399E">
      <w:pPr>
        <w:jc w:val="left"/>
        <w:rPr>
          <w:sz w:val="26"/>
          <w:szCs w:val="26"/>
        </w:rPr>
      </w:pPr>
      <w:r>
        <w:rPr>
          <w:sz w:val="26"/>
          <w:szCs w:val="26"/>
        </w:rPr>
        <w:tab/>
      </w:r>
      <w:r>
        <w:rPr>
          <w:sz w:val="26"/>
          <w:szCs w:val="26"/>
        </w:rPr>
        <w:tab/>
        <w:t>In reply to the sixth Exception, PPL reiterates that there was enough advance notice of the hearing</w:t>
      </w:r>
      <w:r w:rsidR="00063FFB">
        <w:rPr>
          <w:sz w:val="26"/>
          <w:szCs w:val="26"/>
        </w:rPr>
        <w:t>,</w:t>
      </w:r>
      <w:r>
        <w:rPr>
          <w:sz w:val="26"/>
          <w:szCs w:val="26"/>
        </w:rPr>
        <w:t xml:space="preserve"> </w:t>
      </w:r>
      <w:r w:rsidR="002F759F">
        <w:rPr>
          <w:sz w:val="26"/>
          <w:szCs w:val="26"/>
        </w:rPr>
        <w:t xml:space="preserve">and that the Complainant admitted that he never notified Ms. </w:t>
      </w:r>
      <w:proofErr w:type="spellStart"/>
      <w:r w:rsidR="002F759F">
        <w:rPr>
          <w:sz w:val="26"/>
          <w:szCs w:val="26"/>
        </w:rPr>
        <w:t>Tenza</w:t>
      </w:r>
      <w:proofErr w:type="spellEnd"/>
      <w:r w:rsidR="00FF171D">
        <w:rPr>
          <w:sz w:val="26"/>
          <w:szCs w:val="26"/>
        </w:rPr>
        <w:t>,</w:t>
      </w:r>
      <w:r w:rsidR="002F759F">
        <w:rPr>
          <w:sz w:val="26"/>
          <w:szCs w:val="26"/>
        </w:rPr>
        <w:t xml:space="preserve"> in e</w:t>
      </w:r>
      <w:r w:rsidR="00063FFB">
        <w:rPr>
          <w:sz w:val="26"/>
          <w:szCs w:val="26"/>
        </w:rPr>
        <w:t>ither August or September 2011</w:t>
      </w:r>
      <w:r w:rsidR="00FF171D">
        <w:rPr>
          <w:sz w:val="26"/>
          <w:szCs w:val="26"/>
        </w:rPr>
        <w:t>,</w:t>
      </w:r>
      <w:r w:rsidR="00063FFB">
        <w:rPr>
          <w:sz w:val="26"/>
          <w:szCs w:val="26"/>
        </w:rPr>
        <w:t xml:space="preserve"> that she would need to be available for </w:t>
      </w:r>
      <w:r w:rsidR="002F759F">
        <w:rPr>
          <w:sz w:val="26"/>
          <w:szCs w:val="26"/>
        </w:rPr>
        <w:t>the hearing in October 2011.</w:t>
      </w:r>
      <w:r w:rsidR="00063FFB">
        <w:rPr>
          <w:sz w:val="26"/>
          <w:szCs w:val="26"/>
        </w:rPr>
        <w:t xml:space="preserve">  PPL contends that Ms. </w:t>
      </w:r>
      <w:proofErr w:type="spellStart"/>
      <w:r w:rsidR="00063FFB">
        <w:rPr>
          <w:sz w:val="26"/>
          <w:szCs w:val="26"/>
        </w:rPr>
        <w:t>Tenza</w:t>
      </w:r>
      <w:proofErr w:type="spellEnd"/>
      <w:r w:rsidR="00063FFB">
        <w:rPr>
          <w:sz w:val="26"/>
          <w:szCs w:val="26"/>
        </w:rPr>
        <w:t xml:space="preserve"> could have been subpoenaed or could have testified via telephone.  R. Exc. at 6-7.  </w:t>
      </w:r>
    </w:p>
    <w:p w:rsidR="00AA4A62" w:rsidRDefault="00AA4A62" w:rsidP="0020399E">
      <w:pPr>
        <w:jc w:val="left"/>
        <w:rPr>
          <w:sz w:val="26"/>
          <w:szCs w:val="26"/>
        </w:rPr>
      </w:pPr>
    </w:p>
    <w:p w:rsidR="0077645B" w:rsidRDefault="00AA4A62" w:rsidP="0020399E">
      <w:pPr>
        <w:jc w:val="left"/>
        <w:rPr>
          <w:sz w:val="26"/>
          <w:szCs w:val="26"/>
        </w:rPr>
      </w:pPr>
      <w:r>
        <w:rPr>
          <w:sz w:val="26"/>
          <w:szCs w:val="26"/>
        </w:rPr>
        <w:tab/>
      </w:r>
      <w:r>
        <w:rPr>
          <w:sz w:val="26"/>
          <w:szCs w:val="26"/>
        </w:rPr>
        <w:tab/>
      </w:r>
      <w:r w:rsidR="007A45AF">
        <w:rPr>
          <w:sz w:val="26"/>
          <w:szCs w:val="26"/>
        </w:rPr>
        <w:t xml:space="preserve">The record here supports a finding that </w:t>
      </w:r>
      <w:r w:rsidR="00063FFB">
        <w:rPr>
          <w:sz w:val="26"/>
          <w:szCs w:val="26"/>
        </w:rPr>
        <w:t xml:space="preserve">the ALJ’s denial for a continuance is warranted.  </w:t>
      </w:r>
      <w:r>
        <w:rPr>
          <w:sz w:val="26"/>
          <w:szCs w:val="26"/>
        </w:rPr>
        <w:t xml:space="preserve">The Complainant was represented by Counsel so the Parties knew the procedures for a calling a witness.  </w:t>
      </w:r>
      <w:r w:rsidR="00F07CC7">
        <w:rPr>
          <w:sz w:val="26"/>
          <w:szCs w:val="26"/>
        </w:rPr>
        <w:t xml:space="preserve">Thus, we shall </w:t>
      </w:r>
      <w:r w:rsidR="00063FFB">
        <w:rPr>
          <w:sz w:val="26"/>
          <w:szCs w:val="26"/>
        </w:rPr>
        <w:t>deny</w:t>
      </w:r>
      <w:r w:rsidR="00F07CC7">
        <w:rPr>
          <w:sz w:val="26"/>
          <w:szCs w:val="26"/>
        </w:rPr>
        <w:t xml:space="preserve"> the Complainant’s </w:t>
      </w:r>
      <w:r w:rsidR="00063FFB">
        <w:rPr>
          <w:sz w:val="26"/>
          <w:szCs w:val="26"/>
        </w:rPr>
        <w:t>sixth</w:t>
      </w:r>
      <w:r w:rsidR="009C360A">
        <w:rPr>
          <w:sz w:val="26"/>
          <w:szCs w:val="26"/>
        </w:rPr>
        <w:t xml:space="preserve"> </w:t>
      </w:r>
      <w:r w:rsidR="00F07CC7">
        <w:rPr>
          <w:sz w:val="26"/>
          <w:szCs w:val="26"/>
        </w:rPr>
        <w:t>Exception</w:t>
      </w:r>
      <w:r w:rsidR="00E251F7">
        <w:rPr>
          <w:sz w:val="26"/>
          <w:szCs w:val="26"/>
        </w:rPr>
        <w:t xml:space="preserve">. </w:t>
      </w:r>
      <w:r w:rsidR="00F07CC7">
        <w:rPr>
          <w:sz w:val="26"/>
          <w:szCs w:val="26"/>
        </w:rPr>
        <w:t xml:space="preserve"> </w:t>
      </w:r>
    </w:p>
    <w:p w:rsidR="00E42F49" w:rsidRDefault="00E42F49" w:rsidP="0020399E">
      <w:pPr>
        <w:jc w:val="left"/>
        <w:rPr>
          <w:sz w:val="26"/>
          <w:szCs w:val="26"/>
        </w:rPr>
      </w:pPr>
    </w:p>
    <w:p w:rsidR="00E42F49" w:rsidRDefault="00E42F49" w:rsidP="0020399E">
      <w:pPr>
        <w:jc w:val="left"/>
        <w:rPr>
          <w:sz w:val="26"/>
          <w:szCs w:val="26"/>
        </w:rPr>
      </w:pPr>
      <w:r>
        <w:rPr>
          <w:sz w:val="26"/>
          <w:szCs w:val="26"/>
        </w:rPr>
        <w:lastRenderedPageBreak/>
        <w:tab/>
      </w:r>
      <w:r>
        <w:rPr>
          <w:sz w:val="26"/>
          <w:szCs w:val="26"/>
        </w:rPr>
        <w:tab/>
        <w:t xml:space="preserve">The Complainant’s final two Exceptions reiterate the arguments and provide </w:t>
      </w:r>
      <w:r w:rsidR="00B266CB">
        <w:rPr>
          <w:sz w:val="26"/>
          <w:szCs w:val="26"/>
        </w:rPr>
        <w:t xml:space="preserve">no </w:t>
      </w:r>
      <w:r>
        <w:rPr>
          <w:sz w:val="26"/>
          <w:szCs w:val="26"/>
        </w:rPr>
        <w:t xml:space="preserve">new facts </w:t>
      </w:r>
      <w:r w:rsidR="00B266CB">
        <w:rPr>
          <w:sz w:val="26"/>
          <w:szCs w:val="26"/>
        </w:rPr>
        <w:t xml:space="preserve">or evidence </w:t>
      </w:r>
      <w:r>
        <w:rPr>
          <w:sz w:val="26"/>
          <w:szCs w:val="26"/>
        </w:rPr>
        <w:t>to prove that the ALJ erred.  Thus, we shall deny the Complainant’s seventh and eighth Exceptions.</w:t>
      </w:r>
    </w:p>
    <w:p w:rsidR="00CC14A9" w:rsidRPr="0022255A" w:rsidRDefault="00CC14A9" w:rsidP="00B266CB">
      <w:pPr>
        <w:pStyle w:val="Heading2"/>
        <w:widowControl/>
        <w:rPr>
          <w:color w:val="auto"/>
        </w:rPr>
      </w:pPr>
      <w:r w:rsidRPr="0022255A">
        <w:rPr>
          <w:color w:val="auto"/>
        </w:rPr>
        <w:t>Conclusion</w:t>
      </w:r>
    </w:p>
    <w:p w:rsidR="00CC14A9" w:rsidRPr="00A464D5" w:rsidRDefault="00CC14A9" w:rsidP="00B266CB">
      <w:pPr>
        <w:keepNext/>
        <w:tabs>
          <w:tab w:val="center" w:pos="720"/>
        </w:tabs>
        <w:jc w:val="left"/>
        <w:rPr>
          <w:sz w:val="26"/>
          <w:szCs w:val="26"/>
        </w:rPr>
      </w:pPr>
    </w:p>
    <w:p w:rsidR="00CC14A9" w:rsidRDefault="00CC14A9" w:rsidP="0020399E">
      <w:pPr>
        <w:jc w:val="left"/>
        <w:rPr>
          <w:b/>
          <w:sz w:val="26"/>
          <w:szCs w:val="26"/>
        </w:rPr>
      </w:pPr>
      <w:r w:rsidRPr="00A464D5">
        <w:rPr>
          <w:b/>
          <w:sz w:val="26"/>
          <w:szCs w:val="26"/>
        </w:rPr>
        <w:tab/>
      </w:r>
      <w:r w:rsidRPr="00A464D5">
        <w:rPr>
          <w:b/>
          <w:sz w:val="26"/>
          <w:szCs w:val="26"/>
        </w:rPr>
        <w:tab/>
      </w:r>
      <w:r w:rsidRPr="00A464D5">
        <w:rPr>
          <w:sz w:val="26"/>
          <w:szCs w:val="26"/>
        </w:rPr>
        <w:t>Based on the foregoing discussion</w:t>
      </w:r>
      <w:r>
        <w:rPr>
          <w:sz w:val="26"/>
          <w:szCs w:val="26"/>
        </w:rPr>
        <w:t xml:space="preserve"> and our review of the record developed in this proceeding</w:t>
      </w:r>
      <w:r w:rsidRPr="00A464D5">
        <w:rPr>
          <w:sz w:val="26"/>
          <w:szCs w:val="26"/>
        </w:rPr>
        <w:t>,</w:t>
      </w:r>
      <w:r>
        <w:rPr>
          <w:sz w:val="26"/>
          <w:szCs w:val="26"/>
        </w:rPr>
        <w:t xml:space="preserve"> the ALJ’s Initial Decision and the Exceptions thereto,</w:t>
      </w:r>
      <w:r w:rsidRPr="00A464D5">
        <w:rPr>
          <w:sz w:val="26"/>
          <w:szCs w:val="26"/>
        </w:rPr>
        <w:t xml:space="preserve"> we </w:t>
      </w:r>
      <w:r>
        <w:rPr>
          <w:sz w:val="26"/>
          <w:szCs w:val="26"/>
        </w:rPr>
        <w:t>shall</w:t>
      </w:r>
      <w:r w:rsidRPr="00A464D5">
        <w:rPr>
          <w:sz w:val="26"/>
          <w:szCs w:val="26"/>
        </w:rPr>
        <w:t xml:space="preserve"> de</w:t>
      </w:r>
      <w:r>
        <w:rPr>
          <w:sz w:val="26"/>
          <w:szCs w:val="26"/>
        </w:rPr>
        <w:t>ny</w:t>
      </w:r>
      <w:r w:rsidR="00FE059D">
        <w:rPr>
          <w:sz w:val="26"/>
          <w:szCs w:val="26"/>
        </w:rPr>
        <w:t xml:space="preserve"> the </w:t>
      </w:r>
      <w:r>
        <w:rPr>
          <w:sz w:val="26"/>
          <w:szCs w:val="26"/>
        </w:rPr>
        <w:t>Complainant’s Exceptions and</w:t>
      </w:r>
      <w:r w:rsidRPr="00A464D5">
        <w:rPr>
          <w:sz w:val="26"/>
          <w:szCs w:val="26"/>
        </w:rPr>
        <w:t xml:space="preserve"> </w:t>
      </w:r>
      <w:r w:rsidR="00F73D64">
        <w:rPr>
          <w:sz w:val="26"/>
          <w:szCs w:val="26"/>
        </w:rPr>
        <w:t>adopt</w:t>
      </w:r>
      <w:r w:rsidR="00C0361C">
        <w:rPr>
          <w:sz w:val="26"/>
          <w:szCs w:val="26"/>
        </w:rPr>
        <w:t xml:space="preserve"> </w:t>
      </w:r>
      <w:r w:rsidRPr="00A464D5">
        <w:rPr>
          <w:sz w:val="26"/>
          <w:szCs w:val="26"/>
        </w:rPr>
        <w:t xml:space="preserve">the Initial Decision of Administrative Law Judge </w:t>
      </w:r>
      <w:r w:rsidR="00A54CCE">
        <w:rPr>
          <w:sz w:val="26"/>
          <w:szCs w:val="26"/>
        </w:rPr>
        <w:t xml:space="preserve">Ember S. </w:t>
      </w:r>
      <w:proofErr w:type="spellStart"/>
      <w:r w:rsidR="00A54CCE">
        <w:rPr>
          <w:sz w:val="26"/>
          <w:szCs w:val="26"/>
        </w:rPr>
        <w:t>Jandebeur</w:t>
      </w:r>
      <w:proofErr w:type="spellEnd"/>
      <w:r w:rsidR="003931CC">
        <w:rPr>
          <w:sz w:val="26"/>
          <w:szCs w:val="26"/>
        </w:rPr>
        <w:t>,</w:t>
      </w:r>
      <w:r w:rsidR="00A54CCE">
        <w:rPr>
          <w:sz w:val="26"/>
          <w:szCs w:val="26"/>
        </w:rPr>
        <w:t xml:space="preserve"> </w:t>
      </w:r>
      <w:r>
        <w:rPr>
          <w:sz w:val="26"/>
          <w:szCs w:val="26"/>
        </w:rPr>
        <w:t>consistent with this Opinion and Order</w:t>
      </w:r>
      <w:r w:rsidRPr="00A464D5">
        <w:rPr>
          <w:sz w:val="26"/>
          <w:szCs w:val="26"/>
        </w:rPr>
        <w:t xml:space="preserve">; </w:t>
      </w:r>
      <w:r w:rsidRPr="00C575FD">
        <w:rPr>
          <w:b/>
          <w:snapToGrid w:val="0"/>
          <w:sz w:val="26"/>
          <w:szCs w:val="26"/>
        </w:rPr>
        <w:t>THEREFORE</w:t>
      </w:r>
      <w:r w:rsidRPr="00C575FD">
        <w:rPr>
          <w:b/>
          <w:sz w:val="26"/>
          <w:szCs w:val="26"/>
        </w:rPr>
        <w:t>,</w:t>
      </w:r>
    </w:p>
    <w:p w:rsidR="00506533" w:rsidRDefault="00506533" w:rsidP="0020399E">
      <w:pPr>
        <w:jc w:val="left"/>
        <w:rPr>
          <w:b/>
          <w:sz w:val="26"/>
          <w:szCs w:val="26"/>
        </w:rPr>
      </w:pPr>
    </w:p>
    <w:p w:rsidR="00CC14A9" w:rsidRPr="00856E77" w:rsidRDefault="00CC14A9" w:rsidP="0020399E">
      <w:pPr>
        <w:keepNext/>
        <w:jc w:val="left"/>
        <w:rPr>
          <w:sz w:val="26"/>
          <w:szCs w:val="26"/>
        </w:rPr>
      </w:pPr>
      <w:r w:rsidRPr="00C575FD">
        <w:rPr>
          <w:sz w:val="26"/>
          <w:szCs w:val="26"/>
        </w:rPr>
        <w:tab/>
      </w:r>
      <w:r w:rsidRPr="00856E77">
        <w:rPr>
          <w:sz w:val="26"/>
          <w:szCs w:val="26"/>
        </w:rPr>
        <w:tab/>
      </w:r>
      <w:r w:rsidRPr="00856E77">
        <w:rPr>
          <w:b/>
          <w:sz w:val="26"/>
          <w:szCs w:val="26"/>
        </w:rPr>
        <w:t>IT IS ORDERED:</w:t>
      </w:r>
    </w:p>
    <w:p w:rsidR="00CC14A9" w:rsidRPr="00856E77" w:rsidRDefault="00CC14A9" w:rsidP="0020399E">
      <w:pPr>
        <w:keepNext/>
        <w:jc w:val="left"/>
        <w:rPr>
          <w:sz w:val="26"/>
          <w:szCs w:val="26"/>
        </w:rPr>
      </w:pPr>
    </w:p>
    <w:p w:rsidR="00CC14A9" w:rsidRPr="00856E77" w:rsidRDefault="00CC14A9" w:rsidP="0020399E">
      <w:pPr>
        <w:jc w:val="left"/>
        <w:rPr>
          <w:sz w:val="26"/>
          <w:szCs w:val="26"/>
        </w:rPr>
      </w:pPr>
      <w:r w:rsidRPr="00856E77">
        <w:rPr>
          <w:b/>
          <w:sz w:val="26"/>
          <w:szCs w:val="26"/>
        </w:rPr>
        <w:tab/>
      </w:r>
      <w:r w:rsidRPr="00856E77">
        <w:rPr>
          <w:b/>
          <w:sz w:val="26"/>
          <w:szCs w:val="26"/>
        </w:rPr>
        <w:tab/>
      </w:r>
      <w:r w:rsidR="000E4AE9">
        <w:rPr>
          <w:sz w:val="26"/>
          <w:szCs w:val="26"/>
        </w:rPr>
        <w:t>1.</w:t>
      </w:r>
      <w:r w:rsidR="000E1996">
        <w:rPr>
          <w:sz w:val="26"/>
          <w:szCs w:val="26"/>
        </w:rPr>
        <w:tab/>
      </w:r>
      <w:r w:rsidRPr="00856E77">
        <w:rPr>
          <w:sz w:val="26"/>
          <w:szCs w:val="26"/>
        </w:rPr>
        <w:t xml:space="preserve">That the Exceptions filed by </w:t>
      </w:r>
      <w:r w:rsidR="00F73D64">
        <w:rPr>
          <w:sz w:val="26"/>
          <w:szCs w:val="26"/>
        </w:rPr>
        <w:t>Thom</w:t>
      </w:r>
      <w:r>
        <w:rPr>
          <w:sz w:val="26"/>
          <w:szCs w:val="26"/>
        </w:rPr>
        <w:t xml:space="preserve"> Greco, d/b/a </w:t>
      </w:r>
      <w:r w:rsidR="00F73D64">
        <w:rPr>
          <w:sz w:val="26"/>
          <w:szCs w:val="26"/>
        </w:rPr>
        <w:t>Phoenix Estates</w:t>
      </w:r>
      <w:r w:rsidRPr="00856E77">
        <w:rPr>
          <w:sz w:val="26"/>
          <w:szCs w:val="26"/>
        </w:rPr>
        <w:t xml:space="preserve"> on </w:t>
      </w:r>
      <w:r w:rsidR="00F73D64">
        <w:rPr>
          <w:sz w:val="26"/>
          <w:szCs w:val="26"/>
        </w:rPr>
        <w:t>March 14</w:t>
      </w:r>
      <w:r w:rsidRPr="00856E77">
        <w:rPr>
          <w:sz w:val="26"/>
          <w:szCs w:val="26"/>
        </w:rPr>
        <w:t xml:space="preserve">, 2012, to the Initial Decision of Administrative Law Judge </w:t>
      </w:r>
      <w:r>
        <w:rPr>
          <w:sz w:val="26"/>
          <w:szCs w:val="26"/>
        </w:rPr>
        <w:t xml:space="preserve">Ember S. </w:t>
      </w:r>
      <w:proofErr w:type="spellStart"/>
      <w:r>
        <w:rPr>
          <w:sz w:val="26"/>
          <w:szCs w:val="26"/>
        </w:rPr>
        <w:t>Jandebeur</w:t>
      </w:r>
      <w:proofErr w:type="spellEnd"/>
      <w:r w:rsidRPr="00856E77">
        <w:rPr>
          <w:sz w:val="26"/>
          <w:szCs w:val="26"/>
        </w:rPr>
        <w:t>, are denied</w:t>
      </w:r>
      <w:r w:rsidR="00F73D64">
        <w:rPr>
          <w:sz w:val="26"/>
          <w:szCs w:val="26"/>
        </w:rPr>
        <w:t>,</w:t>
      </w:r>
      <w:r w:rsidR="00C0361C">
        <w:rPr>
          <w:sz w:val="26"/>
          <w:szCs w:val="26"/>
        </w:rPr>
        <w:t xml:space="preserve"> consistent with this Opinion and Order</w:t>
      </w:r>
      <w:r w:rsidRPr="00856E77">
        <w:rPr>
          <w:sz w:val="26"/>
          <w:szCs w:val="26"/>
        </w:rPr>
        <w:t>.</w:t>
      </w:r>
    </w:p>
    <w:p w:rsidR="00CC14A9" w:rsidRPr="00856E77" w:rsidRDefault="00CC14A9" w:rsidP="0020399E">
      <w:pPr>
        <w:jc w:val="left"/>
        <w:rPr>
          <w:sz w:val="26"/>
          <w:szCs w:val="26"/>
        </w:rPr>
      </w:pPr>
    </w:p>
    <w:p w:rsidR="00CC14A9" w:rsidRPr="00856E77" w:rsidRDefault="00CC14A9" w:rsidP="0020399E">
      <w:pPr>
        <w:jc w:val="left"/>
        <w:rPr>
          <w:sz w:val="26"/>
          <w:szCs w:val="26"/>
        </w:rPr>
      </w:pPr>
      <w:r w:rsidRPr="00856E77">
        <w:rPr>
          <w:sz w:val="26"/>
          <w:szCs w:val="26"/>
        </w:rPr>
        <w:tab/>
      </w:r>
      <w:r w:rsidRPr="00856E77">
        <w:rPr>
          <w:sz w:val="26"/>
          <w:szCs w:val="26"/>
        </w:rPr>
        <w:tab/>
        <w:t>2.</w:t>
      </w:r>
      <w:r w:rsidR="000E1996">
        <w:rPr>
          <w:sz w:val="26"/>
          <w:szCs w:val="26"/>
        </w:rPr>
        <w:tab/>
      </w:r>
      <w:r w:rsidRPr="00856E77">
        <w:rPr>
          <w:sz w:val="26"/>
          <w:szCs w:val="26"/>
        </w:rPr>
        <w:t xml:space="preserve">That the Initial Decision of Administrative Law Judge </w:t>
      </w:r>
      <w:r>
        <w:rPr>
          <w:sz w:val="26"/>
          <w:szCs w:val="26"/>
        </w:rPr>
        <w:t xml:space="preserve">Ember S. </w:t>
      </w:r>
      <w:proofErr w:type="spellStart"/>
      <w:r>
        <w:rPr>
          <w:sz w:val="26"/>
          <w:szCs w:val="26"/>
        </w:rPr>
        <w:t>Jandebeur</w:t>
      </w:r>
      <w:proofErr w:type="spellEnd"/>
      <w:r>
        <w:rPr>
          <w:sz w:val="26"/>
          <w:szCs w:val="26"/>
        </w:rPr>
        <w:t>,</w:t>
      </w:r>
      <w:r w:rsidRPr="00856E77">
        <w:rPr>
          <w:sz w:val="26"/>
          <w:szCs w:val="26"/>
        </w:rPr>
        <w:t xml:space="preserve"> issued on </w:t>
      </w:r>
      <w:r w:rsidR="00F73D64">
        <w:rPr>
          <w:sz w:val="26"/>
          <w:szCs w:val="26"/>
        </w:rPr>
        <w:t>February 27</w:t>
      </w:r>
      <w:r w:rsidRPr="00856E77">
        <w:rPr>
          <w:sz w:val="26"/>
          <w:szCs w:val="26"/>
        </w:rPr>
        <w:t>, 2012, is</w:t>
      </w:r>
      <w:r w:rsidR="00C0361C">
        <w:rPr>
          <w:sz w:val="26"/>
          <w:szCs w:val="26"/>
        </w:rPr>
        <w:t xml:space="preserve"> </w:t>
      </w:r>
      <w:r w:rsidR="00F73D64">
        <w:rPr>
          <w:sz w:val="26"/>
          <w:szCs w:val="26"/>
        </w:rPr>
        <w:t>adopted,</w:t>
      </w:r>
      <w:r w:rsidR="00C0361C">
        <w:rPr>
          <w:sz w:val="26"/>
          <w:szCs w:val="26"/>
        </w:rPr>
        <w:t xml:space="preserve"> consistent with this Opinion and Order</w:t>
      </w:r>
      <w:r w:rsidRPr="00856E77">
        <w:rPr>
          <w:sz w:val="26"/>
          <w:szCs w:val="26"/>
        </w:rPr>
        <w:t xml:space="preserve">. </w:t>
      </w:r>
    </w:p>
    <w:p w:rsidR="00CC14A9" w:rsidRPr="00856E77" w:rsidRDefault="00CC14A9" w:rsidP="0020399E">
      <w:pPr>
        <w:jc w:val="left"/>
        <w:rPr>
          <w:sz w:val="26"/>
          <w:szCs w:val="26"/>
        </w:rPr>
      </w:pPr>
    </w:p>
    <w:p w:rsidR="00CC14A9" w:rsidRDefault="00CC14A9" w:rsidP="0020399E">
      <w:pPr>
        <w:jc w:val="left"/>
        <w:rPr>
          <w:sz w:val="26"/>
          <w:szCs w:val="26"/>
        </w:rPr>
      </w:pPr>
      <w:r w:rsidRPr="00856E77">
        <w:rPr>
          <w:sz w:val="26"/>
          <w:szCs w:val="26"/>
        </w:rPr>
        <w:tab/>
      </w:r>
      <w:r w:rsidRPr="00856E77">
        <w:rPr>
          <w:sz w:val="26"/>
          <w:szCs w:val="26"/>
        </w:rPr>
        <w:tab/>
        <w:t>3.</w:t>
      </w:r>
      <w:r w:rsidR="000E1996">
        <w:rPr>
          <w:sz w:val="26"/>
          <w:szCs w:val="26"/>
        </w:rPr>
        <w:tab/>
      </w:r>
      <w:r w:rsidRPr="00856E77">
        <w:rPr>
          <w:sz w:val="26"/>
          <w:szCs w:val="26"/>
        </w:rPr>
        <w:t xml:space="preserve">That the Formal Complaint filed by </w:t>
      </w:r>
      <w:r>
        <w:rPr>
          <w:sz w:val="26"/>
          <w:szCs w:val="26"/>
        </w:rPr>
        <w:t xml:space="preserve">Thom Greco, d/b/a </w:t>
      </w:r>
      <w:r w:rsidR="00F73D64">
        <w:rPr>
          <w:sz w:val="26"/>
          <w:szCs w:val="26"/>
        </w:rPr>
        <w:t xml:space="preserve">Phoenix Estates </w:t>
      </w:r>
      <w:r w:rsidRPr="00856E77">
        <w:rPr>
          <w:sz w:val="26"/>
          <w:szCs w:val="26"/>
        </w:rPr>
        <w:t xml:space="preserve">on </w:t>
      </w:r>
      <w:r w:rsidR="00F73D64">
        <w:rPr>
          <w:sz w:val="26"/>
          <w:szCs w:val="26"/>
        </w:rPr>
        <w:t>September 7,</w:t>
      </w:r>
      <w:r>
        <w:rPr>
          <w:sz w:val="26"/>
          <w:szCs w:val="26"/>
        </w:rPr>
        <w:t xml:space="preserve"> 201</w:t>
      </w:r>
      <w:r w:rsidR="00F73D64">
        <w:rPr>
          <w:sz w:val="26"/>
          <w:szCs w:val="26"/>
        </w:rPr>
        <w:t>0</w:t>
      </w:r>
      <w:r w:rsidRPr="00856E77">
        <w:rPr>
          <w:sz w:val="26"/>
          <w:szCs w:val="26"/>
        </w:rPr>
        <w:t xml:space="preserve">, at </w:t>
      </w:r>
      <w:r w:rsidR="00F73D64">
        <w:rPr>
          <w:sz w:val="26"/>
          <w:szCs w:val="26"/>
        </w:rPr>
        <w:t>D</w:t>
      </w:r>
      <w:r w:rsidRPr="00856E77">
        <w:rPr>
          <w:sz w:val="26"/>
          <w:szCs w:val="26"/>
        </w:rPr>
        <w:t>ocket</w:t>
      </w:r>
      <w:r w:rsidR="00F73D64">
        <w:rPr>
          <w:sz w:val="26"/>
          <w:szCs w:val="26"/>
        </w:rPr>
        <w:t xml:space="preserve"> No. C-2010-</w:t>
      </w:r>
      <w:proofErr w:type="gramStart"/>
      <w:r w:rsidR="00F73D64">
        <w:rPr>
          <w:sz w:val="26"/>
          <w:szCs w:val="26"/>
        </w:rPr>
        <w:t>2198079,</w:t>
      </w:r>
      <w:proofErr w:type="gramEnd"/>
      <w:r w:rsidRPr="00856E77">
        <w:rPr>
          <w:sz w:val="26"/>
          <w:szCs w:val="26"/>
        </w:rPr>
        <w:t xml:space="preserve"> is </w:t>
      </w:r>
      <w:r w:rsidR="00F73D64">
        <w:rPr>
          <w:sz w:val="26"/>
          <w:szCs w:val="26"/>
        </w:rPr>
        <w:t>d</w:t>
      </w:r>
      <w:r w:rsidR="000E4AE9">
        <w:rPr>
          <w:sz w:val="26"/>
          <w:szCs w:val="26"/>
        </w:rPr>
        <w:t>ismissed</w:t>
      </w:r>
      <w:r w:rsidRPr="00856E77">
        <w:rPr>
          <w:sz w:val="26"/>
          <w:szCs w:val="26"/>
        </w:rPr>
        <w:t>.</w:t>
      </w:r>
    </w:p>
    <w:p w:rsidR="00F73D64" w:rsidRDefault="00F73D64" w:rsidP="0020399E">
      <w:pPr>
        <w:jc w:val="left"/>
        <w:rPr>
          <w:sz w:val="26"/>
          <w:szCs w:val="26"/>
        </w:rPr>
      </w:pPr>
    </w:p>
    <w:p w:rsidR="00F73D64" w:rsidRPr="00856E77" w:rsidRDefault="00F73D64" w:rsidP="0020399E">
      <w:pPr>
        <w:jc w:val="left"/>
        <w:rPr>
          <w:sz w:val="26"/>
          <w:szCs w:val="26"/>
        </w:rPr>
      </w:pPr>
      <w:r>
        <w:rPr>
          <w:sz w:val="26"/>
          <w:szCs w:val="26"/>
        </w:rPr>
        <w:tab/>
      </w:r>
      <w:r>
        <w:rPr>
          <w:sz w:val="26"/>
          <w:szCs w:val="26"/>
        </w:rPr>
        <w:tab/>
        <w:t>4.</w:t>
      </w:r>
      <w:r>
        <w:rPr>
          <w:sz w:val="26"/>
          <w:szCs w:val="26"/>
        </w:rPr>
        <w:tab/>
        <w:t>That the Formal Complaint filed by Thom Greco, d/b/a Phoenix Estates on March 3, 2011, at Docket No. C-2011-</w:t>
      </w:r>
      <w:proofErr w:type="gramStart"/>
      <w:r>
        <w:rPr>
          <w:sz w:val="26"/>
          <w:szCs w:val="26"/>
        </w:rPr>
        <w:t>2229033,</w:t>
      </w:r>
      <w:proofErr w:type="gramEnd"/>
      <w:r>
        <w:rPr>
          <w:sz w:val="26"/>
          <w:szCs w:val="26"/>
        </w:rPr>
        <w:t xml:space="preserve"> is d</w:t>
      </w:r>
      <w:r w:rsidR="000E4AE9">
        <w:rPr>
          <w:sz w:val="26"/>
          <w:szCs w:val="26"/>
        </w:rPr>
        <w:t>ismissed</w:t>
      </w:r>
      <w:r>
        <w:rPr>
          <w:sz w:val="26"/>
          <w:szCs w:val="26"/>
        </w:rPr>
        <w:t>.</w:t>
      </w:r>
    </w:p>
    <w:p w:rsidR="003B3C46" w:rsidRDefault="003B3C46" w:rsidP="0020399E">
      <w:pPr>
        <w:spacing w:after="200" w:line="276" w:lineRule="auto"/>
        <w:jc w:val="left"/>
        <w:rPr>
          <w:sz w:val="26"/>
          <w:szCs w:val="26"/>
        </w:rPr>
      </w:pPr>
      <w:r>
        <w:rPr>
          <w:sz w:val="26"/>
          <w:szCs w:val="26"/>
        </w:rPr>
        <w:br w:type="page"/>
      </w:r>
    </w:p>
    <w:p w:rsidR="000E1996" w:rsidRPr="00F73D64" w:rsidRDefault="00CC14A9" w:rsidP="0020399E">
      <w:pPr>
        <w:jc w:val="left"/>
        <w:rPr>
          <w:sz w:val="26"/>
        </w:rPr>
      </w:pPr>
      <w:r w:rsidRPr="00856E77">
        <w:rPr>
          <w:sz w:val="26"/>
          <w:szCs w:val="26"/>
        </w:rPr>
        <w:lastRenderedPageBreak/>
        <w:tab/>
      </w:r>
      <w:r w:rsidRPr="00856E77">
        <w:rPr>
          <w:sz w:val="26"/>
          <w:szCs w:val="26"/>
        </w:rPr>
        <w:tab/>
      </w:r>
      <w:r w:rsidR="00F73D64" w:rsidRPr="00F73D64">
        <w:rPr>
          <w:sz w:val="26"/>
        </w:rPr>
        <w:t>5</w:t>
      </w:r>
      <w:r w:rsidR="000E1996" w:rsidRPr="00F73D64">
        <w:rPr>
          <w:sz w:val="26"/>
        </w:rPr>
        <w:t>.</w:t>
      </w:r>
      <w:r w:rsidR="000E1996" w:rsidRPr="00F73D64">
        <w:rPr>
          <w:sz w:val="26"/>
        </w:rPr>
        <w:tab/>
        <w:t>That,</w:t>
      </w:r>
      <w:r w:rsidR="00F73D64">
        <w:rPr>
          <w:sz w:val="26"/>
        </w:rPr>
        <w:t xml:space="preserve"> the Secretary’s Bureau </w:t>
      </w:r>
      <w:proofErr w:type="gramStart"/>
      <w:r w:rsidR="00F73D64">
        <w:rPr>
          <w:sz w:val="26"/>
        </w:rPr>
        <w:t>mark</w:t>
      </w:r>
      <w:proofErr w:type="gramEnd"/>
      <w:r w:rsidR="00F73D64">
        <w:rPr>
          <w:sz w:val="26"/>
        </w:rPr>
        <w:t xml:space="preserve"> </w:t>
      </w:r>
      <w:r w:rsidR="00F36BF2">
        <w:rPr>
          <w:sz w:val="26"/>
        </w:rPr>
        <w:t xml:space="preserve">the proceedings at </w:t>
      </w:r>
      <w:r w:rsidR="00F73D64">
        <w:rPr>
          <w:sz w:val="26"/>
        </w:rPr>
        <w:t>Docket Nos. C-2010-2198079 and C-2011-2229033 closed.</w:t>
      </w:r>
    </w:p>
    <w:p w:rsidR="000E1996" w:rsidRPr="000E1996" w:rsidRDefault="000E1996" w:rsidP="0020399E">
      <w:pPr>
        <w:jc w:val="left"/>
      </w:pPr>
    </w:p>
    <w:p w:rsidR="00CC14A9" w:rsidRPr="005F77DC" w:rsidRDefault="009B44F6" w:rsidP="0020399E">
      <w:pPr>
        <w:tabs>
          <w:tab w:val="left" w:pos="-720"/>
        </w:tabs>
        <w:suppressAutoHyphens/>
        <w:ind w:left="5040"/>
        <w:jc w:val="left"/>
        <w:rPr>
          <w:sz w:val="26"/>
          <w:szCs w:val="26"/>
        </w:rPr>
      </w:pPr>
      <w:bookmarkStart w:id="0" w:name="_GoBack"/>
      <w:r w:rsidRPr="00A14635">
        <w:rPr>
          <w:noProof/>
        </w:rPr>
        <w:drawing>
          <wp:anchor distT="0" distB="0" distL="114300" distR="114300" simplePos="0" relativeHeight="251659264" behindDoc="1" locked="0" layoutInCell="1" allowOverlap="1" wp14:anchorId="6E887AFC" wp14:editId="04E30498">
            <wp:simplePos x="0" y="0"/>
            <wp:positionH relativeFrom="column">
              <wp:posOffset>2983230</wp:posOffset>
            </wp:positionH>
            <wp:positionV relativeFrom="paragraph">
              <wp:posOffset>120015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C14A9" w:rsidRPr="005F77DC">
        <w:rPr>
          <w:b/>
          <w:sz w:val="26"/>
          <w:szCs w:val="26"/>
        </w:rPr>
        <w:t>BY THE COMMISSION,</w:t>
      </w:r>
    </w:p>
    <w:p w:rsidR="00CC14A9" w:rsidRDefault="00CC14A9" w:rsidP="0020399E">
      <w:pPr>
        <w:tabs>
          <w:tab w:val="left" w:pos="-720"/>
        </w:tabs>
        <w:suppressAutoHyphens/>
        <w:ind w:left="5040"/>
        <w:jc w:val="left"/>
        <w:rPr>
          <w:sz w:val="26"/>
          <w:szCs w:val="26"/>
        </w:rPr>
      </w:pPr>
    </w:p>
    <w:p w:rsidR="00CC14A9" w:rsidRPr="005F77DC" w:rsidRDefault="00CC14A9" w:rsidP="0020399E">
      <w:pPr>
        <w:tabs>
          <w:tab w:val="left" w:pos="-720"/>
        </w:tabs>
        <w:suppressAutoHyphens/>
        <w:ind w:left="5040"/>
        <w:jc w:val="left"/>
        <w:rPr>
          <w:sz w:val="26"/>
          <w:szCs w:val="26"/>
        </w:rPr>
      </w:pPr>
    </w:p>
    <w:p w:rsidR="00CC14A9" w:rsidRPr="005F77DC" w:rsidRDefault="00CC14A9" w:rsidP="0020399E">
      <w:pPr>
        <w:tabs>
          <w:tab w:val="left" w:pos="-720"/>
        </w:tabs>
        <w:suppressAutoHyphens/>
        <w:spacing w:line="240" w:lineRule="auto"/>
        <w:ind w:left="5040"/>
        <w:jc w:val="left"/>
        <w:rPr>
          <w:sz w:val="26"/>
          <w:szCs w:val="26"/>
        </w:rPr>
      </w:pPr>
      <w:r w:rsidRPr="005F77DC">
        <w:rPr>
          <w:sz w:val="26"/>
          <w:szCs w:val="26"/>
        </w:rPr>
        <w:t>Rosemary Chiavetta</w:t>
      </w:r>
    </w:p>
    <w:p w:rsidR="00CC14A9" w:rsidRPr="005F77DC" w:rsidRDefault="00CC14A9" w:rsidP="0020399E">
      <w:pPr>
        <w:tabs>
          <w:tab w:val="left" w:pos="-720"/>
        </w:tabs>
        <w:suppressAutoHyphens/>
        <w:spacing w:line="240" w:lineRule="auto"/>
        <w:ind w:left="5040"/>
        <w:jc w:val="left"/>
        <w:rPr>
          <w:sz w:val="26"/>
          <w:szCs w:val="26"/>
        </w:rPr>
      </w:pPr>
      <w:r w:rsidRPr="005F77DC">
        <w:rPr>
          <w:sz w:val="26"/>
          <w:szCs w:val="26"/>
        </w:rPr>
        <w:t>Secretary</w:t>
      </w:r>
    </w:p>
    <w:p w:rsidR="00CC14A9" w:rsidRPr="005F77DC" w:rsidRDefault="00CC14A9" w:rsidP="0020399E">
      <w:pPr>
        <w:tabs>
          <w:tab w:val="left" w:pos="-720"/>
        </w:tabs>
        <w:suppressAutoHyphens/>
        <w:jc w:val="left"/>
        <w:rPr>
          <w:sz w:val="26"/>
          <w:szCs w:val="26"/>
        </w:rPr>
      </w:pPr>
    </w:p>
    <w:p w:rsidR="00CC14A9" w:rsidRPr="005F77DC" w:rsidRDefault="00CC14A9" w:rsidP="0020399E">
      <w:pPr>
        <w:tabs>
          <w:tab w:val="left" w:pos="-720"/>
        </w:tabs>
        <w:suppressAutoHyphens/>
        <w:jc w:val="left"/>
        <w:rPr>
          <w:sz w:val="26"/>
          <w:szCs w:val="26"/>
        </w:rPr>
      </w:pPr>
      <w:r w:rsidRPr="005F77DC">
        <w:rPr>
          <w:sz w:val="26"/>
          <w:szCs w:val="26"/>
        </w:rPr>
        <w:t>(SEAL)</w:t>
      </w:r>
    </w:p>
    <w:p w:rsidR="00CC14A9" w:rsidRPr="005F77DC" w:rsidRDefault="00CC14A9" w:rsidP="0020399E">
      <w:pPr>
        <w:tabs>
          <w:tab w:val="left" w:pos="-720"/>
        </w:tabs>
        <w:suppressAutoHyphens/>
        <w:jc w:val="left"/>
        <w:rPr>
          <w:sz w:val="26"/>
          <w:szCs w:val="26"/>
        </w:rPr>
      </w:pPr>
    </w:p>
    <w:p w:rsidR="00CC14A9" w:rsidRPr="005F77DC" w:rsidRDefault="00CC14A9" w:rsidP="0020399E">
      <w:pPr>
        <w:tabs>
          <w:tab w:val="left" w:pos="-720"/>
        </w:tabs>
        <w:suppressAutoHyphens/>
        <w:jc w:val="left"/>
        <w:rPr>
          <w:sz w:val="26"/>
          <w:szCs w:val="26"/>
        </w:rPr>
      </w:pPr>
      <w:r w:rsidRPr="005F77DC">
        <w:rPr>
          <w:sz w:val="26"/>
          <w:szCs w:val="26"/>
        </w:rPr>
        <w:t xml:space="preserve">ORDER ADOPTED:  </w:t>
      </w:r>
      <w:r w:rsidR="00F73A23">
        <w:rPr>
          <w:sz w:val="26"/>
          <w:szCs w:val="26"/>
        </w:rPr>
        <w:t>August 30</w:t>
      </w:r>
      <w:r w:rsidRPr="005F77DC">
        <w:rPr>
          <w:sz w:val="26"/>
          <w:szCs w:val="26"/>
        </w:rPr>
        <w:t>, 2012</w:t>
      </w:r>
    </w:p>
    <w:p w:rsidR="00CC14A9" w:rsidRPr="005F77DC" w:rsidRDefault="00CC14A9" w:rsidP="0020399E">
      <w:pPr>
        <w:tabs>
          <w:tab w:val="left" w:pos="-720"/>
        </w:tabs>
        <w:suppressAutoHyphens/>
        <w:jc w:val="left"/>
        <w:rPr>
          <w:b/>
          <w:sz w:val="26"/>
          <w:szCs w:val="26"/>
        </w:rPr>
      </w:pPr>
      <w:r w:rsidRPr="005F77DC">
        <w:rPr>
          <w:sz w:val="26"/>
          <w:szCs w:val="26"/>
        </w:rPr>
        <w:t xml:space="preserve">ORDER ENTERED:  </w:t>
      </w:r>
      <w:r w:rsidR="009B44F6">
        <w:rPr>
          <w:sz w:val="26"/>
          <w:szCs w:val="26"/>
        </w:rPr>
        <w:t>August 31, 2012</w:t>
      </w:r>
    </w:p>
    <w:sectPr w:rsidR="00CC14A9" w:rsidRPr="005F77DC" w:rsidSect="00A7772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DB" w:rsidRDefault="00401FDB" w:rsidP="00F9505E">
      <w:pPr>
        <w:spacing w:line="240" w:lineRule="auto"/>
      </w:pPr>
      <w:r>
        <w:separator/>
      </w:r>
    </w:p>
  </w:endnote>
  <w:endnote w:type="continuationSeparator" w:id="0">
    <w:p w:rsidR="00401FDB" w:rsidRDefault="00401FDB" w:rsidP="00F95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06972"/>
      <w:docPartObj>
        <w:docPartGallery w:val="Page Numbers (Bottom of Page)"/>
        <w:docPartUnique/>
      </w:docPartObj>
    </w:sdtPr>
    <w:sdtEndPr>
      <w:rPr>
        <w:noProof/>
      </w:rPr>
    </w:sdtEndPr>
    <w:sdtContent>
      <w:p w:rsidR="00A77727" w:rsidRDefault="00A77727">
        <w:pPr>
          <w:pStyle w:val="Footer"/>
        </w:pPr>
        <w:r>
          <w:fldChar w:fldCharType="begin"/>
        </w:r>
        <w:r>
          <w:instrText xml:space="preserve"> PAGE   \* MERGEFORMAT </w:instrText>
        </w:r>
        <w:r>
          <w:fldChar w:fldCharType="separate"/>
        </w:r>
        <w:r w:rsidR="009B44F6">
          <w:rPr>
            <w:noProof/>
          </w:rPr>
          <w:t>9</w:t>
        </w:r>
        <w:r>
          <w:rPr>
            <w:noProof/>
          </w:rPr>
          <w:fldChar w:fldCharType="end"/>
        </w:r>
      </w:p>
    </w:sdtContent>
  </w:sdt>
  <w:p w:rsidR="00A77727" w:rsidRDefault="00A77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DB" w:rsidRDefault="00401FDB" w:rsidP="003D4311">
      <w:pPr>
        <w:spacing w:line="240" w:lineRule="auto"/>
        <w:jc w:val="left"/>
      </w:pPr>
      <w:r>
        <w:separator/>
      </w:r>
    </w:p>
  </w:footnote>
  <w:footnote w:type="continuationSeparator" w:id="0">
    <w:p w:rsidR="00401FDB" w:rsidRDefault="00401FDB" w:rsidP="00F9505E">
      <w:pPr>
        <w:spacing w:line="240" w:lineRule="auto"/>
      </w:pPr>
      <w:r>
        <w:continuationSeparator/>
      </w:r>
    </w:p>
  </w:footnote>
  <w:footnote w:id="1">
    <w:p w:rsidR="005C2993" w:rsidRPr="005C2993" w:rsidRDefault="005C2993" w:rsidP="005C2993">
      <w:pPr>
        <w:pStyle w:val="FootnoteText"/>
        <w:spacing w:line="240" w:lineRule="auto"/>
        <w:ind w:firstLine="0"/>
        <w:rPr>
          <w:sz w:val="26"/>
        </w:rPr>
      </w:pPr>
      <w:r w:rsidRPr="005C2993">
        <w:rPr>
          <w:sz w:val="26"/>
        </w:rPr>
        <w:tab/>
      </w:r>
      <w:r w:rsidRPr="005C2993">
        <w:rPr>
          <w:rStyle w:val="FootnoteReference"/>
          <w:sz w:val="26"/>
        </w:rPr>
        <w:footnoteRef/>
      </w:r>
      <w:r w:rsidRPr="005C2993">
        <w:rPr>
          <w:sz w:val="26"/>
        </w:rPr>
        <w:tab/>
      </w:r>
      <w:r w:rsidRPr="005C2993">
        <w:rPr>
          <w:sz w:val="26"/>
          <w:szCs w:val="18"/>
        </w:rPr>
        <w:t>The transcript and Initial Decision refer to the Complainant’s employee’s last name as “</w:t>
      </w:r>
      <w:proofErr w:type="spellStart"/>
      <w:r w:rsidRPr="005C2993">
        <w:rPr>
          <w:sz w:val="26"/>
          <w:szCs w:val="18"/>
        </w:rPr>
        <w:t>Tenza</w:t>
      </w:r>
      <w:proofErr w:type="spellEnd"/>
      <w:r w:rsidRPr="005C2993">
        <w:rPr>
          <w:sz w:val="26"/>
          <w:szCs w:val="18"/>
        </w:rPr>
        <w:t>.”  The Exceptions and Reply Exceptions refer to her last name as “</w:t>
      </w:r>
      <w:proofErr w:type="spellStart"/>
      <w:r w:rsidRPr="005C2993">
        <w:rPr>
          <w:sz w:val="26"/>
          <w:szCs w:val="18"/>
        </w:rPr>
        <w:t>Tencza</w:t>
      </w:r>
      <w:proofErr w:type="spellEnd"/>
      <w:r w:rsidRPr="005C2993">
        <w:rPr>
          <w:sz w:val="26"/>
          <w:szCs w:val="18"/>
        </w:rPr>
        <w:t>.”  Consistent with the transcript and the Initial Decision we will use the “</w:t>
      </w:r>
      <w:proofErr w:type="spellStart"/>
      <w:r w:rsidRPr="005C2993">
        <w:rPr>
          <w:sz w:val="26"/>
          <w:szCs w:val="18"/>
        </w:rPr>
        <w:t>Tenza</w:t>
      </w:r>
      <w:proofErr w:type="spellEnd"/>
      <w:r w:rsidRPr="005C2993">
        <w:rPr>
          <w:sz w:val="26"/>
          <w:szCs w:val="18"/>
        </w:rPr>
        <w:t xml:space="preserve">” spelling </w:t>
      </w:r>
      <w:r>
        <w:rPr>
          <w:sz w:val="26"/>
          <w:szCs w:val="18"/>
        </w:rPr>
        <w:t>throughout</w:t>
      </w:r>
      <w:r w:rsidRPr="005C2993">
        <w:rPr>
          <w:sz w:val="26"/>
          <w:szCs w:val="18"/>
        </w:rPr>
        <w:t xml:space="preserve"> this Opinion and Order.</w:t>
      </w:r>
    </w:p>
  </w:footnote>
  <w:footnote w:id="2">
    <w:p w:rsidR="00F35371" w:rsidRPr="00F35371" w:rsidRDefault="00F35371" w:rsidP="00296840">
      <w:pPr>
        <w:pStyle w:val="FootnoteText"/>
        <w:spacing w:line="240" w:lineRule="auto"/>
        <w:ind w:firstLine="720"/>
        <w:rPr>
          <w:sz w:val="26"/>
        </w:rPr>
      </w:pPr>
      <w:r w:rsidRPr="005361D4">
        <w:rPr>
          <w:rStyle w:val="FootnoteReference"/>
          <w:sz w:val="26"/>
          <w:szCs w:val="26"/>
        </w:rPr>
        <w:footnoteRef/>
      </w:r>
      <w:r w:rsidRPr="005361D4">
        <w:rPr>
          <w:sz w:val="26"/>
          <w:szCs w:val="26"/>
        </w:rPr>
        <w:tab/>
        <w:t>The Complainant</w:t>
      </w:r>
      <w:r>
        <w:rPr>
          <w:sz w:val="26"/>
        </w:rPr>
        <w:t xml:space="preserve"> requested a continuance in order for Ms. </w:t>
      </w:r>
      <w:proofErr w:type="spellStart"/>
      <w:r>
        <w:rPr>
          <w:sz w:val="26"/>
        </w:rPr>
        <w:t>Tenza</w:t>
      </w:r>
      <w:proofErr w:type="spellEnd"/>
      <w:r>
        <w:rPr>
          <w:sz w:val="26"/>
        </w:rPr>
        <w:t xml:space="preserve"> to testify.  The request was denied because the Complainant had ample notice of the time and date of the hearing, but chose not to alert Ms. </w:t>
      </w:r>
      <w:proofErr w:type="spellStart"/>
      <w:r>
        <w:rPr>
          <w:sz w:val="26"/>
        </w:rPr>
        <w:t>Tenza</w:t>
      </w:r>
      <w:proofErr w:type="spellEnd"/>
      <w:r>
        <w:rPr>
          <w:sz w:val="26"/>
        </w:rPr>
        <w:t xml:space="preserve"> of the date until October, </w:t>
      </w:r>
      <w:r w:rsidR="00F75990">
        <w:rPr>
          <w:sz w:val="26"/>
        </w:rPr>
        <w:t xml:space="preserve">at which time </w:t>
      </w:r>
      <w:r>
        <w:rPr>
          <w:sz w:val="26"/>
        </w:rPr>
        <w:t>she was unable to adjust her work schedule.</w:t>
      </w:r>
      <w:r w:rsidR="001A41DD">
        <w:rPr>
          <w:sz w:val="26"/>
        </w:rPr>
        <w:t xml:space="preserve">  Tr. at 25-26.</w:t>
      </w:r>
      <w:r>
        <w:rPr>
          <w:sz w:val="26"/>
        </w:rPr>
        <w:t xml:space="preserve">  Nonetheless, the </w:t>
      </w:r>
      <w:r w:rsidR="008A4779">
        <w:rPr>
          <w:sz w:val="26"/>
        </w:rPr>
        <w:t>P</w:t>
      </w:r>
      <w:r>
        <w:rPr>
          <w:sz w:val="26"/>
        </w:rPr>
        <w:t xml:space="preserve">arties had stipulated that Ms. </w:t>
      </w:r>
      <w:proofErr w:type="spellStart"/>
      <w:r>
        <w:rPr>
          <w:sz w:val="26"/>
        </w:rPr>
        <w:t>Tenza</w:t>
      </w:r>
      <w:proofErr w:type="spellEnd"/>
      <w:r>
        <w:rPr>
          <w:sz w:val="26"/>
        </w:rPr>
        <w:t xml:space="preserve"> would testify she had made the call.</w:t>
      </w:r>
      <w:r w:rsidR="00530313">
        <w:rPr>
          <w:sz w:val="26"/>
        </w:rPr>
        <w:t xml:space="preserve">  Tr. at 71-72.</w:t>
      </w:r>
    </w:p>
  </w:footnote>
  <w:footnote w:id="3">
    <w:p w:rsidR="003D4311" w:rsidRDefault="003D4311" w:rsidP="005361D4">
      <w:pPr>
        <w:spacing w:line="240" w:lineRule="auto"/>
        <w:jc w:val="left"/>
      </w:pPr>
      <w:r>
        <w:rPr>
          <w:sz w:val="26"/>
        </w:rPr>
        <w:tab/>
      </w:r>
      <w:r w:rsidRPr="003D4311">
        <w:rPr>
          <w:rStyle w:val="FootnoteReference"/>
          <w:sz w:val="26"/>
        </w:rPr>
        <w:footnoteRef/>
      </w:r>
      <w:r>
        <w:rPr>
          <w:sz w:val="26"/>
        </w:rPr>
        <w:tab/>
      </w:r>
      <w:r w:rsidRPr="003D4311">
        <w:rPr>
          <w:rFonts w:eastAsia="Times New Roman"/>
          <w:sz w:val="26"/>
          <w:szCs w:val="20"/>
        </w:rPr>
        <w:t xml:space="preserve">The </w:t>
      </w:r>
      <w:r w:rsidR="005361D4">
        <w:rPr>
          <w:rFonts w:eastAsia="Times New Roman"/>
          <w:sz w:val="26"/>
          <w:szCs w:val="20"/>
        </w:rPr>
        <w:t>Complainant</w:t>
      </w:r>
      <w:r w:rsidR="00AA1752">
        <w:rPr>
          <w:rFonts w:eastAsia="Times New Roman"/>
          <w:sz w:val="26"/>
          <w:szCs w:val="20"/>
        </w:rPr>
        <w:t xml:space="preserve"> filed</w:t>
      </w:r>
      <w:r w:rsidR="005361D4">
        <w:rPr>
          <w:rFonts w:eastAsia="Times New Roman"/>
          <w:sz w:val="26"/>
          <w:szCs w:val="20"/>
        </w:rPr>
        <w:t xml:space="preserve"> Exception</w:t>
      </w:r>
      <w:r w:rsidR="00AA1752">
        <w:rPr>
          <w:rFonts w:eastAsia="Times New Roman"/>
          <w:sz w:val="26"/>
          <w:szCs w:val="20"/>
        </w:rPr>
        <w:t>s</w:t>
      </w:r>
      <w:r w:rsidR="005361D4">
        <w:rPr>
          <w:rFonts w:eastAsia="Times New Roman"/>
          <w:sz w:val="26"/>
          <w:szCs w:val="20"/>
        </w:rPr>
        <w:t xml:space="preserve"> only </w:t>
      </w:r>
      <w:r w:rsidR="00AA1752">
        <w:rPr>
          <w:rFonts w:eastAsia="Times New Roman"/>
          <w:sz w:val="26"/>
          <w:szCs w:val="20"/>
        </w:rPr>
        <w:t xml:space="preserve">in response to </w:t>
      </w:r>
      <w:r w:rsidR="005361D4">
        <w:rPr>
          <w:rFonts w:eastAsia="Times New Roman"/>
          <w:sz w:val="26"/>
          <w:szCs w:val="20"/>
        </w:rPr>
        <w:t>the ALJ’s Initial Decision regard</w:t>
      </w:r>
      <w:r w:rsidR="00AA1752">
        <w:rPr>
          <w:rFonts w:eastAsia="Times New Roman"/>
          <w:sz w:val="26"/>
          <w:szCs w:val="20"/>
        </w:rPr>
        <w:t>ing</w:t>
      </w:r>
      <w:r w:rsidR="005361D4">
        <w:rPr>
          <w:rFonts w:eastAsia="Times New Roman"/>
          <w:sz w:val="26"/>
          <w:szCs w:val="20"/>
        </w:rPr>
        <w:t xml:space="preserve"> </w:t>
      </w:r>
      <w:r w:rsidRPr="003D4311">
        <w:rPr>
          <w:rFonts w:eastAsia="Times New Roman"/>
          <w:sz w:val="26"/>
          <w:szCs w:val="20"/>
        </w:rPr>
        <w:t xml:space="preserve">Docket No. </w:t>
      </w:r>
      <w:proofErr w:type="gramStart"/>
      <w:r w:rsidRPr="003D4311">
        <w:rPr>
          <w:rFonts w:eastAsia="Times New Roman"/>
          <w:sz w:val="26"/>
          <w:szCs w:val="20"/>
        </w:rPr>
        <w:t>C-2011-2229033.</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FE"/>
    <w:rsid w:val="00004816"/>
    <w:rsid w:val="00007316"/>
    <w:rsid w:val="000139E5"/>
    <w:rsid w:val="000172F8"/>
    <w:rsid w:val="00020C7E"/>
    <w:rsid w:val="0002134E"/>
    <w:rsid w:val="000215A5"/>
    <w:rsid w:val="00025721"/>
    <w:rsid w:val="00033F63"/>
    <w:rsid w:val="00042E68"/>
    <w:rsid w:val="00057630"/>
    <w:rsid w:val="00063FFB"/>
    <w:rsid w:val="00081EDE"/>
    <w:rsid w:val="0008519C"/>
    <w:rsid w:val="0009070F"/>
    <w:rsid w:val="00092251"/>
    <w:rsid w:val="000B1476"/>
    <w:rsid w:val="000C1D64"/>
    <w:rsid w:val="000C35E2"/>
    <w:rsid w:val="000D35B9"/>
    <w:rsid w:val="000E1996"/>
    <w:rsid w:val="000E4AE9"/>
    <w:rsid w:val="0012116F"/>
    <w:rsid w:val="00127A57"/>
    <w:rsid w:val="001330E6"/>
    <w:rsid w:val="00147EDB"/>
    <w:rsid w:val="001519C2"/>
    <w:rsid w:val="00153F77"/>
    <w:rsid w:val="00161B5F"/>
    <w:rsid w:val="0016702D"/>
    <w:rsid w:val="00174BE0"/>
    <w:rsid w:val="00174D79"/>
    <w:rsid w:val="001770A1"/>
    <w:rsid w:val="0018146A"/>
    <w:rsid w:val="001A41DD"/>
    <w:rsid w:val="001B50A4"/>
    <w:rsid w:val="001C013F"/>
    <w:rsid w:val="001C515A"/>
    <w:rsid w:val="001D1DF7"/>
    <w:rsid w:val="001F39FD"/>
    <w:rsid w:val="0020399E"/>
    <w:rsid w:val="0020751D"/>
    <w:rsid w:val="00216CA8"/>
    <w:rsid w:val="0022255A"/>
    <w:rsid w:val="00230179"/>
    <w:rsid w:val="0023422B"/>
    <w:rsid w:val="00237D1F"/>
    <w:rsid w:val="00252E86"/>
    <w:rsid w:val="00262DD0"/>
    <w:rsid w:val="002637D1"/>
    <w:rsid w:val="002725F1"/>
    <w:rsid w:val="00273F80"/>
    <w:rsid w:val="00287ED5"/>
    <w:rsid w:val="00296840"/>
    <w:rsid w:val="002A21E2"/>
    <w:rsid w:val="002B3AB4"/>
    <w:rsid w:val="002B7432"/>
    <w:rsid w:val="002C1AE3"/>
    <w:rsid w:val="002C4224"/>
    <w:rsid w:val="002D1AC6"/>
    <w:rsid w:val="002D3200"/>
    <w:rsid w:val="002F759F"/>
    <w:rsid w:val="0031290F"/>
    <w:rsid w:val="00315B84"/>
    <w:rsid w:val="00325327"/>
    <w:rsid w:val="00330242"/>
    <w:rsid w:val="00333C37"/>
    <w:rsid w:val="00334DF1"/>
    <w:rsid w:val="0034076F"/>
    <w:rsid w:val="0037276A"/>
    <w:rsid w:val="0037410C"/>
    <w:rsid w:val="00380DB5"/>
    <w:rsid w:val="00381A29"/>
    <w:rsid w:val="0039084E"/>
    <w:rsid w:val="003931CC"/>
    <w:rsid w:val="00395715"/>
    <w:rsid w:val="003B3C46"/>
    <w:rsid w:val="003B4938"/>
    <w:rsid w:val="003B7CA6"/>
    <w:rsid w:val="003B7E34"/>
    <w:rsid w:val="003C0D1F"/>
    <w:rsid w:val="003D27AD"/>
    <w:rsid w:val="003D4311"/>
    <w:rsid w:val="003E4C09"/>
    <w:rsid w:val="003F452B"/>
    <w:rsid w:val="00401FDB"/>
    <w:rsid w:val="00422219"/>
    <w:rsid w:val="00427802"/>
    <w:rsid w:val="00432B97"/>
    <w:rsid w:val="0043303C"/>
    <w:rsid w:val="00433251"/>
    <w:rsid w:val="004361D2"/>
    <w:rsid w:val="00436DD3"/>
    <w:rsid w:val="004431EB"/>
    <w:rsid w:val="00443C00"/>
    <w:rsid w:val="00446CAF"/>
    <w:rsid w:val="0045303D"/>
    <w:rsid w:val="00453089"/>
    <w:rsid w:val="00471D4F"/>
    <w:rsid w:val="00484D68"/>
    <w:rsid w:val="004879CE"/>
    <w:rsid w:val="004D2F04"/>
    <w:rsid w:val="004E0E3A"/>
    <w:rsid w:val="00506533"/>
    <w:rsid w:val="00517DEE"/>
    <w:rsid w:val="00523420"/>
    <w:rsid w:val="00530313"/>
    <w:rsid w:val="005361D4"/>
    <w:rsid w:val="00537AD7"/>
    <w:rsid w:val="00572533"/>
    <w:rsid w:val="00591902"/>
    <w:rsid w:val="005A2A14"/>
    <w:rsid w:val="005A5636"/>
    <w:rsid w:val="005A7A65"/>
    <w:rsid w:val="005C1AC9"/>
    <w:rsid w:val="005C2993"/>
    <w:rsid w:val="005C4E61"/>
    <w:rsid w:val="005D0E78"/>
    <w:rsid w:val="005F20C4"/>
    <w:rsid w:val="006040B8"/>
    <w:rsid w:val="0061000D"/>
    <w:rsid w:val="00612267"/>
    <w:rsid w:val="00614EB9"/>
    <w:rsid w:val="0061537F"/>
    <w:rsid w:val="00620283"/>
    <w:rsid w:val="00622C0D"/>
    <w:rsid w:val="00624B32"/>
    <w:rsid w:val="00632D28"/>
    <w:rsid w:val="00637FF9"/>
    <w:rsid w:val="006411D4"/>
    <w:rsid w:val="00641517"/>
    <w:rsid w:val="0064367B"/>
    <w:rsid w:val="00645868"/>
    <w:rsid w:val="006468DF"/>
    <w:rsid w:val="00663DB2"/>
    <w:rsid w:val="00677049"/>
    <w:rsid w:val="00680971"/>
    <w:rsid w:val="0069653E"/>
    <w:rsid w:val="006A2720"/>
    <w:rsid w:val="006A5E06"/>
    <w:rsid w:val="006B705B"/>
    <w:rsid w:val="006B7B25"/>
    <w:rsid w:val="006C11C7"/>
    <w:rsid w:val="006C4401"/>
    <w:rsid w:val="006F6654"/>
    <w:rsid w:val="006F7209"/>
    <w:rsid w:val="00715BEB"/>
    <w:rsid w:val="007208C4"/>
    <w:rsid w:val="00733756"/>
    <w:rsid w:val="00734852"/>
    <w:rsid w:val="00735FEB"/>
    <w:rsid w:val="00736766"/>
    <w:rsid w:val="00743D96"/>
    <w:rsid w:val="00771543"/>
    <w:rsid w:val="00774260"/>
    <w:rsid w:val="0077645B"/>
    <w:rsid w:val="00783AC8"/>
    <w:rsid w:val="007A45AF"/>
    <w:rsid w:val="007A52D1"/>
    <w:rsid w:val="007C3358"/>
    <w:rsid w:val="007C47C7"/>
    <w:rsid w:val="007C654D"/>
    <w:rsid w:val="007C6924"/>
    <w:rsid w:val="007C7DC3"/>
    <w:rsid w:val="007E5327"/>
    <w:rsid w:val="008040BC"/>
    <w:rsid w:val="00812ABB"/>
    <w:rsid w:val="008143F4"/>
    <w:rsid w:val="00815851"/>
    <w:rsid w:val="00816B0F"/>
    <w:rsid w:val="00835BC3"/>
    <w:rsid w:val="008522F7"/>
    <w:rsid w:val="008607F4"/>
    <w:rsid w:val="00863D42"/>
    <w:rsid w:val="0086416F"/>
    <w:rsid w:val="00877B9D"/>
    <w:rsid w:val="0088149E"/>
    <w:rsid w:val="008A4779"/>
    <w:rsid w:val="008A513A"/>
    <w:rsid w:val="008B11B6"/>
    <w:rsid w:val="008B5B9D"/>
    <w:rsid w:val="008C2D1B"/>
    <w:rsid w:val="008C395F"/>
    <w:rsid w:val="008D5B77"/>
    <w:rsid w:val="008F4F7C"/>
    <w:rsid w:val="00902614"/>
    <w:rsid w:val="009137D6"/>
    <w:rsid w:val="00922B73"/>
    <w:rsid w:val="0092482A"/>
    <w:rsid w:val="00927E76"/>
    <w:rsid w:val="00930364"/>
    <w:rsid w:val="00936049"/>
    <w:rsid w:val="0094167B"/>
    <w:rsid w:val="00944C45"/>
    <w:rsid w:val="00957E09"/>
    <w:rsid w:val="00964B90"/>
    <w:rsid w:val="00970AEC"/>
    <w:rsid w:val="0097325B"/>
    <w:rsid w:val="00974900"/>
    <w:rsid w:val="00974E8E"/>
    <w:rsid w:val="009802BD"/>
    <w:rsid w:val="00986DCC"/>
    <w:rsid w:val="009A4419"/>
    <w:rsid w:val="009B44F6"/>
    <w:rsid w:val="009B5D8C"/>
    <w:rsid w:val="009C360A"/>
    <w:rsid w:val="009C700B"/>
    <w:rsid w:val="009D51B0"/>
    <w:rsid w:val="009E10DE"/>
    <w:rsid w:val="009F6F68"/>
    <w:rsid w:val="00A12F0C"/>
    <w:rsid w:val="00A21C06"/>
    <w:rsid w:val="00A34D64"/>
    <w:rsid w:val="00A42C6F"/>
    <w:rsid w:val="00A54CCE"/>
    <w:rsid w:val="00A745E7"/>
    <w:rsid w:val="00A76731"/>
    <w:rsid w:val="00A77727"/>
    <w:rsid w:val="00A86EBF"/>
    <w:rsid w:val="00A97A17"/>
    <w:rsid w:val="00AA1752"/>
    <w:rsid w:val="00AA4A62"/>
    <w:rsid w:val="00AB5F73"/>
    <w:rsid w:val="00AB6E00"/>
    <w:rsid w:val="00AD02CE"/>
    <w:rsid w:val="00AD5B3D"/>
    <w:rsid w:val="00AE7D25"/>
    <w:rsid w:val="00B16E47"/>
    <w:rsid w:val="00B266CB"/>
    <w:rsid w:val="00B32F7E"/>
    <w:rsid w:val="00B344DD"/>
    <w:rsid w:val="00B668A6"/>
    <w:rsid w:val="00B76684"/>
    <w:rsid w:val="00BC118D"/>
    <w:rsid w:val="00BC4060"/>
    <w:rsid w:val="00BD0851"/>
    <w:rsid w:val="00BE50CC"/>
    <w:rsid w:val="00BF173C"/>
    <w:rsid w:val="00BF65ED"/>
    <w:rsid w:val="00C0361C"/>
    <w:rsid w:val="00C0732F"/>
    <w:rsid w:val="00C20DF0"/>
    <w:rsid w:val="00C26BCA"/>
    <w:rsid w:val="00C34A74"/>
    <w:rsid w:val="00C41F3E"/>
    <w:rsid w:val="00C66203"/>
    <w:rsid w:val="00CA2EE5"/>
    <w:rsid w:val="00CB0005"/>
    <w:rsid w:val="00CC14A9"/>
    <w:rsid w:val="00CF0366"/>
    <w:rsid w:val="00CF3CFD"/>
    <w:rsid w:val="00CF67CB"/>
    <w:rsid w:val="00D10AD0"/>
    <w:rsid w:val="00D247FC"/>
    <w:rsid w:val="00D25656"/>
    <w:rsid w:val="00D41C67"/>
    <w:rsid w:val="00D5028B"/>
    <w:rsid w:val="00D56661"/>
    <w:rsid w:val="00D56D41"/>
    <w:rsid w:val="00D715DC"/>
    <w:rsid w:val="00D7438B"/>
    <w:rsid w:val="00D7600D"/>
    <w:rsid w:val="00D8035E"/>
    <w:rsid w:val="00D92781"/>
    <w:rsid w:val="00DA04CB"/>
    <w:rsid w:val="00DA0A78"/>
    <w:rsid w:val="00DC12BE"/>
    <w:rsid w:val="00DC7FA6"/>
    <w:rsid w:val="00DE45FB"/>
    <w:rsid w:val="00DF5662"/>
    <w:rsid w:val="00E04F50"/>
    <w:rsid w:val="00E06B61"/>
    <w:rsid w:val="00E16738"/>
    <w:rsid w:val="00E251F7"/>
    <w:rsid w:val="00E3460F"/>
    <w:rsid w:val="00E42F49"/>
    <w:rsid w:val="00E5114A"/>
    <w:rsid w:val="00E544F8"/>
    <w:rsid w:val="00E6200C"/>
    <w:rsid w:val="00E81ED3"/>
    <w:rsid w:val="00E82C00"/>
    <w:rsid w:val="00E857AE"/>
    <w:rsid w:val="00E87545"/>
    <w:rsid w:val="00E877FE"/>
    <w:rsid w:val="00E87E2A"/>
    <w:rsid w:val="00EA3560"/>
    <w:rsid w:val="00EA4D63"/>
    <w:rsid w:val="00EB46D4"/>
    <w:rsid w:val="00EB6CDA"/>
    <w:rsid w:val="00ED0EAD"/>
    <w:rsid w:val="00EE460F"/>
    <w:rsid w:val="00EF200D"/>
    <w:rsid w:val="00F048FE"/>
    <w:rsid w:val="00F07CC7"/>
    <w:rsid w:val="00F13343"/>
    <w:rsid w:val="00F13702"/>
    <w:rsid w:val="00F17E3C"/>
    <w:rsid w:val="00F21D6C"/>
    <w:rsid w:val="00F26850"/>
    <w:rsid w:val="00F27216"/>
    <w:rsid w:val="00F32564"/>
    <w:rsid w:val="00F33077"/>
    <w:rsid w:val="00F35371"/>
    <w:rsid w:val="00F36BF2"/>
    <w:rsid w:val="00F64935"/>
    <w:rsid w:val="00F652A4"/>
    <w:rsid w:val="00F6594F"/>
    <w:rsid w:val="00F73A23"/>
    <w:rsid w:val="00F73D64"/>
    <w:rsid w:val="00F74F64"/>
    <w:rsid w:val="00F75990"/>
    <w:rsid w:val="00F81168"/>
    <w:rsid w:val="00F86BDB"/>
    <w:rsid w:val="00F9505E"/>
    <w:rsid w:val="00FB5461"/>
    <w:rsid w:val="00FC1DD1"/>
    <w:rsid w:val="00FC7834"/>
    <w:rsid w:val="00FE059D"/>
    <w:rsid w:val="00FF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FE"/>
    <w:pPr>
      <w:spacing w:after="0" w:line="360" w:lineRule="auto"/>
      <w:jc w:val="center"/>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017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4A9"/>
    <w:pPr>
      <w:keepNext/>
      <w:widowControl w:val="0"/>
      <w:tabs>
        <w:tab w:val="center" w:pos="720"/>
      </w:tabs>
      <w:outlineLvl w:val="1"/>
    </w:pPr>
    <w:rPr>
      <w:b/>
      <w:color w:val="0070C0"/>
      <w:sz w:val="26"/>
      <w:szCs w:val="26"/>
    </w:rPr>
  </w:style>
  <w:style w:type="paragraph" w:styleId="Heading3">
    <w:name w:val="heading 3"/>
    <w:basedOn w:val="Normal"/>
    <w:next w:val="Normal"/>
    <w:link w:val="Heading3Char"/>
    <w:uiPriority w:val="9"/>
    <w:semiHidden/>
    <w:unhideWhenUsed/>
    <w:qFormat/>
    <w:rsid w:val="000172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0A78"/>
    <w:pPr>
      <w:keepNext/>
      <w:outlineLvl w:val="3"/>
    </w:pPr>
    <w:rPr>
      <w:b/>
      <w:sz w:val="26"/>
      <w:szCs w:val="26"/>
    </w:rPr>
  </w:style>
  <w:style w:type="paragraph" w:styleId="Heading5">
    <w:name w:val="heading 5"/>
    <w:basedOn w:val="Normal"/>
    <w:next w:val="Normal"/>
    <w:link w:val="Heading5Char"/>
    <w:uiPriority w:val="9"/>
    <w:unhideWhenUsed/>
    <w:qFormat/>
    <w:rsid w:val="00C0361C"/>
    <w:pPr>
      <w:keepNext/>
      <w:widowControl w:val="0"/>
      <w:spacing w:line="240" w:lineRule="auto"/>
      <w:jc w:val="lef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
    <w:name w:val="TxBr_c2"/>
    <w:basedOn w:val="Normal"/>
    <w:rsid w:val="00F048FE"/>
    <w:pPr>
      <w:widowControl w:val="0"/>
      <w:autoSpaceDE w:val="0"/>
      <w:autoSpaceDN w:val="0"/>
      <w:adjustRightInd w:val="0"/>
      <w:spacing w:line="240" w:lineRule="atLeast"/>
      <w:ind w:firstLine="1440"/>
    </w:pPr>
    <w:rPr>
      <w:rFonts w:eastAsia="Times New Roman"/>
      <w:sz w:val="26"/>
    </w:rPr>
  </w:style>
  <w:style w:type="paragraph" w:customStyle="1" w:styleId="TxBrc4">
    <w:name w:val="TxBr_c4"/>
    <w:basedOn w:val="Normal"/>
    <w:rsid w:val="00F048FE"/>
    <w:pPr>
      <w:widowControl w:val="0"/>
      <w:autoSpaceDE w:val="0"/>
      <w:autoSpaceDN w:val="0"/>
      <w:adjustRightInd w:val="0"/>
      <w:spacing w:line="240" w:lineRule="atLeast"/>
      <w:ind w:firstLine="1440"/>
    </w:pPr>
    <w:rPr>
      <w:rFonts w:eastAsia="Times New Roman"/>
      <w:sz w:val="26"/>
    </w:rPr>
  </w:style>
  <w:style w:type="character" w:customStyle="1" w:styleId="Heading2Char">
    <w:name w:val="Heading 2 Char"/>
    <w:basedOn w:val="DefaultParagraphFont"/>
    <w:link w:val="Heading2"/>
    <w:uiPriority w:val="9"/>
    <w:rsid w:val="00CC14A9"/>
    <w:rPr>
      <w:rFonts w:ascii="Times New Roman" w:eastAsia="Calibri" w:hAnsi="Times New Roman" w:cs="Times New Roman"/>
      <w:b/>
      <w:color w:val="0070C0"/>
      <w:sz w:val="26"/>
      <w:szCs w:val="26"/>
    </w:rPr>
  </w:style>
  <w:style w:type="character" w:customStyle="1" w:styleId="Heading1Char">
    <w:name w:val="Heading 1 Char"/>
    <w:basedOn w:val="DefaultParagraphFont"/>
    <w:link w:val="Heading1"/>
    <w:uiPriority w:val="9"/>
    <w:rsid w:val="000172F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172F8"/>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unhideWhenUsed/>
    <w:rsid w:val="00733756"/>
    <w:pPr>
      <w:jc w:val="left"/>
    </w:pPr>
    <w:rPr>
      <w:rFonts w:ascii="Times New (W1)" w:hAnsi="Times New (W1)"/>
      <w:sz w:val="26"/>
    </w:rPr>
  </w:style>
  <w:style w:type="character" w:customStyle="1" w:styleId="BodyText2Char">
    <w:name w:val="Body Text 2 Char"/>
    <w:basedOn w:val="DefaultParagraphFont"/>
    <w:link w:val="BodyText2"/>
    <w:uiPriority w:val="99"/>
    <w:rsid w:val="00733756"/>
    <w:rPr>
      <w:rFonts w:ascii="Times New (W1)" w:eastAsia="Calibri" w:hAnsi="Times New (W1)" w:cs="Times New Roman"/>
      <w:sz w:val="26"/>
      <w:szCs w:val="24"/>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2"/>
    <w:semiHidden/>
    <w:rsid w:val="00F9505E"/>
    <w:pPr>
      <w:widowControl w:val="0"/>
      <w:autoSpaceDE w:val="0"/>
      <w:autoSpaceDN w:val="0"/>
      <w:adjustRightInd w:val="0"/>
      <w:ind w:firstLine="1440"/>
      <w:jc w:val="left"/>
    </w:pPr>
    <w:rPr>
      <w:rFonts w:eastAsia="Times New Roman"/>
      <w:sz w:val="20"/>
      <w:szCs w:val="20"/>
    </w:rPr>
  </w:style>
  <w:style w:type="character" w:customStyle="1" w:styleId="FootnoteTextChar">
    <w:name w:val="Footnote Text Char"/>
    <w:basedOn w:val="DefaultParagraphFont"/>
    <w:uiPriority w:val="99"/>
    <w:semiHidden/>
    <w:rsid w:val="00F9505E"/>
    <w:rPr>
      <w:rFonts w:ascii="Times New Roman" w:eastAsia="Calibri" w:hAnsi="Times New Roman" w:cs="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semiHidden/>
    <w:rsid w:val="00F9505E"/>
    <w:rPr>
      <w:rFonts w:ascii="Times New Roman" w:eastAsia="Times New Roman" w:hAnsi="Times New Roman" w:cs="Times New Roman"/>
      <w:sz w:val="20"/>
      <w:szCs w:val="20"/>
    </w:rPr>
  </w:style>
  <w:style w:type="character" w:styleId="FootnoteReference">
    <w:name w:val="footnote reference"/>
    <w:basedOn w:val="DefaultParagraphFont"/>
    <w:semiHidden/>
    <w:rsid w:val="00F9505E"/>
    <w:rPr>
      <w:vertAlign w:val="superscript"/>
    </w:rPr>
  </w:style>
  <w:style w:type="character" w:customStyle="1" w:styleId="Heading4Char">
    <w:name w:val="Heading 4 Char"/>
    <w:basedOn w:val="DefaultParagraphFont"/>
    <w:link w:val="Heading4"/>
    <w:uiPriority w:val="9"/>
    <w:rsid w:val="00DA0A78"/>
    <w:rPr>
      <w:rFonts w:ascii="Times New Roman" w:eastAsia="Calibri" w:hAnsi="Times New Roman" w:cs="Times New Roman"/>
      <w:b/>
      <w:sz w:val="26"/>
      <w:szCs w:val="26"/>
    </w:rPr>
  </w:style>
  <w:style w:type="paragraph" w:styleId="BodyTextIndent">
    <w:name w:val="Body Text Indent"/>
    <w:basedOn w:val="Normal"/>
    <w:link w:val="BodyTextIndentChar"/>
    <w:uiPriority w:val="99"/>
    <w:unhideWhenUsed/>
    <w:rsid w:val="007C3358"/>
    <w:pPr>
      <w:ind w:firstLine="1440"/>
      <w:jc w:val="left"/>
    </w:pPr>
    <w:rPr>
      <w:sz w:val="26"/>
      <w:szCs w:val="26"/>
    </w:rPr>
  </w:style>
  <w:style w:type="character" w:customStyle="1" w:styleId="BodyTextIndentChar">
    <w:name w:val="Body Text Indent Char"/>
    <w:basedOn w:val="DefaultParagraphFont"/>
    <w:link w:val="BodyTextIndent"/>
    <w:uiPriority w:val="99"/>
    <w:rsid w:val="007C3358"/>
    <w:rPr>
      <w:rFonts w:ascii="Times New Roman" w:eastAsia="Calibri" w:hAnsi="Times New Roman" w:cs="Times New Roman"/>
      <w:sz w:val="26"/>
      <w:szCs w:val="26"/>
    </w:rPr>
  </w:style>
  <w:style w:type="character" w:styleId="CommentReference">
    <w:name w:val="annotation reference"/>
    <w:basedOn w:val="DefaultParagraphFont"/>
    <w:uiPriority w:val="99"/>
    <w:semiHidden/>
    <w:unhideWhenUsed/>
    <w:rsid w:val="00680971"/>
    <w:rPr>
      <w:sz w:val="16"/>
      <w:szCs w:val="16"/>
    </w:rPr>
  </w:style>
  <w:style w:type="paragraph" w:styleId="CommentText">
    <w:name w:val="annotation text"/>
    <w:basedOn w:val="Normal"/>
    <w:link w:val="CommentTextChar"/>
    <w:uiPriority w:val="99"/>
    <w:semiHidden/>
    <w:unhideWhenUsed/>
    <w:rsid w:val="00680971"/>
    <w:pPr>
      <w:spacing w:line="240" w:lineRule="auto"/>
    </w:pPr>
    <w:rPr>
      <w:sz w:val="20"/>
      <w:szCs w:val="20"/>
    </w:rPr>
  </w:style>
  <w:style w:type="character" w:customStyle="1" w:styleId="CommentTextChar">
    <w:name w:val="Comment Text Char"/>
    <w:basedOn w:val="DefaultParagraphFont"/>
    <w:link w:val="CommentText"/>
    <w:uiPriority w:val="99"/>
    <w:semiHidden/>
    <w:rsid w:val="0068097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971"/>
    <w:rPr>
      <w:b/>
      <w:bCs/>
    </w:rPr>
  </w:style>
  <w:style w:type="character" w:customStyle="1" w:styleId="CommentSubjectChar">
    <w:name w:val="Comment Subject Char"/>
    <w:basedOn w:val="CommentTextChar"/>
    <w:link w:val="CommentSubject"/>
    <w:uiPriority w:val="99"/>
    <w:semiHidden/>
    <w:rsid w:val="0068097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80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71"/>
    <w:rPr>
      <w:rFonts w:ascii="Tahoma" w:eastAsia="Calibri" w:hAnsi="Tahoma" w:cs="Tahoma"/>
      <w:sz w:val="16"/>
      <w:szCs w:val="16"/>
    </w:rPr>
  </w:style>
  <w:style w:type="paragraph" w:styleId="Header">
    <w:name w:val="header"/>
    <w:basedOn w:val="Normal"/>
    <w:link w:val="HeaderChar"/>
    <w:uiPriority w:val="99"/>
    <w:unhideWhenUsed/>
    <w:rsid w:val="00A77727"/>
    <w:pPr>
      <w:tabs>
        <w:tab w:val="center" w:pos="4680"/>
        <w:tab w:val="right" w:pos="9360"/>
      </w:tabs>
      <w:spacing w:line="240" w:lineRule="auto"/>
    </w:pPr>
  </w:style>
  <w:style w:type="character" w:customStyle="1" w:styleId="HeaderChar">
    <w:name w:val="Header Char"/>
    <w:basedOn w:val="DefaultParagraphFont"/>
    <w:link w:val="Header"/>
    <w:uiPriority w:val="99"/>
    <w:rsid w:val="00A77727"/>
    <w:rPr>
      <w:rFonts w:ascii="Times New Roman" w:eastAsia="Calibri" w:hAnsi="Times New Roman" w:cs="Times New Roman"/>
      <w:sz w:val="24"/>
      <w:szCs w:val="24"/>
    </w:rPr>
  </w:style>
  <w:style w:type="paragraph" w:styleId="Footer">
    <w:name w:val="footer"/>
    <w:basedOn w:val="Normal"/>
    <w:link w:val="FooterChar"/>
    <w:uiPriority w:val="99"/>
    <w:unhideWhenUsed/>
    <w:rsid w:val="00A77727"/>
    <w:pPr>
      <w:tabs>
        <w:tab w:val="center" w:pos="4680"/>
        <w:tab w:val="right" w:pos="9360"/>
      </w:tabs>
      <w:spacing w:line="240" w:lineRule="auto"/>
    </w:pPr>
  </w:style>
  <w:style w:type="character" w:customStyle="1" w:styleId="FooterChar">
    <w:name w:val="Footer Char"/>
    <w:basedOn w:val="DefaultParagraphFont"/>
    <w:link w:val="Footer"/>
    <w:uiPriority w:val="99"/>
    <w:rsid w:val="00A77727"/>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
    <w:rsid w:val="00C0361C"/>
    <w:rPr>
      <w:rFonts w:ascii="Times New Roman" w:eastAsia="Calibr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FE"/>
    <w:pPr>
      <w:spacing w:after="0" w:line="360" w:lineRule="auto"/>
      <w:jc w:val="center"/>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017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14A9"/>
    <w:pPr>
      <w:keepNext/>
      <w:widowControl w:val="0"/>
      <w:tabs>
        <w:tab w:val="center" w:pos="720"/>
      </w:tabs>
      <w:outlineLvl w:val="1"/>
    </w:pPr>
    <w:rPr>
      <w:b/>
      <w:color w:val="0070C0"/>
      <w:sz w:val="26"/>
      <w:szCs w:val="26"/>
    </w:rPr>
  </w:style>
  <w:style w:type="paragraph" w:styleId="Heading3">
    <w:name w:val="heading 3"/>
    <w:basedOn w:val="Normal"/>
    <w:next w:val="Normal"/>
    <w:link w:val="Heading3Char"/>
    <w:uiPriority w:val="9"/>
    <w:semiHidden/>
    <w:unhideWhenUsed/>
    <w:qFormat/>
    <w:rsid w:val="000172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0A78"/>
    <w:pPr>
      <w:keepNext/>
      <w:outlineLvl w:val="3"/>
    </w:pPr>
    <w:rPr>
      <w:b/>
      <w:sz w:val="26"/>
      <w:szCs w:val="26"/>
    </w:rPr>
  </w:style>
  <w:style w:type="paragraph" w:styleId="Heading5">
    <w:name w:val="heading 5"/>
    <w:basedOn w:val="Normal"/>
    <w:next w:val="Normal"/>
    <w:link w:val="Heading5Char"/>
    <w:uiPriority w:val="9"/>
    <w:unhideWhenUsed/>
    <w:qFormat/>
    <w:rsid w:val="00C0361C"/>
    <w:pPr>
      <w:keepNext/>
      <w:widowControl w:val="0"/>
      <w:spacing w:line="240" w:lineRule="auto"/>
      <w:jc w:val="lef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
    <w:name w:val="TxBr_c2"/>
    <w:basedOn w:val="Normal"/>
    <w:rsid w:val="00F048FE"/>
    <w:pPr>
      <w:widowControl w:val="0"/>
      <w:autoSpaceDE w:val="0"/>
      <w:autoSpaceDN w:val="0"/>
      <w:adjustRightInd w:val="0"/>
      <w:spacing w:line="240" w:lineRule="atLeast"/>
      <w:ind w:firstLine="1440"/>
    </w:pPr>
    <w:rPr>
      <w:rFonts w:eastAsia="Times New Roman"/>
      <w:sz w:val="26"/>
    </w:rPr>
  </w:style>
  <w:style w:type="paragraph" w:customStyle="1" w:styleId="TxBrc4">
    <w:name w:val="TxBr_c4"/>
    <w:basedOn w:val="Normal"/>
    <w:rsid w:val="00F048FE"/>
    <w:pPr>
      <w:widowControl w:val="0"/>
      <w:autoSpaceDE w:val="0"/>
      <w:autoSpaceDN w:val="0"/>
      <w:adjustRightInd w:val="0"/>
      <w:spacing w:line="240" w:lineRule="atLeast"/>
      <w:ind w:firstLine="1440"/>
    </w:pPr>
    <w:rPr>
      <w:rFonts w:eastAsia="Times New Roman"/>
      <w:sz w:val="26"/>
    </w:rPr>
  </w:style>
  <w:style w:type="character" w:customStyle="1" w:styleId="Heading2Char">
    <w:name w:val="Heading 2 Char"/>
    <w:basedOn w:val="DefaultParagraphFont"/>
    <w:link w:val="Heading2"/>
    <w:uiPriority w:val="9"/>
    <w:rsid w:val="00CC14A9"/>
    <w:rPr>
      <w:rFonts w:ascii="Times New Roman" w:eastAsia="Calibri" w:hAnsi="Times New Roman" w:cs="Times New Roman"/>
      <w:b/>
      <w:color w:val="0070C0"/>
      <w:sz w:val="26"/>
      <w:szCs w:val="26"/>
    </w:rPr>
  </w:style>
  <w:style w:type="character" w:customStyle="1" w:styleId="Heading1Char">
    <w:name w:val="Heading 1 Char"/>
    <w:basedOn w:val="DefaultParagraphFont"/>
    <w:link w:val="Heading1"/>
    <w:uiPriority w:val="9"/>
    <w:rsid w:val="000172F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172F8"/>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unhideWhenUsed/>
    <w:rsid w:val="00733756"/>
    <w:pPr>
      <w:jc w:val="left"/>
    </w:pPr>
    <w:rPr>
      <w:rFonts w:ascii="Times New (W1)" w:hAnsi="Times New (W1)"/>
      <w:sz w:val="26"/>
    </w:rPr>
  </w:style>
  <w:style w:type="character" w:customStyle="1" w:styleId="BodyText2Char">
    <w:name w:val="Body Text 2 Char"/>
    <w:basedOn w:val="DefaultParagraphFont"/>
    <w:link w:val="BodyText2"/>
    <w:uiPriority w:val="99"/>
    <w:rsid w:val="00733756"/>
    <w:rPr>
      <w:rFonts w:ascii="Times New (W1)" w:eastAsia="Calibri" w:hAnsi="Times New (W1)" w:cs="Times New Roman"/>
      <w:sz w:val="26"/>
      <w:szCs w:val="24"/>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2"/>
    <w:semiHidden/>
    <w:rsid w:val="00F9505E"/>
    <w:pPr>
      <w:widowControl w:val="0"/>
      <w:autoSpaceDE w:val="0"/>
      <w:autoSpaceDN w:val="0"/>
      <w:adjustRightInd w:val="0"/>
      <w:ind w:firstLine="1440"/>
      <w:jc w:val="left"/>
    </w:pPr>
    <w:rPr>
      <w:rFonts w:eastAsia="Times New Roman"/>
      <w:sz w:val="20"/>
      <w:szCs w:val="20"/>
    </w:rPr>
  </w:style>
  <w:style w:type="character" w:customStyle="1" w:styleId="FootnoteTextChar">
    <w:name w:val="Footnote Text Char"/>
    <w:basedOn w:val="DefaultParagraphFont"/>
    <w:uiPriority w:val="99"/>
    <w:semiHidden/>
    <w:rsid w:val="00F9505E"/>
    <w:rPr>
      <w:rFonts w:ascii="Times New Roman" w:eastAsia="Calibri" w:hAnsi="Times New Roman" w:cs="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semiHidden/>
    <w:rsid w:val="00F9505E"/>
    <w:rPr>
      <w:rFonts w:ascii="Times New Roman" w:eastAsia="Times New Roman" w:hAnsi="Times New Roman" w:cs="Times New Roman"/>
      <w:sz w:val="20"/>
      <w:szCs w:val="20"/>
    </w:rPr>
  </w:style>
  <w:style w:type="character" w:styleId="FootnoteReference">
    <w:name w:val="footnote reference"/>
    <w:basedOn w:val="DefaultParagraphFont"/>
    <w:semiHidden/>
    <w:rsid w:val="00F9505E"/>
    <w:rPr>
      <w:vertAlign w:val="superscript"/>
    </w:rPr>
  </w:style>
  <w:style w:type="character" w:customStyle="1" w:styleId="Heading4Char">
    <w:name w:val="Heading 4 Char"/>
    <w:basedOn w:val="DefaultParagraphFont"/>
    <w:link w:val="Heading4"/>
    <w:uiPriority w:val="9"/>
    <w:rsid w:val="00DA0A78"/>
    <w:rPr>
      <w:rFonts w:ascii="Times New Roman" w:eastAsia="Calibri" w:hAnsi="Times New Roman" w:cs="Times New Roman"/>
      <w:b/>
      <w:sz w:val="26"/>
      <w:szCs w:val="26"/>
    </w:rPr>
  </w:style>
  <w:style w:type="paragraph" w:styleId="BodyTextIndent">
    <w:name w:val="Body Text Indent"/>
    <w:basedOn w:val="Normal"/>
    <w:link w:val="BodyTextIndentChar"/>
    <w:uiPriority w:val="99"/>
    <w:unhideWhenUsed/>
    <w:rsid w:val="007C3358"/>
    <w:pPr>
      <w:ind w:firstLine="1440"/>
      <w:jc w:val="left"/>
    </w:pPr>
    <w:rPr>
      <w:sz w:val="26"/>
      <w:szCs w:val="26"/>
    </w:rPr>
  </w:style>
  <w:style w:type="character" w:customStyle="1" w:styleId="BodyTextIndentChar">
    <w:name w:val="Body Text Indent Char"/>
    <w:basedOn w:val="DefaultParagraphFont"/>
    <w:link w:val="BodyTextIndent"/>
    <w:uiPriority w:val="99"/>
    <w:rsid w:val="007C3358"/>
    <w:rPr>
      <w:rFonts w:ascii="Times New Roman" w:eastAsia="Calibri" w:hAnsi="Times New Roman" w:cs="Times New Roman"/>
      <w:sz w:val="26"/>
      <w:szCs w:val="26"/>
    </w:rPr>
  </w:style>
  <w:style w:type="character" w:styleId="CommentReference">
    <w:name w:val="annotation reference"/>
    <w:basedOn w:val="DefaultParagraphFont"/>
    <w:uiPriority w:val="99"/>
    <w:semiHidden/>
    <w:unhideWhenUsed/>
    <w:rsid w:val="00680971"/>
    <w:rPr>
      <w:sz w:val="16"/>
      <w:szCs w:val="16"/>
    </w:rPr>
  </w:style>
  <w:style w:type="paragraph" w:styleId="CommentText">
    <w:name w:val="annotation text"/>
    <w:basedOn w:val="Normal"/>
    <w:link w:val="CommentTextChar"/>
    <w:uiPriority w:val="99"/>
    <w:semiHidden/>
    <w:unhideWhenUsed/>
    <w:rsid w:val="00680971"/>
    <w:pPr>
      <w:spacing w:line="240" w:lineRule="auto"/>
    </w:pPr>
    <w:rPr>
      <w:sz w:val="20"/>
      <w:szCs w:val="20"/>
    </w:rPr>
  </w:style>
  <w:style w:type="character" w:customStyle="1" w:styleId="CommentTextChar">
    <w:name w:val="Comment Text Char"/>
    <w:basedOn w:val="DefaultParagraphFont"/>
    <w:link w:val="CommentText"/>
    <w:uiPriority w:val="99"/>
    <w:semiHidden/>
    <w:rsid w:val="0068097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971"/>
    <w:rPr>
      <w:b/>
      <w:bCs/>
    </w:rPr>
  </w:style>
  <w:style w:type="character" w:customStyle="1" w:styleId="CommentSubjectChar">
    <w:name w:val="Comment Subject Char"/>
    <w:basedOn w:val="CommentTextChar"/>
    <w:link w:val="CommentSubject"/>
    <w:uiPriority w:val="99"/>
    <w:semiHidden/>
    <w:rsid w:val="0068097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80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71"/>
    <w:rPr>
      <w:rFonts w:ascii="Tahoma" w:eastAsia="Calibri" w:hAnsi="Tahoma" w:cs="Tahoma"/>
      <w:sz w:val="16"/>
      <w:szCs w:val="16"/>
    </w:rPr>
  </w:style>
  <w:style w:type="paragraph" w:styleId="Header">
    <w:name w:val="header"/>
    <w:basedOn w:val="Normal"/>
    <w:link w:val="HeaderChar"/>
    <w:uiPriority w:val="99"/>
    <w:unhideWhenUsed/>
    <w:rsid w:val="00A77727"/>
    <w:pPr>
      <w:tabs>
        <w:tab w:val="center" w:pos="4680"/>
        <w:tab w:val="right" w:pos="9360"/>
      </w:tabs>
      <w:spacing w:line="240" w:lineRule="auto"/>
    </w:pPr>
  </w:style>
  <w:style w:type="character" w:customStyle="1" w:styleId="HeaderChar">
    <w:name w:val="Header Char"/>
    <w:basedOn w:val="DefaultParagraphFont"/>
    <w:link w:val="Header"/>
    <w:uiPriority w:val="99"/>
    <w:rsid w:val="00A77727"/>
    <w:rPr>
      <w:rFonts w:ascii="Times New Roman" w:eastAsia="Calibri" w:hAnsi="Times New Roman" w:cs="Times New Roman"/>
      <w:sz w:val="24"/>
      <w:szCs w:val="24"/>
    </w:rPr>
  </w:style>
  <w:style w:type="paragraph" w:styleId="Footer">
    <w:name w:val="footer"/>
    <w:basedOn w:val="Normal"/>
    <w:link w:val="FooterChar"/>
    <w:uiPriority w:val="99"/>
    <w:unhideWhenUsed/>
    <w:rsid w:val="00A77727"/>
    <w:pPr>
      <w:tabs>
        <w:tab w:val="center" w:pos="4680"/>
        <w:tab w:val="right" w:pos="9360"/>
      </w:tabs>
      <w:spacing w:line="240" w:lineRule="auto"/>
    </w:pPr>
  </w:style>
  <w:style w:type="character" w:customStyle="1" w:styleId="FooterChar">
    <w:name w:val="Footer Char"/>
    <w:basedOn w:val="DefaultParagraphFont"/>
    <w:link w:val="Footer"/>
    <w:uiPriority w:val="99"/>
    <w:rsid w:val="00A77727"/>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
    <w:rsid w:val="00C0361C"/>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6930">
      <w:bodyDiv w:val="1"/>
      <w:marLeft w:val="0"/>
      <w:marRight w:val="0"/>
      <w:marTop w:val="0"/>
      <w:marBottom w:val="0"/>
      <w:divBdr>
        <w:top w:val="none" w:sz="0" w:space="0" w:color="auto"/>
        <w:left w:val="none" w:sz="0" w:space="0" w:color="auto"/>
        <w:bottom w:val="none" w:sz="0" w:space="0" w:color="auto"/>
        <w:right w:val="none" w:sz="0" w:space="0" w:color="auto"/>
      </w:divBdr>
    </w:div>
    <w:div w:id="20065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8786-F0DF-46D9-8B84-BAD6E078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Farner, Joyce</cp:lastModifiedBy>
  <cp:revision>6</cp:revision>
  <cp:lastPrinted>2012-08-31T12:35:00Z</cp:lastPrinted>
  <dcterms:created xsi:type="dcterms:W3CDTF">2012-08-21T16:55:00Z</dcterms:created>
  <dcterms:modified xsi:type="dcterms:W3CDTF">2012-08-31T12:35:00Z</dcterms:modified>
</cp:coreProperties>
</file>