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3D2E73" w:rsidP="00E475FA">
      <w:pPr>
        <w:pStyle w:val="Title"/>
        <w:ind w:right="-90"/>
        <w:rPr>
          <w:szCs w:val="26"/>
        </w:rPr>
      </w:pPr>
      <w:r>
        <w:rPr>
          <w:szCs w:val="26"/>
        </w:rPr>
        <w:t xml:space="preserve"> </w:t>
      </w:r>
      <w:r w:rsidR="00E00F6E" w:rsidRPr="003472DA">
        <w:rPr>
          <w:szCs w:val="26"/>
        </w:rPr>
        <w:t>PENNSYLVANIA</w:t>
      </w:r>
    </w:p>
    <w:p w:rsidR="00E00F6E" w:rsidRPr="003472DA" w:rsidRDefault="00E00F6E" w:rsidP="00E475FA">
      <w:pPr>
        <w:jc w:val="center"/>
        <w:rPr>
          <w:b/>
          <w:szCs w:val="26"/>
        </w:rPr>
      </w:pPr>
      <w:r w:rsidRPr="003472DA">
        <w:rPr>
          <w:b/>
          <w:szCs w:val="26"/>
        </w:rPr>
        <w:t>PUBLIC UTILITY COMMISSION</w:t>
      </w:r>
    </w:p>
    <w:p w:rsidR="00E00F6E" w:rsidRPr="003472DA" w:rsidRDefault="00E00F6E" w:rsidP="00E475FA">
      <w:pPr>
        <w:pStyle w:val="Heading1"/>
        <w:rPr>
          <w:szCs w:val="26"/>
        </w:rPr>
      </w:pPr>
      <w:r w:rsidRPr="003472DA">
        <w:rPr>
          <w:szCs w:val="26"/>
        </w:rPr>
        <w:t>Harrisburg PA 17105-3265</w:t>
      </w:r>
    </w:p>
    <w:p w:rsidR="00E00F6E" w:rsidRPr="003472DA" w:rsidRDefault="00E00F6E" w:rsidP="00E475FA">
      <w:pPr>
        <w:jc w:val="center"/>
        <w:rPr>
          <w:szCs w:val="26"/>
        </w:rPr>
      </w:pPr>
    </w:p>
    <w:p w:rsidR="00E00F6E" w:rsidRPr="003472DA" w:rsidRDefault="00E00F6E" w:rsidP="00E475FA">
      <w:pPr>
        <w:jc w:val="right"/>
        <w:rPr>
          <w:szCs w:val="26"/>
        </w:rPr>
      </w:pPr>
      <w:r w:rsidRPr="003472DA">
        <w:rPr>
          <w:szCs w:val="26"/>
        </w:rPr>
        <w:t xml:space="preserve">Public Meeting held </w:t>
      </w:r>
      <w:r w:rsidR="006814B0">
        <w:rPr>
          <w:szCs w:val="26"/>
        </w:rPr>
        <w:t xml:space="preserve">August </w:t>
      </w:r>
      <w:r w:rsidR="0048252F">
        <w:rPr>
          <w:szCs w:val="26"/>
        </w:rPr>
        <w:t>30</w:t>
      </w:r>
      <w:r w:rsidR="00764FDB">
        <w:rPr>
          <w:szCs w:val="26"/>
        </w:rPr>
        <w:t>, 201</w:t>
      </w:r>
      <w:r w:rsidR="009737E6">
        <w:rPr>
          <w:szCs w:val="26"/>
        </w:rPr>
        <w:t>2</w:t>
      </w:r>
    </w:p>
    <w:p w:rsidR="00E00F6E" w:rsidRPr="003472DA" w:rsidRDefault="00E00F6E" w:rsidP="00E475FA">
      <w:pPr>
        <w:rPr>
          <w:szCs w:val="26"/>
        </w:rPr>
      </w:pPr>
    </w:p>
    <w:p w:rsidR="00E00F6E" w:rsidRPr="003472DA" w:rsidRDefault="00E00F6E" w:rsidP="00E475FA">
      <w:pPr>
        <w:rPr>
          <w:szCs w:val="26"/>
        </w:rPr>
      </w:pPr>
      <w:r w:rsidRPr="003472DA">
        <w:rPr>
          <w:szCs w:val="26"/>
        </w:rPr>
        <w:t>Commissioners Present:</w:t>
      </w:r>
    </w:p>
    <w:p w:rsidR="00E00F6E" w:rsidRPr="003472DA" w:rsidRDefault="00E00F6E" w:rsidP="00E475FA">
      <w:pPr>
        <w:rPr>
          <w:szCs w:val="26"/>
        </w:rPr>
      </w:pPr>
    </w:p>
    <w:p w:rsidR="00E00F6E" w:rsidRPr="003472DA" w:rsidRDefault="00E00F6E" w:rsidP="00E475FA">
      <w:pPr>
        <w:ind w:firstLine="720"/>
        <w:rPr>
          <w:szCs w:val="26"/>
        </w:rPr>
      </w:pPr>
      <w:r w:rsidRPr="003472DA">
        <w:rPr>
          <w:szCs w:val="26"/>
        </w:rPr>
        <w:t xml:space="preserve">Robert F. Powelson, </w:t>
      </w:r>
      <w:r>
        <w:rPr>
          <w:szCs w:val="26"/>
        </w:rPr>
        <w:t>Chairman</w:t>
      </w:r>
    </w:p>
    <w:p w:rsidR="00E00F6E" w:rsidRPr="003472DA" w:rsidRDefault="00E00F6E" w:rsidP="00E475FA">
      <w:pPr>
        <w:rPr>
          <w:szCs w:val="26"/>
        </w:rPr>
      </w:pPr>
      <w:r w:rsidRPr="003472DA">
        <w:rPr>
          <w:szCs w:val="26"/>
        </w:rPr>
        <w:tab/>
      </w:r>
      <w:r>
        <w:rPr>
          <w:szCs w:val="26"/>
        </w:rPr>
        <w:t>John F. Coleman, Jr., Vice Chairman</w:t>
      </w:r>
    </w:p>
    <w:p w:rsidR="00E00F6E" w:rsidRDefault="00E00F6E" w:rsidP="00E475FA">
      <w:pPr>
        <w:ind w:firstLine="720"/>
        <w:rPr>
          <w:szCs w:val="26"/>
        </w:rPr>
      </w:pPr>
      <w:r w:rsidRPr="003472DA">
        <w:rPr>
          <w:szCs w:val="26"/>
        </w:rPr>
        <w:t>Wayne E. Gardner</w:t>
      </w:r>
    </w:p>
    <w:p w:rsidR="00E00F6E" w:rsidRDefault="00E00F6E" w:rsidP="00E475FA">
      <w:pPr>
        <w:rPr>
          <w:szCs w:val="26"/>
        </w:rPr>
      </w:pPr>
      <w:r>
        <w:rPr>
          <w:szCs w:val="26"/>
        </w:rPr>
        <w:tab/>
      </w:r>
      <w:r w:rsidRPr="003472DA">
        <w:rPr>
          <w:szCs w:val="26"/>
        </w:rPr>
        <w:t>James H. Cawley</w:t>
      </w:r>
    </w:p>
    <w:p w:rsidR="00E00F6E" w:rsidRPr="003472DA" w:rsidRDefault="00E00F6E" w:rsidP="00E475FA">
      <w:pPr>
        <w:rPr>
          <w:szCs w:val="26"/>
        </w:rPr>
      </w:pPr>
      <w:r>
        <w:rPr>
          <w:szCs w:val="26"/>
        </w:rPr>
        <w:tab/>
        <w:t>Pamela A. Witmer</w:t>
      </w:r>
      <w:r w:rsidRPr="003472DA">
        <w:rPr>
          <w:szCs w:val="26"/>
        </w:rPr>
        <w:tab/>
      </w:r>
    </w:p>
    <w:p w:rsidR="00E00F6E" w:rsidRPr="003472DA" w:rsidRDefault="00E00F6E" w:rsidP="00E475FA">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Default="00B23CA3" w:rsidP="00E475FA">
            <w:pPr>
              <w:tabs>
                <w:tab w:val="left" w:pos="330"/>
              </w:tabs>
              <w:ind w:left="720" w:right="-720" w:hanging="720"/>
              <w:rPr>
                <w:szCs w:val="26"/>
              </w:rPr>
            </w:pPr>
          </w:p>
          <w:p w:rsidR="007B6A3C" w:rsidRDefault="00412D2C" w:rsidP="00E475FA">
            <w:pPr>
              <w:tabs>
                <w:tab w:val="left" w:pos="330"/>
              </w:tabs>
              <w:ind w:left="720" w:right="-720" w:hanging="720"/>
              <w:rPr>
                <w:szCs w:val="26"/>
              </w:rPr>
            </w:pPr>
            <w:r>
              <w:rPr>
                <w:szCs w:val="26"/>
              </w:rPr>
              <w:t>Lidia Shan</w:t>
            </w:r>
            <w:r w:rsidR="006814B0">
              <w:rPr>
                <w:szCs w:val="26"/>
              </w:rPr>
              <w:t xml:space="preserve"> </w:t>
            </w:r>
          </w:p>
          <w:p w:rsidR="007B6A3C" w:rsidRDefault="007B6A3C" w:rsidP="00E475FA">
            <w:pPr>
              <w:tabs>
                <w:tab w:val="left" w:pos="330"/>
              </w:tabs>
              <w:ind w:left="720" w:right="-720" w:hanging="720"/>
              <w:rPr>
                <w:szCs w:val="26"/>
              </w:rPr>
            </w:pPr>
          </w:p>
          <w:p w:rsidR="007B6A3C" w:rsidRDefault="00DB7CBC" w:rsidP="00E475FA">
            <w:pPr>
              <w:tabs>
                <w:tab w:val="left" w:pos="720"/>
              </w:tabs>
              <w:ind w:left="720" w:right="-720" w:hanging="720"/>
              <w:rPr>
                <w:szCs w:val="26"/>
              </w:rPr>
            </w:pPr>
            <w:r>
              <w:rPr>
                <w:szCs w:val="26"/>
              </w:rPr>
              <w:tab/>
            </w:r>
            <w:r w:rsidR="007B6A3C">
              <w:rPr>
                <w:szCs w:val="26"/>
              </w:rPr>
              <w:t>v.</w:t>
            </w:r>
          </w:p>
          <w:p w:rsidR="007B6A3C" w:rsidRDefault="007B6A3C" w:rsidP="00E475FA">
            <w:pPr>
              <w:tabs>
                <w:tab w:val="left" w:pos="330"/>
              </w:tabs>
              <w:ind w:left="720" w:right="-720" w:hanging="720"/>
              <w:rPr>
                <w:szCs w:val="26"/>
              </w:rPr>
            </w:pPr>
          </w:p>
          <w:p w:rsidR="009737E6" w:rsidRPr="003472DA" w:rsidRDefault="00412D2C" w:rsidP="00E475FA">
            <w:pPr>
              <w:tabs>
                <w:tab w:val="left" w:pos="330"/>
              </w:tabs>
              <w:ind w:left="720" w:right="-720" w:hanging="720"/>
              <w:rPr>
                <w:szCs w:val="26"/>
              </w:rPr>
            </w:pPr>
            <w:r>
              <w:rPr>
                <w:szCs w:val="26"/>
              </w:rPr>
              <w:t>Verizon Pennsylvania Inc.</w:t>
            </w:r>
          </w:p>
        </w:tc>
        <w:tc>
          <w:tcPr>
            <w:tcW w:w="2700" w:type="dxa"/>
          </w:tcPr>
          <w:p w:rsidR="00671438" w:rsidRPr="0024045B" w:rsidRDefault="00671438" w:rsidP="00E475FA">
            <w:pPr>
              <w:ind w:right="-720"/>
              <w:rPr>
                <w:b/>
                <w:szCs w:val="26"/>
              </w:rPr>
            </w:pPr>
          </w:p>
          <w:p w:rsidR="00E00F6E" w:rsidRPr="0024045B" w:rsidRDefault="006814B0" w:rsidP="00E475FA">
            <w:pPr>
              <w:tabs>
                <w:tab w:val="left" w:pos="792"/>
              </w:tabs>
              <w:ind w:right="-720"/>
              <w:rPr>
                <w:szCs w:val="26"/>
              </w:rPr>
            </w:pPr>
            <w:r>
              <w:rPr>
                <w:szCs w:val="26"/>
              </w:rPr>
              <w:t xml:space="preserve">            </w:t>
            </w:r>
            <w:r w:rsidR="002A01EF">
              <w:rPr>
                <w:szCs w:val="26"/>
              </w:rPr>
              <w:t>C</w:t>
            </w:r>
            <w:r w:rsidR="007B6A3C" w:rsidRPr="00170C7D">
              <w:rPr>
                <w:szCs w:val="26"/>
              </w:rPr>
              <w:t>-</w:t>
            </w:r>
            <w:r w:rsidR="007B6A3C" w:rsidRPr="0024045B">
              <w:rPr>
                <w:szCs w:val="26"/>
              </w:rPr>
              <w:t>20</w:t>
            </w:r>
            <w:r>
              <w:rPr>
                <w:szCs w:val="26"/>
              </w:rPr>
              <w:t>0</w:t>
            </w:r>
            <w:r w:rsidR="002A01EF">
              <w:rPr>
                <w:szCs w:val="26"/>
              </w:rPr>
              <w:t>9-2150021</w:t>
            </w:r>
          </w:p>
          <w:p w:rsidR="00E00F6E" w:rsidRPr="0024045B" w:rsidRDefault="00E00F6E" w:rsidP="00E475FA">
            <w:pPr>
              <w:ind w:right="-720"/>
              <w:rPr>
                <w:szCs w:val="26"/>
              </w:rPr>
            </w:pPr>
          </w:p>
          <w:p w:rsidR="009737E6" w:rsidRPr="0024045B" w:rsidRDefault="009737E6" w:rsidP="00E475FA">
            <w:pPr>
              <w:ind w:right="-720"/>
              <w:rPr>
                <w:b/>
                <w:szCs w:val="26"/>
              </w:rPr>
            </w:pPr>
          </w:p>
          <w:p w:rsidR="009737E6" w:rsidRPr="0024045B" w:rsidRDefault="009737E6" w:rsidP="00E475FA">
            <w:pPr>
              <w:ind w:right="-720"/>
              <w:rPr>
                <w:b/>
                <w:szCs w:val="26"/>
              </w:rPr>
            </w:pPr>
          </w:p>
          <w:p w:rsidR="009737E6" w:rsidRPr="0024045B" w:rsidRDefault="009737E6" w:rsidP="00E475FA">
            <w:pPr>
              <w:ind w:right="-720"/>
              <w:rPr>
                <w:b/>
                <w:szCs w:val="26"/>
              </w:rPr>
            </w:pPr>
          </w:p>
          <w:p w:rsidR="009737E6" w:rsidRPr="0024045B" w:rsidRDefault="009737E6" w:rsidP="00E475FA">
            <w:pPr>
              <w:ind w:right="-720"/>
              <w:rPr>
                <w:b/>
                <w:szCs w:val="26"/>
              </w:rPr>
            </w:pPr>
          </w:p>
          <w:p w:rsidR="009737E6" w:rsidRPr="0024045B" w:rsidRDefault="009737E6" w:rsidP="00E475FA">
            <w:pPr>
              <w:ind w:right="-720"/>
              <w:rPr>
                <w:b/>
                <w:szCs w:val="26"/>
              </w:rPr>
            </w:pPr>
            <w:r w:rsidRPr="0024045B">
              <w:rPr>
                <w:b/>
                <w:szCs w:val="26"/>
              </w:rPr>
              <w:t xml:space="preserve">            </w:t>
            </w:r>
          </w:p>
          <w:p w:rsidR="009737E6" w:rsidRPr="0024045B" w:rsidRDefault="009737E6" w:rsidP="00E475FA">
            <w:pPr>
              <w:ind w:left="792" w:right="-720" w:hanging="792"/>
              <w:rPr>
                <w:b/>
                <w:szCs w:val="26"/>
              </w:rPr>
            </w:pPr>
            <w:r w:rsidRPr="0024045B">
              <w:rPr>
                <w:b/>
                <w:szCs w:val="26"/>
              </w:rPr>
              <w:t xml:space="preserve">            </w:t>
            </w:r>
          </w:p>
        </w:tc>
      </w:tr>
      <w:tr w:rsidR="009737E6" w:rsidRPr="0024045B" w:rsidTr="00F94F57">
        <w:tc>
          <w:tcPr>
            <w:tcW w:w="6768" w:type="dxa"/>
          </w:tcPr>
          <w:p w:rsidR="009737E6" w:rsidRPr="003472DA" w:rsidRDefault="009737E6" w:rsidP="00E475FA">
            <w:pPr>
              <w:tabs>
                <w:tab w:val="left" w:pos="330"/>
              </w:tabs>
              <w:ind w:left="720" w:right="-720" w:hanging="720"/>
              <w:rPr>
                <w:szCs w:val="26"/>
              </w:rPr>
            </w:pPr>
          </w:p>
        </w:tc>
        <w:tc>
          <w:tcPr>
            <w:tcW w:w="2700" w:type="dxa"/>
          </w:tcPr>
          <w:p w:rsidR="009737E6" w:rsidRPr="0024045B" w:rsidRDefault="009737E6" w:rsidP="00E475FA">
            <w:pPr>
              <w:ind w:right="-720"/>
              <w:rPr>
                <w:b/>
                <w:szCs w:val="26"/>
              </w:rPr>
            </w:pPr>
          </w:p>
        </w:tc>
      </w:tr>
    </w:tbl>
    <w:p w:rsidR="00E00F6E" w:rsidRPr="003472DA" w:rsidRDefault="00E00F6E" w:rsidP="00E475FA">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475FA">
      <w:pPr>
        <w:spacing w:line="360" w:lineRule="auto"/>
        <w:rPr>
          <w:b/>
          <w:szCs w:val="26"/>
        </w:rPr>
      </w:pPr>
    </w:p>
    <w:p w:rsidR="00E00F6E" w:rsidRPr="003472DA" w:rsidRDefault="00E00F6E" w:rsidP="00E475FA">
      <w:pPr>
        <w:spacing w:line="360" w:lineRule="auto"/>
        <w:rPr>
          <w:b/>
          <w:szCs w:val="26"/>
        </w:rPr>
      </w:pPr>
      <w:r w:rsidRPr="003472DA">
        <w:rPr>
          <w:b/>
          <w:szCs w:val="26"/>
        </w:rPr>
        <w:t>BY THE COMMISSION:</w:t>
      </w:r>
    </w:p>
    <w:p w:rsidR="00616C9B" w:rsidRDefault="00616C9B" w:rsidP="00E475FA"/>
    <w:p w:rsidR="003C55F4" w:rsidRPr="00964EB1" w:rsidRDefault="00571F5C" w:rsidP="00E475FA">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4B5CB3">
        <w:rPr>
          <w:szCs w:val="26"/>
        </w:rPr>
        <w:t>Lidia Shan</w:t>
      </w:r>
      <w:r w:rsidR="00C22285">
        <w:rPr>
          <w:szCs w:val="26"/>
        </w:rPr>
        <w:t xml:space="preserve"> (Complainant)</w:t>
      </w:r>
      <w:r w:rsidR="00611B06">
        <w:rPr>
          <w:szCs w:val="26"/>
        </w:rPr>
        <w:t>, filed</w:t>
      </w:r>
      <w:r w:rsidR="007F5118">
        <w:rPr>
          <w:szCs w:val="26"/>
        </w:rPr>
        <w:t xml:space="preserve"> </w:t>
      </w:r>
      <w:r w:rsidRPr="00571F5C">
        <w:rPr>
          <w:szCs w:val="26"/>
        </w:rPr>
        <w:t xml:space="preserve">on </w:t>
      </w:r>
      <w:r w:rsidR="00170C7D">
        <w:rPr>
          <w:szCs w:val="26"/>
        </w:rPr>
        <w:t xml:space="preserve">April </w:t>
      </w:r>
      <w:r w:rsidR="004B5CB3">
        <w:rPr>
          <w:szCs w:val="26"/>
        </w:rPr>
        <w:t>23</w:t>
      </w:r>
      <w:r w:rsidR="00611B06">
        <w:rPr>
          <w:szCs w:val="26"/>
        </w:rPr>
        <w:t>, 2012</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69200A">
        <w:rPr>
          <w:szCs w:val="26"/>
        </w:rPr>
        <w:t>Cynthia Williams Fordham</w:t>
      </w:r>
      <w:r w:rsidR="00101D54">
        <w:rPr>
          <w:szCs w:val="26"/>
        </w:rPr>
        <w:t>,</w:t>
      </w:r>
      <w:r w:rsidR="008F7A43">
        <w:rPr>
          <w:szCs w:val="26"/>
        </w:rPr>
        <w:t xml:space="preserve"> </w:t>
      </w:r>
      <w:r w:rsidR="00C55576">
        <w:rPr>
          <w:szCs w:val="26"/>
        </w:rPr>
        <w:t>issued</w:t>
      </w:r>
      <w:r w:rsidR="008F7A43">
        <w:rPr>
          <w:szCs w:val="26"/>
        </w:rPr>
        <w:t xml:space="preserve"> </w:t>
      </w:r>
      <w:r w:rsidR="00EA0C23">
        <w:rPr>
          <w:szCs w:val="26"/>
        </w:rPr>
        <w:t xml:space="preserve">on </w:t>
      </w:r>
      <w:r w:rsidR="006814B0">
        <w:rPr>
          <w:szCs w:val="26"/>
        </w:rPr>
        <w:t>April 1</w:t>
      </w:r>
      <w:r w:rsidR="0069200A">
        <w:rPr>
          <w:szCs w:val="26"/>
        </w:rPr>
        <w:t>3</w:t>
      </w:r>
      <w:r w:rsidR="00995B85">
        <w:rPr>
          <w:szCs w:val="26"/>
        </w:rPr>
        <w:t>, 2012</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AD6811">
        <w:rPr>
          <w:szCs w:val="26"/>
        </w:rPr>
        <w:t xml:space="preserve">Verizon Pennsylvania Inc. </w:t>
      </w:r>
      <w:r w:rsidR="006814B0">
        <w:rPr>
          <w:szCs w:val="26"/>
        </w:rPr>
        <w:t>(</w:t>
      </w:r>
      <w:r w:rsidR="00AD6811">
        <w:rPr>
          <w:szCs w:val="26"/>
        </w:rPr>
        <w:t>Verizon</w:t>
      </w:r>
      <w:r w:rsidR="006814B0">
        <w:rPr>
          <w:szCs w:val="26"/>
        </w:rPr>
        <w:t xml:space="preserve">) filed </w:t>
      </w:r>
      <w:r w:rsidR="00170C7D">
        <w:rPr>
          <w:szCs w:val="26"/>
        </w:rPr>
        <w:t xml:space="preserve">Replies to Exceptions </w:t>
      </w:r>
      <w:r w:rsidR="006814B0">
        <w:rPr>
          <w:szCs w:val="26"/>
        </w:rPr>
        <w:t xml:space="preserve">on </w:t>
      </w:r>
      <w:r w:rsidR="00F925C0">
        <w:rPr>
          <w:szCs w:val="26"/>
        </w:rPr>
        <w:t>May 14</w:t>
      </w:r>
      <w:r w:rsidR="006814B0">
        <w:rPr>
          <w:szCs w:val="26"/>
        </w:rPr>
        <w:t>, 2012</w:t>
      </w:r>
      <w:r w:rsidRPr="00571F5C">
        <w:rPr>
          <w:szCs w:val="26"/>
        </w:rPr>
        <w:t>.</w:t>
      </w:r>
      <w:r w:rsidR="00D76068">
        <w:rPr>
          <w:szCs w:val="26"/>
        </w:rPr>
        <w:t xml:space="preserve">  </w:t>
      </w:r>
      <w:r w:rsidR="00D76068" w:rsidRPr="00964EB1">
        <w:rPr>
          <w:szCs w:val="26"/>
        </w:rPr>
        <w:t>For the reasons set forth herein, we</w:t>
      </w:r>
      <w:r w:rsidR="00BC5F84">
        <w:rPr>
          <w:szCs w:val="26"/>
        </w:rPr>
        <w:t xml:space="preserve"> sh</w:t>
      </w:r>
      <w:r w:rsidR="00D76068" w:rsidRPr="00964EB1">
        <w:rPr>
          <w:szCs w:val="26"/>
        </w:rPr>
        <w:t>all</w:t>
      </w:r>
      <w:r w:rsidR="00BC5F84">
        <w:rPr>
          <w:szCs w:val="26"/>
        </w:rPr>
        <w:t xml:space="preserve"> deny </w:t>
      </w:r>
      <w:r w:rsidR="00964EB1" w:rsidRPr="00964EB1">
        <w:rPr>
          <w:szCs w:val="26"/>
        </w:rPr>
        <w:t>the Complainant’s Exceptions and</w:t>
      </w:r>
      <w:r w:rsidR="00BC5F84">
        <w:rPr>
          <w:szCs w:val="26"/>
        </w:rPr>
        <w:t xml:space="preserve"> adopt</w:t>
      </w:r>
      <w:r w:rsidR="00964EB1" w:rsidRPr="00964EB1">
        <w:rPr>
          <w:szCs w:val="26"/>
        </w:rPr>
        <w:t xml:space="preserve"> the Initial Decision.   </w:t>
      </w:r>
      <w:r w:rsidR="00A155CD" w:rsidRPr="00964EB1">
        <w:rPr>
          <w:szCs w:val="26"/>
        </w:rPr>
        <w:t xml:space="preserve">   </w:t>
      </w:r>
    </w:p>
    <w:p w:rsidR="0058255E" w:rsidRDefault="0058255E" w:rsidP="00E475FA">
      <w:pPr>
        <w:spacing w:line="360" w:lineRule="auto"/>
        <w:ind w:left="720" w:hanging="720"/>
        <w:jc w:val="center"/>
        <w:rPr>
          <w:b/>
          <w:szCs w:val="26"/>
        </w:rPr>
      </w:pPr>
    </w:p>
    <w:p w:rsidR="00F71690" w:rsidRDefault="00F71690" w:rsidP="00E475FA">
      <w:pPr>
        <w:spacing w:line="360" w:lineRule="auto"/>
        <w:ind w:left="720" w:hanging="720"/>
        <w:jc w:val="center"/>
        <w:rPr>
          <w:b/>
          <w:szCs w:val="26"/>
        </w:rPr>
      </w:pPr>
    </w:p>
    <w:p w:rsidR="00524BED" w:rsidRDefault="00524BED" w:rsidP="00E475FA">
      <w:pPr>
        <w:spacing w:line="360" w:lineRule="auto"/>
        <w:ind w:left="720" w:hanging="720"/>
        <w:jc w:val="center"/>
        <w:rPr>
          <w:b/>
          <w:szCs w:val="26"/>
        </w:rPr>
      </w:pPr>
      <w:r>
        <w:rPr>
          <w:b/>
          <w:szCs w:val="26"/>
        </w:rPr>
        <w:lastRenderedPageBreak/>
        <w:t>History of the Proceeding</w:t>
      </w:r>
    </w:p>
    <w:p w:rsidR="00567496" w:rsidRDefault="00567496" w:rsidP="00E475FA">
      <w:pPr>
        <w:spacing w:line="360" w:lineRule="auto"/>
        <w:rPr>
          <w:szCs w:val="26"/>
        </w:rPr>
      </w:pPr>
    </w:p>
    <w:p w:rsidR="00737357" w:rsidRDefault="00737357" w:rsidP="00E475FA">
      <w:pPr>
        <w:spacing w:line="360" w:lineRule="auto"/>
        <w:ind w:firstLine="1440"/>
      </w:pPr>
      <w:r w:rsidRPr="005D5E4E">
        <w:t xml:space="preserve">On December 29, 2009, </w:t>
      </w:r>
      <w:r w:rsidR="00A4119C">
        <w:t xml:space="preserve">the </w:t>
      </w:r>
      <w:r w:rsidRPr="005D5E4E">
        <w:t xml:space="preserve">Complainant filed a </w:t>
      </w:r>
      <w:r w:rsidR="00A4119C">
        <w:t>F</w:t>
      </w:r>
      <w:r w:rsidRPr="005D5E4E">
        <w:t xml:space="preserve">ormal </w:t>
      </w:r>
      <w:r w:rsidR="00A4119C">
        <w:t>C</w:t>
      </w:r>
      <w:r w:rsidRPr="005D5E4E">
        <w:t xml:space="preserve">omplaint </w:t>
      </w:r>
      <w:r w:rsidR="00A4119C">
        <w:t xml:space="preserve">(Complaint) </w:t>
      </w:r>
      <w:r w:rsidRPr="005D5E4E">
        <w:t>with the Commission against Verizon, alleg</w:t>
      </w:r>
      <w:r>
        <w:t>ing</w:t>
      </w:r>
      <w:r w:rsidRPr="005D5E4E">
        <w:t xml:space="preserve"> that there were incorrect charges on her bill.  In a letter attached to the </w:t>
      </w:r>
      <w:r w:rsidR="00DA70E7">
        <w:t>C</w:t>
      </w:r>
      <w:r w:rsidRPr="005D5E4E">
        <w:t xml:space="preserve">omplaint, </w:t>
      </w:r>
      <w:r>
        <w:t xml:space="preserve">the Complainant </w:t>
      </w:r>
      <w:r w:rsidRPr="005D5E4E">
        <w:t>also alleged the following:  (1) that Verizon did not offer flexibility in discounting he</w:t>
      </w:r>
      <w:r w:rsidR="00DA70E7">
        <w:t>r</w:t>
      </w:r>
      <w:r w:rsidRPr="005D5E4E">
        <w:t xml:space="preserve"> monthly payments when her telephone </w:t>
      </w:r>
      <w:r w:rsidR="00B4477F">
        <w:t xml:space="preserve">service </w:t>
      </w:r>
      <w:r w:rsidRPr="005D5E4E">
        <w:t>w</w:t>
      </w:r>
      <w:r w:rsidR="00B4477F">
        <w:t>as</w:t>
      </w:r>
      <w:r w:rsidRPr="005D5E4E">
        <w:t xml:space="preserve"> suspended at her request for nine months; (2)</w:t>
      </w:r>
      <w:r w:rsidR="00EA0C23">
        <w:t> </w:t>
      </w:r>
      <w:r w:rsidRPr="005D5E4E">
        <w:t>that</w:t>
      </w:r>
      <w:r w:rsidR="00DA70E7">
        <w:t>,</w:t>
      </w:r>
      <w:r w:rsidRPr="005D5E4E">
        <w:t xml:space="preserve"> when she arranged for her telephone service to be suspended in September 2008, she was told </w:t>
      </w:r>
      <w:r w:rsidR="00DA70E7">
        <w:t xml:space="preserve">by a Verizon representative </w:t>
      </w:r>
      <w:r w:rsidRPr="005D5E4E">
        <w:t>that her monthly bill would be $1</w:t>
      </w:r>
      <w:r>
        <w:t xml:space="preserve"> as it was in 2007</w:t>
      </w:r>
      <w:r w:rsidRPr="005D5E4E">
        <w:t>; (3) that</w:t>
      </w:r>
      <w:r w:rsidR="00DA70E7">
        <w:t>,</w:t>
      </w:r>
      <w:r w:rsidRPr="005D5E4E">
        <w:t xml:space="preserve"> when she received the bill from Verizon</w:t>
      </w:r>
      <w:r w:rsidR="00DA70E7">
        <w:t>,</w:t>
      </w:r>
      <w:r w:rsidRPr="005D5E4E">
        <w:t xml:space="preserve"> the charge was only $1 to $2 less than he</w:t>
      </w:r>
      <w:r>
        <w:t>r</w:t>
      </w:r>
      <w:r w:rsidRPr="005D5E4E">
        <w:t xml:space="preserve">  regular</w:t>
      </w:r>
      <w:r>
        <w:t xml:space="preserve"> t</w:t>
      </w:r>
      <w:r w:rsidRPr="005D5E4E">
        <w:t>e</w:t>
      </w:r>
      <w:r>
        <w:t>le</w:t>
      </w:r>
      <w:r w:rsidRPr="005D5E4E">
        <w:t>phone</w:t>
      </w:r>
      <w:r>
        <w:t xml:space="preserve"> bill</w:t>
      </w:r>
      <w:r w:rsidRPr="005D5E4E">
        <w:t xml:space="preserve">; and (4) that the Verizon representatives could not explain why she had to pay for </w:t>
      </w:r>
      <w:r w:rsidR="00DA70E7">
        <w:t xml:space="preserve">a </w:t>
      </w:r>
      <w:r w:rsidRPr="005D5E4E">
        <w:t>dial tone line and voice line while her telephones were out of service.</w:t>
      </w:r>
      <w:r w:rsidR="00DA70E7">
        <w:rPr>
          <w:rStyle w:val="FootnoteReference"/>
        </w:rPr>
        <w:footnoteReference w:id="1"/>
      </w:r>
      <w:r w:rsidRPr="005D5E4E">
        <w:t xml:space="preserve">  </w:t>
      </w:r>
    </w:p>
    <w:p w:rsidR="00DA70E7" w:rsidRPr="005D5E4E" w:rsidRDefault="00DA70E7" w:rsidP="00E475FA">
      <w:pPr>
        <w:spacing w:line="360" w:lineRule="auto"/>
        <w:ind w:firstLine="1440"/>
      </w:pPr>
    </w:p>
    <w:p w:rsidR="00737357" w:rsidRDefault="00737357" w:rsidP="00E475FA">
      <w:pPr>
        <w:tabs>
          <w:tab w:val="left" w:pos="-1440"/>
          <w:tab w:val="left" w:pos="-720"/>
          <w:tab w:val="left" w:pos="0"/>
        </w:tabs>
        <w:spacing w:line="360" w:lineRule="auto"/>
      </w:pPr>
      <w:r>
        <w:tab/>
      </w:r>
      <w:r>
        <w:tab/>
      </w:r>
      <w:r w:rsidR="005D72A4">
        <w:t>Verizon filed an Answer o</w:t>
      </w:r>
      <w:r>
        <w:t xml:space="preserve">n January 20, 2010.  In </w:t>
      </w:r>
      <w:r w:rsidR="0017639C">
        <w:t>its</w:t>
      </w:r>
      <w:r>
        <w:t xml:space="preserve"> </w:t>
      </w:r>
      <w:r w:rsidR="0017639C">
        <w:t>A</w:t>
      </w:r>
      <w:r>
        <w:t xml:space="preserve">nswer, </w:t>
      </w:r>
      <w:r w:rsidR="0017639C">
        <w:t>Verizon</w:t>
      </w:r>
      <w:r w:rsidR="00537095">
        <w:t xml:space="preserve"> </w:t>
      </w:r>
      <w:r>
        <w:t>admitted that the Complainant previously had two telephone accounts</w:t>
      </w:r>
      <w:r w:rsidR="0017639C">
        <w:t xml:space="preserve"> with it and averred that </w:t>
      </w:r>
      <w:r>
        <w:t xml:space="preserve">the Complainant voluntarily disconnected the two accounts </w:t>
      </w:r>
      <w:r w:rsidR="00B4477F">
        <w:t>on</w:t>
      </w:r>
      <w:r>
        <w:t xml:space="preserve"> November 30, 2009.</w:t>
      </w:r>
      <w:r w:rsidR="0017639C">
        <w:t xml:space="preserve">  </w:t>
      </w:r>
      <w:r w:rsidR="00224007">
        <w:t xml:space="preserve">Verizon </w:t>
      </w:r>
      <w:r>
        <w:t xml:space="preserve">admitted that the Complainant contacted it on September 5, 2007, and requested that her service be temporarily suspended effective September 17, 2007.  </w:t>
      </w:r>
      <w:r w:rsidR="00224007">
        <w:t xml:space="preserve">Verizon additionally admitted </w:t>
      </w:r>
      <w:r>
        <w:t>that the Commission approved a promotional offering in 2007</w:t>
      </w:r>
      <w:r w:rsidR="00224007">
        <w:t>, under which res</w:t>
      </w:r>
      <w:r w:rsidRPr="005D5E4E">
        <w:t>idential customers who temporarily suspended their service were eligible for a monthly credit for up to six months.</w:t>
      </w:r>
      <w:r>
        <w:t xml:space="preserve">  </w:t>
      </w:r>
      <w:r w:rsidR="00224007">
        <w:t xml:space="preserve">Verizon noted that the promotion was offered from September 4, 2007, through November 21, 2007.  </w:t>
      </w:r>
      <w:r w:rsidR="00813DB6">
        <w:t>Verizon</w:t>
      </w:r>
      <w:r>
        <w:t xml:space="preserve"> </w:t>
      </w:r>
      <w:r w:rsidR="00813DB6">
        <w:t xml:space="preserve">further </w:t>
      </w:r>
      <w:r>
        <w:t xml:space="preserve">admitted that the Complainant contacted it on September 4, 2008, and requested that her service be temporarily suspended effective September 18, 2008.  </w:t>
      </w:r>
      <w:r w:rsidR="00813DB6">
        <w:t>Verizon</w:t>
      </w:r>
      <w:r>
        <w:t xml:space="preserve"> denied that the Complainant was offered a promotional rate for the temporary suspension of service</w:t>
      </w:r>
      <w:r w:rsidRPr="009D7E1C">
        <w:t xml:space="preserve"> </w:t>
      </w:r>
      <w:r>
        <w:t xml:space="preserve">in </w:t>
      </w:r>
      <w:r>
        <w:lastRenderedPageBreak/>
        <w:t>2008</w:t>
      </w:r>
      <w:r w:rsidR="00813DB6">
        <w:t xml:space="preserve"> because the </w:t>
      </w:r>
      <w:r>
        <w:t xml:space="preserve">promotional offering ended in November 2007.  </w:t>
      </w:r>
      <w:r w:rsidR="00813DB6">
        <w:t>Verizon</w:t>
      </w:r>
      <w:r w:rsidRPr="005D5E4E">
        <w:t xml:space="preserve"> admitted that the Complainant was billed $13</w:t>
      </w:r>
      <w:r w:rsidR="00C55224">
        <w:t>,</w:t>
      </w:r>
      <w:r w:rsidRPr="005D5E4E">
        <w:t xml:space="preserve"> plus tax</w:t>
      </w:r>
      <w:r w:rsidR="00C55224">
        <w:t>,</w:t>
      </w:r>
      <w:r w:rsidRPr="005D5E4E">
        <w:t xml:space="preserve"> while her service was temporarily suspended in 2008, instead of her regular bill of $16</w:t>
      </w:r>
      <w:r w:rsidR="00C55224">
        <w:t>,</w:t>
      </w:r>
      <w:r w:rsidRPr="005D5E4E">
        <w:t xml:space="preserve"> plus tax.  </w:t>
      </w:r>
      <w:r w:rsidR="00C55224">
        <w:t>Verizon</w:t>
      </w:r>
      <w:r w:rsidRPr="005D5E4E">
        <w:t xml:space="preserve"> averred that it charged the Complainant in accordance with its Commission-approved tariff.</w:t>
      </w:r>
    </w:p>
    <w:p w:rsidR="00737357" w:rsidRDefault="00737357" w:rsidP="00E475FA">
      <w:pPr>
        <w:spacing w:line="360" w:lineRule="auto"/>
      </w:pPr>
    </w:p>
    <w:p w:rsidR="00737357" w:rsidRDefault="00737357" w:rsidP="00E475FA">
      <w:pPr>
        <w:tabs>
          <w:tab w:val="left" w:pos="-1440"/>
          <w:tab w:val="left" w:pos="-720"/>
          <w:tab w:val="left" w:pos="0"/>
        </w:tabs>
        <w:spacing w:line="360" w:lineRule="auto"/>
      </w:pPr>
      <w:r>
        <w:tab/>
      </w:r>
      <w:r>
        <w:tab/>
        <w:t xml:space="preserve">By </w:t>
      </w:r>
      <w:r w:rsidR="00D77078">
        <w:t>letter filed</w:t>
      </w:r>
      <w:r>
        <w:t xml:space="preserve"> on February 5, 2010, the Complainant responded to </w:t>
      </w:r>
      <w:r w:rsidR="00D77078">
        <w:t>Verizon’s</w:t>
      </w:r>
      <w:r>
        <w:t xml:space="preserve"> </w:t>
      </w:r>
      <w:r w:rsidR="00D77078">
        <w:t>A</w:t>
      </w:r>
      <w:r>
        <w:t xml:space="preserve">nswer.  The Complainant </w:t>
      </w:r>
      <w:r w:rsidR="00D77078">
        <w:t>requested that</w:t>
      </w:r>
      <w:r>
        <w:t xml:space="preserve"> the Commission revise </w:t>
      </w:r>
      <w:r w:rsidR="00D77078">
        <w:t>the provisions of Verizon’s</w:t>
      </w:r>
      <w:r>
        <w:t xml:space="preserve"> tariff </w:t>
      </w:r>
      <w:r w:rsidR="00D77078">
        <w:t xml:space="preserve">which relate to </w:t>
      </w:r>
      <w:r>
        <w:t>temporary suspension of service</w:t>
      </w:r>
      <w:r w:rsidR="00D77078">
        <w:t>.</w:t>
      </w:r>
    </w:p>
    <w:p w:rsidR="00737357" w:rsidRPr="005D5E4E" w:rsidRDefault="00737357" w:rsidP="00E475FA">
      <w:pPr>
        <w:spacing w:line="360" w:lineRule="auto"/>
      </w:pPr>
    </w:p>
    <w:p w:rsidR="00737357" w:rsidRDefault="00737357" w:rsidP="00E475FA">
      <w:pPr>
        <w:spacing w:line="360" w:lineRule="auto"/>
      </w:pPr>
      <w:r w:rsidRPr="005D5E4E">
        <w:tab/>
      </w:r>
      <w:r w:rsidRPr="005D5E4E">
        <w:tab/>
      </w:r>
      <w:r w:rsidR="00C006D8">
        <w:t>A</w:t>
      </w:r>
      <w:r>
        <w:t xml:space="preserve"> hearing was held </w:t>
      </w:r>
      <w:r w:rsidR="00623AA8">
        <w:t>as scheduled on S</w:t>
      </w:r>
      <w:r w:rsidRPr="005D5E4E">
        <w:t xml:space="preserve">eptember 23, </w:t>
      </w:r>
      <w:r>
        <w:t>2010.  The Complainant</w:t>
      </w:r>
      <w:r w:rsidR="00744651">
        <w:t xml:space="preserve"> appeared </w:t>
      </w:r>
      <w:r w:rsidR="00744651" w:rsidRPr="00744651">
        <w:rPr>
          <w:i/>
        </w:rPr>
        <w:t>pro se</w:t>
      </w:r>
      <w:r w:rsidR="00744651">
        <w:t xml:space="preserve"> and </w:t>
      </w:r>
      <w:r>
        <w:t xml:space="preserve">testified in support of the </w:t>
      </w:r>
      <w:r w:rsidR="00744651">
        <w:t>C</w:t>
      </w:r>
      <w:r>
        <w:t xml:space="preserve">omplaint.  </w:t>
      </w:r>
      <w:r w:rsidR="00744651">
        <w:t>Verizon was represented by counsel,</w:t>
      </w:r>
      <w:r>
        <w:t xml:space="preserve"> presented one witness, </w:t>
      </w:r>
      <w:r w:rsidR="00744651">
        <w:t>and</w:t>
      </w:r>
      <w:r w:rsidRPr="005D5E4E">
        <w:t xml:space="preserve"> sponsored one exhibit</w:t>
      </w:r>
      <w:r w:rsidR="00744651">
        <w:t xml:space="preserve"> that</w:t>
      </w:r>
      <w:r w:rsidRPr="005D5E4E">
        <w:t xml:space="preserve"> was admitted into the record.</w:t>
      </w:r>
    </w:p>
    <w:p w:rsidR="00737357" w:rsidRDefault="00737357" w:rsidP="00E475FA">
      <w:pPr>
        <w:pStyle w:val="ListParagraph"/>
        <w:ind w:left="0"/>
      </w:pPr>
    </w:p>
    <w:p w:rsidR="00737357" w:rsidRDefault="00737357" w:rsidP="00E475FA">
      <w:pPr>
        <w:pStyle w:val="ListParagraph"/>
        <w:spacing w:line="360" w:lineRule="auto"/>
        <w:ind w:left="0"/>
      </w:pPr>
      <w:r>
        <w:tab/>
      </w:r>
      <w:r>
        <w:tab/>
        <w:t>During the hearing, the Complainant stated that the Respondent failed to respond to her discovery request concerning costs associated with a suspended telephone account</w:t>
      </w:r>
      <w:r w:rsidR="00FD1F05">
        <w:t xml:space="preserve">.  </w:t>
      </w:r>
      <w:r w:rsidRPr="00A97FA3">
        <w:t xml:space="preserve">Tr. </w:t>
      </w:r>
      <w:r w:rsidR="00FD1F05">
        <w:t xml:space="preserve">at </w:t>
      </w:r>
      <w:r w:rsidRPr="00A97FA3">
        <w:t>43, 44.</w:t>
      </w:r>
      <w:r w:rsidR="00FD1F05">
        <w:t xml:space="preserve">  Verizon’s</w:t>
      </w:r>
      <w:r>
        <w:t xml:space="preserve"> counsel denied receiving this request and asked that the Complainant produce the letter requesting this information</w:t>
      </w:r>
      <w:r w:rsidR="00FD1F05">
        <w:t>.</w:t>
      </w:r>
      <w:r>
        <w:t xml:space="preserve"> </w:t>
      </w:r>
      <w:r w:rsidR="00FD1F05">
        <w:t xml:space="preserve"> </w:t>
      </w:r>
      <w:r>
        <w:t xml:space="preserve">Tr. </w:t>
      </w:r>
      <w:r w:rsidR="00FD1F05">
        <w:t xml:space="preserve">at </w:t>
      </w:r>
      <w:r>
        <w:t>111, 112.</w:t>
      </w:r>
      <w:r w:rsidR="00FD1F05">
        <w:t xml:space="preserve">  </w:t>
      </w:r>
      <w:r>
        <w:t>The record was held open for the Complainant to submit the letter as a late</w:t>
      </w:r>
      <w:r w:rsidR="00DD121C">
        <w:t>-</w:t>
      </w:r>
      <w:r>
        <w:t>filed exhibit.</w:t>
      </w:r>
      <w:r w:rsidR="00B7555D">
        <w:t xml:space="preserve">  </w:t>
      </w:r>
      <w:r>
        <w:t>On September 24, 2010, the Complainant submitted a cover letter and a copy of her letter dated January 27, 2010</w:t>
      </w:r>
      <w:r w:rsidR="000400E3">
        <w:t xml:space="preserve"> (the January 2010 Letter)</w:t>
      </w:r>
      <w:r>
        <w:t xml:space="preserve">, which was addressed to </w:t>
      </w:r>
      <w:r w:rsidR="00B7555D">
        <w:t xml:space="preserve">the Commission’s </w:t>
      </w:r>
      <w:r>
        <w:t xml:space="preserve">Secretary.  </w:t>
      </w:r>
    </w:p>
    <w:p w:rsidR="00737357" w:rsidRDefault="00737357" w:rsidP="00E475FA">
      <w:pPr>
        <w:pStyle w:val="ListParagraph"/>
        <w:spacing w:line="360" w:lineRule="auto"/>
        <w:ind w:left="0"/>
      </w:pPr>
    </w:p>
    <w:p w:rsidR="00737357" w:rsidRDefault="00737357" w:rsidP="00E475FA">
      <w:pPr>
        <w:pStyle w:val="ListParagraph"/>
        <w:spacing w:line="360" w:lineRule="auto"/>
        <w:ind w:left="0"/>
      </w:pPr>
      <w:r>
        <w:tab/>
      </w:r>
      <w:r>
        <w:tab/>
        <w:t xml:space="preserve">By </w:t>
      </w:r>
      <w:r w:rsidR="002F7A68">
        <w:t>letter</w:t>
      </w:r>
      <w:r>
        <w:t xml:space="preserve"> dated October 11, 2010, </w:t>
      </w:r>
      <w:r w:rsidR="002F7A68">
        <w:t>Verizon</w:t>
      </w:r>
      <w:r>
        <w:t xml:space="preserve"> </w:t>
      </w:r>
      <w:r w:rsidR="002F7A68">
        <w:t>stated</w:t>
      </w:r>
      <w:r>
        <w:t xml:space="preserve"> that the </w:t>
      </w:r>
      <w:r w:rsidR="002F7A68">
        <w:t xml:space="preserve">Complainant's </w:t>
      </w:r>
      <w:r>
        <w:t xml:space="preserve">January 2010 </w:t>
      </w:r>
      <w:r w:rsidR="000400E3">
        <w:t>L</w:t>
      </w:r>
      <w:r>
        <w:t xml:space="preserve">etter was not sent to the Respondent.  </w:t>
      </w:r>
      <w:r w:rsidR="002F7A68">
        <w:t>As such</w:t>
      </w:r>
      <w:r>
        <w:t xml:space="preserve">, </w:t>
      </w:r>
      <w:r w:rsidR="002F7A68">
        <w:t>Verizon</w:t>
      </w:r>
      <w:r>
        <w:t xml:space="preserve"> requested that the Complainant’s statements alleging that the Respondent failed to provide requested discovery information be stricken from the record or given no evidentiary weight.  </w:t>
      </w:r>
    </w:p>
    <w:p w:rsidR="00737357" w:rsidRDefault="00737357" w:rsidP="00E475FA">
      <w:pPr>
        <w:spacing w:line="360" w:lineRule="auto"/>
      </w:pPr>
    </w:p>
    <w:p w:rsidR="00737357" w:rsidRDefault="00737357" w:rsidP="00E475FA">
      <w:pPr>
        <w:spacing w:line="360" w:lineRule="auto"/>
      </w:pPr>
      <w:r>
        <w:lastRenderedPageBreak/>
        <w:tab/>
      </w:r>
      <w:r>
        <w:tab/>
        <w:t xml:space="preserve">In her letter dated October 15, 2010, the Complainant stated that she did not send the January 2010 </w:t>
      </w:r>
      <w:r w:rsidR="000400E3">
        <w:t>L</w:t>
      </w:r>
      <w:r>
        <w:t xml:space="preserve">etter to </w:t>
      </w:r>
      <w:r w:rsidR="00815DDA">
        <w:t xml:space="preserve">Verizon’s counsel </w:t>
      </w:r>
      <w:r>
        <w:t xml:space="preserve">because Verizon was requesting that her </w:t>
      </w:r>
      <w:r w:rsidR="00815DDA">
        <w:t>C</w:t>
      </w:r>
      <w:r>
        <w:t>omplaint be dismissed.  She stated that she was asking the Commission to investigate Verizon’s service fees and costs</w:t>
      </w:r>
      <w:r w:rsidR="00815DDA">
        <w:t xml:space="preserve"> and</w:t>
      </w:r>
      <w:r>
        <w:t xml:space="preserve"> requested that her statements be accepted as evidence.</w:t>
      </w:r>
    </w:p>
    <w:p w:rsidR="00737357" w:rsidRDefault="00737357" w:rsidP="00E475FA">
      <w:pPr>
        <w:spacing w:line="360" w:lineRule="auto"/>
      </w:pPr>
    </w:p>
    <w:p w:rsidR="00737357" w:rsidRDefault="00737357" w:rsidP="00E475FA">
      <w:pPr>
        <w:spacing w:line="360" w:lineRule="auto"/>
      </w:pPr>
      <w:r>
        <w:tab/>
      </w:r>
      <w:r>
        <w:tab/>
        <w:t>By correspondence, dated November 4, 2010, the Complainant stated that Verizon informed her that the fee for suspending her telephone from November 2010 to September 2011 would be $4 a month.</w:t>
      </w:r>
    </w:p>
    <w:p w:rsidR="00737357" w:rsidRDefault="00737357" w:rsidP="00E475FA">
      <w:pPr>
        <w:spacing w:line="360" w:lineRule="auto"/>
      </w:pPr>
    </w:p>
    <w:p w:rsidR="00737357" w:rsidRDefault="00737357" w:rsidP="00E475FA">
      <w:pPr>
        <w:spacing w:line="360" w:lineRule="auto"/>
      </w:pPr>
      <w:r>
        <w:tab/>
      </w:r>
      <w:r>
        <w:tab/>
        <w:t xml:space="preserve">After reviewing the correspondence provided by the </w:t>
      </w:r>
      <w:r w:rsidR="00512733">
        <w:t>P</w:t>
      </w:r>
      <w:r>
        <w:t xml:space="preserve">arties, the </w:t>
      </w:r>
      <w:r w:rsidR="00512733">
        <w:t>ALJ</w:t>
      </w:r>
      <w:r>
        <w:t xml:space="preserve"> sustained </w:t>
      </w:r>
      <w:r w:rsidR="00512733">
        <w:t>Verizon</w:t>
      </w:r>
      <w:r>
        <w:t>’s objection</w:t>
      </w:r>
      <w:r w:rsidR="00540BC8">
        <w:t>,</w:t>
      </w:r>
      <w:r>
        <w:t xml:space="preserve"> and the Complainant’s January 27, 2010 letter w</w:t>
      </w:r>
      <w:r w:rsidR="00512733">
        <w:t>as</w:t>
      </w:r>
      <w:r>
        <w:t xml:space="preserve"> not admitted as a late</w:t>
      </w:r>
      <w:r w:rsidR="008059B6">
        <w:t>-</w:t>
      </w:r>
      <w:r>
        <w:t>filed exhibit.</w:t>
      </w:r>
      <w:r w:rsidR="00512733">
        <w:t xml:space="preserve">  </w:t>
      </w:r>
      <w:r w:rsidR="00925620">
        <w:t xml:space="preserve">I.D. at 4.  </w:t>
      </w:r>
      <w:r>
        <w:t xml:space="preserve">  </w:t>
      </w:r>
    </w:p>
    <w:p w:rsidR="00737357" w:rsidRDefault="00737357" w:rsidP="00E475FA">
      <w:pPr>
        <w:spacing w:line="360" w:lineRule="auto"/>
        <w:ind w:firstLine="1440"/>
      </w:pPr>
    </w:p>
    <w:p w:rsidR="00737357" w:rsidRPr="005D5E4E" w:rsidRDefault="00737357" w:rsidP="00E475FA">
      <w:pPr>
        <w:spacing w:line="360" w:lineRule="auto"/>
        <w:ind w:firstLine="1440"/>
      </w:pPr>
      <w:r w:rsidRPr="005D5E4E">
        <w:t xml:space="preserve">The </w:t>
      </w:r>
      <w:r>
        <w:t xml:space="preserve">record consists of </w:t>
      </w:r>
      <w:r w:rsidRPr="005D5E4E">
        <w:t xml:space="preserve">a </w:t>
      </w:r>
      <w:r>
        <w:t>117</w:t>
      </w:r>
      <w:r w:rsidR="006157B0">
        <w:t>-</w:t>
      </w:r>
      <w:r>
        <w:t>page</w:t>
      </w:r>
      <w:r w:rsidRPr="005D5E4E">
        <w:t xml:space="preserve"> transcript </w:t>
      </w:r>
      <w:r>
        <w:t>and one exhibit</w:t>
      </w:r>
      <w:r w:rsidRPr="005D5E4E">
        <w:t xml:space="preserve">.  </w:t>
      </w:r>
      <w:r w:rsidRPr="00973B23">
        <w:t xml:space="preserve">The record closed on November </w:t>
      </w:r>
      <w:r>
        <w:t>29</w:t>
      </w:r>
      <w:r w:rsidRPr="00973B23">
        <w:t>, 2010</w:t>
      </w:r>
      <w:r>
        <w:t>.</w:t>
      </w:r>
    </w:p>
    <w:p w:rsidR="00737357" w:rsidRPr="005D5E4E" w:rsidRDefault="00737357" w:rsidP="00E475FA">
      <w:pPr>
        <w:spacing w:line="360" w:lineRule="auto"/>
        <w:jc w:val="center"/>
        <w:rPr>
          <w:u w:val="single"/>
        </w:rPr>
      </w:pPr>
    </w:p>
    <w:p w:rsidR="00464A04" w:rsidRDefault="00464A04" w:rsidP="00E475FA">
      <w:pPr>
        <w:spacing w:line="360" w:lineRule="auto"/>
      </w:pPr>
      <w:r>
        <w:tab/>
      </w:r>
      <w:r>
        <w:tab/>
        <w:t>In h</w:t>
      </w:r>
      <w:r w:rsidR="00505DA3">
        <w:t>er</w:t>
      </w:r>
      <w:r>
        <w:t xml:space="preserve"> Initial Decision, issued April 1</w:t>
      </w:r>
      <w:r w:rsidR="00505DA3">
        <w:t>3</w:t>
      </w:r>
      <w:r>
        <w:t>, 2012,</w:t>
      </w:r>
      <w:r w:rsidR="009E2988">
        <w:t xml:space="preserve"> the ALJ dismissed the Complaint </w:t>
      </w:r>
      <w:r w:rsidR="00505DA3">
        <w:t xml:space="preserve">on the basis that the </w:t>
      </w:r>
      <w:r w:rsidR="009E2988">
        <w:t>Complainant</w:t>
      </w:r>
      <w:r w:rsidR="00505DA3">
        <w:t xml:space="preserve"> did not sustain her burden of proof.  </w:t>
      </w:r>
      <w:r w:rsidR="00DB4B5C">
        <w:t xml:space="preserve">I.D. at </w:t>
      </w:r>
      <w:r w:rsidR="00505DA3">
        <w:t>1</w:t>
      </w:r>
      <w:r w:rsidR="00DB4B5C">
        <w:t xml:space="preserve">3, </w:t>
      </w:r>
      <w:r w:rsidR="00505DA3">
        <w:t>1</w:t>
      </w:r>
      <w:r w:rsidR="00DB4B5C">
        <w:t>4.</w:t>
      </w:r>
      <w:r w:rsidR="003B70B8">
        <w:t xml:space="preserve">  As previously noted, the Complainant filed Exceptions on April </w:t>
      </w:r>
      <w:r w:rsidR="00505DA3">
        <w:t>23</w:t>
      </w:r>
      <w:r w:rsidR="003B70B8">
        <w:t>, 2012.</w:t>
      </w:r>
      <w:r w:rsidR="003B70B8">
        <w:rPr>
          <w:rStyle w:val="FootnoteReference"/>
        </w:rPr>
        <w:footnoteReference w:id="2"/>
      </w:r>
      <w:r w:rsidR="003B70B8">
        <w:t xml:space="preserve">  </w:t>
      </w:r>
      <w:r w:rsidR="00505DA3">
        <w:t>Verizon</w:t>
      </w:r>
      <w:r w:rsidR="003B70B8">
        <w:t xml:space="preserve"> filed Replies to Exceptions on </w:t>
      </w:r>
      <w:r w:rsidR="00505DA3">
        <w:t>May 14</w:t>
      </w:r>
      <w:r w:rsidR="006157B0">
        <w:t>, 2012.</w:t>
      </w:r>
    </w:p>
    <w:p w:rsidR="001869F9" w:rsidRDefault="001869F9" w:rsidP="00E475FA">
      <w:pPr>
        <w:tabs>
          <w:tab w:val="left" w:pos="-1440"/>
          <w:tab w:val="left" w:pos="-720"/>
        </w:tabs>
        <w:suppressAutoHyphens/>
        <w:spacing w:line="360" w:lineRule="auto"/>
        <w:ind w:firstLine="1440"/>
        <w:rPr>
          <w:szCs w:val="24"/>
        </w:rPr>
      </w:pPr>
    </w:p>
    <w:p w:rsidR="00E33352" w:rsidRDefault="002561C5" w:rsidP="00E475FA">
      <w:pPr>
        <w:tabs>
          <w:tab w:val="left" w:pos="-1440"/>
          <w:tab w:val="left" w:pos="-720"/>
        </w:tabs>
        <w:suppressAutoHyphens/>
        <w:spacing w:line="360" w:lineRule="auto"/>
        <w:jc w:val="center"/>
        <w:rPr>
          <w:b/>
          <w:szCs w:val="26"/>
        </w:rPr>
      </w:pPr>
      <w:r w:rsidRPr="002561C5">
        <w:rPr>
          <w:b/>
          <w:szCs w:val="26"/>
        </w:rPr>
        <w:lastRenderedPageBreak/>
        <w:t>Discussion</w:t>
      </w:r>
    </w:p>
    <w:p w:rsidR="002561C5" w:rsidRDefault="002561C5" w:rsidP="00E475FA">
      <w:pPr>
        <w:spacing w:line="360" w:lineRule="auto"/>
        <w:jc w:val="center"/>
        <w:rPr>
          <w:b/>
          <w:szCs w:val="26"/>
        </w:rPr>
      </w:pPr>
    </w:p>
    <w:p w:rsidR="00C42659" w:rsidRDefault="00C42659" w:rsidP="00E475FA">
      <w:pPr>
        <w:spacing w:line="360" w:lineRule="auto"/>
        <w:ind w:firstLine="1440"/>
        <w:rPr>
          <w:szCs w:val="26"/>
        </w:rPr>
      </w:pPr>
      <w:r w:rsidRPr="00C42659">
        <w:rPr>
          <w:szCs w:val="26"/>
        </w:rPr>
        <w:t xml:space="preserve">As the proponent of a rule or order, the Complainant in this proceeding bears the burden of proof pursuant to Section 332(a) of the </w:t>
      </w:r>
      <w:r w:rsidR="00AD0786">
        <w:rPr>
          <w:szCs w:val="26"/>
        </w:rPr>
        <w:t xml:space="preserve">Public Utility </w:t>
      </w:r>
      <w:r w:rsidR="005E250D">
        <w:rPr>
          <w:szCs w:val="26"/>
        </w:rPr>
        <w:t>Code</w:t>
      </w:r>
      <w:r w:rsidR="00AD0786">
        <w:rPr>
          <w:szCs w:val="26"/>
        </w:rPr>
        <w:t xml:space="preserve"> (Code)</w:t>
      </w:r>
      <w:r w:rsidR="00443DD7">
        <w:rPr>
          <w:szCs w:val="26"/>
        </w:rPr>
        <w:t>,</w:t>
      </w:r>
      <w:r w:rsidRPr="00C42659">
        <w:rPr>
          <w:szCs w:val="26"/>
        </w:rPr>
        <w:t xml:space="preserve"> 66 Pa. C.S. § 332(a).  To establish a sufficient case and satisfy the burden of proof, the Complainant must show that the Respondent is responsible or accountable for the problem described in the Complaint.  </w:t>
      </w:r>
      <w:r w:rsidRPr="00C42659">
        <w:rPr>
          <w:i/>
          <w:szCs w:val="26"/>
        </w:rPr>
        <w:t>Patterson v. The Bell Telephone Company of Pennsylvania</w:t>
      </w:r>
      <w:r w:rsidRPr="00C42659">
        <w:rPr>
          <w:szCs w:val="26"/>
        </w:rPr>
        <w:t xml:space="preserve">, 72 Pa. P.U.C. 196 (1990).  Such a showing must be by a preponderance of the evidence.  </w:t>
      </w:r>
      <w:r w:rsidRPr="00C42659">
        <w:rPr>
          <w:i/>
          <w:iCs/>
          <w:szCs w:val="26"/>
        </w:rPr>
        <w:t>Samuel J. Lansberry, Inc. v. Pa. PUC</w:t>
      </w:r>
      <w:r w:rsidRPr="00C42659">
        <w:rPr>
          <w:szCs w:val="26"/>
        </w:rPr>
        <w:t xml:space="preserve">, 578 A.2d 600 (Pa. Cmwlth. 1990), </w:t>
      </w:r>
      <w:r w:rsidRPr="00C42659">
        <w:rPr>
          <w:i/>
          <w:szCs w:val="26"/>
        </w:rPr>
        <w:t>alloc. denied,</w:t>
      </w:r>
      <w:r w:rsidRPr="00C42659">
        <w:rPr>
          <w:szCs w:val="26"/>
        </w:rPr>
        <w:t xml:space="preserve"> 529 Pa. 654, 602 A.2d 863 (1992).  That is, the Complainant’s evidence must be more convincing, by even the smallest amount, than that presented by the Respondent.  </w:t>
      </w:r>
      <w:r w:rsidRPr="00C42659">
        <w:rPr>
          <w:i/>
          <w:szCs w:val="26"/>
        </w:rPr>
        <w:t>Se-Ling Hosiery, Inc. v. Margulies</w:t>
      </w:r>
      <w:r w:rsidRPr="00C4265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42659">
        <w:rPr>
          <w:i/>
          <w:szCs w:val="26"/>
        </w:rPr>
        <w:t xml:space="preserve">Norfolk &amp; Western Ry. Co. v. Pa. PUC, </w:t>
      </w:r>
      <w:r w:rsidRPr="00C42659">
        <w:rPr>
          <w:szCs w:val="26"/>
        </w:rPr>
        <w:t>489 Pa. 109, 413 A.2d 1037 (1980).</w:t>
      </w:r>
    </w:p>
    <w:p w:rsidR="00BC0547" w:rsidRDefault="00BC0547" w:rsidP="00E475FA">
      <w:pPr>
        <w:spacing w:line="360" w:lineRule="auto"/>
        <w:ind w:firstLine="1440"/>
        <w:rPr>
          <w:szCs w:val="26"/>
        </w:rPr>
      </w:pPr>
    </w:p>
    <w:p w:rsidR="005E2B87" w:rsidRDefault="00C42659" w:rsidP="00E475FA">
      <w:pPr>
        <w:spacing w:line="360" w:lineRule="auto"/>
        <w:ind w:firstLine="1440"/>
      </w:pPr>
      <w:r w:rsidRPr="00C42659">
        <w:t xml:space="preserve">Upon the presentation by a complainant of evidence sufficient to initially satisfy the burden of proof, the burden of going forward with the evidence to rebut the evidence of the customer shifts to the respondent. </w:t>
      </w:r>
      <w:r w:rsidR="00DF7F58">
        <w:t xml:space="preserve"> </w:t>
      </w:r>
      <w:r w:rsidRPr="00C42659">
        <w:t xml:space="preserve">If the evidence presented by the respondent is of co-equal value or “weight,” the burden of proof has not been satisfied. The complainant now has to provide some additional evidence to rebut that of the respondent. </w:t>
      </w:r>
      <w:r w:rsidRPr="00C42659">
        <w:rPr>
          <w:iCs/>
        </w:rPr>
        <w:t xml:space="preserve"> </w:t>
      </w:r>
      <w:hyperlink r:id="rId9" w:history="1">
        <w:r w:rsidRPr="00DF7F58">
          <w:rPr>
            <w:rFonts w:ascii="Times New (W1)" w:hAnsi="Times New (W1)"/>
            <w:i/>
          </w:rPr>
          <w:t>Burleson v. Pa. PUC</w:t>
        </w:r>
        <w:r w:rsidRPr="00DF7F58">
          <w:rPr>
            <w:rFonts w:ascii="Times New (W1)" w:hAnsi="Times New (W1)"/>
          </w:rPr>
          <w:t xml:space="preserve">, 443 A.2d 1373 (Pa. Cmwlth. 1982), </w:t>
        </w:r>
        <w:r w:rsidRPr="000C213E">
          <w:rPr>
            <w:rFonts w:ascii="Times New (W1)" w:hAnsi="Times New (W1)"/>
            <w:i/>
          </w:rPr>
          <w:t>aff’d</w:t>
        </w:r>
        <w:r w:rsidRPr="00DF7F58">
          <w:rPr>
            <w:rFonts w:ascii="Times New (W1)" w:hAnsi="Times New (W1)"/>
          </w:rPr>
          <w:t>, 501 Pa. 433, 461 A.2d 1234 (1983).</w:t>
        </w:r>
      </w:hyperlink>
      <w:r w:rsidR="00DF7F58">
        <w:rPr>
          <w:rFonts w:ascii="Times New (W1)" w:hAnsi="Times New (W1)"/>
          <w:iCs/>
        </w:rPr>
        <w:t xml:space="preserve">  </w:t>
      </w:r>
      <w:r w:rsidRPr="00C42659">
        <w:t xml:space="preserve">While the burden of </w:t>
      </w:r>
      <w:r w:rsidR="00022EC2">
        <w:t>going forward with the evidence</w:t>
      </w:r>
      <w:r w:rsidRPr="00C42659">
        <w:t xml:space="preserve"> may </w:t>
      </w:r>
      <w:r w:rsidRPr="00DF7F58">
        <w:rPr>
          <w:bCs/>
        </w:rPr>
        <w:t>shift</w:t>
      </w:r>
      <w:r w:rsidRPr="00C42659">
        <w:t xml:space="preserve"> back and forth during a proceeding, the </w:t>
      </w:r>
      <w:r w:rsidRPr="00DF7F58">
        <w:rPr>
          <w:bCs/>
        </w:rPr>
        <w:t>burden of proof</w:t>
      </w:r>
      <w:r w:rsidRPr="00C42659">
        <w:t xml:space="preserve"> never </w:t>
      </w:r>
      <w:r w:rsidRPr="00DF7F58">
        <w:rPr>
          <w:bCs/>
        </w:rPr>
        <w:t>shifts. The burden of proof</w:t>
      </w:r>
      <w:r w:rsidRPr="00C42659">
        <w:t xml:space="preserve"> always remains on the party seeking affirmative relief from the Commission.  </w:t>
      </w:r>
      <w:r w:rsidRPr="00C42659">
        <w:rPr>
          <w:i/>
        </w:rPr>
        <w:t xml:space="preserve">Milkie v. Pa. PUC, </w:t>
      </w:r>
      <w:r w:rsidRPr="00C42659">
        <w:t>768 A.2d 1217 (Pa. Cmwlth. 2001).</w:t>
      </w:r>
      <w:r w:rsidR="005E2B87">
        <w:t xml:space="preserve">  </w:t>
      </w:r>
    </w:p>
    <w:p w:rsidR="00A71FBA" w:rsidRDefault="00A71FBA" w:rsidP="00E475FA">
      <w:pPr>
        <w:spacing w:line="360" w:lineRule="auto"/>
        <w:ind w:firstLine="1440"/>
      </w:pPr>
    </w:p>
    <w:p w:rsidR="00C42659" w:rsidRPr="00C42659" w:rsidRDefault="00166C52" w:rsidP="00E475FA">
      <w:pPr>
        <w:spacing w:line="360" w:lineRule="auto"/>
        <w:ind w:firstLine="1440"/>
        <w:rPr>
          <w:szCs w:val="26"/>
        </w:rPr>
      </w:pPr>
      <w:r>
        <w:rPr>
          <w:szCs w:val="26"/>
        </w:rPr>
        <w:lastRenderedPageBreak/>
        <w:t>The ALJ</w:t>
      </w:r>
      <w:r w:rsidR="00DF7F58">
        <w:rPr>
          <w:szCs w:val="26"/>
        </w:rPr>
        <w:t xml:space="preserve"> </w:t>
      </w:r>
      <w:r w:rsidR="00C42659" w:rsidRPr="00C42659">
        <w:rPr>
          <w:szCs w:val="26"/>
        </w:rPr>
        <w:t xml:space="preserve">made </w:t>
      </w:r>
      <w:r>
        <w:rPr>
          <w:szCs w:val="26"/>
        </w:rPr>
        <w:t>f</w:t>
      </w:r>
      <w:r w:rsidR="00816EB3">
        <w:rPr>
          <w:szCs w:val="26"/>
        </w:rPr>
        <w:t>ifteen</w:t>
      </w:r>
      <w:r>
        <w:rPr>
          <w:szCs w:val="26"/>
        </w:rPr>
        <w:t xml:space="preserve"> </w:t>
      </w:r>
      <w:r w:rsidR="00C42659" w:rsidRPr="00C42659">
        <w:rPr>
          <w:szCs w:val="26"/>
        </w:rPr>
        <w:t>Findings of Fact and reached</w:t>
      </w:r>
      <w:r w:rsidR="00DF7F58">
        <w:rPr>
          <w:szCs w:val="26"/>
        </w:rPr>
        <w:t xml:space="preserve"> </w:t>
      </w:r>
      <w:r w:rsidR="00816EB3">
        <w:rPr>
          <w:szCs w:val="26"/>
        </w:rPr>
        <w:t>five</w:t>
      </w:r>
      <w:r w:rsidR="00C42659" w:rsidRPr="00C42659">
        <w:rPr>
          <w:szCs w:val="26"/>
        </w:rPr>
        <w:t xml:space="preserve"> Conclusions of Law.</w:t>
      </w:r>
      <w:r w:rsidR="00DF7F58">
        <w:rPr>
          <w:szCs w:val="26"/>
        </w:rPr>
        <w:t xml:space="preserve">  I.D. at </w:t>
      </w:r>
      <w:r w:rsidR="00816EB3">
        <w:rPr>
          <w:szCs w:val="26"/>
        </w:rPr>
        <w:t>4-6</w:t>
      </w:r>
      <w:r w:rsidR="00DF7F58">
        <w:rPr>
          <w:szCs w:val="26"/>
        </w:rPr>
        <w:t xml:space="preserve">, </w:t>
      </w:r>
      <w:r w:rsidR="00816EB3">
        <w:rPr>
          <w:szCs w:val="26"/>
        </w:rPr>
        <w:t>13-14</w:t>
      </w:r>
      <w:r w:rsidR="00DF7F58">
        <w:rPr>
          <w:szCs w:val="26"/>
        </w:rPr>
        <w:t>.</w:t>
      </w:r>
      <w:r w:rsidR="00C42659"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42659" w:rsidRPr="00C42659" w:rsidRDefault="00C42659" w:rsidP="00E475FA">
      <w:pPr>
        <w:spacing w:line="360" w:lineRule="auto"/>
        <w:rPr>
          <w:szCs w:val="26"/>
        </w:rPr>
      </w:pPr>
    </w:p>
    <w:p w:rsidR="00D83968" w:rsidRDefault="00C42659" w:rsidP="00E475FA">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1F73C2">
          <w:rPr>
            <w:i/>
            <w:iCs/>
            <w:color w:val="000000"/>
            <w:szCs w:val="26"/>
          </w:rPr>
          <w:t xml:space="preserve">Consolidated Rail Corp. v. Pa. 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1" w:history="1">
        <w:r w:rsidRPr="001F73C2">
          <w:rPr>
            <w:i/>
            <w:iCs/>
            <w:color w:val="000000"/>
            <w:szCs w:val="26"/>
          </w:rPr>
          <w:t>University of Pennsylvania v. Pa. PUC</w:t>
        </w:r>
        <w:r w:rsidRPr="001F73C2">
          <w:rPr>
            <w:color w:val="000000"/>
            <w:szCs w:val="26"/>
          </w:rPr>
          <w:t>, 485 A.2d 1217 (Pa. Cmwlth. 1984).</w:t>
        </w:r>
      </w:hyperlink>
    </w:p>
    <w:p w:rsidR="00693AF3" w:rsidRDefault="00693AF3" w:rsidP="00E475FA">
      <w:pPr>
        <w:spacing w:line="360" w:lineRule="auto"/>
        <w:ind w:firstLine="1440"/>
        <w:rPr>
          <w:color w:val="000000"/>
          <w:szCs w:val="26"/>
        </w:rPr>
      </w:pPr>
    </w:p>
    <w:p w:rsidR="00DE5E73" w:rsidRDefault="00DE5E73" w:rsidP="00E475FA">
      <w:pPr>
        <w:spacing w:line="360" w:lineRule="auto"/>
        <w:ind w:firstLine="1440"/>
        <w:rPr>
          <w:color w:val="000000"/>
          <w:szCs w:val="26"/>
        </w:rPr>
      </w:pPr>
      <w:r>
        <w:rPr>
          <w:color w:val="000000"/>
          <w:szCs w:val="26"/>
        </w:rPr>
        <w:t>In the Initial Decision, the ALJ stated that, since this case involve</w:t>
      </w:r>
      <w:r w:rsidR="00540BC8">
        <w:rPr>
          <w:color w:val="000000"/>
          <w:szCs w:val="26"/>
        </w:rPr>
        <w:t>d</w:t>
      </w:r>
      <w:r>
        <w:rPr>
          <w:color w:val="000000"/>
          <w:szCs w:val="26"/>
        </w:rPr>
        <w:t xml:space="preserve"> existing rates, the Complainant had the burden of proving that the tariff was unreasonable, unjust, or in violation of a Commission Regulation or Order.  I.D. at 13 (citing 66 Pa.</w:t>
      </w:r>
      <w:r w:rsidR="008059B6">
        <w:rPr>
          <w:color w:val="000000"/>
          <w:szCs w:val="26"/>
        </w:rPr>
        <w:t xml:space="preserve"> </w:t>
      </w:r>
      <w:r>
        <w:rPr>
          <w:color w:val="000000"/>
          <w:szCs w:val="26"/>
        </w:rPr>
        <w:t xml:space="preserve">C.S. </w:t>
      </w:r>
    </w:p>
    <w:p w:rsidR="00F476D1" w:rsidRDefault="00DE5E73" w:rsidP="00E475FA">
      <w:pPr>
        <w:spacing w:line="360" w:lineRule="auto"/>
        <w:rPr>
          <w:color w:val="000000"/>
          <w:szCs w:val="26"/>
        </w:rPr>
      </w:pPr>
      <w:r>
        <w:rPr>
          <w:color w:val="000000"/>
          <w:szCs w:val="26"/>
        </w:rPr>
        <w:t xml:space="preserve">§ 332(a); </w:t>
      </w:r>
      <w:r>
        <w:rPr>
          <w:i/>
          <w:color w:val="000000"/>
          <w:szCs w:val="26"/>
        </w:rPr>
        <w:t>Schellham</w:t>
      </w:r>
      <w:r w:rsidR="00251130">
        <w:rPr>
          <w:i/>
          <w:color w:val="000000"/>
          <w:szCs w:val="26"/>
        </w:rPr>
        <w:t>m</w:t>
      </w:r>
      <w:r>
        <w:rPr>
          <w:i/>
          <w:color w:val="000000"/>
          <w:szCs w:val="26"/>
        </w:rPr>
        <w:t xml:space="preserve">er v. Pa. </w:t>
      </w:r>
      <w:r w:rsidRPr="00DE5E73">
        <w:rPr>
          <w:i/>
          <w:color w:val="000000"/>
          <w:szCs w:val="26"/>
        </w:rPr>
        <w:t>PUC</w:t>
      </w:r>
      <w:r>
        <w:rPr>
          <w:color w:val="000000"/>
          <w:szCs w:val="26"/>
        </w:rPr>
        <w:t xml:space="preserve">, 629 A.2d 189 (Pa. Cmwlth. 1993); </w:t>
      </w:r>
      <w:r w:rsidRPr="00DE5E73">
        <w:rPr>
          <w:i/>
          <w:color w:val="000000"/>
          <w:szCs w:val="26"/>
        </w:rPr>
        <w:t>Duquesne Light Co. v. Pa. PUC</w:t>
      </w:r>
      <w:r>
        <w:rPr>
          <w:color w:val="000000"/>
          <w:szCs w:val="26"/>
        </w:rPr>
        <w:t xml:space="preserve">, 715 A.2d 540 (Pa. Cmwlth. 1998)).  </w:t>
      </w:r>
      <w:r w:rsidRPr="00DE5E73">
        <w:rPr>
          <w:color w:val="000000"/>
          <w:szCs w:val="26"/>
        </w:rPr>
        <w:t>The</w:t>
      </w:r>
      <w:r>
        <w:rPr>
          <w:color w:val="000000"/>
          <w:szCs w:val="26"/>
        </w:rPr>
        <w:t xml:space="preserve"> ALJ found that the Complainant did not satisfy her burden of showing that the existing rate should be changed.  I.D. at 13.</w:t>
      </w:r>
      <w:r w:rsidR="00F17DA4">
        <w:rPr>
          <w:color w:val="000000"/>
          <w:szCs w:val="26"/>
        </w:rPr>
        <w:t xml:space="preserve">  The ALJ also determined that, when the Complainant temporarily suspended her telephone service in September 2008, Verizon billed the Complainant based on its approved tariff that was in effect in 2008.  Accordingly, the ALJ concluded that Verizon complied with its tariff, the Code, and the Commission’s Regulations when it billed the Complainant.  </w:t>
      </w:r>
      <w:r w:rsidR="00F17DA4" w:rsidRPr="00F17DA4">
        <w:rPr>
          <w:i/>
          <w:color w:val="000000"/>
          <w:szCs w:val="26"/>
        </w:rPr>
        <w:t>Id</w:t>
      </w:r>
      <w:r w:rsidR="00F17DA4">
        <w:rPr>
          <w:color w:val="000000"/>
          <w:szCs w:val="26"/>
        </w:rPr>
        <w:t>. at 11.</w:t>
      </w:r>
      <w:r w:rsidR="00F476D1">
        <w:rPr>
          <w:color w:val="000000"/>
          <w:szCs w:val="26"/>
        </w:rPr>
        <w:t xml:space="preserve">  </w:t>
      </w:r>
    </w:p>
    <w:p w:rsidR="00F476D1" w:rsidRDefault="00F476D1" w:rsidP="00E475FA">
      <w:pPr>
        <w:spacing w:line="360" w:lineRule="auto"/>
        <w:rPr>
          <w:color w:val="000000"/>
          <w:szCs w:val="26"/>
        </w:rPr>
      </w:pPr>
    </w:p>
    <w:p w:rsidR="0091638E" w:rsidRDefault="00F476D1" w:rsidP="00E475FA">
      <w:pPr>
        <w:spacing w:line="360" w:lineRule="auto"/>
        <w:ind w:firstLine="1440"/>
        <w:rPr>
          <w:color w:val="000000"/>
          <w:szCs w:val="26"/>
        </w:rPr>
      </w:pPr>
      <w:r>
        <w:rPr>
          <w:color w:val="000000"/>
          <w:szCs w:val="26"/>
        </w:rPr>
        <w:t>Furthermore, with respect to the admission of the January 2010 Letter, the ALJ found that the Complainant</w:t>
      </w:r>
      <w:r w:rsidR="00C00867">
        <w:rPr>
          <w:color w:val="000000"/>
          <w:szCs w:val="26"/>
        </w:rPr>
        <w:t>’s letter</w:t>
      </w:r>
      <w:r>
        <w:rPr>
          <w:color w:val="000000"/>
          <w:szCs w:val="26"/>
        </w:rPr>
        <w:t xml:space="preserve"> did not request information from Verizon about the costs associated with a temporarily suspended telephone account.  As such, the ALJ determined that the Complainant’s statements regarding Verizon’s failure to respond to her discovery request were incorrect and would not be considered.  </w:t>
      </w:r>
      <w:r w:rsidRPr="00F476D1">
        <w:rPr>
          <w:i/>
          <w:color w:val="000000"/>
          <w:szCs w:val="26"/>
        </w:rPr>
        <w:t>Id</w:t>
      </w:r>
      <w:r w:rsidR="00E475FA">
        <w:rPr>
          <w:color w:val="000000"/>
          <w:szCs w:val="26"/>
        </w:rPr>
        <w:t>. at 13.</w:t>
      </w:r>
    </w:p>
    <w:p w:rsidR="00AE4A3A" w:rsidRDefault="0091638E" w:rsidP="00E475FA">
      <w:pPr>
        <w:spacing w:line="360" w:lineRule="auto"/>
        <w:rPr>
          <w:color w:val="000000"/>
          <w:szCs w:val="26"/>
        </w:rPr>
      </w:pPr>
      <w:r>
        <w:rPr>
          <w:color w:val="000000"/>
          <w:szCs w:val="26"/>
        </w:rPr>
        <w:lastRenderedPageBreak/>
        <w:tab/>
      </w:r>
      <w:r>
        <w:rPr>
          <w:color w:val="000000"/>
          <w:szCs w:val="26"/>
        </w:rPr>
        <w:tab/>
      </w:r>
      <w:r w:rsidR="00693AF3">
        <w:rPr>
          <w:color w:val="000000"/>
          <w:szCs w:val="26"/>
        </w:rPr>
        <w:t xml:space="preserve">In her </w:t>
      </w:r>
      <w:r w:rsidR="00B86347">
        <w:rPr>
          <w:color w:val="000000"/>
          <w:szCs w:val="26"/>
        </w:rPr>
        <w:t xml:space="preserve">first </w:t>
      </w:r>
      <w:r w:rsidR="00693AF3">
        <w:rPr>
          <w:color w:val="000000"/>
          <w:szCs w:val="26"/>
        </w:rPr>
        <w:t>Exception, the Complainant</w:t>
      </w:r>
      <w:r w:rsidR="00B86347">
        <w:rPr>
          <w:color w:val="000000"/>
          <w:szCs w:val="26"/>
        </w:rPr>
        <w:t xml:space="preserve"> avers that she does not have the burden of proof in this proceeding because she is not questioning whether Verizon violated its tariff, the Code, or a Regulation or Order of the Commission.  </w:t>
      </w:r>
      <w:r w:rsidR="0077658C">
        <w:rPr>
          <w:color w:val="000000"/>
          <w:szCs w:val="26"/>
        </w:rPr>
        <w:t>Instead, the Complainant states that Verizon has the burden of proof to show that the rates in its Commission-approved tariff for temporary suspension of telephone service are jus</w:t>
      </w:r>
      <w:r w:rsidR="00D428F1">
        <w:rPr>
          <w:color w:val="000000"/>
          <w:szCs w:val="26"/>
        </w:rPr>
        <w:t>t and reasonable.  Exc. at 2.</w:t>
      </w:r>
    </w:p>
    <w:p w:rsidR="006924FE" w:rsidRDefault="006924FE" w:rsidP="00E475FA">
      <w:pPr>
        <w:spacing w:line="360" w:lineRule="auto"/>
        <w:ind w:firstLine="1440"/>
        <w:rPr>
          <w:color w:val="000000"/>
          <w:szCs w:val="26"/>
        </w:rPr>
      </w:pPr>
    </w:p>
    <w:p w:rsidR="0038038E" w:rsidRDefault="00FD34FA" w:rsidP="00E475FA">
      <w:pPr>
        <w:spacing w:line="360" w:lineRule="auto"/>
        <w:ind w:firstLine="1440"/>
        <w:rPr>
          <w:color w:val="000000"/>
          <w:szCs w:val="26"/>
        </w:rPr>
      </w:pPr>
      <w:r>
        <w:rPr>
          <w:color w:val="000000"/>
          <w:szCs w:val="26"/>
        </w:rPr>
        <w:t xml:space="preserve">In response, Verizon </w:t>
      </w:r>
      <w:r w:rsidR="000F42CA">
        <w:rPr>
          <w:color w:val="000000"/>
          <w:szCs w:val="26"/>
        </w:rPr>
        <w:t>contends</w:t>
      </w:r>
      <w:r>
        <w:rPr>
          <w:color w:val="000000"/>
          <w:szCs w:val="26"/>
        </w:rPr>
        <w:t xml:space="preserve"> that the Complainant’s interpretation of the assignment of the burden of proof is inaccurate and the Initial Decision correctly held that the Complainant did not sustain her burden of proof in this proceeding.  </w:t>
      </w:r>
      <w:r w:rsidR="0072308F">
        <w:rPr>
          <w:color w:val="000000"/>
          <w:szCs w:val="26"/>
        </w:rPr>
        <w:t>R.</w:t>
      </w:r>
      <w:r w:rsidR="00CA6A33">
        <w:rPr>
          <w:color w:val="000000"/>
          <w:szCs w:val="26"/>
        </w:rPr>
        <w:t xml:space="preserve"> </w:t>
      </w:r>
      <w:r w:rsidR="0072308F">
        <w:rPr>
          <w:color w:val="000000"/>
          <w:szCs w:val="26"/>
        </w:rPr>
        <w:t xml:space="preserve">Exc. at 3.  </w:t>
      </w:r>
      <w:r w:rsidR="002205FA">
        <w:rPr>
          <w:color w:val="000000"/>
          <w:szCs w:val="26"/>
        </w:rPr>
        <w:t xml:space="preserve">Verizon asserts that, as the party requesting relief from the Commission in the form of a directive that Verizon take a specific action when no law, Order, or Regulation of the Commission has been violated, the Complainant is clearly the proponent of a rule or order.  As such, Verizon </w:t>
      </w:r>
      <w:r w:rsidR="0070104A">
        <w:rPr>
          <w:color w:val="000000"/>
          <w:szCs w:val="26"/>
        </w:rPr>
        <w:t xml:space="preserve">submits </w:t>
      </w:r>
      <w:r w:rsidR="002205FA">
        <w:rPr>
          <w:color w:val="000000"/>
          <w:szCs w:val="26"/>
        </w:rPr>
        <w:t>that the Complainant has the burden of proof under Section 332</w:t>
      </w:r>
      <w:r w:rsidR="00C00867">
        <w:rPr>
          <w:color w:val="000000"/>
          <w:szCs w:val="26"/>
        </w:rPr>
        <w:t>(a)</w:t>
      </w:r>
      <w:r w:rsidR="002205FA">
        <w:rPr>
          <w:color w:val="000000"/>
          <w:szCs w:val="26"/>
        </w:rPr>
        <w:t xml:space="preserve"> of the Code.  Verizon al</w:t>
      </w:r>
      <w:r w:rsidR="0038038E">
        <w:rPr>
          <w:color w:val="000000"/>
          <w:szCs w:val="26"/>
        </w:rPr>
        <w:t>so</w:t>
      </w:r>
      <w:r w:rsidR="002205FA">
        <w:rPr>
          <w:color w:val="000000"/>
          <w:szCs w:val="26"/>
        </w:rPr>
        <w:t xml:space="preserve"> </w:t>
      </w:r>
      <w:r w:rsidR="0070104A">
        <w:rPr>
          <w:color w:val="000000"/>
          <w:szCs w:val="26"/>
        </w:rPr>
        <w:t xml:space="preserve">submits </w:t>
      </w:r>
      <w:r w:rsidR="002205FA">
        <w:rPr>
          <w:color w:val="000000"/>
          <w:szCs w:val="26"/>
        </w:rPr>
        <w:t xml:space="preserve">that the Complainant has the burden of proof because she is challenging an established rate in </w:t>
      </w:r>
      <w:r w:rsidR="00C00867">
        <w:rPr>
          <w:color w:val="000000"/>
          <w:szCs w:val="26"/>
        </w:rPr>
        <w:t>Verizon’s</w:t>
      </w:r>
      <w:r w:rsidR="002205FA">
        <w:rPr>
          <w:color w:val="000000"/>
          <w:szCs w:val="26"/>
        </w:rPr>
        <w:t xml:space="preserve"> tariff that was previously approved by the Commission</w:t>
      </w:r>
      <w:r w:rsidR="00B90363">
        <w:rPr>
          <w:color w:val="000000"/>
          <w:szCs w:val="26"/>
        </w:rPr>
        <w:t xml:space="preserve">.  </w:t>
      </w:r>
      <w:r w:rsidR="000D4E09" w:rsidRPr="000D4E09">
        <w:rPr>
          <w:i/>
          <w:color w:val="000000"/>
          <w:szCs w:val="26"/>
        </w:rPr>
        <w:t>Id</w:t>
      </w:r>
      <w:r w:rsidR="000D4E09">
        <w:rPr>
          <w:color w:val="000000"/>
          <w:szCs w:val="26"/>
        </w:rPr>
        <w:t xml:space="preserve">. at 4.  </w:t>
      </w:r>
      <w:r w:rsidR="0070104A">
        <w:rPr>
          <w:color w:val="000000"/>
          <w:szCs w:val="26"/>
        </w:rPr>
        <w:t xml:space="preserve">In this regard, </w:t>
      </w:r>
      <w:r w:rsidR="00B90363">
        <w:rPr>
          <w:color w:val="000000"/>
          <w:szCs w:val="26"/>
        </w:rPr>
        <w:t xml:space="preserve">Verizon </w:t>
      </w:r>
      <w:r w:rsidR="0070104A">
        <w:rPr>
          <w:color w:val="000000"/>
          <w:szCs w:val="26"/>
        </w:rPr>
        <w:t>notes that the</w:t>
      </w:r>
      <w:r w:rsidR="000F42CA">
        <w:rPr>
          <w:color w:val="000000"/>
          <w:szCs w:val="26"/>
        </w:rPr>
        <w:t xml:space="preserve"> ALJ </w:t>
      </w:r>
      <w:r w:rsidR="00B90363">
        <w:rPr>
          <w:color w:val="000000"/>
          <w:szCs w:val="26"/>
        </w:rPr>
        <w:t xml:space="preserve">correctly </w:t>
      </w:r>
      <w:r w:rsidR="000F42CA">
        <w:rPr>
          <w:color w:val="000000"/>
          <w:szCs w:val="26"/>
        </w:rPr>
        <w:t>indicated in h</w:t>
      </w:r>
      <w:r w:rsidR="00967BF4">
        <w:rPr>
          <w:color w:val="000000"/>
          <w:szCs w:val="26"/>
        </w:rPr>
        <w:t xml:space="preserve">er </w:t>
      </w:r>
      <w:r w:rsidR="00B90363">
        <w:rPr>
          <w:color w:val="000000"/>
          <w:szCs w:val="26"/>
        </w:rPr>
        <w:t>Initial Decision</w:t>
      </w:r>
      <w:r w:rsidR="000F42CA">
        <w:rPr>
          <w:color w:val="000000"/>
          <w:szCs w:val="26"/>
        </w:rPr>
        <w:t xml:space="preserve"> that </w:t>
      </w:r>
      <w:r w:rsidR="00B90363">
        <w:rPr>
          <w:color w:val="000000"/>
          <w:szCs w:val="26"/>
        </w:rPr>
        <w:t xml:space="preserve">charges in a Commission-approved tariff are </w:t>
      </w:r>
      <w:r w:rsidR="002825B2">
        <w:rPr>
          <w:color w:val="000000"/>
          <w:szCs w:val="26"/>
        </w:rPr>
        <w:t xml:space="preserve">considered reasonable </w:t>
      </w:r>
      <w:r w:rsidR="002825B2" w:rsidRPr="002825B2">
        <w:rPr>
          <w:i/>
          <w:color w:val="000000"/>
          <w:szCs w:val="26"/>
        </w:rPr>
        <w:t>per se</w:t>
      </w:r>
      <w:r w:rsidR="002825B2">
        <w:rPr>
          <w:color w:val="000000"/>
          <w:szCs w:val="26"/>
        </w:rPr>
        <w:t>, and the tariff is binding on the utility and its customers until proven otherwise.</w:t>
      </w:r>
      <w:r w:rsidR="000D4E09">
        <w:rPr>
          <w:color w:val="000000"/>
          <w:szCs w:val="26"/>
        </w:rPr>
        <w:t xml:space="preserve">  </w:t>
      </w:r>
      <w:r w:rsidR="00F3149D" w:rsidRPr="0038038E">
        <w:rPr>
          <w:i/>
          <w:color w:val="000000"/>
          <w:szCs w:val="26"/>
        </w:rPr>
        <w:t>Id</w:t>
      </w:r>
      <w:r w:rsidR="00F3149D">
        <w:rPr>
          <w:color w:val="000000"/>
          <w:szCs w:val="26"/>
        </w:rPr>
        <w:t xml:space="preserve">. (quoting </w:t>
      </w:r>
      <w:r w:rsidR="00F3149D" w:rsidRPr="004427F9">
        <w:rPr>
          <w:i/>
          <w:color w:val="000000"/>
          <w:szCs w:val="26"/>
        </w:rPr>
        <w:t>Pennsylvania Electric Co</w:t>
      </w:r>
      <w:r w:rsidR="007D489B" w:rsidRPr="004427F9">
        <w:rPr>
          <w:i/>
          <w:color w:val="000000"/>
          <w:szCs w:val="26"/>
        </w:rPr>
        <w:t>.</w:t>
      </w:r>
      <w:r w:rsidR="00F3149D" w:rsidRPr="004427F9">
        <w:rPr>
          <w:i/>
          <w:color w:val="000000"/>
          <w:szCs w:val="26"/>
        </w:rPr>
        <w:t xml:space="preserve"> v. Pa. PUC</w:t>
      </w:r>
      <w:r w:rsidR="007D489B">
        <w:rPr>
          <w:color w:val="000000"/>
          <w:szCs w:val="26"/>
        </w:rPr>
        <w:t xml:space="preserve">, 663 A.2d 281 (Pa. Cmwlth. 1995); </w:t>
      </w:r>
      <w:r w:rsidR="007D489B" w:rsidRPr="004427F9">
        <w:rPr>
          <w:i/>
          <w:color w:val="000000"/>
          <w:szCs w:val="26"/>
        </w:rPr>
        <w:t>Lynch v. Pa. PUC</w:t>
      </w:r>
      <w:r w:rsidR="007D489B">
        <w:rPr>
          <w:color w:val="000000"/>
          <w:szCs w:val="26"/>
        </w:rPr>
        <w:t>, 594 A.2d 816 (Pa. Cmwlth. 1991)</w:t>
      </w:r>
      <w:r w:rsidR="00A75292">
        <w:rPr>
          <w:color w:val="000000"/>
          <w:szCs w:val="26"/>
        </w:rPr>
        <w:t>)</w:t>
      </w:r>
      <w:r w:rsidR="007D489B">
        <w:rPr>
          <w:color w:val="000000"/>
          <w:szCs w:val="26"/>
        </w:rPr>
        <w:t>.</w:t>
      </w:r>
      <w:r w:rsidR="0070104A">
        <w:rPr>
          <w:color w:val="000000"/>
          <w:szCs w:val="26"/>
        </w:rPr>
        <w:t xml:space="preserve">  Verizon i</w:t>
      </w:r>
      <w:r w:rsidR="00386F4E">
        <w:rPr>
          <w:color w:val="000000"/>
          <w:szCs w:val="26"/>
        </w:rPr>
        <w:t>s</w:t>
      </w:r>
      <w:r w:rsidR="0070104A">
        <w:rPr>
          <w:color w:val="000000"/>
          <w:szCs w:val="26"/>
        </w:rPr>
        <w:t xml:space="preserve"> of the opinion that the Complainant was unable to prove in this proceeding that the existing tariffed charges are unreasonable.</w:t>
      </w:r>
    </w:p>
    <w:p w:rsidR="0038038E" w:rsidRDefault="0038038E" w:rsidP="00E475FA">
      <w:pPr>
        <w:spacing w:line="360" w:lineRule="auto"/>
        <w:ind w:firstLine="1440"/>
        <w:rPr>
          <w:color w:val="000000"/>
          <w:szCs w:val="26"/>
        </w:rPr>
      </w:pPr>
    </w:p>
    <w:p w:rsidR="001E1FD4" w:rsidRDefault="0038038E" w:rsidP="00E475FA">
      <w:pPr>
        <w:spacing w:line="360" w:lineRule="auto"/>
        <w:ind w:firstLine="1440"/>
        <w:rPr>
          <w:color w:val="000000"/>
          <w:szCs w:val="26"/>
        </w:rPr>
      </w:pPr>
      <w:r>
        <w:rPr>
          <w:color w:val="000000"/>
          <w:szCs w:val="26"/>
        </w:rPr>
        <w:t>Additionally, Verizon maintains that the Complainant did not present any  testimony or documentary evidence to demonstrate that Verizon charged the Complainant’s telephone account an amount for the temporary suspension of service that was different than the rate in its tariff or that Verizon’s existing tariff rates were unjust or unreasonable.  R.</w:t>
      </w:r>
      <w:r w:rsidR="00CA6A33">
        <w:rPr>
          <w:color w:val="000000"/>
          <w:szCs w:val="26"/>
        </w:rPr>
        <w:t xml:space="preserve"> </w:t>
      </w:r>
      <w:r>
        <w:rPr>
          <w:color w:val="000000"/>
          <w:szCs w:val="26"/>
        </w:rPr>
        <w:t xml:space="preserve">Exc. at 4-5.  </w:t>
      </w:r>
      <w:r w:rsidR="001E1FD4">
        <w:rPr>
          <w:color w:val="000000"/>
          <w:szCs w:val="26"/>
        </w:rPr>
        <w:t xml:space="preserve">Similarly, Verizon contends that the Complainant’s </w:t>
      </w:r>
      <w:r w:rsidR="001E1FD4">
        <w:rPr>
          <w:color w:val="000000"/>
          <w:szCs w:val="26"/>
        </w:rPr>
        <w:lastRenderedPageBreak/>
        <w:t xml:space="preserve">Exceptions do not support a modification of the findings and conclusions in the Initial Decision.  </w:t>
      </w:r>
      <w:r w:rsidR="001E1FD4" w:rsidRPr="001E1FD4">
        <w:rPr>
          <w:i/>
          <w:color w:val="000000"/>
          <w:szCs w:val="26"/>
        </w:rPr>
        <w:t>Id</w:t>
      </w:r>
      <w:r w:rsidR="001E1FD4">
        <w:rPr>
          <w:color w:val="000000"/>
          <w:szCs w:val="26"/>
        </w:rPr>
        <w:t xml:space="preserve">. at 5.  </w:t>
      </w:r>
    </w:p>
    <w:p w:rsidR="002F6759" w:rsidRDefault="002F6759" w:rsidP="00E475FA">
      <w:pPr>
        <w:spacing w:line="360" w:lineRule="auto"/>
        <w:ind w:firstLine="1440"/>
        <w:rPr>
          <w:color w:val="000000"/>
          <w:szCs w:val="26"/>
        </w:rPr>
      </w:pPr>
    </w:p>
    <w:p w:rsidR="00556F28" w:rsidRDefault="00FB743F" w:rsidP="00E475FA">
      <w:pPr>
        <w:spacing w:line="360" w:lineRule="auto"/>
        <w:ind w:firstLine="1440"/>
        <w:rPr>
          <w:color w:val="000000"/>
          <w:szCs w:val="26"/>
        </w:rPr>
      </w:pPr>
      <w:r>
        <w:rPr>
          <w:color w:val="000000"/>
          <w:szCs w:val="26"/>
        </w:rPr>
        <w:t xml:space="preserve">Based on our review of the record and the applicable law, we conclude that the </w:t>
      </w:r>
      <w:r w:rsidR="00CD2E85">
        <w:rPr>
          <w:color w:val="000000"/>
          <w:szCs w:val="26"/>
        </w:rPr>
        <w:t xml:space="preserve">ALJ correctly determined that the </w:t>
      </w:r>
      <w:r>
        <w:rPr>
          <w:color w:val="000000"/>
          <w:szCs w:val="26"/>
        </w:rPr>
        <w:t>Complainant ha</w:t>
      </w:r>
      <w:r w:rsidR="008845E1">
        <w:rPr>
          <w:color w:val="000000"/>
          <w:szCs w:val="26"/>
        </w:rPr>
        <w:t>s</w:t>
      </w:r>
      <w:r>
        <w:rPr>
          <w:color w:val="000000"/>
          <w:szCs w:val="26"/>
        </w:rPr>
        <w:t xml:space="preserve"> the burden of proof in this proceeding.  </w:t>
      </w:r>
      <w:r w:rsidR="00E94AB4">
        <w:rPr>
          <w:color w:val="000000"/>
          <w:szCs w:val="26"/>
        </w:rPr>
        <w:t xml:space="preserve">In her Complaint, the Complainant stated that there were incorrect charges on her bill for temporary suspended service.  </w:t>
      </w:r>
      <w:r w:rsidR="00594E66">
        <w:rPr>
          <w:color w:val="000000"/>
          <w:szCs w:val="26"/>
        </w:rPr>
        <w:t>Complaint at ¶ 4.  In the letter attached to her Complainant and in her testimony during the hearing, the Complainant also challenged the charges in Verizon’s tariff pertaining to temporary suspended service</w:t>
      </w:r>
      <w:r w:rsidR="00857541">
        <w:rPr>
          <w:color w:val="000000"/>
          <w:szCs w:val="26"/>
        </w:rPr>
        <w:t xml:space="preserve"> and</w:t>
      </w:r>
      <w:r w:rsidR="00350F1E">
        <w:rPr>
          <w:color w:val="000000"/>
          <w:szCs w:val="26"/>
        </w:rPr>
        <w:t xml:space="preserve"> requested that the tariffs be revised on the basis that they were unreasonable</w:t>
      </w:r>
      <w:r w:rsidR="00857541">
        <w:rPr>
          <w:color w:val="000000"/>
          <w:szCs w:val="26"/>
        </w:rPr>
        <w:t xml:space="preserve">.  Tr. at 27.  She </w:t>
      </w:r>
      <w:r w:rsidR="00350F1E">
        <w:rPr>
          <w:color w:val="000000"/>
          <w:szCs w:val="26"/>
        </w:rPr>
        <w:t xml:space="preserve">questioned why she was billed for the following charges when her service was temporarily suspended:  dial tone phone line charge, line cost charge, telephone company equipment, charge listing, custom calling service, touch tone and wire maintenance plans, and the Federal Universal Service Fund charge.  </w:t>
      </w:r>
      <w:r w:rsidR="00857541">
        <w:rPr>
          <w:color w:val="000000"/>
          <w:szCs w:val="26"/>
        </w:rPr>
        <w:t xml:space="preserve">Tr. at 11.  </w:t>
      </w:r>
    </w:p>
    <w:p w:rsidR="00556F28" w:rsidRDefault="00556F28" w:rsidP="00E475FA">
      <w:pPr>
        <w:spacing w:line="360" w:lineRule="auto"/>
        <w:ind w:firstLine="1440"/>
        <w:rPr>
          <w:color w:val="000000"/>
          <w:szCs w:val="26"/>
        </w:rPr>
      </w:pPr>
    </w:p>
    <w:p w:rsidR="00CD2E85" w:rsidRDefault="00FB743F" w:rsidP="00E475FA">
      <w:pPr>
        <w:spacing w:line="360" w:lineRule="auto"/>
        <w:ind w:firstLine="1440"/>
        <w:rPr>
          <w:color w:val="000000"/>
          <w:szCs w:val="26"/>
        </w:rPr>
      </w:pPr>
      <w:r>
        <w:rPr>
          <w:color w:val="000000"/>
          <w:szCs w:val="26"/>
        </w:rPr>
        <w:t xml:space="preserve">As the Complainant </w:t>
      </w:r>
      <w:r w:rsidR="008845E1">
        <w:rPr>
          <w:color w:val="000000"/>
          <w:szCs w:val="26"/>
        </w:rPr>
        <w:t>i</w:t>
      </w:r>
      <w:r>
        <w:rPr>
          <w:color w:val="000000"/>
          <w:szCs w:val="26"/>
        </w:rPr>
        <w:t xml:space="preserve">s seeking relief from the Commission </w:t>
      </w:r>
      <w:r w:rsidR="00D2262B">
        <w:rPr>
          <w:color w:val="000000"/>
          <w:szCs w:val="26"/>
        </w:rPr>
        <w:t xml:space="preserve">in the form of a directive that Verizon take a specific action, she </w:t>
      </w:r>
      <w:r w:rsidR="00556F28">
        <w:rPr>
          <w:color w:val="000000"/>
          <w:szCs w:val="26"/>
        </w:rPr>
        <w:t xml:space="preserve">is a proponent of a rule or order and </w:t>
      </w:r>
      <w:r w:rsidR="00D2262B">
        <w:rPr>
          <w:color w:val="000000"/>
          <w:szCs w:val="26"/>
        </w:rPr>
        <w:t>ha</w:t>
      </w:r>
      <w:r w:rsidR="008845E1">
        <w:rPr>
          <w:color w:val="000000"/>
          <w:szCs w:val="26"/>
        </w:rPr>
        <w:t>s</w:t>
      </w:r>
      <w:r w:rsidR="00D2262B">
        <w:rPr>
          <w:color w:val="000000"/>
          <w:szCs w:val="26"/>
        </w:rPr>
        <w:t xml:space="preserve"> the burden of proof under Section 332(a) of the Code, 66 Pa.</w:t>
      </w:r>
      <w:r w:rsidR="008059B6">
        <w:rPr>
          <w:color w:val="000000"/>
          <w:szCs w:val="26"/>
        </w:rPr>
        <w:t xml:space="preserve"> </w:t>
      </w:r>
      <w:r w:rsidR="00D2262B">
        <w:rPr>
          <w:color w:val="000000"/>
          <w:szCs w:val="26"/>
        </w:rPr>
        <w:t>C.S.</w:t>
      </w:r>
      <w:r w:rsidR="00D16A62">
        <w:rPr>
          <w:color w:val="000000"/>
          <w:szCs w:val="26"/>
        </w:rPr>
        <w:t xml:space="preserve"> </w:t>
      </w:r>
      <w:r w:rsidR="00D2262B">
        <w:rPr>
          <w:color w:val="000000"/>
          <w:szCs w:val="26"/>
        </w:rPr>
        <w:t xml:space="preserve">§ 332(a).  </w:t>
      </w:r>
      <w:r w:rsidR="008845E1">
        <w:rPr>
          <w:color w:val="000000"/>
          <w:szCs w:val="26"/>
        </w:rPr>
        <w:t xml:space="preserve">Additionally, because the Complainant is challenging the rates in Verizon’s tariff which govern temporary suspension of service, she has the burden of proving that the rates are unreasonable.  </w:t>
      </w:r>
      <w:r w:rsidR="00556F28">
        <w:rPr>
          <w:color w:val="000000"/>
          <w:szCs w:val="26"/>
        </w:rPr>
        <w:t>T</w:t>
      </w:r>
      <w:r w:rsidR="008845E1">
        <w:rPr>
          <w:color w:val="000000"/>
          <w:szCs w:val="26"/>
        </w:rPr>
        <w:t xml:space="preserve">ariff provisions that have been approved by the Commission, as Verizon’s tariff provisions here, are </w:t>
      </w:r>
      <w:r w:rsidR="002C42CF">
        <w:rPr>
          <w:i/>
          <w:color w:val="000000"/>
          <w:szCs w:val="26"/>
        </w:rPr>
        <w:t xml:space="preserve">prima facie </w:t>
      </w:r>
      <w:r w:rsidR="002C42CF">
        <w:rPr>
          <w:color w:val="000000"/>
          <w:szCs w:val="26"/>
        </w:rPr>
        <w:t xml:space="preserve">reasonable.  </w:t>
      </w:r>
      <w:r w:rsidR="002C42CF">
        <w:rPr>
          <w:i/>
          <w:color w:val="000000"/>
          <w:szCs w:val="26"/>
        </w:rPr>
        <w:t>Lynch v. Pa. PUC</w:t>
      </w:r>
      <w:r w:rsidR="002C42CF">
        <w:rPr>
          <w:color w:val="000000"/>
          <w:szCs w:val="26"/>
        </w:rPr>
        <w:t xml:space="preserve">, 594 A.2d 816, 819 (Pa. Cmwlth. 1991).  </w:t>
      </w:r>
      <w:r w:rsidR="00F53FB4">
        <w:rPr>
          <w:color w:val="000000"/>
          <w:szCs w:val="26"/>
        </w:rPr>
        <w:t>Commission-approved tariff provisions have the force of law and are binding on both the public utility and its customers.  Wh</w:t>
      </w:r>
      <w:r w:rsidR="002C42CF">
        <w:rPr>
          <w:color w:val="000000"/>
          <w:szCs w:val="26"/>
        </w:rPr>
        <w:t xml:space="preserve">en a customer is challenging an existing rate, the customer bears the burden of proving that the charge is no longer reasonable.  </w:t>
      </w:r>
      <w:r w:rsidR="002C42CF">
        <w:rPr>
          <w:i/>
          <w:color w:val="000000"/>
          <w:szCs w:val="26"/>
        </w:rPr>
        <w:t xml:space="preserve">Brockway Glass Co. v. </w:t>
      </w:r>
      <w:r w:rsidR="001A2443">
        <w:rPr>
          <w:i/>
          <w:color w:val="000000"/>
          <w:szCs w:val="26"/>
        </w:rPr>
        <w:t>Pa. PUC</w:t>
      </w:r>
      <w:r w:rsidR="001A2443">
        <w:rPr>
          <w:color w:val="000000"/>
          <w:szCs w:val="26"/>
        </w:rPr>
        <w:t>, 437 A.2d 1067, 1070 (Pa. Cmwlth. 1981).</w:t>
      </w:r>
      <w:r w:rsidR="003246B8">
        <w:rPr>
          <w:color w:val="000000"/>
          <w:szCs w:val="26"/>
        </w:rPr>
        <w:t xml:space="preserve">  In this case, while the Complainant has </w:t>
      </w:r>
      <w:r w:rsidR="00F413CC">
        <w:rPr>
          <w:color w:val="000000"/>
          <w:szCs w:val="26"/>
        </w:rPr>
        <w:t>questioned and expressed dissatisfaction</w:t>
      </w:r>
      <w:r w:rsidR="003246B8">
        <w:rPr>
          <w:color w:val="000000"/>
          <w:szCs w:val="26"/>
        </w:rPr>
        <w:t xml:space="preserve"> with the charges in Verizon’s tariff, she has not presented evidence to </w:t>
      </w:r>
      <w:r w:rsidR="003246B8">
        <w:rPr>
          <w:color w:val="000000"/>
          <w:szCs w:val="26"/>
        </w:rPr>
        <w:lastRenderedPageBreak/>
        <w:t>demonstrate that the existing charges for temporary suspension of service are unreasonable</w:t>
      </w:r>
      <w:r w:rsidR="00982EE6">
        <w:rPr>
          <w:color w:val="000000"/>
          <w:szCs w:val="26"/>
        </w:rPr>
        <w:t xml:space="preserve">.  </w:t>
      </w:r>
    </w:p>
    <w:p w:rsidR="00CD2E85" w:rsidRDefault="00CD2E85" w:rsidP="00E475FA">
      <w:pPr>
        <w:spacing w:line="360" w:lineRule="auto"/>
        <w:ind w:firstLine="1440"/>
        <w:rPr>
          <w:color w:val="000000"/>
          <w:szCs w:val="26"/>
        </w:rPr>
      </w:pPr>
    </w:p>
    <w:p w:rsidR="00DD6B75" w:rsidRDefault="00701B9D" w:rsidP="00E475FA">
      <w:pPr>
        <w:spacing w:line="360" w:lineRule="auto"/>
        <w:ind w:firstLine="1440"/>
        <w:rPr>
          <w:color w:val="000000"/>
          <w:szCs w:val="26"/>
        </w:rPr>
      </w:pPr>
      <w:r>
        <w:rPr>
          <w:color w:val="000000"/>
          <w:szCs w:val="26"/>
        </w:rPr>
        <w:t xml:space="preserve">We also agree with the ALJ that Verizon charged the Complainant in accordance with its Commission-approved tariff.  </w:t>
      </w:r>
      <w:r w:rsidR="00EC03B5">
        <w:rPr>
          <w:color w:val="000000"/>
          <w:szCs w:val="26"/>
        </w:rPr>
        <w:t xml:space="preserve">Pursuant to its tariff, </w:t>
      </w:r>
      <w:r w:rsidR="0068351F">
        <w:rPr>
          <w:color w:val="000000"/>
          <w:szCs w:val="26"/>
        </w:rPr>
        <w:t xml:space="preserve">Verizon is permitted to bill customers </w:t>
      </w:r>
      <w:r w:rsidR="00E34431">
        <w:rPr>
          <w:color w:val="000000"/>
          <w:szCs w:val="26"/>
        </w:rPr>
        <w:t xml:space="preserve">who have temporarily suspended their service </w:t>
      </w:r>
      <w:r w:rsidR="0068351F">
        <w:rPr>
          <w:color w:val="000000"/>
          <w:szCs w:val="26"/>
        </w:rPr>
        <w:t xml:space="preserve">at the full monthly rate for the following services:  dial tone line charge, line cost charge, telephone company equipment, charge listings, custom calling service, touch-tone and wire maintenance plans, and Federal Universal Service Fund.  Verizon is also authorized to charge a one-time temporary suspension charge of $26.  </w:t>
      </w:r>
      <w:r w:rsidR="009E1C7F">
        <w:rPr>
          <w:color w:val="000000"/>
          <w:szCs w:val="26"/>
        </w:rPr>
        <w:t>Verizon Ex</w:t>
      </w:r>
      <w:r w:rsidR="002C1C92">
        <w:rPr>
          <w:color w:val="000000"/>
          <w:szCs w:val="26"/>
        </w:rPr>
        <w:t>h</w:t>
      </w:r>
      <w:r w:rsidR="009E1C7F">
        <w:rPr>
          <w:color w:val="000000"/>
          <w:szCs w:val="26"/>
        </w:rPr>
        <w:t xml:space="preserve">. 1; Tariff Telephone – Pa. P.U.C. No. 1, Sections 22C and 27.  </w:t>
      </w:r>
      <w:r w:rsidR="00C60EFF">
        <w:rPr>
          <w:color w:val="000000"/>
          <w:szCs w:val="26"/>
        </w:rPr>
        <w:t xml:space="preserve">The evidence demonstrates that, when the Complainant temporarily suspended her telephone service in September 2008, Verizon </w:t>
      </w:r>
      <w:r w:rsidR="000F71B8">
        <w:rPr>
          <w:color w:val="000000"/>
          <w:szCs w:val="26"/>
        </w:rPr>
        <w:t xml:space="preserve">correctly </w:t>
      </w:r>
      <w:r w:rsidR="00C60EFF">
        <w:rPr>
          <w:color w:val="000000"/>
          <w:szCs w:val="26"/>
        </w:rPr>
        <w:t xml:space="preserve">billed her consistent with these tariff provisions.  Tr. at 15, 73, 74.  </w:t>
      </w:r>
      <w:r w:rsidR="00CD2E85">
        <w:rPr>
          <w:color w:val="000000"/>
          <w:szCs w:val="26"/>
        </w:rPr>
        <w:t>For these reasons</w:t>
      </w:r>
      <w:r w:rsidR="000D2279">
        <w:rPr>
          <w:color w:val="000000"/>
          <w:szCs w:val="26"/>
        </w:rPr>
        <w:t>, the Complainant’s first Exception is denied.</w:t>
      </w:r>
    </w:p>
    <w:p w:rsidR="001E1FD4" w:rsidRDefault="001E1FD4" w:rsidP="00E475FA">
      <w:pPr>
        <w:spacing w:line="360" w:lineRule="auto"/>
        <w:ind w:firstLine="1440"/>
        <w:rPr>
          <w:color w:val="000000"/>
          <w:szCs w:val="26"/>
        </w:rPr>
      </w:pPr>
    </w:p>
    <w:p w:rsidR="00822E2E" w:rsidRDefault="000400E3" w:rsidP="00E475FA">
      <w:pPr>
        <w:spacing w:line="360" w:lineRule="auto"/>
        <w:ind w:firstLine="1440"/>
        <w:rPr>
          <w:color w:val="000000"/>
          <w:szCs w:val="26"/>
        </w:rPr>
      </w:pPr>
      <w:r>
        <w:rPr>
          <w:color w:val="000000"/>
          <w:szCs w:val="26"/>
        </w:rPr>
        <w:t>In her second Exception, the Complainant contests th</w:t>
      </w:r>
      <w:r w:rsidR="009144AA">
        <w:rPr>
          <w:color w:val="000000"/>
          <w:szCs w:val="26"/>
        </w:rPr>
        <w:t>e</w:t>
      </w:r>
      <w:r>
        <w:rPr>
          <w:color w:val="000000"/>
          <w:szCs w:val="26"/>
        </w:rPr>
        <w:t xml:space="preserve"> ALJ’s decision </w:t>
      </w:r>
      <w:r w:rsidR="00BC539B">
        <w:rPr>
          <w:color w:val="000000"/>
          <w:szCs w:val="26"/>
        </w:rPr>
        <w:t>not to admit</w:t>
      </w:r>
      <w:r>
        <w:rPr>
          <w:color w:val="000000"/>
          <w:szCs w:val="26"/>
        </w:rPr>
        <w:t xml:space="preserve"> the January 2010 Letter </w:t>
      </w:r>
      <w:r w:rsidR="0008093B">
        <w:rPr>
          <w:color w:val="000000"/>
          <w:szCs w:val="26"/>
        </w:rPr>
        <w:t xml:space="preserve">into </w:t>
      </w:r>
      <w:r>
        <w:rPr>
          <w:color w:val="000000"/>
          <w:szCs w:val="26"/>
        </w:rPr>
        <w:t>the record as a late</w:t>
      </w:r>
      <w:r w:rsidR="0008093B">
        <w:rPr>
          <w:color w:val="000000"/>
          <w:szCs w:val="26"/>
        </w:rPr>
        <w:t>-</w:t>
      </w:r>
      <w:r>
        <w:rPr>
          <w:color w:val="000000"/>
          <w:szCs w:val="26"/>
        </w:rPr>
        <w:t xml:space="preserve">filed exhibit.  The Complainant states that she believed she </w:t>
      </w:r>
      <w:r w:rsidR="006C2610">
        <w:rPr>
          <w:color w:val="000000"/>
          <w:szCs w:val="26"/>
        </w:rPr>
        <w:t xml:space="preserve">properly submitted the January 2010 Letter to the Secretary’s Bureau after the hearing and was not aware that she was required to send the </w:t>
      </w:r>
      <w:r w:rsidR="00795155">
        <w:rPr>
          <w:color w:val="000000"/>
          <w:szCs w:val="26"/>
        </w:rPr>
        <w:t>l</w:t>
      </w:r>
      <w:r w:rsidR="006C2610">
        <w:rPr>
          <w:color w:val="000000"/>
          <w:szCs w:val="26"/>
        </w:rPr>
        <w:t xml:space="preserve">etter to Verizon.  She avers that the </w:t>
      </w:r>
      <w:r w:rsidR="00795155">
        <w:rPr>
          <w:color w:val="000000"/>
          <w:szCs w:val="26"/>
        </w:rPr>
        <w:t>l</w:t>
      </w:r>
      <w:r w:rsidR="006C2610">
        <w:rPr>
          <w:color w:val="000000"/>
          <w:szCs w:val="26"/>
        </w:rPr>
        <w:t>etter should have been admitted as evidence in support of her testimony during the hearing and that there is no basis for excluding it from the record.</w:t>
      </w:r>
      <w:r w:rsidR="005E5602">
        <w:rPr>
          <w:color w:val="000000"/>
          <w:szCs w:val="26"/>
        </w:rPr>
        <w:t xml:space="preserve">  Exc. at 3.  </w:t>
      </w:r>
    </w:p>
    <w:p w:rsidR="00734FA4" w:rsidRDefault="00734FA4" w:rsidP="00E475FA">
      <w:pPr>
        <w:spacing w:line="360" w:lineRule="auto"/>
        <w:ind w:firstLine="1440"/>
        <w:rPr>
          <w:color w:val="000000"/>
          <w:szCs w:val="26"/>
        </w:rPr>
      </w:pPr>
    </w:p>
    <w:p w:rsidR="00F97477" w:rsidRDefault="00795155" w:rsidP="00E475FA">
      <w:pPr>
        <w:spacing w:line="360" w:lineRule="auto"/>
        <w:ind w:firstLine="1440"/>
        <w:rPr>
          <w:color w:val="000000"/>
          <w:szCs w:val="26"/>
        </w:rPr>
      </w:pPr>
      <w:r>
        <w:rPr>
          <w:color w:val="000000"/>
          <w:szCs w:val="26"/>
        </w:rPr>
        <w:t xml:space="preserve">In its Replies to Exceptions, Verizon avers that the January 2010 Letter was addressed to the Commission’s Secretary’s Bureau and was not served on Verizon or on its counsel.  Verizon also avers that the letter was not a discovery request, but, rather, was an improper pleading that was not permitted by Section 5.1 of the Commission’s Regulations, 52 Pa. Code § 5.1.  Verizon </w:t>
      </w:r>
      <w:r w:rsidR="002F7DBD">
        <w:rPr>
          <w:color w:val="000000"/>
          <w:szCs w:val="26"/>
        </w:rPr>
        <w:t>explains</w:t>
      </w:r>
      <w:r>
        <w:rPr>
          <w:color w:val="000000"/>
          <w:szCs w:val="26"/>
        </w:rPr>
        <w:t xml:space="preserve"> that, because its Answer did not contain New Matter, it had no obligation to respond and could not respond under the </w:t>
      </w:r>
      <w:r>
        <w:rPr>
          <w:color w:val="000000"/>
          <w:szCs w:val="26"/>
        </w:rPr>
        <w:lastRenderedPageBreak/>
        <w:t>Commission’s Regulations.  R. Exc. at 7.</w:t>
      </w:r>
      <w:r w:rsidR="002F7DBD">
        <w:rPr>
          <w:color w:val="000000"/>
          <w:szCs w:val="26"/>
        </w:rPr>
        <w:t xml:space="preserve">  Verizon states that nothing in the January 2010 Letter asks Verizon to provide the Complainant with any information, including specific information pertaining to the costs associated with temporary suspension of service.  </w:t>
      </w:r>
      <w:r w:rsidR="002F7DBD" w:rsidRPr="002F7DBD">
        <w:rPr>
          <w:i/>
          <w:color w:val="000000"/>
          <w:szCs w:val="26"/>
        </w:rPr>
        <w:t>Id</w:t>
      </w:r>
      <w:r w:rsidR="002F7DBD">
        <w:rPr>
          <w:color w:val="000000"/>
          <w:szCs w:val="26"/>
        </w:rPr>
        <w:t>. at 8.</w:t>
      </w:r>
    </w:p>
    <w:p w:rsidR="00BC539B" w:rsidRDefault="00BC539B" w:rsidP="00E475FA">
      <w:pPr>
        <w:spacing w:line="360" w:lineRule="auto"/>
        <w:ind w:firstLine="1440"/>
        <w:rPr>
          <w:color w:val="000000"/>
          <w:szCs w:val="26"/>
        </w:rPr>
      </w:pPr>
    </w:p>
    <w:p w:rsidR="00BC539B" w:rsidRDefault="00BC539B" w:rsidP="00E475FA">
      <w:pPr>
        <w:spacing w:line="360" w:lineRule="auto"/>
        <w:ind w:firstLine="1440"/>
        <w:rPr>
          <w:color w:val="000000"/>
          <w:szCs w:val="26"/>
        </w:rPr>
      </w:pPr>
      <w:r>
        <w:rPr>
          <w:color w:val="000000"/>
          <w:szCs w:val="26"/>
        </w:rPr>
        <w:t>Based on our review of this Exception, we agree with the ALJ’s decision not to admit the January 2010 Letter into the record and not to consider the Complainant’s statements concerning Verizon’s failure to respond to her discovery request.</w:t>
      </w:r>
      <w:r w:rsidR="00251B80">
        <w:rPr>
          <w:color w:val="000000"/>
          <w:szCs w:val="26"/>
        </w:rPr>
        <w:t xml:space="preserve">  The January 2010 Letter does not appear to be a discovery request but, rather, a response to Verizon’s Answer to the Complaint.  </w:t>
      </w:r>
      <w:r w:rsidR="00D61772">
        <w:rPr>
          <w:color w:val="000000"/>
          <w:szCs w:val="26"/>
        </w:rPr>
        <w:t xml:space="preserve">In the letter, the Complainant refers to Verizon’s Answer and states that she objects to Verizon’s request that her Complaint be dismissed.  The Complainant also responds directly to each of the paragraphs, (a)-(k), in Verizon’s Answer.  </w:t>
      </w:r>
      <w:r w:rsidR="0007569C">
        <w:rPr>
          <w:color w:val="000000"/>
          <w:szCs w:val="26"/>
        </w:rPr>
        <w:t>Verizon is correct that, because its Answer did not contain New Matter, there is no provision under the Commission’s Procedural Regulations that would permit the Complainant to file a response to Verizon’s Answer.  We also do not believe that the January 2010 Letter contains any information that was not addressed in some fashion in the Complaint or in the Complainant’s testimony during the hearing.  For these reasons, the Complai</w:t>
      </w:r>
      <w:r w:rsidR="000F71B8">
        <w:rPr>
          <w:color w:val="000000"/>
          <w:szCs w:val="26"/>
        </w:rPr>
        <w:t>nant’s Exception is denied.</w:t>
      </w:r>
    </w:p>
    <w:p w:rsidR="00F97477" w:rsidRDefault="00F97477" w:rsidP="00E475FA">
      <w:pPr>
        <w:spacing w:line="360" w:lineRule="auto"/>
        <w:ind w:firstLine="1440"/>
        <w:rPr>
          <w:color w:val="000000"/>
          <w:szCs w:val="26"/>
        </w:rPr>
      </w:pPr>
    </w:p>
    <w:p w:rsidR="006643F6" w:rsidRDefault="006643F6" w:rsidP="00E475FA">
      <w:pPr>
        <w:spacing w:line="360" w:lineRule="auto"/>
        <w:ind w:firstLine="1440"/>
        <w:rPr>
          <w:color w:val="000000"/>
          <w:szCs w:val="26"/>
        </w:rPr>
      </w:pPr>
      <w:r>
        <w:rPr>
          <w:color w:val="000000"/>
          <w:szCs w:val="26"/>
        </w:rPr>
        <w:br w:type="page"/>
      </w:r>
    </w:p>
    <w:p w:rsidR="00D45002" w:rsidRDefault="00F97477" w:rsidP="00E475FA">
      <w:pPr>
        <w:spacing w:line="360" w:lineRule="auto"/>
        <w:ind w:firstLine="1440"/>
        <w:rPr>
          <w:color w:val="000000"/>
          <w:szCs w:val="26"/>
        </w:rPr>
      </w:pPr>
      <w:r>
        <w:rPr>
          <w:color w:val="000000"/>
          <w:szCs w:val="26"/>
        </w:rPr>
        <w:lastRenderedPageBreak/>
        <w:t>In her third Exception, the Complainant disagrees with the ALJ’s Findings of Fact Nos. 11</w:t>
      </w:r>
      <w:r w:rsidR="006A3B3D">
        <w:rPr>
          <w:rStyle w:val="FootnoteReference"/>
          <w:color w:val="000000"/>
          <w:szCs w:val="26"/>
        </w:rPr>
        <w:footnoteReference w:id="3"/>
      </w:r>
      <w:r>
        <w:rPr>
          <w:color w:val="000000"/>
          <w:szCs w:val="26"/>
        </w:rPr>
        <w:t xml:space="preserve"> and 12</w:t>
      </w:r>
      <w:r w:rsidR="00120802">
        <w:rPr>
          <w:rStyle w:val="FootnoteReference"/>
          <w:color w:val="000000"/>
          <w:szCs w:val="26"/>
        </w:rPr>
        <w:footnoteReference w:id="4"/>
      </w:r>
      <w:r w:rsidR="006A3B3D">
        <w:rPr>
          <w:color w:val="000000"/>
          <w:szCs w:val="26"/>
        </w:rPr>
        <w:t xml:space="preserve"> because she is of the opinion </w:t>
      </w:r>
      <w:r>
        <w:rPr>
          <w:color w:val="000000"/>
          <w:szCs w:val="26"/>
        </w:rPr>
        <w:t xml:space="preserve">that there is no functional difference between the suspension of telephone service and the disconnection of telephone service.  </w:t>
      </w:r>
      <w:r w:rsidR="00486F70">
        <w:rPr>
          <w:color w:val="000000"/>
          <w:szCs w:val="26"/>
        </w:rPr>
        <w:t>The Complainant states that Regina Ryan, a public policy and regulatory manager for Verizon, testified that there were no operational differences between suspended and disconnected telephone s</w:t>
      </w:r>
      <w:r w:rsidR="00713D45">
        <w:rPr>
          <w:color w:val="000000"/>
          <w:szCs w:val="26"/>
        </w:rPr>
        <w:t>ervice</w:t>
      </w:r>
      <w:r w:rsidR="00486F70">
        <w:rPr>
          <w:color w:val="000000"/>
          <w:szCs w:val="26"/>
        </w:rPr>
        <w:t xml:space="preserve"> because Verizon switches off the circuit in both cases.  Exc. at 4.  </w:t>
      </w:r>
      <w:r>
        <w:rPr>
          <w:color w:val="000000"/>
          <w:szCs w:val="26"/>
        </w:rPr>
        <w:t xml:space="preserve">As such, </w:t>
      </w:r>
      <w:r w:rsidR="00486F70">
        <w:rPr>
          <w:color w:val="000000"/>
          <w:szCs w:val="26"/>
        </w:rPr>
        <w:t>the Complainant</w:t>
      </w:r>
      <w:r>
        <w:rPr>
          <w:color w:val="000000"/>
          <w:szCs w:val="26"/>
        </w:rPr>
        <w:t xml:space="preserve"> </w:t>
      </w:r>
      <w:r w:rsidR="00D45002">
        <w:rPr>
          <w:color w:val="000000"/>
          <w:szCs w:val="26"/>
        </w:rPr>
        <w:t xml:space="preserve">also </w:t>
      </w:r>
      <w:r>
        <w:rPr>
          <w:color w:val="000000"/>
          <w:szCs w:val="26"/>
        </w:rPr>
        <w:t>questions why there are different costs for these similar functions.</w:t>
      </w:r>
      <w:r w:rsidR="00D45002">
        <w:rPr>
          <w:color w:val="000000"/>
          <w:szCs w:val="26"/>
        </w:rPr>
        <w:t xml:space="preserve">  </w:t>
      </w:r>
      <w:r w:rsidR="00D45002" w:rsidRPr="00D45002">
        <w:rPr>
          <w:i/>
          <w:color w:val="000000"/>
          <w:szCs w:val="26"/>
        </w:rPr>
        <w:t>Id</w:t>
      </w:r>
      <w:r w:rsidR="00D45002">
        <w:rPr>
          <w:color w:val="000000"/>
          <w:szCs w:val="26"/>
        </w:rPr>
        <w:t>. at 4, 5.</w:t>
      </w:r>
      <w:r w:rsidR="006A3B3D">
        <w:rPr>
          <w:color w:val="000000"/>
          <w:szCs w:val="26"/>
        </w:rPr>
        <w:t xml:space="preserve">  </w:t>
      </w:r>
    </w:p>
    <w:p w:rsidR="00D45002" w:rsidRDefault="00D45002" w:rsidP="00E475FA">
      <w:pPr>
        <w:spacing w:line="360" w:lineRule="auto"/>
        <w:ind w:firstLine="1440"/>
        <w:rPr>
          <w:color w:val="000000"/>
          <w:szCs w:val="26"/>
        </w:rPr>
      </w:pPr>
    </w:p>
    <w:p w:rsidR="00A77067" w:rsidRDefault="00D45002" w:rsidP="00E475FA">
      <w:pPr>
        <w:spacing w:line="360" w:lineRule="auto"/>
        <w:ind w:firstLine="1440"/>
        <w:rPr>
          <w:color w:val="000000"/>
          <w:szCs w:val="26"/>
        </w:rPr>
      </w:pPr>
      <w:r>
        <w:rPr>
          <w:color w:val="000000"/>
          <w:szCs w:val="26"/>
        </w:rPr>
        <w:t xml:space="preserve">In reply, Verizon states that </w:t>
      </w:r>
      <w:r w:rsidR="00CA6A33">
        <w:rPr>
          <w:color w:val="000000"/>
          <w:szCs w:val="26"/>
        </w:rPr>
        <w:t>Ms. Ryan did not indicate in her testimony that</w:t>
      </w:r>
      <w:r w:rsidR="00562D3E">
        <w:rPr>
          <w:color w:val="000000"/>
          <w:szCs w:val="26"/>
        </w:rPr>
        <w:t xml:space="preserve"> </w:t>
      </w:r>
      <w:r w:rsidR="000D77A3">
        <w:rPr>
          <w:color w:val="000000"/>
          <w:szCs w:val="26"/>
        </w:rPr>
        <w:t>suspension of telephone service and disconnection of telephone service constitute the same function.</w:t>
      </w:r>
      <w:r w:rsidR="00CA6A33">
        <w:rPr>
          <w:color w:val="000000"/>
          <w:szCs w:val="26"/>
        </w:rPr>
        <w:t xml:space="preserve">  In fact, Verizon avers that Ms. Ryan testified that the customer’s facilities are left in place when service is temporarily suspended so those facilities will be available for the same customer when service is restored.  R. Exc. at 10; Tr. at 74-79.  </w:t>
      </w:r>
      <w:r w:rsidR="006206BE">
        <w:rPr>
          <w:color w:val="000000"/>
          <w:szCs w:val="26"/>
        </w:rPr>
        <w:t xml:space="preserve">Verizon also avers that Ms. Ryan explained that the connection between the central office and the customer's location no longer exists when service is disconnected because the facilities previously used by the disconnected customer are physically removed and used for other </w:t>
      </w:r>
      <w:r w:rsidR="006206BE">
        <w:rPr>
          <w:color w:val="000000"/>
          <w:szCs w:val="26"/>
        </w:rPr>
        <w:lastRenderedPageBreak/>
        <w:t>customers.  R. Exc. at 10; Tr. at 74-75.</w:t>
      </w:r>
      <w:r w:rsidR="00BE378F">
        <w:rPr>
          <w:color w:val="000000"/>
          <w:szCs w:val="26"/>
        </w:rPr>
        <w:t xml:space="preserve">  Verizon states that Ms. Ryan also testified that Verizon’s customary practice is to hold a number out of service for a period of thirty days, consistent with the information in Finding of Fact No. 12.  R</w:t>
      </w:r>
      <w:r w:rsidR="006643F6">
        <w:rPr>
          <w:color w:val="000000"/>
          <w:szCs w:val="26"/>
        </w:rPr>
        <w:t>. Exc. at 10-11; Tr. at </w:t>
      </w:r>
      <w:r w:rsidR="00967BF4">
        <w:rPr>
          <w:color w:val="000000"/>
          <w:szCs w:val="26"/>
        </w:rPr>
        <w:t>80-83.</w:t>
      </w:r>
    </w:p>
    <w:p w:rsidR="00B86347" w:rsidRDefault="00B86347" w:rsidP="00E475FA">
      <w:pPr>
        <w:spacing w:line="360" w:lineRule="auto"/>
        <w:ind w:firstLine="1440"/>
        <w:rPr>
          <w:color w:val="000000"/>
          <w:szCs w:val="26"/>
        </w:rPr>
      </w:pPr>
    </w:p>
    <w:p w:rsidR="00EF42B5" w:rsidRDefault="00EF42B5" w:rsidP="00E475FA">
      <w:pPr>
        <w:spacing w:line="360" w:lineRule="auto"/>
        <w:ind w:firstLine="1440"/>
        <w:rPr>
          <w:color w:val="000000"/>
          <w:szCs w:val="26"/>
        </w:rPr>
      </w:pPr>
      <w:r>
        <w:rPr>
          <w:color w:val="000000"/>
          <w:szCs w:val="26"/>
        </w:rPr>
        <w:t xml:space="preserve">Based on our review of Verizon’s testimony during the hearing, we find that Findings of Fact Nos. 11 and 12 are correct as stated in the Initial Decision.  </w:t>
      </w:r>
      <w:r w:rsidR="006643F6">
        <w:rPr>
          <w:color w:val="000000"/>
          <w:szCs w:val="26"/>
        </w:rPr>
        <w:t>Ms. </w:t>
      </w:r>
      <w:r w:rsidR="00C2331B">
        <w:rPr>
          <w:color w:val="000000"/>
          <w:szCs w:val="26"/>
        </w:rPr>
        <w:t xml:space="preserve">Ryan clearly explained the </w:t>
      </w:r>
      <w:r w:rsidR="00CF79C9">
        <w:rPr>
          <w:color w:val="000000"/>
          <w:szCs w:val="26"/>
        </w:rPr>
        <w:t xml:space="preserve">technical </w:t>
      </w:r>
      <w:r w:rsidR="00C2331B">
        <w:rPr>
          <w:color w:val="000000"/>
          <w:szCs w:val="26"/>
        </w:rPr>
        <w:t xml:space="preserve">differences between temporary suspension of telephone service and disconnection of telephone service, and those differences are reflected in the Findings of Fact.  </w:t>
      </w:r>
      <w:r w:rsidR="00C2331B">
        <w:rPr>
          <w:i/>
          <w:color w:val="000000"/>
          <w:szCs w:val="26"/>
        </w:rPr>
        <w:t xml:space="preserve">See </w:t>
      </w:r>
      <w:r w:rsidR="00C2331B">
        <w:rPr>
          <w:color w:val="000000"/>
          <w:szCs w:val="26"/>
        </w:rPr>
        <w:t>Tr. at 74-75, 79.</w:t>
      </w:r>
      <w:r w:rsidR="00445256">
        <w:rPr>
          <w:color w:val="000000"/>
          <w:szCs w:val="26"/>
        </w:rPr>
        <w:t xml:space="preserve">  As such, the Com</w:t>
      </w:r>
      <w:r w:rsidR="00967BF4">
        <w:rPr>
          <w:color w:val="000000"/>
          <w:szCs w:val="26"/>
        </w:rPr>
        <w:t>plainant’s Exception is denied.</w:t>
      </w:r>
    </w:p>
    <w:p w:rsidR="00CF79C9" w:rsidRDefault="00CF79C9" w:rsidP="00E475FA">
      <w:pPr>
        <w:spacing w:line="360" w:lineRule="auto"/>
        <w:jc w:val="center"/>
        <w:rPr>
          <w:rFonts w:ascii="Times New (W1)" w:hAnsi="Times New (W1)"/>
          <w:b/>
          <w:szCs w:val="22"/>
        </w:rPr>
      </w:pPr>
    </w:p>
    <w:p w:rsidR="00BC1B7D" w:rsidRDefault="005C446F" w:rsidP="00E475FA">
      <w:pPr>
        <w:spacing w:line="360" w:lineRule="auto"/>
        <w:jc w:val="center"/>
        <w:rPr>
          <w:rFonts w:ascii="Times New (W1)" w:hAnsi="Times New (W1)"/>
          <w:b/>
          <w:szCs w:val="22"/>
        </w:rPr>
      </w:pPr>
      <w:r>
        <w:rPr>
          <w:rFonts w:ascii="Times New (W1)" w:hAnsi="Times New (W1)"/>
          <w:b/>
          <w:szCs w:val="22"/>
        </w:rPr>
        <w:t>Conclusion</w:t>
      </w:r>
    </w:p>
    <w:p w:rsidR="005C446F" w:rsidRDefault="005C446F" w:rsidP="00E475FA">
      <w:pPr>
        <w:spacing w:line="360" w:lineRule="auto"/>
        <w:jc w:val="center"/>
        <w:rPr>
          <w:rFonts w:ascii="Times New (W1)" w:hAnsi="Times New (W1)"/>
          <w:b/>
          <w:szCs w:val="22"/>
        </w:rPr>
      </w:pPr>
    </w:p>
    <w:p w:rsidR="00066A76" w:rsidRPr="007828A8" w:rsidRDefault="000A4744" w:rsidP="00E475FA">
      <w:pPr>
        <w:spacing w:line="360" w:lineRule="auto"/>
        <w:rPr>
          <w:szCs w:val="26"/>
        </w:rPr>
      </w:pPr>
      <w:r w:rsidRPr="00A55BFB">
        <w:rPr>
          <w:b/>
          <w:szCs w:val="22"/>
        </w:rPr>
        <w:tab/>
      </w:r>
      <w:r w:rsidRPr="00A55BFB">
        <w:rPr>
          <w:b/>
          <w:szCs w:val="22"/>
        </w:rPr>
        <w:tab/>
      </w:r>
      <w:r w:rsidR="0049202A">
        <w:rPr>
          <w:szCs w:val="26"/>
        </w:rPr>
        <w:t>For the reasons discussed herein, we shall deny the Complainant’s Exceptions and adopt the ALJ’s Initial Decision, consistent with this Opinion and Order;</w:t>
      </w:r>
      <w:r w:rsidR="0044197C" w:rsidRPr="00A55BFB">
        <w:rPr>
          <w:szCs w:val="22"/>
        </w:rPr>
        <w:t xml:space="preserve"> </w:t>
      </w:r>
      <w:r w:rsidR="00066A76" w:rsidRPr="007828A8">
        <w:rPr>
          <w:b/>
          <w:szCs w:val="26"/>
        </w:rPr>
        <w:t>THEREFORE,</w:t>
      </w:r>
      <w:r w:rsidR="00066A76" w:rsidRPr="007828A8">
        <w:rPr>
          <w:szCs w:val="26"/>
        </w:rPr>
        <w:t xml:space="preserve"> </w:t>
      </w:r>
    </w:p>
    <w:p w:rsidR="00DD561C" w:rsidRDefault="00066A76" w:rsidP="00E475FA">
      <w:pPr>
        <w:spacing w:line="360" w:lineRule="auto"/>
        <w:rPr>
          <w:szCs w:val="26"/>
        </w:rPr>
      </w:pPr>
      <w:r w:rsidRPr="00066A76">
        <w:rPr>
          <w:szCs w:val="26"/>
        </w:rPr>
        <w:tab/>
      </w:r>
      <w:r w:rsidRPr="00066A76">
        <w:rPr>
          <w:szCs w:val="26"/>
        </w:rPr>
        <w:tab/>
      </w:r>
    </w:p>
    <w:p w:rsidR="00066A76" w:rsidRPr="00066A76" w:rsidRDefault="00066A76" w:rsidP="00E475FA">
      <w:pPr>
        <w:spacing w:line="360" w:lineRule="auto"/>
        <w:ind w:left="720" w:firstLine="720"/>
        <w:rPr>
          <w:b/>
          <w:szCs w:val="26"/>
        </w:rPr>
      </w:pPr>
      <w:r w:rsidRPr="00066A76">
        <w:rPr>
          <w:b/>
          <w:szCs w:val="26"/>
        </w:rPr>
        <w:t>IT IS ORDERED:</w:t>
      </w:r>
    </w:p>
    <w:p w:rsidR="00066A76" w:rsidRPr="00066A76" w:rsidRDefault="00066A76" w:rsidP="00E475FA">
      <w:pPr>
        <w:spacing w:line="360" w:lineRule="auto"/>
        <w:rPr>
          <w:szCs w:val="26"/>
        </w:rPr>
      </w:pPr>
    </w:p>
    <w:p w:rsidR="00066A76" w:rsidRDefault="00066A76" w:rsidP="00E475FA">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DF66F5">
        <w:rPr>
          <w:szCs w:val="26"/>
        </w:rPr>
        <w:t>Lidia Shan</w:t>
      </w:r>
      <w:r w:rsidR="00151C0A">
        <w:rPr>
          <w:szCs w:val="26"/>
        </w:rPr>
        <w:t xml:space="preserve">, filed on </w:t>
      </w:r>
      <w:r w:rsidR="00206D72">
        <w:rPr>
          <w:szCs w:val="26"/>
        </w:rPr>
        <w:t xml:space="preserve">April </w:t>
      </w:r>
      <w:r w:rsidR="00DF66F5">
        <w:rPr>
          <w:szCs w:val="26"/>
        </w:rPr>
        <w:t>23</w:t>
      </w:r>
      <w:r w:rsidR="00151C0A">
        <w:rPr>
          <w:szCs w:val="26"/>
        </w:rPr>
        <w:t>, 2012,</w:t>
      </w:r>
      <w:r w:rsidR="009F11DD">
        <w:rPr>
          <w:szCs w:val="26"/>
        </w:rPr>
        <w:t xml:space="preserve"> </w:t>
      </w:r>
      <w:r w:rsidR="00151C0A">
        <w:rPr>
          <w:szCs w:val="26"/>
        </w:rPr>
        <w:t xml:space="preserve">are </w:t>
      </w:r>
      <w:r>
        <w:rPr>
          <w:szCs w:val="26"/>
        </w:rPr>
        <w:t>denied.</w:t>
      </w:r>
    </w:p>
    <w:p w:rsidR="009F11DD" w:rsidRDefault="009F11DD" w:rsidP="00E475FA">
      <w:pPr>
        <w:spacing w:line="360" w:lineRule="auto"/>
        <w:rPr>
          <w:szCs w:val="26"/>
        </w:rPr>
      </w:pPr>
    </w:p>
    <w:p w:rsidR="00066A76" w:rsidRDefault="00066A76" w:rsidP="00E475FA">
      <w:pPr>
        <w:spacing w:line="360" w:lineRule="auto"/>
        <w:rPr>
          <w:szCs w:val="26"/>
        </w:rPr>
      </w:pPr>
      <w:r>
        <w:rPr>
          <w:szCs w:val="26"/>
        </w:rPr>
        <w:tab/>
      </w:r>
      <w:r>
        <w:rPr>
          <w:szCs w:val="26"/>
        </w:rPr>
        <w:tab/>
        <w:t>2.</w:t>
      </w:r>
      <w:r>
        <w:rPr>
          <w:szCs w:val="26"/>
        </w:rPr>
        <w:tab/>
        <w:t xml:space="preserve">That the Initial Decision of Administrative Law Judge </w:t>
      </w:r>
      <w:r w:rsidR="00DF66F5">
        <w:rPr>
          <w:szCs w:val="26"/>
        </w:rPr>
        <w:t>Cynthia Williams Fordham</w:t>
      </w:r>
      <w:r w:rsidR="0049202A">
        <w:rPr>
          <w:szCs w:val="26"/>
        </w:rPr>
        <w:t>,</w:t>
      </w:r>
      <w:r>
        <w:rPr>
          <w:szCs w:val="26"/>
        </w:rPr>
        <w:t xml:space="preserve"> issued </w:t>
      </w:r>
      <w:r w:rsidR="0049202A">
        <w:rPr>
          <w:szCs w:val="26"/>
        </w:rPr>
        <w:t>April 1</w:t>
      </w:r>
      <w:r w:rsidR="00DF66F5">
        <w:rPr>
          <w:szCs w:val="26"/>
        </w:rPr>
        <w:t>3</w:t>
      </w:r>
      <w:r w:rsidR="00151C0A">
        <w:rPr>
          <w:szCs w:val="26"/>
        </w:rPr>
        <w:t>, 2012</w:t>
      </w:r>
      <w:r>
        <w:rPr>
          <w:szCs w:val="26"/>
        </w:rPr>
        <w:t xml:space="preserve">, is </w:t>
      </w:r>
      <w:r w:rsidR="0049202A">
        <w:rPr>
          <w:szCs w:val="26"/>
        </w:rPr>
        <w:t>adopted</w:t>
      </w:r>
      <w:r>
        <w:rPr>
          <w:szCs w:val="26"/>
        </w:rPr>
        <w:t xml:space="preserve">.  </w:t>
      </w:r>
    </w:p>
    <w:p w:rsidR="00066A76" w:rsidRDefault="00066A76" w:rsidP="00E475FA">
      <w:pPr>
        <w:spacing w:line="360" w:lineRule="auto"/>
        <w:rPr>
          <w:szCs w:val="26"/>
        </w:rPr>
      </w:pPr>
    </w:p>
    <w:p w:rsidR="00684B84" w:rsidRDefault="00066A76" w:rsidP="00E475FA">
      <w:pPr>
        <w:spacing w:line="360" w:lineRule="auto"/>
        <w:rPr>
          <w:szCs w:val="26"/>
        </w:rPr>
      </w:pPr>
      <w:r>
        <w:rPr>
          <w:szCs w:val="26"/>
        </w:rPr>
        <w:tab/>
      </w:r>
      <w:r>
        <w:rPr>
          <w:szCs w:val="26"/>
        </w:rPr>
        <w:tab/>
      </w:r>
      <w:r w:rsidR="0049202A">
        <w:rPr>
          <w:szCs w:val="26"/>
        </w:rPr>
        <w:t>3.</w:t>
      </w:r>
      <w:r w:rsidR="0049202A">
        <w:rPr>
          <w:szCs w:val="26"/>
        </w:rPr>
        <w:tab/>
        <w:t xml:space="preserve">That the Complaint </w:t>
      </w:r>
      <w:r w:rsidR="00DF66F5">
        <w:rPr>
          <w:szCs w:val="26"/>
        </w:rPr>
        <w:t>of Lidia Shan</w:t>
      </w:r>
      <w:r w:rsidR="0049202A">
        <w:rPr>
          <w:szCs w:val="26"/>
        </w:rPr>
        <w:t xml:space="preserve"> against </w:t>
      </w:r>
      <w:r w:rsidR="00DF66F5">
        <w:rPr>
          <w:szCs w:val="26"/>
        </w:rPr>
        <w:t>Verizon Pennsylvania Inc.</w:t>
      </w:r>
      <w:r w:rsidR="009F6A3C">
        <w:rPr>
          <w:szCs w:val="26"/>
        </w:rPr>
        <w:t>,</w:t>
      </w:r>
      <w:r w:rsidR="0049202A">
        <w:rPr>
          <w:szCs w:val="26"/>
        </w:rPr>
        <w:t xml:space="preserve"> at Docket No. </w:t>
      </w:r>
      <w:r w:rsidR="00DF66F5">
        <w:rPr>
          <w:szCs w:val="26"/>
        </w:rPr>
        <w:t>C-2009-2150021</w:t>
      </w:r>
      <w:r w:rsidR="009F6A3C">
        <w:rPr>
          <w:szCs w:val="26"/>
        </w:rPr>
        <w:t>,</w:t>
      </w:r>
      <w:r w:rsidR="0049202A">
        <w:rPr>
          <w:szCs w:val="26"/>
        </w:rPr>
        <w:t xml:space="preserve"> is dismissed.</w:t>
      </w:r>
    </w:p>
    <w:p w:rsidR="000927F9" w:rsidRDefault="000927F9" w:rsidP="00E475FA">
      <w:pPr>
        <w:spacing w:line="360" w:lineRule="auto"/>
        <w:rPr>
          <w:szCs w:val="26"/>
        </w:rPr>
      </w:pPr>
    </w:p>
    <w:p w:rsidR="00066A76" w:rsidRDefault="009F6A3C" w:rsidP="00E475FA">
      <w:pPr>
        <w:spacing w:line="360" w:lineRule="auto"/>
        <w:ind w:left="720" w:firstLine="720"/>
        <w:rPr>
          <w:szCs w:val="26"/>
        </w:rPr>
      </w:pPr>
      <w:r>
        <w:rPr>
          <w:szCs w:val="26"/>
        </w:rPr>
        <w:lastRenderedPageBreak/>
        <w:t>4</w:t>
      </w:r>
      <w:r w:rsidR="00691A22">
        <w:rPr>
          <w:szCs w:val="26"/>
        </w:rPr>
        <w:t>.</w:t>
      </w:r>
      <w:r w:rsidR="00691A22">
        <w:rPr>
          <w:szCs w:val="26"/>
        </w:rPr>
        <w:tab/>
        <w:t xml:space="preserve">That this </w:t>
      </w:r>
      <w:r w:rsidR="00967BF4">
        <w:rPr>
          <w:szCs w:val="26"/>
        </w:rPr>
        <w:t>case shall be marked closed.</w:t>
      </w:r>
    </w:p>
    <w:p w:rsidR="00691A22" w:rsidRPr="00066A76" w:rsidRDefault="00F86BE6" w:rsidP="00E475FA">
      <w:pPr>
        <w:spacing w:line="360" w:lineRule="auto"/>
        <w:rPr>
          <w:szCs w:val="26"/>
        </w:rPr>
      </w:pPr>
      <w:bookmarkStart w:id="0" w:name="_GoBack"/>
      <w:r w:rsidRPr="00A14635">
        <w:rPr>
          <w:noProof/>
        </w:rPr>
        <w:drawing>
          <wp:anchor distT="0" distB="0" distL="114300" distR="114300" simplePos="0" relativeHeight="251659264" behindDoc="1" locked="0" layoutInCell="1" allowOverlap="1" wp14:anchorId="06B19FF8" wp14:editId="67529A89">
            <wp:simplePos x="0" y="0"/>
            <wp:positionH relativeFrom="column">
              <wp:posOffset>3059430</wp:posOffset>
            </wp:positionH>
            <wp:positionV relativeFrom="paragraph">
              <wp:posOffset>279400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066A76" w:rsidRPr="00066A76" w:rsidRDefault="00066A76" w:rsidP="00E475FA">
      <w:pPr>
        <w:spacing w:line="360" w:lineRule="auto"/>
        <w:rPr>
          <w:szCs w:val="24"/>
        </w:rPr>
      </w:pP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b/>
          <w:szCs w:val="24"/>
        </w:rPr>
        <w:t>BY THE COMMISSION,</w:t>
      </w:r>
    </w:p>
    <w:p w:rsidR="00066A76" w:rsidRPr="00066A76" w:rsidRDefault="00066A76" w:rsidP="00E475FA">
      <w:pPr>
        <w:tabs>
          <w:tab w:val="left" w:pos="-720"/>
        </w:tabs>
        <w:suppressAutoHyphens/>
        <w:rPr>
          <w:szCs w:val="24"/>
        </w:rPr>
      </w:pPr>
    </w:p>
    <w:p w:rsidR="00066A76" w:rsidRPr="00066A76" w:rsidRDefault="00066A76" w:rsidP="00E475FA">
      <w:pPr>
        <w:tabs>
          <w:tab w:val="left" w:pos="-720"/>
        </w:tabs>
        <w:suppressAutoHyphens/>
        <w:rPr>
          <w:szCs w:val="24"/>
        </w:rPr>
      </w:pPr>
    </w:p>
    <w:p w:rsidR="00066A76" w:rsidRP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000927F9">
        <w:rPr>
          <w:szCs w:val="24"/>
        </w:rPr>
        <w:tab/>
      </w:r>
      <w:r w:rsidR="000927F9">
        <w:rPr>
          <w:szCs w:val="24"/>
        </w:rPr>
        <w:tab/>
      </w:r>
      <w:r w:rsidRPr="00066A76">
        <w:rPr>
          <w:szCs w:val="24"/>
        </w:rPr>
        <w:t>Secretary</w:t>
      </w:r>
    </w:p>
    <w:p w:rsidR="00066A76" w:rsidRPr="00066A76" w:rsidRDefault="00066A76" w:rsidP="00E475FA">
      <w:pPr>
        <w:tabs>
          <w:tab w:val="left" w:pos="-720"/>
        </w:tabs>
        <w:suppressAutoHyphens/>
        <w:rPr>
          <w:szCs w:val="24"/>
        </w:rPr>
      </w:pPr>
      <w:r w:rsidRPr="00066A76">
        <w:rPr>
          <w:szCs w:val="24"/>
        </w:rPr>
        <w:t>(SEAL)</w:t>
      </w:r>
    </w:p>
    <w:p w:rsidR="00066A76" w:rsidRPr="00066A76" w:rsidRDefault="00066A76" w:rsidP="00E475FA">
      <w:pPr>
        <w:tabs>
          <w:tab w:val="left" w:pos="-720"/>
        </w:tabs>
        <w:suppressAutoHyphens/>
        <w:rPr>
          <w:szCs w:val="24"/>
        </w:rPr>
      </w:pPr>
    </w:p>
    <w:p w:rsidR="00066A76" w:rsidRDefault="00066A76" w:rsidP="00E475FA">
      <w:pPr>
        <w:tabs>
          <w:tab w:val="left" w:pos="-720"/>
        </w:tabs>
        <w:suppressAutoHyphens/>
        <w:rPr>
          <w:szCs w:val="24"/>
        </w:rPr>
      </w:pPr>
      <w:r w:rsidRPr="00066A76">
        <w:rPr>
          <w:szCs w:val="24"/>
        </w:rPr>
        <w:t xml:space="preserve">ORDER ADOPTED:  </w:t>
      </w:r>
      <w:r w:rsidR="009F6A3C">
        <w:rPr>
          <w:szCs w:val="24"/>
        </w:rPr>
        <w:t xml:space="preserve">August </w:t>
      </w:r>
      <w:r w:rsidR="00F6193D">
        <w:rPr>
          <w:szCs w:val="24"/>
        </w:rPr>
        <w:t>30</w:t>
      </w:r>
      <w:r w:rsidRPr="00066A76">
        <w:rPr>
          <w:szCs w:val="24"/>
        </w:rPr>
        <w:t>, 201</w:t>
      </w:r>
      <w:r w:rsidR="00C442B4">
        <w:rPr>
          <w:szCs w:val="24"/>
        </w:rPr>
        <w:t>2</w:t>
      </w:r>
      <w:r w:rsidRPr="00066A76">
        <w:rPr>
          <w:szCs w:val="24"/>
        </w:rPr>
        <w:t xml:space="preserve"> </w:t>
      </w:r>
    </w:p>
    <w:p w:rsidR="00BC1B7D" w:rsidRPr="00BC1B7D" w:rsidRDefault="00066A76" w:rsidP="00E475FA">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F86BE6">
        <w:rPr>
          <w:rFonts w:ascii="Times New (W1)" w:hAnsi="Times New (W1)"/>
          <w:szCs w:val="22"/>
        </w:rPr>
        <w:t>August 31, 2012</w:t>
      </w:r>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92" w:rsidRDefault="00093592" w:rsidP="00567496">
      <w:r>
        <w:separator/>
      </w:r>
    </w:p>
  </w:endnote>
  <w:endnote w:type="continuationSeparator" w:id="0">
    <w:p w:rsidR="00093592" w:rsidRDefault="00093592"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F94F57" w:rsidRDefault="00F94F57">
        <w:pPr>
          <w:pStyle w:val="Footer"/>
          <w:jc w:val="center"/>
        </w:pPr>
        <w:r>
          <w:fldChar w:fldCharType="begin"/>
        </w:r>
        <w:r>
          <w:instrText xml:space="preserve"> PAGE   \* MERGEFORMAT </w:instrText>
        </w:r>
        <w:r>
          <w:fldChar w:fldCharType="separate"/>
        </w:r>
        <w:r w:rsidR="00F86BE6">
          <w:rPr>
            <w:noProof/>
          </w:rPr>
          <w:t>13</w:t>
        </w:r>
        <w:r>
          <w:rPr>
            <w:noProof/>
          </w:rPr>
          <w:fldChar w:fldCharType="end"/>
        </w:r>
      </w:p>
    </w:sdtContent>
  </w:sdt>
  <w:p w:rsidR="00F94F57" w:rsidRDefault="00F9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92" w:rsidRDefault="00093592" w:rsidP="00567496">
      <w:r>
        <w:separator/>
      </w:r>
    </w:p>
  </w:footnote>
  <w:footnote w:type="continuationSeparator" w:id="0">
    <w:p w:rsidR="00093592" w:rsidRDefault="00093592" w:rsidP="00567496">
      <w:r>
        <w:continuationSeparator/>
      </w:r>
    </w:p>
  </w:footnote>
  <w:footnote w:id="1">
    <w:p w:rsidR="00DA70E7" w:rsidRPr="005D5E4E" w:rsidRDefault="00DA70E7" w:rsidP="00DA70E7">
      <w:pPr>
        <w:ind w:firstLine="720"/>
      </w:pPr>
      <w:r>
        <w:rPr>
          <w:rStyle w:val="FootnoteReference"/>
        </w:rPr>
        <w:footnoteRef/>
      </w:r>
      <w:r>
        <w:t xml:space="preserve"> </w:t>
      </w:r>
      <w:r>
        <w:tab/>
      </w:r>
      <w:r w:rsidRPr="005D5E4E">
        <w:t xml:space="preserve">The </w:t>
      </w:r>
      <w:r>
        <w:t>C</w:t>
      </w:r>
      <w:r w:rsidRPr="005D5E4E">
        <w:t xml:space="preserve">omplaint was a timely appeal of </w:t>
      </w:r>
      <w:r>
        <w:t>a</w:t>
      </w:r>
      <w:r w:rsidRPr="005D5E4E">
        <w:t xml:space="preserve"> decision issued by the Commission’s Bureau of Consumer Services at Case No. 2520207.</w:t>
      </w:r>
      <w:r>
        <w:t xml:space="preserve">  </w:t>
      </w:r>
      <w:r w:rsidRPr="005D5E4E">
        <w:t xml:space="preserve">  </w:t>
      </w:r>
    </w:p>
    <w:p w:rsidR="00DA70E7" w:rsidRDefault="00DA70E7" w:rsidP="00DA70E7">
      <w:pPr>
        <w:pStyle w:val="FootnoteText"/>
        <w:ind w:firstLine="720"/>
      </w:pPr>
    </w:p>
  </w:footnote>
  <w:footnote w:id="2">
    <w:p w:rsidR="003B70B8" w:rsidRPr="00582E8E" w:rsidRDefault="003B70B8" w:rsidP="003B70B8">
      <w:pPr>
        <w:pStyle w:val="FootnoteText"/>
        <w:tabs>
          <w:tab w:val="left" w:pos="720"/>
          <w:tab w:val="left" w:pos="1440"/>
        </w:tabs>
        <w:rPr>
          <w:sz w:val="26"/>
        </w:rPr>
      </w:pPr>
      <w:r>
        <w:tab/>
      </w:r>
      <w:r w:rsidRPr="00582E8E">
        <w:rPr>
          <w:rStyle w:val="FootnoteReference"/>
          <w:sz w:val="26"/>
        </w:rPr>
        <w:footnoteRef/>
      </w:r>
      <w:r w:rsidRPr="00582E8E">
        <w:rPr>
          <w:sz w:val="26"/>
        </w:rPr>
        <w:t xml:space="preserve"> </w:t>
      </w:r>
      <w:r w:rsidRPr="00582E8E">
        <w:rPr>
          <w:sz w:val="26"/>
        </w:rPr>
        <w:tab/>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582E8E">
        <w:rPr>
          <w:i/>
          <w:sz w:val="26"/>
        </w:rPr>
        <w:t>pro se</w:t>
      </w:r>
      <w:r w:rsidRPr="00582E8E">
        <w:rPr>
          <w:sz w:val="26"/>
        </w:rPr>
        <w:t xml:space="preserve">, we will accept the Exceptions as filed pursuant to Section 1.2(a) of our Regulations, 52 Pa. Code </w:t>
      </w:r>
    </w:p>
    <w:p w:rsidR="003B70B8" w:rsidRPr="00582E8E" w:rsidRDefault="003B70B8" w:rsidP="003B70B8">
      <w:pPr>
        <w:pStyle w:val="FootnoteText"/>
        <w:tabs>
          <w:tab w:val="left" w:pos="720"/>
          <w:tab w:val="left" w:pos="1440"/>
        </w:tabs>
        <w:rPr>
          <w:sz w:val="26"/>
        </w:rPr>
      </w:pPr>
      <w:r w:rsidRPr="00582E8E">
        <w:rPr>
          <w:sz w:val="26"/>
        </w:rPr>
        <w:t xml:space="preserve">§ 1.2(a), in order to secure a just, speedy, and inexpensive determination in this proceeding.  </w:t>
      </w:r>
    </w:p>
    <w:p w:rsidR="003B70B8" w:rsidRPr="00021EED" w:rsidRDefault="003B70B8" w:rsidP="003B70B8">
      <w:pPr>
        <w:pStyle w:val="FootnoteText"/>
        <w:ind w:firstLine="720"/>
        <w:rPr>
          <w:b/>
          <w:sz w:val="26"/>
        </w:rPr>
      </w:pPr>
    </w:p>
  </w:footnote>
  <w:footnote w:id="3">
    <w:p w:rsidR="006A3B3D" w:rsidRPr="006A3B3D" w:rsidRDefault="006A3B3D" w:rsidP="006A3B3D">
      <w:pPr>
        <w:pStyle w:val="FootnoteText"/>
        <w:ind w:firstLine="720"/>
        <w:rPr>
          <w:sz w:val="26"/>
        </w:rPr>
      </w:pPr>
      <w:r w:rsidRPr="006A3B3D">
        <w:rPr>
          <w:rStyle w:val="FootnoteReference"/>
          <w:sz w:val="26"/>
        </w:rPr>
        <w:footnoteRef/>
      </w:r>
      <w:r w:rsidRPr="006A3B3D">
        <w:rPr>
          <w:sz w:val="26"/>
        </w:rPr>
        <w:t xml:space="preserve"> </w:t>
      </w:r>
      <w:r w:rsidRPr="006A3B3D">
        <w:rPr>
          <w:sz w:val="26"/>
        </w:rPr>
        <w:tab/>
        <w:t xml:space="preserve">Finding of Fact No. 11 provides the following: </w:t>
      </w:r>
    </w:p>
    <w:p w:rsidR="006A3B3D" w:rsidRDefault="006A3B3D" w:rsidP="006A3B3D">
      <w:pPr>
        <w:pStyle w:val="FootnoteText"/>
        <w:ind w:left="1440" w:right="1440"/>
        <w:rPr>
          <w:sz w:val="26"/>
        </w:rPr>
      </w:pPr>
    </w:p>
    <w:p w:rsidR="006A3B3D" w:rsidRDefault="006A3B3D" w:rsidP="006A3B3D">
      <w:pPr>
        <w:pStyle w:val="FootnoteText"/>
        <w:ind w:left="1440" w:right="1440"/>
        <w:rPr>
          <w:sz w:val="26"/>
        </w:rPr>
      </w:pPr>
      <w:r w:rsidRPr="006A3B3D">
        <w:rPr>
          <w:sz w:val="26"/>
        </w:rPr>
        <w:t>Temporary suspension of service allows a customer to keep his/her telephone number.  At the customer’s request, Verizon will provide a recording to incoming callers that service has been temporarily suspended.  Verizon will also provide a referral number to incoming callers, at the customer’s request.  During temporary suspension of service, Verizon’s facilities and the physical connection from the central office to the customer’s home are still in place</w:t>
      </w:r>
      <w:r>
        <w:rPr>
          <w:sz w:val="26"/>
        </w:rPr>
        <w:t>.</w:t>
      </w:r>
      <w:r w:rsidRPr="006A3B3D">
        <w:rPr>
          <w:sz w:val="26"/>
        </w:rPr>
        <w:t xml:space="preserve"> </w:t>
      </w:r>
    </w:p>
    <w:p w:rsidR="006A3B3D" w:rsidRPr="006A3B3D" w:rsidRDefault="006A3B3D" w:rsidP="006A3B3D">
      <w:pPr>
        <w:pStyle w:val="FootnoteText"/>
        <w:ind w:left="1440" w:right="1440"/>
        <w:rPr>
          <w:sz w:val="26"/>
        </w:rPr>
      </w:pPr>
    </w:p>
  </w:footnote>
  <w:footnote w:id="4">
    <w:p w:rsidR="00D21025" w:rsidRDefault="00120802" w:rsidP="00D21025">
      <w:pPr>
        <w:ind w:firstLine="720"/>
      </w:pPr>
      <w:r w:rsidRPr="00120802">
        <w:rPr>
          <w:rStyle w:val="FootnoteReference"/>
        </w:rPr>
        <w:footnoteRef/>
      </w:r>
      <w:r w:rsidRPr="00120802">
        <w:t xml:space="preserve"> </w:t>
      </w:r>
      <w:r w:rsidRPr="00120802">
        <w:tab/>
        <w:t xml:space="preserve">Finding of Fact No. 12 provides the following:  </w:t>
      </w:r>
      <w:r w:rsidR="00D21025">
        <w:t>“When</w:t>
      </w:r>
      <w:r w:rsidR="00D21025" w:rsidRPr="005D5E4E">
        <w:t xml:space="preserve"> a customer disconnects service, his/her telephone number is </w:t>
      </w:r>
      <w:r w:rsidR="00D21025">
        <w:t>re</w:t>
      </w:r>
      <w:r w:rsidR="00D21025" w:rsidRPr="005D5E4E">
        <w:t>t</w:t>
      </w:r>
      <w:r w:rsidR="00D21025">
        <w:t>urned</w:t>
      </w:r>
      <w:r w:rsidR="00D21025" w:rsidRPr="005D5E4E">
        <w:t xml:space="preserve"> to the pool of available numbers after </w:t>
      </w:r>
      <w:r w:rsidR="00D21025">
        <w:t>thirty</w:t>
      </w:r>
      <w:r w:rsidR="00D21025" w:rsidRPr="005D5E4E">
        <w:t xml:space="preserve"> days.  If the customer reapplies for service, there is an installation charge and short waiting period for service restoration</w:t>
      </w:r>
      <w:r w:rsidR="00D21025">
        <w:t>.”</w:t>
      </w:r>
    </w:p>
    <w:p w:rsidR="00120802" w:rsidRPr="00120802" w:rsidRDefault="00120802" w:rsidP="00D21025">
      <w:pPr>
        <w:pStyle w:val="FootnoteText"/>
        <w:ind w:firstLine="720"/>
        <w:rPr>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C688D"/>
    <w:multiLevelType w:val="hybridMultilevel"/>
    <w:tmpl w:val="76DA0592"/>
    <w:lvl w:ilvl="0" w:tplc="CC50CA28">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1B7"/>
    <w:rsid w:val="000036E9"/>
    <w:rsid w:val="00004052"/>
    <w:rsid w:val="00004858"/>
    <w:rsid w:val="00004E2C"/>
    <w:rsid w:val="00004F7C"/>
    <w:rsid w:val="00006415"/>
    <w:rsid w:val="00006ECB"/>
    <w:rsid w:val="00006EFA"/>
    <w:rsid w:val="00013322"/>
    <w:rsid w:val="000147FC"/>
    <w:rsid w:val="0001578F"/>
    <w:rsid w:val="00016924"/>
    <w:rsid w:val="00016B40"/>
    <w:rsid w:val="00017680"/>
    <w:rsid w:val="0001780A"/>
    <w:rsid w:val="000211D0"/>
    <w:rsid w:val="00021A4A"/>
    <w:rsid w:val="00021EED"/>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3E96"/>
    <w:rsid w:val="00034F46"/>
    <w:rsid w:val="00034F90"/>
    <w:rsid w:val="000400E3"/>
    <w:rsid w:val="000422E7"/>
    <w:rsid w:val="00042CC3"/>
    <w:rsid w:val="000447CE"/>
    <w:rsid w:val="00044CEB"/>
    <w:rsid w:val="00045551"/>
    <w:rsid w:val="00045911"/>
    <w:rsid w:val="00046962"/>
    <w:rsid w:val="00047785"/>
    <w:rsid w:val="000506DB"/>
    <w:rsid w:val="000509B2"/>
    <w:rsid w:val="00050CF6"/>
    <w:rsid w:val="00051324"/>
    <w:rsid w:val="000519B5"/>
    <w:rsid w:val="00052468"/>
    <w:rsid w:val="00052D75"/>
    <w:rsid w:val="00052FFA"/>
    <w:rsid w:val="000550E9"/>
    <w:rsid w:val="00055623"/>
    <w:rsid w:val="00055A3E"/>
    <w:rsid w:val="00056646"/>
    <w:rsid w:val="00057D94"/>
    <w:rsid w:val="0006109C"/>
    <w:rsid w:val="00061888"/>
    <w:rsid w:val="00063D15"/>
    <w:rsid w:val="00063E1C"/>
    <w:rsid w:val="00064136"/>
    <w:rsid w:val="00064894"/>
    <w:rsid w:val="000658EB"/>
    <w:rsid w:val="00065A18"/>
    <w:rsid w:val="00065F0E"/>
    <w:rsid w:val="00066A76"/>
    <w:rsid w:val="00066AE5"/>
    <w:rsid w:val="0007165B"/>
    <w:rsid w:val="00071FA0"/>
    <w:rsid w:val="000720AE"/>
    <w:rsid w:val="0007219D"/>
    <w:rsid w:val="000728F9"/>
    <w:rsid w:val="000732CB"/>
    <w:rsid w:val="00073659"/>
    <w:rsid w:val="000740B8"/>
    <w:rsid w:val="00074262"/>
    <w:rsid w:val="00074274"/>
    <w:rsid w:val="000749FD"/>
    <w:rsid w:val="0007550D"/>
    <w:rsid w:val="0007569C"/>
    <w:rsid w:val="00075FD6"/>
    <w:rsid w:val="00075FFF"/>
    <w:rsid w:val="00076343"/>
    <w:rsid w:val="0007652E"/>
    <w:rsid w:val="00076F0E"/>
    <w:rsid w:val="00076FCE"/>
    <w:rsid w:val="000777B3"/>
    <w:rsid w:val="000805CB"/>
    <w:rsid w:val="0008093B"/>
    <w:rsid w:val="00081D32"/>
    <w:rsid w:val="00081EEF"/>
    <w:rsid w:val="0008220C"/>
    <w:rsid w:val="00082E1B"/>
    <w:rsid w:val="000842FB"/>
    <w:rsid w:val="000849E4"/>
    <w:rsid w:val="000851ED"/>
    <w:rsid w:val="00085ED7"/>
    <w:rsid w:val="00087216"/>
    <w:rsid w:val="000878DB"/>
    <w:rsid w:val="00090183"/>
    <w:rsid w:val="000917D1"/>
    <w:rsid w:val="000927F9"/>
    <w:rsid w:val="00092F02"/>
    <w:rsid w:val="00093592"/>
    <w:rsid w:val="00093996"/>
    <w:rsid w:val="00093FE1"/>
    <w:rsid w:val="00094193"/>
    <w:rsid w:val="00094355"/>
    <w:rsid w:val="000950BB"/>
    <w:rsid w:val="00096209"/>
    <w:rsid w:val="000971B5"/>
    <w:rsid w:val="000979D4"/>
    <w:rsid w:val="000A06B5"/>
    <w:rsid w:val="000A0A6B"/>
    <w:rsid w:val="000A0C77"/>
    <w:rsid w:val="000A13F2"/>
    <w:rsid w:val="000A1613"/>
    <w:rsid w:val="000A18F9"/>
    <w:rsid w:val="000A1BE6"/>
    <w:rsid w:val="000A4744"/>
    <w:rsid w:val="000A4F3F"/>
    <w:rsid w:val="000A6F8A"/>
    <w:rsid w:val="000A718D"/>
    <w:rsid w:val="000A7DED"/>
    <w:rsid w:val="000B0210"/>
    <w:rsid w:val="000B12E3"/>
    <w:rsid w:val="000B1971"/>
    <w:rsid w:val="000B1E0D"/>
    <w:rsid w:val="000B1F90"/>
    <w:rsid w:val="000B531C"/>
    <w:rsid w:val="000B599B"/>
    <w:rsid w:val="000B6883"/>
    <w:rsid w:val="000B6C4C"/>
    <w:rsid w:val="000B710E"/>
    <w:rsid w:val="000B75DD"/>
    <w:rsid w:val="000C0E0E"/>
    <w:rsid w:val="000C2070"/>
    <w:rsid w:val="000C213E"/>
    <w:rsid w:val="000C35F6"/>
    <w:rsid w:val="000C459A"/>
    <w:rsid w:val="000C5F40"/>
    <w:rsid w:val="000C69AD"/>
    <w:rsid w:val="000C7089"/>
    <w:rsid w:val="000C7734"/>
    <w:rsid w:val="000C7A35"/>
    <w:rsid w:val="000D0D98"/>
    <w:rsid w:val="000D1091"/>
    <w:rsid w:val="000D2279"/>
    <w:rsid w:val="000D2A6B"/>
    <w:rsid w:val="000D380B"/>
    <w:rsid w:val="000D383A"/>
    <w:rsid w:val="000D3DCC"/>
    <w:rsid w:val="000D43BE"/>
    <w:rsid w:val="000D476B"/>
    <w:rsid w:val="000D48F9"/>
    <w:rsid w:val="000D4E09"/>
    <w:rsid w:val="000D520C"/>
    <w:rsid w:val="000D5D86"/>
    <w:rsid w:val="000D6CEF"/>
    <w:rsid w:val="000D74EC"/>
    <w:rsid w:val="000D77A3"/>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1E0"/>
    <w:rsid w:val="000F0263"/>
    <w:rsid w:val="000F0EA5"/>
    <w:rsid w:val="000F2AEE"/>
    <w:rsid w:val="000F3544"/>
    <w:rsid w:val="000F415F"/>
    <w:rsid w:val="000F42CA"/>
    <w:rsid w:val="000F45BD"/>
    <w:rsid w:val="000F461C"/>
    <w:rsid w:val="000F46D2"/>
    <w:rsid w:val="000F501F"/>
    <w:rsid w:val="000F50A2"/>
    <w:rsid w:val="000F50C8"/>
    <w:rsid w:val="000F5F90"/>
    <w:rsid w:val="000F71B8"/>
    <w:rsid w:val="000F7411"/>
    <w:rsid w:val="000F7DAE"/>
    <w:rsid w:val="00100BCA"/>
    <w:rsid w:val="0010174E"/>
    <w:rsid w:val="00101D54"/>
    <w:rsid w:val="00102F7E"/>
    <w:rsid w:val="00104159"/>
    <w:rsid w:val="00105BF5"/>
    <w:rsid w:val="00105E00"/>
    <w:rsid w:val="00105F1D"/>
    <w:rsid w:val="00106B30"/>
    <w:rsid w:val="00107493"/>
    <w:rsid w:val="00107BD9"/>
    <w:rsid w:val="0011210B"/>
    <w:rsid w:val="00112874"/>
    <w:rsid w:val="00113A75"/>
    <w:rsid w:val="00115130"/>
    <w:rsid w:val="00115D05"/>
    <w:rsid w:val="00115FB0"/>
    <w:rsid w:val="00116C7B"/>
    <w:rsid w:val="0011729D"/>
    <w:rsid w:val="001172E7"/>
    <w:rsid w:val="00117A81"/>
    <w:rsid w:val="00120481"/>
    <w:rsid w:val="00120802"/>
    <w:rsid w:val="001212C2"/>
    <w:rsid w:val="00121D4A"/>
    <w:rsid w:val="00121DD2"/>
    <w:rsid w:val="00122DEA"/>
    <w:rsid w:val="0012301B"/>
    <w:rsid w:val="00123544"/>
    <w:rsid w:val="001248B9"/>
    <w:rsid w:val="00124CAA"/>
    <w:rsid w:val="00124D07"/>
    <w:rsid w:val="001251FA"/>
    <w:rsid w:val="00125B46"/>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DD1"/>
    <w:rsid w:val="00137474"/>
    <w:rsid w:val="00137993"/>
    <w:rsid w:val="00140308"/>
    <w:rsid w:val="0014059F"/>
    <w:rsid w:val="00141235"/>
    <w:rsid w:val="0014343B"/>
    <w:rsid w:val="00143548"/>
    <w:rsid w:val="00143873"/>
    <w:rsid w:val="00143B1D"/>
    <w:rsid w:val="00144359"/>
    <w:rsid w:val="001459E4"/>
    <w:rsid w:val="00146C68"/>
    <w:rsid w:val="0014737F"/>
    <w:rsid w:val="00150526"/>
    <w:rsid w:val="00150E8C"/>
    <w:rsid w:val="00151710"/>
    <w:rsid w:val="00151C0A"/>
    <w:rsid w:val="00151E19"/>
    <w:rsid w:val="001520DA"/>
    <w:rsid w:val="00152175"/>
    <w:rsid w:val="00153381"/>
    <w:rsid w:val="00153DA6"/>
    <w:rsid w:val="00153E8D"/>
    <w:rsid w:val="00153F8F"/>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388"/>
    <w:rsid w:val="0017639C"/>
    <w:rsid w:val="001766B5"/>
    <w:rsid w:val="00177D81"/>
    <w:rsid w:val="0018006C"/>
    <w:rsid w:val="00180D82"/>
    <w:rsid w:val="00182093"/>
    <w:rsid w:val="00184831"/>
    <w:rsid w:val="00185FB2"/>
    <w:rsid w:val="00186927"/>
    <w:rsid w:val="001869F9"/>
    <w:rsid w:val="00187958"/>
    <w:rsid w:val="0019027A"/>
    <w:rsid w:val="0019028A"/>
    <w:rsid w:val="00190F40"/>
    <w:rsid w:val="00191C9B"/>
    <w:rsid w:val="001920B5"/>
    <w:rsid w:val="0019259D"/>
    <w:rsid w:val="00192C94"/>
    <w:rsid w:val="00194C9F"/>
    <w:rsid w:val="0019507A"/>
    <w:rsid w:val="001958F7"/>
    <w:rsid w:val="001960EE"/>
    <w:rsid w:val="001966F5"/>
    <w:rsid w:val="001A0BA6"/>
    <w:rsid w:val="001A1EF3"/>
    <w:rsid w:val="001A244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E6E"/>
    <w:rsid w:val="001B2A8A"/>
    <w:rsid w:val="001B4D9F"/>
    <w:rsid w:val="001B4DBE"/>
    <w:rsid w:val="001B52E2"/>
    <w:rsid w:val="001B5DE4"/>
    <w:rsid w:val="001B5ECD"/>
    <w:rsid w:val="001B6FB6"/>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B37"/>
    <w:rsid w:val="001D2F20"/>
    <w:rsid w:val="001D3050"/>
    <w:rsid w:val="001D6158"/>
    <w:rsid w:val="001D62D6"/>
    <w:rsid w:val="001D6915"/>
    <w:rsid w:val="001D6F21"/>
    <w:rsid w:val="001E00F5"/>
    <w:rsid w:val="001E197D"/>
    <w:rsid w:val="001E19B2"/>
    <w:rsid w:val="001E1FD4"/>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56F8"/>
    <w:rsid w:val="00205C93"/>
    <w:rsid w:val="00206D72"/>
    <w:rsid w:val="0020767E"/>
    <w:rsid w:val="00210F6C"/>
    <w:rsid w:val="0021316F"/>
    <w:rsid w:val="002133BD"/>
    <w:rsid w:val="00213844"/>
    <w:rsid w:val="00213CEC"/>
    <w:rsid w:val="0021490C"/>
    <w:rsid w:val="002166B8"/>
    <w:rsid w:val="00216CD0"/>
    <w:rsid w:val="002177A7"/>
    <w:rsid w:val="002205FA"/>
    <w:rsid w:val="00220742"/>
    <w:rsid w:val="00221908"/>
    <w:rsid w:val="00222A33"/>
    <w:rsid w:val="00222E46"/>
    <w:rsid w:val="00223250"/>
    <w:rsid w:val="00223617"/>
    <w:rsid w:val="00223721"/>
    <w:rsid w:val="00224007"/>
    <w:rsid w:val="0022400D"/>
    <w:rsid w:val="002246D7"/>
    <w:rsid w:val="00225062"/>
    <w:rsid w:val="00225DD2"/>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373"/>
    <w:rsid w:val="00236652"/>
    <w:rsid w:val="002403F6"/>
    <w:rsid w:val="0024045B"/>
    <w:rsid w:val="00240734"/>
    <w:rsid w:val="0024138C"/>
    <w:rsid w:val="00241868"/>
    <w:rsid w:val="002421B7"/>
    <w:rsid w:val="00243200"/>
    <w:rsid w:val="002432FA"/>
    <w:rsid w:val="002439CE"/>
    <w:rsid w:val="00243A33"/>
    <w:rsid w:val="00245113"/>
    <w:rsid w:val="00245BA0"/>
    <w:rsid w:val="00246B19"/>
    <w:rsid w:val="00246E31"/>
    <w:rsid w:val="00247038"/>
    <w:rsid w:val="00250871"/>
    <w:rsid w:val="00250EEF"/>
    <w:rsid w:val="00251130"/>
    <w:rsid w:val="00251B80"/>
    <w:rsid w:val="0025268A"/>
    <w:rsid w:val="00252AD1"/>
    <w:rsid w:val="00252C0C"/>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4A2"/>
    <w:rsid w:val="00264338"/>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4B3E"/>
    <w:rsid w:val="00274CA0"/>
    <w:rsid w:val="00275369"/>
    <w:rsid w:val="00277406"/>
    <w:rsid w:val="00280E7B"/>
    <w:rsid w:val="00281A01"/>
    <w:rsid w:val="002825B2"/>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01EF"/>
    <w:rsid w:val="002A14E0"/>
    <w:rsid w:val="002A2130"/>
    <w:rsid w:val="002A3932"/>
    <w:rsid w:val="002A4218"/>
    <w:rsid w:val="002A48A3"/>
    <w:rsid w:val="002A5492"/>
    <w:rsid w:val="002A54B9"/>
    <w:rsid w:val="002A609D"/>
    <w:rsid w:val="002A6185"/>
    <w:rsid w:val="002A678C"/>
    <w:rsid w:val="002A6C71"/>
    <w:rsid w:val="002A7B3F"/>
    <w:rsid w:val="002B1787"/>
    <w:rsid w:val="002B389B"/>
    <w:rsid w:val="002B3D1D"/>
    <w:rsid w:val="002B3DF1"/>
    <w:rsid w:val="002B56B3"/>
    <w:rsid w:val="002C0E1C"/>
    <w:rsid w:val="002C15C0"/>
    <w:rsid w:val="002C1776"/>
    <w:rsid w:val="002C1C92"/>
    <w:rsid w:val="002C2BA6"/>
    <w:rsid w:val="002C3E78"/>
    <w:rsid w:val="002C403A"/>
    <w:rsid w:val="002C42CF"/>
    <w:rsid w:val="002C4F37"/>
    <w:rsid w:val="002C5120"/>
    <w:rsid w:val="002C519E"/>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E588A"/>
    <w:rsid w:val="002F028F"/>
    <w:rsid w:val="002F0B35"/>
    <w:rsid w:val="002F0D1C"/>
    <w:rsid w:val="002F1C7E"/>
    <w:rsid w:val="002F3676"/>
    <w:rsid w:val="002F5E58"/>
    <w:rsid w:val="002F645C"/>
    <w:rsid w:val="002F6759"/>
    <w:rsid w:val="002F6B14"/>
    <w:rsid w:val="002F7734"/>
    <w:rsid w:val="002F7A68"/>
    <w:rsid w:val="002F7AFB"/>
    <w:rsid w:val="002F7DBD"/>
    <w:rsid w:val="00300758"/>
    <w:rsid w:val="00301D87"/>
    <w:rsid w:val="00302476"/>
    <w:rsid w:val="00303159"/>
    <w:rsid w:val="0030374F"/>
    <w:rsid w:val="003066F3"/>
    <w:rsid w:val="00306F3B"/>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B8"/>
    <w:rsid w:val="003246C9"/>
    <w:rsid w:val="003249EC"/>
    <w:rsid w:val="00324D69"/>
    <w:rsid w:val="003257FD"/>
    <w:rsid w:val="0032598F"/>
    <w:rsid w:val="0032606A"/>
    <w:rsid w:val="00326389"/>
    <w:rsid w:val="003279E9"/>
    <w:rsid w:val="00330B22"/>
    <w:rsid w:val="00330BCF"/>
    <w:rsid w:val="00331602"/>
    <w:rsid w:val="00331847"/>
    <w:rsid w:val="00331885"/>
    <w:rsid w:val="00331985"/>
    <w:rsid w:val="003319DD"/>
    <w:rsid w:val="00332DC9"/>
    <w:rsid w:val="00333DB3"/>
    <w:rsid w:val="0033458B"/>
    <w:rsid w:val="0033524A"/>
    <w:rsid w:val="003356A1"/>
    <w:rsid w:val="00336BF4"/>
    <w:rsid w:val="00337357"/>
    <w:rsid w:val="0033758D"/>
    <w:rsid w:val="00337B04"/>
    <w:rsid w:val="00341DC5"/>
    <w:rsid w:val="003436D0"/>
    <w:rsid w:val="003436EC"/>
    <w:rsid w:val="00343A19"/>
    <w:rsid w:val="00347FE2"/>
    <w:rsid w:val="00350630"/>
    <w:rsid w:val="00350C04"/>
    <w:rsid w:val="00350EB2"/>
    <w:rsid w:val="00350F1E"/>
    <w:rsid w:val="00351617"/>
    <w:rsid w:val="00351BF4"/>
    <w:rsid w:val="00351E77"/>
    <w:rsid w:val="003526AD"/>
    <w:rsid w:val="00352908"/>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51D"/>
    <w:rsid w:val="00363A0C"/>
    <w:rsid w:val="00363E3B"/>
    <w:rsid w:val="0036420A"/>
    <w:rsid w:val="00364537"/>
    <w:rsid w:val="003647B6"/>
    <w:rsid w:val="0036503E"/>
    <w:rsid w:val="003663E2"/>
    <w:rsid w:val="003668EF"/>
    <w:rsid w:val="00366AC4"/>
    <w:rsid w:val="003674E8"/>
    <w:rsid w:val="00367C10"/>
    <w:rsid w:val="003715E6"/>
    <w:rsid w:val="00373BDE"/>
    <w:rsid w:val="0037449F"/>
    <w:rsid w:val="003754B9"/>
    <w:rsid w:val="0037610D"/>
    <w:rsid w:val="00377275"/>
    <w:rsid w:val="003773B6"/>
    <w:rsid w:val="0037748F"/>
    <w:rsid w:val="0038038E"/>
    <w:rsid w:val="0038179A"/>
    <w:rsid w:val="00382142"/>
    <w:rsid w:val="00383906"/>
    <w:rsid w:val="0038399C"/>
    <w:rsid w:val="00383AE1"/>
    <w:rsid w:val="003846A6"/>
    <w:rsid w:val="00384A66"/>
    <w:rsid w:val="00384C0D"/>
    <w:rsid w:val="00384EE5"/>
    <w:rsid w:val="00386F4E"/>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3420"/>
    <w:rsid w:val="003A3D81"/>
    <w:rsid w:val="003A3F6B"/>
    <w:rsid w:val="003A4B56"/>
    <w:rsid w:val="003A53FE"/>
    <w:rsid w:val="003A6101"/>
    <w:rsid w:val="003A624A"/>
    <w:rsid w:val="003A70D4"/>
    <w:rsid w:val="003A7A08"/>
    <w:rsid w:val="003A7D61"/>
    <w:rsid w:val="003B063B"/>
    <w:rsid w:val="003B14B4"/>
    <w:rsid w:val="003B2D9C"/>
    <w:rsid w:val="003B30B2"/>
    <w:rsid w:val="003B431A"/>
    <w:rsid w:val="003B4495"/>
    <w:rsid w:val="003B4648"/>
    <w:rsid w:val="003B51D4"/>
    <w:rsid w:val="003B5ADE"/>
    <w:rsid w:val="003B5FFD"/>
    <w:rsid w:val="003B6749"/>
    <w:rsid w:val="003B70B8"/>
    <w:rsid w:val="003B7145"/>
    <w:rsid w:val="003B7921"/>
    <w:rsid w:val="003B79E7"/>
    <w:rsid w:val="003B7E65"/>
    <w:rsid w:val="003C066C"/>
    <w:rsid w:val="003C126B"/>
    <w:rsid w:val="003C15E8"/>
    <w:rsid w:val="003C1869"/>
    <w:rsid w:val="003C27F1"/>
    <w:rsid w:val="003C36DD"/>
    <w:rsid w:val="003C3F2C"/>
    <w:rsid w:val="003C4974"/>
    <w:rsid w:val="003C49D4"/>
    <w:rsid w:val="003C55F4"/>
    <w:rsid w:val="003C5846"/>
    <w:rsid w:val="003C5B12"/>
    <w:rsid w:val="003C78C2"/>
    <w:rsid w:val="003C7E10"/>
    <w:rsid w:val="003C7F9D"/>
    <w:rsid w:val="003D00D4"/>
    <w:rsid w:val="003D02B7"/>
    <w:rsid w:val="003D059B"/>
    <w:rsid w:val="003D2E73"/>
    <w:rsid w:val="003D3FDB"/>
    <w:rsid w:val="003D457A"/>
    <w:rsid w:val="003D6980"/>
    <w:rsid w:val="003D7A67"/>
    <w:rsid w:val="003E0094"/>
    <w:rsid w:val="003E0158"/>
    <w:rsid w:val="003E1087"/>
    <w:rsid w:val="003E1582"/>
    <w:rsid w:val="003E2D04"/>
    <w:rsid w:val="003E3489"/>
    <w:rsid w:val="003E3902"/>
    <w:rsid w:val="003E3BF6"/>
    <w:rsid w:val="003E3C1F"/>
    <w:rsid w:val="003E3D43"/>
    <w:rsid w:val="003E4036"/>
    <w:rsid w:val="003E49D2"/>
    <w:rsid w:val="003E5F24"/>
    <w:rsid w:val="003E61EF"/>
    <w:rsid w:val="003E7C58"/>
    <w:rsid w:val="003F0D49"/>
    <w:rsid w:val="003F1A9A"/>
    <w:rsid w:val="003F1D06"/>
    <w:rsid w:val="003F21B4"/>
    <w:rsid w:val="003F2343"/>
    <w:rsid w:val="003F301C"/>
    <w:rsid w:val="003F3031"/>
    <w:rsid w:val="003F34B2"/>
    <w:rsid w:val="003F3D4C"/>
    <w:rsid w:val="003F4EA6"/>
    <w:rsid w:val="00401266"/>
    <w:rsid w:val="00401A88"/>
    <w:rsid w:val="00402A9C"/>
    <w:rsid w:val="00402CE7"/>
    <w:rsid w:val="00402FB6"/>
    <w:rsid w:val="00403424"/>
    <w:rsid w:val="00404584"/>
    <w:rsid w:val="004047C6"/>
    <w:rsid w:val="00404B93"/>
    <w:rsid w:val="0040664F"/>
    <w:rsid w:val="0040677B"/>
    <w:rsid w:val="00406AF1"/>
    <w:rsid w:val="00407677"/>
    <w:rsid w:val="004076D5"/>
    <w:rsid w:val="00407AFD"/>
    <w:rsid w:val="0041131A"/>
    <w:rsid w:val="00411387"/>
    <w:rsid w:val="00411649"/>
    <w:rsid w:val="00411782"/>
    <w:rsid w:val="00412105"/>
    <w:rsid w:val="004121A0"/>
    <w:rsid w:val="00412D2C"/>
    <w:rsid w:val="0041460A"/>
    <w:rsid w:val="00414F35"/>
    <w:rsid w:val="004162DA"/>
    <w:rsid w:val="00416468"/>
    <w:rsid w:val="00417BD6"/>
    <w:rsid w:val="00421346"/>
    <w:rsid w:val="00421932"/>
    <w:rsid w:val="00421ABF"/>
    <w:rsid w:val="00422697"/>
    <w:rsid w:val="00423CDB"/>
    <w:rsid w:val="004240CD"/>
    <w:rsid w:val="004240ED"/>
    <w:rsid w:val="00424367"/>
    <w:rsid w:val="0042459E"/>
    <w:rsid w:val="00424786"/>
    <w:rsid w:val="004249BE"/>
    <w:rsid w:val="00425C56"/>
    <w:rsid w:val="00426DFB"/>
    <w:rsid w:val="00431EAD"/>
    <w:rsid w:val="004327CD"/>
    <w:rsid w:val="00433826"/>
    <w:rsid w:val="004339E3"/>
    <w:rsid w:val="0043525E"/>
    <w:rsid w:val="004352B1"/>
    <w:rsid w:val="004358C9"/>
    <w:rsid w:val="004358E7"/>
    <w:rsid w:val="00435BA6"/>
    <w:rsid w:val="00435D68"/>
    <w:rsid w:val="00436CED"/>
    <w:rsid w:val="00437D58"/>
    <w:rsid w:val="00441614"/>
    <w:rsid w:val="0044197C"/>
    <w:rsid w:val="004427F9"/>
    <w:rsid w:val="004428D1"/>
    <w:rsid w:val="00442E04"/>
    <w:rsid w:val="00443444"/>
    <w:rsid w:val="00443DD7"/>
    <w:rsid w:val="00444B37"/>
    <w:rsid w:val="00444D21"/>
    <w:rsid w:val="00445256"/>
    <w:rsid w:val="00445513"/>
    <w:rsid w:val="0044597E"/>
    <w:rsid w:val="0044608D"/>
    <w:rsid w:val="00446B41"/>
    <w:rsid w:val="00447015"/>
    <w:rsid w:val="00447A4D"/>
    <w:rsid w:val="00447DEA"/>
    <w:rsid w:val="00450362"/>
    <w:rsid w:val="00450395"/>
    <w:rsid w:val="0045102C"/>
    <w:rsid w:val="00451239"/>
    <w:rsid w:val="00451D76"/>
    <w:rsid w:val="004523B6"/>
    <w:rsid w:val="0045433D"/>
    <w:rsid w:val="00455D63"/>
    <w:rsid w:val="00455F99"/>
    <w:rsid w:val="00456053"/>
    <w:rsid w:val="0045661F"/>
    <w:rsid w:val="00460630"/>
    <w:rsid w:val="00461029"/>
    <w:rsid w:val="00461396"/>
    <w:rsid w:val="00461C2D"/>
    <w:rsid w:val="0046257A"/>
    <w:rsid w:val="00462DA5"/>
    <w:rsid w:val="00464A04"/>
    <w:rsid w:val="00465726"/>
    <w:rsid w:val="00465EF1"/>
    <w:rsid w:val="00466D88"/>
    <w:rsid w:val="00467B47"/>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252F"/>
    <w:rsid w:val="00483798"/>
    <w:rsid w:val="00484210"/>
    <w:rsid w:val="00485478"/>
    <w:rsid w:val="00486000"/>
    <w:rsid w:val="00486F70"/>
    <w:rsid w:val="00487AB5"/>
    <w:rsid w:val="00490D01"/>
    <w:rsid w:val="00490D47"/>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3369"/>
    <w:rsid w:val="004A457F"/>
    <w:rsid w:val="004A4D88"/>
    <w:rsid w:val="004A5231"/>
    <w:rsid w:val="004A56DF"/>
    <w:rsid w:val="004A641C"/>
    <w:rsid w:val="004A74B7"/>
    <w:rsid w:val="004A7C3F"/>
    <w:rsid w:val="004B1218"/>
    <w:rsid w:val="004B13E3"/>
    <w:rsid w:val="004B2521"/>
    <w:rsid w:val="004B3847"/>
    <w:rsid w:val="004B3F4D"/>
    <w:rsid w:val="004B5212"/>
    <w:rsid w:val="004B53D5"/>
    <w:rsid w:val="004B5417"/>
    <w:rsid w:val="004B5CB3"/>
    <w:rsid w:val="004B6827"/>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2C91"/>
    <w:rsid w:val="004E2E45"/>
    <w:rsid w:val="004E34A2"/>
    <w:rsid w:val="004E446A"/>
    <w:rsid w:val="004E4BD5"/>
    <w:rsid w:val="004E4E16"/>
    <w:rsid w:val="004E4E92"/>
    <w:rsid w:val="004E5252"/>
    <w:rsid w:val="004E7093"/>
    <w:rsid w:val="004E7884"/>
    <w:rsid w:val="004F0147"/>
    <w:rsid w:val="004F20EE"/>
    <w:rsid w:val="004F2823"/>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5DA3"/>
    <w:rsid w:val="00505E84"/>
    <w:rsid w:val="005060CE"/>
    <w:rsid w:val="00506957"/>
    <w:rsid w:val="005072FD"/>
    <w:rsid w:val="00507D5E"/>
    <w:rsid w:val="00507EF4"/>
    <w:rsid w:val="00510115"/>
    <w:rsid w:val="00510538"/>
    <w:rsid w:val="005107E0"/>
    <w:rsid w:val="00510914"/>
    <w:rsid w:val="005116AE"/>
    <w:rsid w:val="00511F17"/>
    <w:rsid w:val="00512733"/>
    <w:rsid w:val="005134AF"/>
    <w:rsid w:val="005134D7"/>
    <w:rsid w:val="00513681"/>
    <w:rsid w:val="00514742"/>
    <w:rsid w:val="00515A6F"/>
    <w:rsid w:val="005171CB"/>
    <w:rsid w:val="00520348"/>
    <w:rsid w:val="00520858"/>
    <w:rsid w:val="0052085B"/>
    <w:rsid w:val="00520AA0"/>
    <w:rsid w:val="00521B49"/>
    <w:rsid w:val="00522CD1"/>
    <w:rsid w:val="00524BED"/>
    <w:rsid w:val="005252D4"/>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095"/>
    <w:rsid w:val="00537541"/>
    <w:rsid w:val="0053754B"/>
    <w:rsid w:val="00537A00"/>
    <w:rsid w:val="00537A88"/>
    <w:rsid w:val="00540BC8"/>
    <w:rsid w:val="00540D15"/>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6F28"/>
    <w:rsid w:val="00557611"/>
    <w:rsid w:val="00557DDC"/>
    <w:rsid w:val="00560C20"/>
    <w:rsid w:val="00560CEE"/>
    <w:rsid w:val="00561C42"/>
    <w:rsid w:val="005621B2"/>
    <w:rsid w:val="005625C9"/>
    <w:rsid w:val="00562A88"/>
    <w:rsid w:val="00562B19"/>
    <w:rsid w:val="00562D3E"/>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255E"/>
    <w:rsid w:val="00582E8E"/>
    <w:rsid w:val="00584276"/>
    <w:rsid w:val="00584629"/>
    <w:rsid w:val="005852B1"/>
    <w:rsid w:val="0058540F"/>
    <w:rsid w:val="005861AC"/>
    <w:rsid w:val="005870B1"/>
    <w:rsid w:val="00587D9E"/>
    <w:rsid w:val="00587E5F"/>
    <w:rsid w:val="005904FB"/>
    <w:rsid w:val="00591023"/>
    <w:rsid w:val="005935DB"/>
    <w:rsid w:val="0059436D"/>
    <w:rsid w:val="00594B8F"/>
    <w:rsid w:val="00594E2B"/>
    <w:rsid w:val="00594E66"/>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BA6"/>
    <w:rsid w:val="005B7D2C"/>
    <w:rsid w:val="005B7DEA"/>
    <w:rsid w:val="005C06D6"/>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72A4"/>
    <w:rsid w:val="005D78E1"/>
    <w:rsid w:val="005E0286"/>
    <w:rsid w:val="005E037C"/>
    <w:rsid w:val="005E167A"/>
    <w:rsid w:val="005E1B9D"/>
    <w:rsid w:val="005E23DF"/>
    <w:rsid w:val="005E250D"/>
    <w:rsid w:val="005E2B61"/>
    <w:rsid w:val="005E2B87"/>
    <w:rsid w:val="005E3461"/>
    <w:rsid w:val="005E3725"/>
    <w:rsid w:val="005E45AF"/>
    <w:rsid w:val="005E49CD"/>
    <w:rsid w:val="005E4C8E"/>
    <w:rsid w:val="005E51E1"/>
    <w:rsid w:val="005E5602"/>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6075"/>
    <w:rsid w:val="005F637A"/>
    <w:rsid w:val="005F742A"/>
    <w:rsid w:val="00600CD2"/>
    <w:rsid w:val="00600D1E"/>
    <w:rsid w:val="006028DA"/>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57B0"/>
    <w:rsid w:val="006163CF"/>
    <w:rsid w:val="00616C9B"/>
    <w:rsid w:val="006206BE"/>
    <w:rsid w:val="00622ED8"/>
    <w:rsid w:val="00623AA8"/>
    <w:rsid w:val="0062421D"/>
    <w:rsid w:val="006248B5"/>
    <w:rsid w:val="00624CA0"/>
    <w:rsid w:val="00627124"/>
    <w:rsid w:val="00627147"/>
    <w:rsid w:val="00630A8F"/>
    <w:rsid w:val="0063189C"/>
    <w:rsid w:val="00631AE8"/>
    <w:rsid w:val="006333D9"/>
    <w:rsid w:val="006339B2"/>
    <w:rsid w:val="00634240"/>
    <w:rsid w:val="006349C5"/>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47754"/>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A51"/>
    <w:rsid w:val="00661C22"/>
    <w:rsid w:val="00662253"/>
    <w:rsid w:val="00662653"/>
    <w:rsid w:val="00664117"/>
    <w:rsid w:val="006643F6"/>
    <w:rsid w:val="006644D0"/>
    <w:rsid w:val="00665289"/>
    <w:rsid w:val="006657F6"/>
    <w:rsid w:val="0066630E"/>
    <w:rsid w:val="0066644E"/>
    <w:rsid w:val="006665EC"/>
    <w:rsid w:val="00666697"/>
    <w:rsid w:val="00666DBC"/>
    <w:rsid w:val="0066704B"/>
    <w:rsid w:val="00667616"/>
    <w:rsid w:val="00667AAF"/>
    <w:rsid w:val="00670A27"/>
    <w:rsid w:val="00671438"/>
    <w:rsid w:val="006719E1"/>
    <w:rsid w:val="00671AA4"/>
    <w:rsid w:val="00671F89"/>
    <w:rsid w:val="00673439"/>
    <w:rsid w:val="00674FC9"/>
    <w:rsid w:val="0067535F"/>
    <w:rsid w:val="00675A9C"/>
    <w:rsid w:val="00677382"/>
    <w:rsid w:val="00680689"/>
    <w:rsid w:val="0068114D"/>
    <w:rsid w:val="006814B0"/>
    <w:rsid w:val="00681BCD"/>
    <w:rsid w:val="00681F82"/>
    <w:rsid w:val="0068351F"/>
    <w:rsid w:val="00684638"/>
    <w:rsid w:val="00684B84"/>
    <w:rsid w:val="00685B16"/>
    <w:rsid w:val="00687068"/>
    <w:rsid w:val="006872FF"/>
    <w:rsid w:val="006909A3"/>
    <w:rsid w:val="0069120E"/>
    <w:rsid w:val="0069178F"/>
    <w:rsid w:val="00691A22"/>
    <w:rsid w:val="00691ED8"/>
    <w:rsid w:val="0069200A"/>
    <w:rsid w:val="006924FE"/>
    <w:rsid w:val="00693378"/>
    <w:rsid w:val="00693AF3"/>
    <w:rsid w:val="0069557A"/>
    <w:rsid w:val="00695E3F"/>
    <w:rsid w:val="00695E4C"/>
    <w:rsid w:val="00696CFE"/>
    <w:rsid w:val="00697928"/>
    <w:rsid w:val="006A1585"/>
    <w:rsid w:val="006A3021"/>
    <w:rsid w:val="006A332F"/>
    <w:rsid w:val="006A3879"/>
    <w:rsid w:val="006A3B3D"/>
    <w:rsid w:val="006A3EAE"/>
    <w:rsid w:val="006A3F88"/>
    <w:rsid w:val="006A520A"/>
    <w:rsid w:val="006B0138"/>
    <w:rsid w:val="006B0B4D"/>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10C7"/>
    <w:rsid w:val="006C17F3"/>
    <w:rsid w:val="006C2610"/>
    <w:rsid w:val="006C3593"/>
    <w:rsid w:val="006C44D0"/>
    <w:rsid w:val="006C5595"/>
    <w:rsid w:val="006C5B18"/>
    <w:rsid w:val="006C5EA5"/>
    <w:rsid w:val="006C64DD"/>
    <w:rsid w:val="006C6614"/>
    <w:rsid w:val="006C6740"/>
    <w:rsid w:val="006C6D21"/>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104A"/>
    <w:rsid w:val="00701B9D"/>
    <w:rsid w:val="00702484"/>
    <w:rsid w:val="0070346B"/>
    <w:rsid w:val="00703FFD"/>
    <w:rsid w:val="00704A18"/>
    <w:rsid w:val="00704DC8"/>
    <w:rsid w:val="00705B2A"/>
    <w:rsid w:val="00705B4B"/>
    <w:rsid w:val="00705C9F"/>
    <w:rsid w:val="00706D1C"/>
    <w:rsid w:val="00707FA3"/>
    <w:rsid w:val="00707FDB"/>
    <w:rsid w:val="00710028"/>
    <w:rsid w:val="0071030E"/>
    <w:rsid w:val="00710F31"/>
    <w:rsid w:val="007116DF"/>
    <w:rsid w:val="00711AD7"/>
    <w:rsid w:val="007121F7"/>
    <w:rsid w:val="00712352"/>
    <w:rsid w:val="0071285C"/>
    <w:rsid w:val="00713464"/>
    <w:rsid w:val="0071373D"/>
    <w:rsid w:val="00713D45"/>
    <w:rsid w:val="007162D0"/>
    <w:rsid w:val="0071743D"/>
    <w:rsid w:val="00717625"/>
    <w:rsid w:val="0072067F"/>
    <w:rsid w:val="00720F4C"/>
    <w:rsid w:val="00720F81"/>
    <w:rsid w:val="00721B04"/>
    <w:rsid w:val="007227DF"/>
    <w:rsid w:val="0072298B"/>
    <w:rsid w:val="0072308F"/>
    <w:rsid w:val="00723777"/>
    <w:rsid w:val="007260A7"/>
    <w:rsid w:val="00726574"/>
    <w:rsid w:val="007279BD"/>
    <w:rsid w:val="0073059E"/>
    <w:rsid w:val="0073473A"/>
    <w:rsid w:val="00734FA4"/>
    <w:rsid w:val="00735605"/>
    <w:rsid w:val="00735D17"/>
    <w:rsid w:val="0073611D"/>
    <w:rsid w:val="00736382"/>
    <w:rsid w:val="00736851"/>
    <w:rsid w:val="00736D76"/>
    <w:rsid w:val="00737154"/>
    <w:rsid w:val="00737357"/>
    <w:rsid w:val="0073746B"/>
    <w:rsid w:val="00737FCB"/>
    <w:rsid w:val="007406FA"/>
    <w:rsid w:val="00740777"/>
    <w:rsid w:val="00740917"/>
    <w:rsid w:val="0074128F"/>
    <w:rsid w:val="007413AD"/>
    <w:rsid w:val="007413E4"/>
    <w:rsid w:val="007423F2"/>
    <w:rsid w:val="0074357E"/>
    <w:rsid w:val="00743CAE"/>
    <w:rsid w:val="007441EB"/>
    <w:rsid w:val="00744651"/>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448F"/>
    <w:rsid w:val="00755869"/>
    <w:rsid w:val="00755F14"/>
    <w:rsid w:val="007573A6"/>
    <w:rsid w:val="00757CBE"/>
    <w:rsid w:val="007603D4"/>
    <w:rsid w:val="00760409"/>
    <w:rsid w:val="007605E8"/>
    <w:rsid w:val="00761D16"/>
    <w:rsid w:val="00761EE7"/>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58C"/>
    <w:rsid w:val="00776ADC"/>
    <w:rsid w:val="00782082"/>
    <w:rsid w:val="007820A2"/>
    <w:rsid w:val="007822F9"/>
    <w:rsid w:val="007828A8"/>
    <w:rsid w:val="00784B40"/>
    <w:rsid w:val="00784DC1"/>
    <w:rsid w:val="00790638"/>
    <w:rsid w:val="007923ED"/>
    <w:rsid w:val="00793110"/>
    <w:rsid w:val="00794433"/>
    <w:rsid w:val="00795155"/>
    <w:rsid w:val="00795707"/>
    <w:rsid w:val="007957C7"/>
    <w:rsid w:val="0079648F"/>
    <w:rsid w:val="0079657C"/>
    <w:rsid w:val="0079657E"/>
    <w:rsid w:val="00797E29"/>
    <w:rsid w:val="007A083C"/>
    <w:rsid w:val="007A1B99"/>
    <w:rsid w:val="007A26A5"/>
    <w:rsid w:val="007A315F"/>
    <w:rsid w:val="007A488F"/>
    <w:rsid w:val="007A600F"/>
    <w:rsid w:val="007A6202"/>
    <w:rsid w:val="007A6318"/>
    <w:rsid w:val="007A6DBD"/>
    <w:rsid w:val="007A7122"/>
    <w:rsid w:val="007A7178"/>
    <w:rsid w:val="007A72C4"/>
    <w:rsid w:val="007B1F20"/>
    <w:rsid w:val="007B28EB"/>
    <w:rsid w:val="007B2B9C"/>
    <w:rsid w:val="007B3BCE"/>
    <w:rsid w:val="007B3D0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89B"/>
    <w:rsid w:val="007D4C8B"/>
    <w:rsid w:val="007D6624"/>
    <w:rsid w:val="007D7503"/>
    <w:rsid w:val="007D7CD2"/>
    <w:rsid w:val="007E12F7"/>
    <w:rsid w:val="007E2C8E"/>
    <w:rsid w:val="007E2D9A"/>
    <w:rsid w:val="007E334D"/>
    <w:rsid w:val="007E385F"/>
    <w:rsid w:val="007E44DC"/>
    <w:rsid w:val="007E494E"/>
    <w:rsid w:val="007E4B27"/>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800510"/>
    <w:rsid w:val="0080083D"/>
    <w:rsid w:val="00800C4D"/>
    <w:rsid w:val="008010F4"/>
    <w:rsid w:val="0080136F"/>
    <w:rsid w:val="008022D6"/>
    <w:rsid w:val="00802791"/>
    <w:rsid w:val="00802F32"/>
    <w:rsid w:val="00804F10"/>
    <w:rsid w:val="00805607"/>
    <w:rsid w:val="008056E0"/>
    <w:rsid w:val="008059B6"/>
    <w:rsid w:val="00806E9F"/>
    <w:rsid w:val="008078CF"/>
    <w:rsid w:val="008101E2"/>
    <w:rsid w:val="008111CD"/>
    <w:rsid w:val="008124D3"/>
    <w:rsid w:val="00812945"/>
    <w:rsid w:val="0081351E"/>
    <w:rsid w:val="00813B71"/>
    <w:rsid w:val="00813C34"/>
    <w:rsid w:val="00813DB6"/>
    <w:rsid w:val="0081568C"/>
    <w:rsid w:val="00815DDA"/>
    <w:rsid w:val="00815EB1"/>
    <w:rsid w:val="0081664A"/>
    <w:rsid w:val="00816EB3"/>
    <w:rsid w:val="00822E2E"/>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13A2"/>
    <w:rsid w:val="0085147A"/>
    <w:rsid w:val="008526D7"/>
    <w:rsid w:val="00853D55"/>
    <w:rsid w:val="00853EE1"/>
    <w:rsid w:val="0085571C"/>
    <w:rsid w:val="008559F9"/>
    <w:rsid w:val="00856761"/>
    <w:rsid w:val="0085754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6A95"/>
    <w:rsid w:val="00877140"/>
    <w:rsid w:val="00880CEB"/>
    <w:rsid w:val="00882007"/>
    <w:rsid w:val="00882826"/>
    <w:rsid w:val="00882B47"/>
    <w:rsid w:val="00883114"/>
    <w:rsid w:val="008837F0"/>
    <w:rsid w:val="0088405F"/>
    <w:rsid w:val="008845E1"/>
    <w:rsid w:val="008847D6"/>
    <w:rsid w:val="00885CD7"/>
    <w:rsid w:val="00886795"/>
    <w:rsid w:val="0089055D"/>
    <w:rsid w:val="008905AA"/>
    <w:rsid w:val="0089122E"/>
    <w:rsid w:val="0089243A"/>
    <w:rsid w:val="008928D4"/>
    <w:rsid w:val="008958D5"/>
    <w:rsid w:val="008974C3"/>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66A"/>
    <w:rsid w:val="008C1D29"/>
    <w:rsid w:val="008C282E"/>
    <w:rsid w:val="008C36FD"/>
    <w:rsid w:val="008C3E35"/>
    <w:rsid w:val="008C4053"/>
    <w:rsid w:val="008C4138"/>
    <w:rsid w:val="008C4A74"/>
    <w:rsid w:val="008C72F2"/>
    <w:rsid w:val="008D0F8A"/>
    <w:rsid w:val="008D1B16"/>
    <w:rsid w:val="008D2365"/>
    <w:rsid w:val="008D2D08"/>
    <w:rsid w:val="008D38F3"/>
    <w:rsid w:val="008D3DE5"/>
    <w:rsid w:val="008D3F0E"/>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858"/>
    <w:rsid w:val="008F5EBA"/>
    <w:rsid w:val="008F65D5"/>
    <w:rsid w:val="008F6E06"/>
    <w:rsid w:val="008F774F"/>
    <w:rsid w:val="008F7A43"/>
    <w:rsid w:val="008F7D17"/>
    <w:rsid w:val="00901A48"/>
    <w:rsid w:val="0090209F"/>
    <w:rsid w:val="0090277B"/>
    <w:rsid w:val="00903A51"/>
    <w:rsid w:val="00903CEF"/>
    <w:rsid w:val="00903FDC"/>
    <w:rsid w:val="00904DC3"/>
    <w:rsid w:val="0090609E"/>
    <w:rsid w:val="009063D5"/>
    <w:rsid w:val="009067A2"/>
    <w:rsid w:val="00906897"/>
    <w:rsid w:val="00907B37"/>
    <w:rsid w:val="0091225F"/>
    <w:rsid w:val="009122BF"/>
    <w:rsid w:val="009130AC"/>
    <w:rsid w:val="0091424D"/>
    <w:rsid w:val="009144AA"/>
    <w:rsid w:val="00914A95"/>
    <w:rsid w:val="009154B8"/>
    <w:rsid w:val="0091564A"/>
    <w:rsid w:val="00915A0E"/>
    <w:rsid w:val="009161C8"/>
    <w:rsid w:val="0091638E"/>
    <w:rsid w:val="0091789A"/>
    <w:rsid w:val="00917EA2"/>
    <w:rsid w:val="00920281"/>
    <w:rsid w:val="009210A6"/>
    <w:rsid w:val="0092196C"/>
    <w:rsid w:val="00921E76"/>
    <w:rsid w:val="0092295B"/>
    <w:rsid w:val="00922C82"/>
    <w:rsid w:val="0092368A"/>
    <w:rsid w:val="00923A3D"/>
    <w:rsid w:val="00924C8A"/>
    <w:rsid w:val="009250E1"/>
    <w:rsid w:val="00925137"/>
    <w:rsid w:val="00925620"/>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1B"/>
    <w:rsid w:val="00934DE1"/>
    <w:rsid w:val="00935991"/>
    <w:rsid w:val="0093650E"/>
    <w:rsid w:val="00936526"/>
    <w:rsid w:val="0093736F"/>
    <w:rsid w:val="00937717"/>
    <w:rsid w:val="0093784D"/>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5D1"/>
    <w:rsid w:val="00952CB5"/>
    <w:rsid w:val="00953658"/>
    <w:rsid w:val="00953756"/>
    <w:rsid w:val="00953FD1"/>
    <w:rsid w:val="00954912"/>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67BF4"/>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372"/>
    <w:rsid w:val="00982410"/>
    <w:rsid w:val="00982685"/>
    <w:rsid w:val="00982EE6"/>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590B"/>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0EB4"/>
    <w:rsid w:val="009C146E"/>
    <w:rsid w:val="009C2850"/>
    <w:rsid w:val="009C2AA3"/>
    <w:rsid w:val="009C2C4E"/>
    <w:rsid w:val="009C2D71"/>
    <w:rsid w:val="009C418A"/>
    <w:rsid w:val="009C461F"/>
    <w:rsid w:val="009C48D1"/>
    <w:rsid w:val="009C56D7"/>
    <w:rsid w:val="009C6456"/>
    <w:rsid w:val="009C67B5"/>
    <w:rsid w:val="009C6E03"/>
    <w:rsid w:val="009C786D"/>
    <w:rsid w:val="009D003E"/>
    <w:rsid w:val="009D09AD"/>
    <w:rsid w:val="009D10EB"/>
    <w:rsid w:val="009D13FE"/>
    <w:rsid w:val="009D1662"/>
    <w:rsid w:val="009D1FA7"/>
    <w:rsid w:val="009D1FFD"/>
    <w:rsid w:val="009D2C3D"/>
    <w:rsid w:val="009D4D0A"/>
    <w:rsid w:val="009D5143"/>
    <w:rsid w:val="009D54C6"/>
    <w:rsid w:val="009D6721"/>
    <w:rsid w:val="009D68C9"/>
    <w:rsid w:val="009D7298"/>
    <w:rsid w:val="009D75BF"/>
    <w:rsid w:val="009D792A"/>
    <w:rsid w:val="009D7CA6"/>
    <w:rsid w:val="009D7D2F"/>
    <w:rsid w:val="009E1586"/>
    <w:rsid w:val="009E19D8"/>
    <w:rsid w:val="009E1AAD"/>
    <w:rsid w:val="009E1C7F"/>
    <w:rsid w:val="009E2295"/>
    <w:rsid w:val="009E2988"/>
    <w:rsid w:val="009E2992"/>
    <w:rsid w:val="009E2FD9"/>
    <w:rsid w:val="009E30FE"/>
    <w:rsid w:val="009E3F5A"/>
    <w:rsid w:val="009E52C6"/>
    <w:rsid w:val="009E6485"/>
    <w:rsid w:val="009E64A7"/>
    <w:rsid w:val="009E6563"/>
    <w:rsid w:val="009E68F3"/>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A3C"/>
    <w:rsid w:val="009F6B59"/>
    <w:rsid w:val="009F7701"/>
    <w:rsid w:val="009F7D4D"/>
    <w:rsid w:val="00A00947"/>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88E"/>
    <w:rsid w:val="00A26B0E"/>
    <w:rsid w:val="00A30563"/>
    <w:rsid w:val="00A319CA"/>
    <w:rsid w:val="00A333A0"/>
    <w:rsid w:val="00A3373F"/>
    <w:rsid w:val="00A35F4F"/>
    <w:rsid w:val="00A375C2"/>
    <w:rsid w:val="00A37748"/>
    <w:rsid w:val="00A37B63"/>
    <w:rsid w:val="00A4005D"/>
    <w:rsid w:val="00A40157"/>
    <w:rsid w:val="00A402C0"/>
    <w:rsid w:val="00A4047A"/>
    <w:rsid w:val="00A4119C"/>
    <w:rsid w:val="00A416BE"/>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E87"/>
    <w:rsid w:val="00A50D28"/>
    <w:rsid w:val="00A512C9"/>
    <w:rsid w:val="00A51E29"/>
    <w:rsid w:val="00A540FF"/>
    <w:rsid w:val="00A5412A"/>
    <w:rsid w:val="00A542C4"/>
    <w:rsid w:val="00A547AD"/>
    <w:rsid w:val="00A554D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4F7D"/>
    <w:rsid w:val="00A75292"/>
    <w:rsid w:val="00A75E45"/>
    <w:rsid w:val="00A7607E"/>
    <w:rsid w:val="00A76177"/>
    <w:rsid w:val="00A765CE"/>
    <w:rsid w:val="00A77067"/>
    <w:rsid w:val="00A804B6"/>
    <w:rsid w:val="00A807AE"/>
    <w:rsid w:val="00A80864"/>
    <w:rsid w:val="00A81849"/>
    <w:rsid w:val="00A81971"/>
    <w:rsid w:val="00A81CEA"/>
    <w:rsid w:val="00A8210B"/>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0937"/>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3ECF"/>
    <w:rsid w:val="00AD4464"/>
    <w:rsid w:val="00AD4BC4"/>
    <w:rsid w:val="00AD6811"/>
    <w:rsid w:val="00AD6AEF"/>
    <w:rsid w:val="00AD73AA"/>
    <w:rsid w:val="00AD774C"/>
    <w:rsid w:val="00AE0C80"/>
    <w:rsid w:val="00AE1B8E"/>
    <w:rsid w:val="00AE2CE9"/>
    <w:rsid w:val="00AE3362"/>
    <w:rsid w:val="00AE3C30"/>
    <w:rsid w:val="00AE498C"/>
    <w:rsid w:val="00AE4A3A"/>
    <w:rsid w:val="00AF055C"/>
    <w:rsid w:val="00AF0B1E"/>
    <w:rsid w:val="00AF1456"/>
    <w:rsid w:val="00AF18FC"/>
    <w:rsid w:val="00AF1A47"/>
    <w:rsid w:val="00AF1C02"/>
    <w:rsid w:val="00AF1F55"/>
    <w:rsid w:val="00AF2FB1"/>
    <w:rsid w:val="00AF3D6C"/>
    <w:rsid w:val="00AF3E1C"/>
    <w:rsid w:val="00AF4548"/>
    <w:rsid w:val="00AF5A92"/>
    <w:rsid w:val="00AF6337"/>
    <w:rsid w:val="00AF63C1"/>
    <w:rsid w:val="00AF659D"/>
    <w:rsid w:val="00AF7405"/>
    <w:rsid w:val="00B00307"/>
    <w:rsid w:val="00B004FE"/>
    <w:rsid w:val="00B01318"/>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472"/>
    <w:rsid w:val="00B1756C"/>
    <w:rsid w:val="00B17CE7"/>
    <w:rsid w:val="00B203D5"/>
    <w:rsid w:val="00B20C2F"/>
    <w:rsid w:val="00B21615"/>
    <w:rsid w:val="00B23CA3"/>
    <w:rsid w:val="00B23ED7"/>
    <w:rsid w:val="00B24058"/>
    <w:rsid w:val="00B24ED7"/>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AAC"/>
    <w:rsid w:val="00B34AF6"/>
    <w:rsid w:val="00B34FA3"/>
    <w:rsid w:val="00B350EB"/>
    <w:rsid w:val="00B36B8C"/>
    <w:rsid w:val="00B41305"/>
    <w:rsid w:val="00B41421"/>
    <w:rsid w:val="00B41913"/>
    <w:rsid w:val="00B41AE3"/>
    <w:rsid w:val="00B41ECE"/>
    <w:rsid w:val="00B421E7"/>
    <w:rsid w:val="00B42D26"/>
    <w:rsid w:val="00B42F37"/>
    <w:rsid w:val="00B43266"/>
    <w:rsid w:val="00B43BCE"/>
    <w:rsid w:val="00B443FC"/>
    <w:rsid w:val="00B4477F"/>
    <w:rsid w:val="00B44C83"/>
    <w:rsid w:val="00B44D71"/>
    <w:rsid w:val="00B454BF"/>
    <w:rsid w:val="00B4554D"/>
    <w:rsid w:val="00B45A91"/>
    <w:rsid w:val="00B461B5"/>
    <w:rsid w:val="00B46C5E"/>
    <w:rsid w:val="00B46F04"/>
    <w:rsid w:val="00B47B46"/>
    <w:rsid w:val="00B502F3"/>
    <w:rsid w:val="00B508B0"/>
    <w:rsid w:val="00B51602"/>
    <w:rsid w:val="00B519F0"/>
    <w:rsid w:val="00B51A61"/>
    <w:rsid w:val="00B5436F"/>
    <w:rsid w:val="00B55185"/>
    <w:rsid w:val="00B55491"/>
    <w:rsid w:val="00B559D1"/>
    <w:rsid w:val="00B567EC"/>
    <w:rsid w:val="00B56D64"/>
    <w:rsid w:val="00B57550"/>
    <w:rsid w:val="00B60DD4"/>
    <w:rsid w:val="00B6288F"/>
    <w:rsid w:val="00B62C2E"/>
    <w:rsid w:val="00B634F2"/>
    <w:rsid w:val="00B639F6"/>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555D"/>
    <w:rsid w:val="00B763FF"/>
    <w:rsid w:val="00B81D08"/>
    <w:rsid w:val="00B82639"/>
    <w:rsid w:val="00B82653"/>
    <w:rsid w:val="00B831FE"/>
    <w:rsid w:val="00B836F0"/>
    <w:rsid w:val="00B837F3"/>
    <w:rsid w:val="00B83CED"/>
    <w:rsid w:val="00B8426F"/>
    <w:rsid w:val="00B852E1"/>
    <w:rsid w:val="00B85365"/>
    <w:rsid w:val="00B8599D"/>
    <w:rsid w:val="00B8612F"/>
    <w:rsid w:val="00B86347"/>
    <w:rsid w:val="00B86AB7"/>
    <w:rsid w:val="00B870D3"/>
    <w:rsid w:val="00B9036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4551"/>
    <w:rsid w:val="00BB457D"/>
    <w:rsid w:val="00BB4E15"/>
    <w:rsid w:val="00BB735C"/>
    <w:rsid w:val="00BB78A0"/>
    <w:rsid w:val="00BC0547"/>
    <w:rsid w:val="00BC19EE"/>
    <w:rsid w:val="00BC1B7D"/>
    <w:rsid w:val="00BC2C18"/>
    <w:rsid w:val="00BC2FD0"/>
    <w:rsid w:val="00BC539B"/>
    <w:rsid w:val="00BC53B1"/>
    <w:rsid w:val="00BC5F84"/>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78F"/>
    <w:rsid w:val="00BE39D0"/>
    <w:rsid w:val="00BE51CC"/>
    <w:rsid w:val="00BE68A7"/>
    <w:rsid w:val="00BE6EBD"/>
    <w:rsid w:val="00BE7DF3"/>
    <w:rsid w:val="00BE7FFE"/>
    <w:rsid w:val="00BF0C57"/>
    <w:rsid w:val="00BF1126"/>
    <w:rsid w:val="00BF1211"/>
    <w:rsid w:val="00BF1902"/>
    <w:rsid w:val="00BF19B0"/>
    <w:rsid w:val="00BF1AF7"/>
    <w:rsid w:val="00BF2E3C"/>
    <w:rsid w:val="00BF3316"/>
    <w:rsid w:val="00BF3602"/>
    <w:rsid w:val="00BF3D2C"/>
    <w:rsid w:val="00BF4528"/>
    <w:rsid w:val="00BF538A"/>
    <w:rsid w:val="00BF596C"/>
    <w:rsid w:val="00BF5C73"/>
    <w:rsid w:val="00BF5F5D"/>
    <w:rsid w:val="00BF61D4"/>
    <w:rsid w:val="00BF7703"/>
    <w:rsid w:val="00BF7D35"/>
    <w:rsid w:val="00C0031D"/>
    <w:rsid w:val="00C006D8"/>
    <w:rsid w:val="00C00867"/>
    <w:rsid w:val="00C00D8C"/>
    <w:rsid w:val="00C02651"/>
    <w:rsid w:val="00C036FF"/>
    <w:rsid w:val="00C044A8"/>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2285"/>
    <w:rsid w:val="00C22960"/>
    <w:rsid w:val="00C22E74"/>
    <w:rsid w:val="00C2331B"/>
    <w:rsid w:val="00C2370D"/>
    <w:rsid w:val="00C23FCB"/>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FC"/>
    <w:rsid w:val="00C504C1"/>
    <w:rsid w:val="00C50629"/>
    <w:rsid w:val="00C50646"/>
    <w:rsid w:val="00C50DFB"/>
    <w:rsid w:val="00C52AC4"/>
    <w:rsid w:val="00C53861"/>
    <w:rsid w:val="00C538C3"/>
    <w:rsid w:val="00C55224"/>
    <w:rsid w:val="00C55576"/>
    <w:rsid w:val="00C55AB6"/>
    <w:rsid w:val="00C55FF7"/>
    <w:rsid w:val="00C56008"/>
    <w:rsid w:val="00C56968"/>
    <w:rsid w:val="00C57986"/>
    <w:rsid w:val="00C605E8"/>
    <w:rsid w:val="00C60EFF"/>
    <w:rsid w:val="00C62C35"/>
    <w:rsid w:val="00C63286"/>
    <w:rsid w:val="00C639E0"/>
    <w:rsid w:val="00C63AC0"/>
    <w:rsid w:val="00C63EC3"/>
    <w:rsid w:val="00C643A1"/>
    <w:rsid w:val="00C64843"/>
    <w:rsid w:val="00C66309"/>
    <w:rsid w:val="00C6772D"/>
    <w:rsid w:val="00C677EA"/>
    <w:rsid w:val="00C723D7"/>
    <w:rsid w:val="00C72EB7"/>
    <w:rsid w:val="00C75A69"/>
    <w:rsid w:val="00C7618D"/>
    <w:rsid w:val="00C7668F"/>
    <w:rsid w:val="00C810C0"/>
    <w:rsid w:val="00C81A9B"/>
    <w:rsid w:val="00C822AA"/>
    <w:rsid w:val="00C82FC6"/>
    <w:rsid w:val="00C83A1D"/>
    <w:rsid w:val="00C83BBA"/>
    <w:rsid w:val="00C84862"/>
    <w:rsid w:val="00C85D6A"/>
    <w:rsid w:val="00C86362"/>
    <w:rsid w:val="00C866DD"/>
    <w:rsid w:val="00C86A0B"/>
    <w:rsid w:val="00C86F58"/>
    <w:rsid w:val="00C87276"/>
    <w:rsid w:val="00C90E8D"/>
    <w:rsid w:val="00C91B89"/>
    <w:rsid w:val="00C9240F"/>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A33"/>
    <w:rsid w:val="00CA6D40"/>
    <w:rsid w:val="00CA6E7E"/>
    <w:rsid w:val="00CA7D54"/>
    <w:rsid w:val="00CB1931"/>
    <w:rsid w:val="00CB195A"/>
    <w:rsid w:val="00CB230A"/>
    <w:rsid w:val="00CB242F"/>
    <w:rsid w:val="00CB2561"/>
    <w:rsid w:val="00CB3E7C"/>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79A"/>
    <w:rsid w:val="00CC5EDE"/>
    <w:rsid w:val="00CC6670"/>
    <w:rsid w:val="00CC770E"/>
    <w:rsid w:val="00CC78A3"/>
    <w:rsid w:val="00CC7E55"/>
    <w:rsid w:val="00CD020C"/>
    <w:rsid w:val="00CD1104"/>
    <w:rsid w:val="00CD132C"/>
    <w:rsid w:val="00CD1AD8"/>
    <w:rsid w:val="00CD1E2A"/>
    <w:rsid w:val="00CD2435"/>
    <w:rsid w:val="00CD2A44"/>
    <w:rsid w:val="00CD2E85"/>
    <w:rsid w:val="00CD392F"/>
    <w:rsid w:val="00CD3B9F"/>
    <w:rsid w:val="00CD3F9E"/>
    <w:rsid w:val="00CD473E"/>
    <w:rsid w:val="00CD6344"/>
    <w:rsid w:val="00CD65F5"/>
    <w:rsid w:val="00CD65F6"/>
    <w:rsid w:val="00CD6A83"/>
    <w:rsid w:val="00CD7289"/>
    <w:rsid w:val="00CD77FC"/>
    <w:rsid w:val="00CD7AEF"/>
    <w:rsid w:val="00CE0578"/>
    <w:rsid w:val="00CE0CDA"/>
    <w:rsid w:val="00CE0D46"/>
    <w:rsid w:val="00CE0FED"/>
    <w:rsid w:val="00CE13E1"/>
    <w:rsid w:val="00CE1F96"/>
    <w:rsid w:val="00CE2EC9"/>
    <w:rsid w:val="00CE2FAC"/>
    <w:rsid w:val="00CE302A"/>
    <w:rsid w:val="00CE3305"/>
    <w:rsid w:val="00CE3F53"/>
    <w:rsid w:val="00CE421D"/>
    <w:rsid w:val="00CE4DF4"/>
    <w:rsid w:val="00CE5700"/>
    <w:rsid w:val="00CE6812"/>
    <w:rsid w:val="00CE6933"/>
    <w:rsid w:val="00CE6B8E"/>
    <w:rsid w:val="00CE72B2"/>
    <w:rsid w:val="00CE7F2B"/>
    <w:rsid w:val="00CF0233"/>
    <w:rsid w:val="00CF1107"/>
    <w:rsid w:val="00CF222B"/>
    <w:rsid w:val="00CF2FAE"/>
    <w:rsid w:val="00CF347C"/>
    <w:rsid w:val="00CF3944"/>
    <w:rsid w:val="00CF3CC2"/>
    <w:rsid w:val="00CF471F"/>
    <w:rsid w:val="00CF55FA"/>
    <w:rsid w:val="00CF5CC6"/>
    <w:rsid w:val="00CF5D6C"/>
    <w:rsid w:val="00CF5E17"/>
    <w:rsid w:val="00CF6217"/>
    <w:rsid w:val="00CF6838"/>
    <w:rsid w:val="00CF689A"/>
    <w:rsid w:val="00CF79C9"/>
    <w:rsid w:val="00CF7CB2"/>
    <w:rsid w:val="00D000A2"/>
    <w:rsid w:val="00D0071E"/>
    <w:rsid w:val="00D00B16"/>
    <w:rsid w:val="00D016BB"/>
    <w:rsid w:val="00D030FB"/>
    <w:rsid w:val="00D04CB7"/>
    <w:rsid w:val="00D0504A"/>
    <w:rsid w:val="00D06921"/>
    <w:rsid w:val="00D07461"/>
    <w:rsid w:val="00D075C4"/>
    <w:rsid w:val="00D1091E"/>
    <w:rsid w:val="00D10BD6"/>
    <w:rsid w:val="00D11684"/>
    <w:rsid w:val="00D11708"/>
    <w:rsid w:val="00D11E52"/>
    <w:rsid w:val="00D123C5"/>
    <w:rsid w:val="00D12DD1"/>
    <w:rsid w:val="00D1300F"/>
    <w:rsid w:val="00D14999"/>
    <w:rsid w:val="00D153F3"/>
    <w:rsid w:val="00D1569D"/>
    <w:rsid w:val="00D15F3E"/>
    <w:rsid w:val="00D16A25"/>
    <w:rsid w:val="00D16A62"/>
    <w:rsid w:val="00D17210"/>
    <w:rsid w:val="00D1726C"/>
    <w:rsid w:val="00D205D7"/>
    <w:rsid w:val="00D21025"/>
    <w:rsid w:val="00D224FF"/>
    <w:rsid w:val="00D2262B"/>
    <w:rsid w:val="00D22EA8"/>
    <w:rsid w:val="00D23174"/>
    <w:rsid w:val="00D239C3"/>
    <w:rsid w:val="00D24E72"/>
    <w:rsid w:val="00D25F97"/>
    <w:rsid w:val="00D27B07"/>
    <w:rsid w:val="00D31272"/>
    <w:rsid w:val="00D31C73"/>
    <w:rsid w:val="00D34379"/>
    <w:rsid w:val="00D34E43"/>
    <w:rsid w:val="00D35406"/>
    <w:rsid w:val="00D35718"/>
    <w:rsid w:val="00D36B41"/>
    <w:rsid w:val="00D36BF3"/>
    <w:rsid w:val="00D37337"/>
    <w:rsid w:val="00D3789F"/>
    <w:rsid w:val="00D37CBE"/>
    <w:rsid w:val="00D4060B"/>
    <w:rsid w:val="00D407CF"/>
    <w:rsid w:val="00D40D34"/>
    <w:rsid w:val="00D40EAB"/>
    <w:rsid w:val="00D41689"/>
    <w:rsid w:val="00D428F1"/>
    <w:rsid w:val="00D437DF"/>
    <w:rsid w:val="00D449F2"/>
    <w:rsid w:val="00D45002"/>
    <w:rsid w:val="00D457EF"/>
    <w:rsid w:val="00D465E8"/>
    <w:rsid w:val="00D52904"/>
    <w:rsid w:val="00D5368B"/>
    <w:rsid w:val="00D53EFD"/>
    <w:rsid w:val="00D541B5"/>
    <w:rsid w:val="00D54719"/>
    <w:rsid w:val="00D550B6"/>
    <w:rsid w:val="00D554E7"/>
    <w:rsid w:val="00D55F6E"/>
    <w:rsid w:val="00D56922"/>
    <w:rsid w:val="00D56E20"/>
    <w:rsid w:val="00D57058"/>
    <w:rsid w:val="00D575FA"/>
    <w:rsid w:val="00D57EF1"/>
    <w:rsid w:val="00D607A4"/>
    <w:rsid w:val="00D60BE1"/>
    <w:rsid w:val="00D612D4"/>
    <w:rsid w:val="00D61772"/>
    <w:rsid w:val="00D620FE"/>
    <w:rsid w:val="00D634BF"/>
    <w:rsid w:val="00D66EE3"/>
    <w:rsid w:val="00D671C8"/>
    <w:rsid w:val="00D73682"/>
    <w:rsid w:val="00D73803"/>
    <w:rsid w:val="00D73DA4"/>
    <w:rsid w:val="00D74328"/>
    <w:rsid w:val="00D752C0"/>
    <w:rsid w:val="00D76068"/>
    <w:rsid w:val="00D7620B"/>
    <w:rsid w:val="00D76269"/>
    <w:rsid w:val="00D76AC7"/>
    <w:rsid w:val="00D76D59"/>
    <w:rsid w:val="00D77078"/>
    <w:rsid w:val="00D7723E"/>
    <w:rsid w:val="00D77AF7"/>
    <w:rsid w:val="00D77E53"/>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5CC5"/>
    <w:rsid w:val="00DA64CD"/>
    <w:rsid w:val="00DA669C"/>
    <w:rsid w:val="00DA70E7"/>
    <w:rsid w:val="00DA721B"/>
    <w:rsid w:val="00DA779B"/>
    <w:rsid w:val="00DA78D8"/>
    <w:rsid w:val="00DA7CCD"/>
    <w:rsid w:val="00DB0253"/>
    <w:rsid w:val="00DB058E"/>
    <w:rsid w:val="00DB1A46"/>
    <w:rsid w:val="00DB3070"/>
    <w:rsid w:val="00DB30C9"/>
    <w:rsid w:val="00DB3570"/>
    <w:rsid w:val="00DB4053"/>
    <w:rsid w:val="00DB440F"/>
    <w:rsid w:val="00DB4B5C"/>
    <w:rsid w:val="00DB5701"/>
    <w:rsid w:val="00DB6D0A"/>
    <w:rsid w:val="00DB74B6"/>
    <w:rsid w:val="00DB75DA"/>
    <w:rsid w:val="00DB7ADB"/>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121C"/>
    <w:rsid w:val="00DD3D51"/>
    <w:rsid w:val="00DD4B3F"/>
    <w:rsid w:val="00DD5020"/>
    <w:rsid w:val="00DD561C"/>
    <w:rsid w:val="00DD5C85"/>
    <w:rsid w:val="00DD67CB"/>
    <w:rsid w:val="00DD6A4C"/>
    <w:rsid w:val="00DD6B75"/>
    <w:rsid w:val="00DD7455"/>
    <w:rsid w:val="00DD7728"/>
    <w:rsid w:val="00DD7EF1"/>
    <w:rsid w:val="00DE0CEF"/>
    <w:rsid w:val="00DE1CDE"/>
    <w:rsid w:val="00DE25E1"/>
    <w:rsid w:val="00DE45A8"/>
    <w:rsid w:val="00DE4B21"/>
    <w:rsid w:val="00DE5E73"/>
    <w:rsid w:val="00DE6304"/>
    <w:rsid w:val="00DE68D3"/>
    <w:rsid w:val="00DE6B1A"/>
    <w:rsid w:val="00DE7190"/>
    <w:rsid w:val="00DF01DB"/>
    <w:rsid w:val="00DF1837"/>
    <w:rsid w:val="00DF28A9"/>
    <w:rsid w:val="00DF2AB9"/>
    <w:rsid w:val="00DF331C"/>
    <w:rsid w:val="00DF3644"/>
    <w:rsid w:val="00DF5C20"/>
    <w:rsid w:val="00DF6699"/>
    <w:rsid w:val="00DF66F5"/>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4431"/>
    <w:rsid w:val="00E35A3F"/>
    <w:rsid w:val="00E362C8"/>
    <w:rsid w:val="00E368F5"/>
    <w:rsid w:val="00E36F07"/>
    <w:rsid w:val="00E37CFD"/>
    <w:rsid w:val="00E37FC4"/>
    <w:rsid w:val="00E4010D"/>
    <w:rsid w:val="00E41103"/>
    <w:rsid w:val="00E411C1"/>
    <w:rsid w:val="00E41730"/>
    <w:rsid w:val="00E42936"/>
    <w:rsid w:val="00E43159"/>
    <w:rsid w:val="00E438D0"/>
    <w:rsid w:val="00E44750"/>
    <w:rsid w:val="00E460B9"/>
    <w:rsid w:val="00E46693"/>
    <w:rsid w:val="00E475FA"/>
    <w:rsid w:val="00E47752"/>
    <w:rsid w:val="00E506C0"/>
    <w:rsid w:val="00E50DCB"/>
    <w:rsid w:val="00E5237F"/>
    <w:rsid w:val="00E52A78"/>
    <w:rsid w:val="00E5418E"/>
    <w:rsid w:val="00E546A3"/>
    <w:rsid w:val="00E56616"/>
    <w:rsid w:val="00E56D98"/>
    <w:rsid w:val="00E57225"/>
    <w:rsid w:val="00E578EA"/>
    <w:rsid w:val="00E579AD"/>
    <w:rsid w:val="00E579D9"/>
    <w:rsid w:val="00E57ABF"/>
    <w:rsid w:val="00E60A40"/>
    <w:rsid w:val="00E60BD8"/>
    <w:rsid w:val="00E610D6"/>
    <w:rsid w:val="00E61E04"/>
    <w:rsid w:val="00E62545"/>
    <w:rsid w:val="00E634C2"/>
    <w:rsid w:val="00E63739"/>
    <w:rsid w:val="00E66945"/>
    <w:rsid w:val="00E66B54"/>
    <w:rsid w:val="00E676DB"/>
    <w:rsid w:val="00E721AA"/>
    <w:rsid w:val="00E73E2C"/>
    <w:rsid w:val="00E7419E"/>
    <w:rsid w:val="00E7461E"/>
    <w:rsid w:val="00E75779"/>
    <w:rsid w:val="00E7627D"/>
    <w:rsid w:val="00E766C9"/>
    <w:rsid w:val="00E76715"/>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4AB4"/>
    <w:rsid w:val="00E968DD"/>
    <w:rsid w:val="00E97F1F"/>
    <w:rsid w:val="00EA0C23"/>
    <w:rsid w:val="00EA10E9"/>
    <w:rsid w:val="00EA18E4"/>
    <w:rsid w:val="00EA1D4E"/>
    <w:rsid w:val="00EA2B54"/>
    <w:rsid w:val="00EA3918"/>
    <w:rsid w:val="00EA456A"/>
    <w:rsid w:val="00EA5A5B"/>
    <w:rsid w:val="00EA6727"/>
    <w:rsid w:val="00EA7647"/>
    <w:rsid w:val="00EA7E01"/>
    <w:rsid w:val="00EB2239"/>
    <w:rsid w:val="00EB2F8D"/>
    <w:rsid w:val="00EB37B7"/>
    <w:rsid w:val="00EB5D44"/>
    <w:rsid w:val="00EB613E"/>
    <w:rsid w:val="00EB66B7"/>
    <w:rsid w:val="00EB6B5B"/>
    <w:rsid w:val="00EB6E71"/>
    <w:rsid w:val="00EB7922"/>
    <w:rsid w:val="00EB7EB7"/>
    <w:rsid w:val="00EC03B5"/>
    <w:rsid w:val="00EC0AEF"/>
    <w:rsid w:val="00EC12F2"/>
    <w:rsid w:val="00EC1FA5"/>
    <w:rsid w:val="00EC4C4C"/>
    <w:rsid w:val="00EC749B"/>
    <w:rsid w:val="00EC77BE"/>
    <w:rsid w:val="00EC7E43"/>
    <w:rsid w:val="00ED03B0"/>
    <w:rsid w:val="00ED0A7D"/>
    <w:rsid w:val="00ED172A"/>
    <w:rsid w:val="00ED198F"/>
    <w:rsid w:val="00ED1F58"/>
    <w:rsid w:val="00ED2760"/>
    <w:rsid w:val="00ED2AED"/>
    <w:rsid w:val="00ED3323"/>
    <w:rsid w:val="00ED5359"/>
    <w:rsid w:val="00ED58D9"/>
    <w:rsid w:val="00ED6332"/>
    <w:rsid w:val="00ED6AC5"/>
    <w:rsid w:val="00EE0006"/>
    <w:rsid w:val="00EE0D80"/>
    <w:rsid w:val="00EE0DCF"/>
    <w:rsid w:val="00EE1437"/>
    <w:rsid w:val="00EE143C"/>
    <w:rsid w:val="00EE1F93"/>
    <w:rsid w:val="00EE32CC"/>
    <w:rsid w:val="00EE38BF"/>
    <w:rsid w:val="00EE3E8E"/>
    <w:rsid w:val="00EE5252"/>
    <w:rsid w:val="00EE5785"/>
    <w:rsid w:val="00EE5D30"/>
    <w:rsid w:val="00EE60BB"/>
    <w:rsid w:val="00EF0A2D"/>
    <w:rsid w:val="00EF1BE7"/>
    <w:rsid w:val="00EF2487"/>
    <w:rsid w:val="00EF2F13"/>
    <w:rsid w:val="00EF3104"/>
    <w:rsid w:val="00EF3C04"/>
    <w:rsid w:val="00EF427D"/>
    <w:rsid w:val="00EF42B5"/>
    <w:rsid w:val="00EF4D5A"/>
    <w:rsid w:val="00EF5F6B"/>
    <w:rsid w:val="00EF6596"/>
    <w:rsid w:val="00EF69F4"/>
    <w:rsid w:val="00EF6CAD"/>
    <w:rsid w:val="00EF7179"/>
    <w:rsid w:val="00EF770C"/>
    <w:rsid w:val="00F00521"/>
    <w:rsid w:val="00F007BC"/>
    <w:rsid w:val="00F0181A"/>
    <w:rsid w:val="00F01958"/>
    <w:rsid w:val="00F0217F"/>
    <w:rsid w:val="00F03288"/>
    <w:rsid w:val="00F03D4A"/>
    <w:rsid w:val="00F04E84"/>
    <w:rsid w:val="00F058F5"/>
    <w:rsid w:val="00F05C5D"/>
    <w:rsid w:val="00F05C96"/>
    <w:rsid w:val="00F06067"/>
    <w:rsid w:val="00F0607D"/>
    <w:rsid w:val="00F062DA"/>
    <w:rsid w:val="00F06618"/>
    <w:rsid w:val="00F068FF"/>
    <w:rsid w:val="00F07DD9"/>
    <w:rsid w:val="00F10637"/>
    <w:rsid w:val="00F122A0"/>
    <w:rsid w:val="00F145BC"/>
    <w:rsid w:val="00F15EAB"/>
    <w:rsid w:val="00F15EFB"/>
    <w:rsid w:val="00F165C6"/>
    <w:rsid w:val="00F1758F"/>
    <w:rsid w:val="00F17DA4"/>
    <w:rsid w:val="00F2005C"/>
    <w:rsid w:val="00F202F9"/>
    <w:rsid w:val="00F2061A"/>
    <w:rsid w:val="00F233B5"/>
    <w:rsid w:val="00F24B1C"/>
    <w:rsid w:val="00F25338"/>
    <w:rsid w:val="00F25A94"/>
    <w:rsid w:val="00F262DA"/>
    <w:rsid w:val="00F26417"/>
    <w:rsid w:val="00F27645"/>
    <w:rsid w:val="00F27FDB"/>
    <w:rsid w:val="00F301C4"/>
    <w:rsid w:val="00F3149D"/>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13CC"/>
    <w:rsid w:val="00F41508"/>
    <w:rsid w:val="00F42138"/>
    <w:rsid w:val="00F42465"/>
    <w:rsid w:val="00F4262F"/>
    <w:rsid w:val="00F42CD1"/>
    <w:rsid w:val="00F4386F"/>
    <w:rsid w:val="00F43F96"/>
    <w:rsid w:val="00F44A7F"/>
    <w:rsid w:val="00F45A7B"/>
    <w:rsid w:val="00F45C80"/>
    <w:rsid w:val="00F461E0"/>
    <w:rsid w:val="00F476D1"/>
    <w:rsid w:val="00F477A5"/>
    <w:rsid w:val="00F47991"/>
    <w:rsid w:val="00F51CEE"/>
    <w:rsid w:val="00F537FC"/>
    <w:rsid w:val="00F538C6"/>
    <w:rsid w:val="00F53FB4"/>
    <w:rsid w:val="00F54623"/>
    <w:rsid w:val="00F55BBB"/>
    <w:rsid w:val="00F5635E"/>
    <w:rsid w:val="00F600B2"/>
    <w:rsid w:val="00F611F2"/>
    <w:rsid w:val="00F6193D"/>
    <w:rsid w:val="00F61BCF"/>
    <w:rsid w:val="00F620A3"/>
    <w:rsid w:val="00F62676"/>
    <w:rsid w:val="00F62764"/>
    <w:rsid w:val="00F62BE9"/>
    <w:rsid w:val="00F63337"/>
    <w:rsid w:val="00F64848"/>
    <w:rsid w:val="00F65172"/>
    <w:rsid w:val="00F66EC9"/>
    <w:rsid w:val="00F70FBC"/>
    <w:rsid w:val="00F71690"/>
    <w:rsid w:val="00F71707"/>
    <w:rsid w:val="00F72517"/>
    <w:rsid w:val="00F7337E"/>
    <w:rsid w:val="00F73936"/>
    <w:rsid w:val="00F74EA0"/>
    <w:rsid w:val="00F7554B"/>
    <w:rsid w:val="00F75C38"/>
    <w:rsid w:val="00F75E2D"/>
    <w:rsid w:val="00F76CCA"/>
    <w:rsid w:val="00F76F3D"/>
    <w:rsid w:val="00F7713B"/>
    <w:rsid w:val="00F80220"/>
    <w:rsid w:val="00F80284"/>
    <w:rsid w:val="00F80526"/>
    <w:rsid w:val="00F80C15"/>
    <w:rsid w:val="00F81505"/>
    <w:rsid w:val="00F81A7E"/>
    <w:rsid w:val="00F82703"/>
    <w:rsid w:val="00F8310C"/>
    <w:rsid w:val="00F8469B"/>
    <w:rsid w:val="00F84D3E"/>
    <w:rsid w:val="00F86BE6"/>
    <w:rsid w:val="00F86CE9"/>
    <w:rsid w:val="00F87062"/>
    <w:rsid w:val="00F87154"/>
    <w:rsid w:val="00F8779D"/>
    <w:rsid w:val="00F878E3"/>
    <w:rsid w:val="00F87A1F"/>
    <w:rsid w:val="00F9163C"/>
    <w:rsid w:val="00F91E33"/>
    <w:rsid w:val="00F92426"/>
    <w:rsid w:val="00F925C0"/>
    <w:rsid w:val="00F9426F"/>
    <w:rsid w:val="00F9467D"/>
    <w:rsid w:val="00F94B51"/>
    <w:rsid w:val="00F94F57"/>
    <w:rsid w:val="00F95677"/>
    <w:rsid w:val="00F956C8"/>
    <w:rsid w:val="00F95D43"/>
    <w:rsid w:val="00F97477"/>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3570"/>
    <w:rsid w:val="00FB3A31"/>
    <w:rsid w:val="00FB3E10"/>
    <w:rsid w:val="00FB436A"/>
    <w:rsid w:val="00FB477C"/>
    <w:rsid w:val="00FB486A"/>
    <w:rsid w:val="00FB4D50"/>
    <w:rsid w:val="00FB5996"/>
    <w:rsid w:val="00FB5E6C"/>
    <w:rsid w:val="00FB5F7F"/>
    <w:rsid w:val="00FB6370"/>
    <w:rsid w:val="00FB743F"/>
    <w:rsid w:val="00FB7944"/>
    <w:rsid w:val="00FB7D62"/>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1F05"/>
    <w:rsid w:val="00FD2430"/>
    <w:rsid w:val="00FD251A"/>
    <w:rsid w:val="00FD2A32"/>
    <w:rsid w:val="00FD2BE7"/>
    <w:rsid w:val="00FD33B4"/>
    <w:rsid w:val="00FD33F0"/>
    <w:rsid w:val="00FD34FA"/>
    <w:rsid w:val="00FD3C2A"/>
    <w:rsid w:val="00FD47C6"/>
    <w:rsid w:val="00FD4C91"/>
    <w:rsid w:val="00FD4FB7"/>
    <w:rsid w:val="00FD5FDF"/>
    <w:rsid w:val="00FD6A36"/>
    <w:rsid w:val="00FD780C"/>
    <w:rsid w:val="00FD7AF7"/>
    <w:rsid w:val="00FD7CEC"/>
    <w:rsid w:val="00FE0463"/>
    <w:rsid w:val="00FE08AC"/>
    <w:rsid w:val="00FE0BB0"/>
    <w:rsid w:val="00FE12FF"/>
    <w:rsid w:val="00FE19F2"/>
    <w:rsid w:val="00FE365E"/>
    <w:rsid w:val="00FE4664"/>
    <w:rsid w:val="00FE76B5"/>
    <w:rsid w:val="00FE7F2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6192-3590-4FD4-976B-55D08518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3214</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4</cp:revision>
  <cp:lastPrinted>2012-08-30T19:29:00Z</cp:lastPrinted>
  <dcterms:created xsi:type="dcterms:W3CDTF">2012-08-20T15:01:00Z</dcterms:created>
  <dcterms:modified xsi:type="dcterms:W3CDTF">2012-08-30T19:29:00Z</dcterms:modified>
</cp:coreProperties>
</file>