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DD" w:rsidRDefault="009F30DD" w:rsidP="009F30DD">
      <w:pPr>
        <w:jc w:val="center"/>
        <w:rPr>
          <w:b/>
        </w:rPr>
      </w:pPr>
      <w:bookmarkStart w:id="0" w:name="_GoBack"/>
      <w:bookmarkEnd w:id="0"/>
      <w:r>
        <w:rPr>
          <w:b/>
        </w:rPr>
        <w:t>BEFORE THE</w:t>
      </w:r>
    </w:p>
    <w:p w:rsidR="009F30DD" w:rsidRDefault="009F30DD" w:rsidP="009F30DD">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9F30DD" w:rsidRDefault="009F30DD" w:rsidP="00CE69C5">
      <w:pPr>
        <w:jc w:val="center"/>
        <w:rPr>
          <w:b/>
        </w:rPr>
      </w:pPr>
    </w:p>
    <w:p w:rsidR="009F30DD" w:rsidRDefault="009F30DD" w:rsidP="00CE69C5">
      <w:pPr>
        <w:jc w:val="center"/>
        <w:rPr>
          <w:b/>
        </w:rPr>
      </w:pPr>
    </w:p>
    <w:p w:rsidR="009F30DD" w:rsidRDefault="009F30DD" w:rsidP="00CE69C5">
      <w:pPr>
        <w:jc w:val="center"/>
        <w:rPr>
          <w:b/>
        </w:rPr>
      </w:pPr>
    </w:p>
    <w:p w:rsidR="009F30DD" w:rsidRDefault="009F30DD" w:rsidP="00CE69C5">
      <w:r>
        <w:t>PECO Energy Company’s Energy</w:t>
      </w:r>
      <w:r>
        <w:tab/>
      </w:r>
      <w:r>
        <w:tab/>
      </w:r>
      <w:r>
        <w:tab/>
        <w:t>:</w:t>
      </w:r>
    </w:p>
    <w:p w:rsidR="009F30DD" w:rsidRDefault="009F30DD" w:rsidP="00CE69C5">
      <w:r>
        <w:t>Efficiency and Conservation Program</w:t>
      </w:r>
      <w:r>
        <w:tab/>
      </w:r>
      <w:r>
        <w:tab/>
        <w:t>:</w:t>
      </w:r>
    </w:p>
    <w:p w:rsidR="009F30DD" w:rsidRDefault="009F30DD" w:rsidP="00CE69C5">
      <w:r>
        <w:t>Section 1307(e) Reconciliation Statement</w:t>
      </w:r>
      <w:r>
        <w:tab/>
      </w:r>
      <w:r>
        <w:tab/>
        <w:t>:</w:t>
      </w:r>
      <w:r>
        <w:tab/>
      </w:r>
      <w:r>
        <w:tab/>
      </w:r>
      <w:r>
        <w:tab/>
        <w:t>M-2012-2309311</w:t>
      </w:r>
    </w:p>
    <w:p w:rsidR="009F30DD" w:rsidRDefault="009F30DD" w:rsidP="00CE69C5">
      <w:r>
        <w:t>For the year ended May 31, 2012</w:t>
      </w:r>
      <w:r>
        <w:tab/>
      </w:r>
      <w:r>
        <w:tab/>
      </w:r>
      <w:r>
        <w:tab/>
        <w:t>:</w:t>
      </w:r>
    </w:p>
    <w:p w:rsidR="009F30DD" w:rsidRDefault="009F30DD" w:rsidP="00CE69C5"/>
    <w:p w:rsidR="009F30DD" w:rsidRDefault="009F30DD" w:rsidP="00CE69C5"/>
    <w:p w:rsidR="00CE69C5" w:rsidRDefault="00CE69C5" w:rsidP="00CE69C5"/>
    <w:p w:rsidR="009F30DD" w:rsidRDefault="009F30DD" w:rsidP="00CE69C5">
      <w:pPr>
        <w:jc w:val="center"/>
        <w:rPr>
          <w:b/>
          <w:u w:val="single"/>
        </w:rPr>
      </w:pPr>
      <w:r>
        <w:rPr>
          <w:b/>
          <w:u w:val="single"/>
        </w:rPr>
        <w:t>RECOMMENDED DECISION</w:t>
      </w:r>
    </w:p>
    <w:p w:rsidR="009F30DD" w:rsidRDefault="009F30DD" w:rsidP="00CE69C5">
      <w:pPr>
        <w:jc w:val="center"/>
        <w:rPr>
          <w:b/>
          <w:u w:val="single"/>
        </w:rPr>
      </w:pPr>
    </w:p>
    <w:p w:rsidR="009F30DD" w:rsidRDefault="009F30DD" w:rsidP="00CE69C5">
      <w:pPr>
        <w:jc w:val="center"/>
        <w:rPr>
          <w:b/>
          <w:u w:val="single"/>
        </w:rPr>
      </w:pPr>
    </w:p>
    <w:p w:rsidR="009F30DD" w:rsidRDefault="009F30DD" w:rsidP="00CE69C5">
      <w:pPr>
        <w:jc w:val="center"/>
      </w:pPr>
      <w:r>
        <w:t>Before</w:t>
      </w:r>
    </w:p>
    <w:p w:rsidR="009F30DD" w:rsidRDefault="009F30DD" w:rsidP="00CE69C5">
      <w:pPr>
        <w:jc w:val="center"/>
      </w:pPr>
      <w:r>
        <w:t>Susan D. Colwell</w:t>
      </w:r>
    </w:p>
    <w:p w:rsidR="009F30DD" w:rsidRDefault="009F30DD" w:rsidP="00CE69C5">
      <w:pPr>
        <w:jc w:val="center"/>
      </w:pPr>
      <w:r>
        <w:t>Administrative Law Judge</w:t>
      </w:r>
    </w:p>
    <w:p w:rsidR="009F30DD" w:rsidRDefault="009F30DD" w:rsidP="00CE69C5">
      <w:pPr>
        <w:jc w:val="center"/>
      </w:pPr>
    </w:p>
    <w:p w:rsidR="009F30DD" w:rsidRDefault="009F30DD" w:rsidP="00CE69C5">
      <w:pPr>
        <w:jc w:val="center"/>
      </w:pPr>
    </w:p>
    <w:p w:rsidR="009F30DD" w:rsidRDefault="009F30DD" w:rsidP="00CE69C5">
      <w:pPr>
        <w:jc w:val="center"/>
        <w:rPr>
          <w:u w:val="single"/>
        </w:rPr>
      </w:pPr>
      <w:r>
        <w:rPr>
          <w:u w:val="single"/>
        </w:rPr>
        <w:t>HISTORY OF THE PROCEEDING</w:t>
      </w:r>
    </w:p>
    <w:p w:rsidR="009F30DD" w:rsidRDefault="009F30DD" w:rsidP="00CE69C5">
      <w:pPr>
        <w:jc w:val="center"/>
        <w:rPr>
          <w:u w:val="single"/>
        </w:rPr>
      </w:pPr>
    </w:p>
    <w:p w:rsidR="009F30DD" w:rsidRDefault="009F30DD" w:rsidP="00CE69C5"/>
    <w:p w:rsidR="009F30DD" w:rsidRDefault="009F30DD" w:rsidP="009F30DD">
      <w:pPr>
        <w:spacing w:line="360" w:lineRule="auto"/>
      </w:pPr>
      <w:r>
        <w:tab/>
      </w:r>
      <w:r>
        <w:tab/>
        <w:t>On July 30, 2012, a public hearing was held in Harrisburg to review the Energy Efficiency and Conservation Program (EE&amp;C) cost annual reconc</w:t>
      </w:r>
      <w:r w:rsidR="00CE69C5">
        <w:t>iliation for the year ended May </w:t>
      </w:r>
      <w:r>
        <w:t>31, 2012, filed with the Pennsylvania Public Utility Commission by PECO Energy Company (PECO).</w:t>
      </w:r>
      <w:r w:rsidR="00490100">
        <w:t xml:space="preserve">  The hearing was conducted by Administrative Law Judge Elizabeth H. Barnes, due to my sudden unavailability on the day of the hearing. </w:t>
      </w:r>
    </w:p>
    <w:p w:rsidR="009F30DD" w:rsidRDefault="009F30DD" w:rsidP="009F30DD">
      <w:pPr>
        <w:spacing w:line="360" w:lineRule="auto"/>
      </w:pPr>
    </w:p>
    <w:p w:rsidR="009F30DD" w:rsidRDefault="009F30DD" w:rsidP="009F30DD">
      <w:pPr>
        <w:spacing w:line="360" w:lineRule="auto"/>
      </w:pPr>
      <w:r>
        <w:tab/>
      </w:r>
      <w:r>
        <w:tab/>
        <w:t xml:space="preserve">The hearing was attended by the following counsel:  Anthony E. Gay, Esq., by telephone for PECO; and Richard A. </w:t>
      </w:r>
      <w:proofErr w:type="spellStart"/>
      <w:r>
        <w:t>Kanaskie</w:t>
      </w:r>
      <w:proofErr w:type="spellEnd"/>
      <w:r>
        <w:t>, Esq. for the Commission's Bureau of Investigation and Enforcement (I&amp;E).</w:t>
      </w:r>
    </w:p>
    <w:p w:rsidR="009F30DD" w:rsidRDefault="009F30DD" w:rsidP="009F30DD">
      <w:pPr>
        <w:spacing w:line="360" w:lineRule="auto"/>
      </w:pPr>
    </w:p>
    <w:p w:rsidR="009F30DD" w:rsidRDefault="009F30DD" w:rsidP="009F30DD">
      <w:pPr>
        <w:spacing w:line="360" w:lineRule="auto"/>
      </w:pPr>
      <w:r>
        <w:tab/>
      </w:r>
      <w:r>
        <w:tab/>
        <w:t>PECO presented one witness, Richard Schlesinger, manager of retail rates, regulatory filings and tariffs, who sponsored PECO Exhibits No. 1 and 2.  I&amp;E introduced I&amp;E Exhibit 1.</w:t>
      </w:r>
    </w:p>
    <w:p w:rsidR="009F30DD" w:rsidRDefault="009F30DD" w:rsidP="009F30DD">
      <w:pPr>
        <w:spacing w:line="360" w:lineRule="auto"/>
      </w:pPr>
    </w:p>
    <w:p w:rsidR="00CE69C5" w:rsidRDefault="009F30DD" w:rsidP="009F30DD">
      <w:pPr>
        <w:spacing w:line="360" w:lineRule="auto"/>
        <w:sectPr w:rsidR="00CE69C5" w:rsidSect="00CE69C5">
          <w:footerReference w:type="default" r:id="rId8"/>
          <w:pgSz w:w="12240" w:h="15840"/>
          <w:pgMar w:top="1440" w:right="1440" w:bottom="1440" w:left="1440" w:header="720" w:footer="720" w:gutter="0"/>
          <w:pgNumType w:start="1"/>
          <w:cols w:space="720"/>
          <w:titlePg/>
          <w:docGrid w:linePitch="360"/>
        </w:sectPr>
      </w:pPr>
      <w:r>
        <w:tab/>
      </w:r>
      <w:r>
        <w:tab/>
        <w:t>The hearing resulted in a transcript of 15 pages.  The record closed following the receipt of the transcript on August 7, 2012.  The matter is now ready for decision.</w:t>
      </w:r>
    </w:p>
    <w:p w:rsidR="009F30DD" w:rsidRDefault="009F30DD" w:rsidP="009F30DD">
      <w:pPr>
        <w:spacing w:line="360" w:lineRule="auto"/>
        <w:jc w:val="center"/>
        <w:rPr>
          <w:u w:val="single"/>
        </w:rPr>
      </w:pPr>
      <w:r>
        <w:rPr>
          <w:u w:val="single"/>
        </w:rPr>
        <w:lastRenderedPageBreak/>
        <w:t>FINDINGS OF FACT</w:t>
      </w:r>
    </w:p>
    <w:p w:rsidR="009F30DD" w:rsidRDefault="009F30DD" w:rsidP="009F30DD">
      <w:pPr>
        <w:spacing w:line="360" w:lineRule="auto"/>
        <w:jc w:val="center"/>
        <w:rPr>
          <w:u w:val="single"/>
        </w:rPr>
      </w:pPr>
    </w:p>
    <w:p w:rsidR="009F30DD" w:rsidRDefault="009F30DD" w:rsidP="009F30DD">
      <w:pPr>
        <w:spacing w:line="360" w:lineRule="auto"/>
      </w:pPr>
      <w:r>
        <w:tab/>
      </w:r>
      <w:r>
        <w:tab/>
        <w:t>1.</w:t>
      </w:r>
      <w:r>
        <w:tab/>
        <w:t>A public hearing was held on July 30, 2012, to review the EE&amp;C program cost annual Reconciliation Statement filed by PECO with the Commission.</w:t>
      </w:r>
    </w:p>
    <w:p w:rsidR="009F30DD" w:rsidRDefault="009F30DD" w:rsidP="009F30DD">
      <w:pPr>
        <w:spacing w:line="360" w:lineRule="auto"/>
      </w:pPr>
    </w:p>
    <w:p w:rsidR="009F30DD" w:rsidRDefault="009F30DD" w:rsidP="009F30DD">
      <w:pPr>
        <w:spacing w:line="360" w:lineRule="auto"/>
      </w:pPr>
      <w:r>
        <w:tab/>
      </w:r>
      <w:r>
        <w:tab/>
        <w:t>2.</w:t>
      </w:r>
      <w:r>
        <w:tab/>
        <w:t xml:space="preserve">Richard Schlesinger, manager of retail rates, regulatory filings and tariffs, appeared on behalf of PECO and sponsored PECO Exhibits 1 and 2.  </w:t>
      </w:r>
    </w:p>
    <w:p w:rsidR="009F30DD" w:rsidRDefault="009F30DD" w:rsidP="009F30DD">
      <w:pPr>
        <w:spacing w:line="360" w:lineRule="auto"/>
      </w:pPr>
    </w:p>
    <w:p w:rsidR="009F30DD" w:rsidRDefault="009F30DD" w:rsidP="009F30DD">
      <w:pPr>
        <w:spacing w:line="360" w:lineRule="auto"/>
      </w:pPr>
      <w:r>
        <w:tab/>
      </w:r>
      <w:r>
        <w:tab/>
        <w:t>3.</w:t>
      </w:r>
      <w:r>
        <w:tab/>
        <w:t>PECO Exhibit 1 is a list of costs by rate class of revenues that PECO has paid for the energy efficiency programs, as well as the revenues that PECO collected through April 201</w:t>
      </w:r>
      <w:r w:rsidR="00C018F8">
        <w:t>2, with May's costs estimated</w:t>
      </w:r>
      <w:r>
        <w:t>.</w:t>
      </w:r>
      <w:r w:rsidR="00C018F8">
        <w:t xml:space="preserve">  Tr. </w:t>
      </w:r>
      <w:r>
        <w:t>7.</w:t>
      </w:r>
    </w:p>
    <w:p w:rsidR="009F30DD" w:rsidRDefault="009F30DD" w:rsidP="009F30DD">
      <w:pPr>
        <w:spacing w:line="360" w:lineRule="auto"/>
      </w:pPr>
    </w:p>
    <w:p w:rsidR="009F30DD" w:rsidRDefault="009F30DD" w:rsidP="009F30DD">
      <w:pPr>
        <w:spacing w:line="360" w:lineRule="auto"/>
      </w:pPr>
      <w:r>
        <w:tab/>
      </w:r>
      <w:r>
        <w:tab/>
        <w:t>4.</w:t>
      </w:r>
      <w:r>
        <w:tab/>
        <w:t xml:space="preserve">PECO Exhibit 2 is a revision of Exhibit 1 and contains data through </w:t>
      </w:r>
    </w:p>
    <w:p w:rsidR="009F30DD" w:rsidRDefault="00C018F8" w:rsidP="009F30DD">
      <w:pPr>
        <w:spacing w:line="360" w:lineRule="auto"/>
      </w:pPr>
      <w:r>
        <w:t>May 31, 2012</w:t>
      </w:r>
      <w:r w:rsidR="009F30DD">
        <w:t>.  Tr. 7</w:t>
      </w:r>
      <w:r>
        <w:t>-8</w:t>
      </w:r>
      <w:r w:rsidR="009F30DD">
        <w:t xml:space="preserve">.  </w:t>
      </w:r>
    </w:p>
    <w:p w:rsidR="009F30DD" w:rsidRDefault="009F30DD" w:rsidP="009F30DD">
      <w:pPr>
        <w:spacing w:line="360" w:lineRule="auto"/>
      </w:pPr>
    </w:p>
    <w:p w:rsidR="009F30DD" w:rsidRDefault="009F30DD" w:rsidP="009F30DD">
      <w:pPr>
        <w:spacing w:line="360" w:lineRule="auto"/>
      </w:pPr>
      <w:r>
        <w:tab/>
      </w:r>
      <w:r>
        <w:tab/>
        <w:t>5.</w:t>
      </w:r>
      <w:r>
        <w:tab/>
        <w:t>Total expenditures through May 201</w:t>
      </w:r>
      <w:r w:rsidR="00C018F8">
        <w:t>2</w:t>
      </w:r>
      <w:r>
        <w:t xml:space="preserve"> are $</w:t>
      </w:r>
      <w:r w:rsidR="00C018F8">
        <w:t>145,023,546</w:t>
      </w:r>
      <w:r>
        <w:t xml:space="preserve">.  PECO Ex. 2; </w:t>
      </w:r>
      <w:r w:rsidR="00C018F8">
        <w:t>I&amp;E</w:t>
      </w:r>
      <w:r>
        <w:t xml:space="preserve"> Ex. 1; Tr. </w:t>
      </w:r>
      <w:r w:rsidR="00C018F8">
        <w:t>9</w:t>
      </w:r>
      <w:r>
        <w:t>.</w:t>
      </w:r>
    </w:p>
    <w:p w:rsidR="009F30DD" w:rsidRDefault="009F30DD" w:rsidP="009F30DD">
      <w:pPr>
        <w:spacing w:line="360" w:lineRule="auto"/>
      </w:pPr>
    </w:p>
    <w:p w:rsidR="009F30DD" w:rsidRDefault="009F30DD" w:rsidP="009F30DD">
      <w:pPr>
        <w:spacing w:line="360" w:lineRule="auto"/>
      </w:pPr>
      <w:r>
        <w:tab/>
      </w:r>
      <w:r>
        <w:tab/>
        <w:t>6.</w:t>
      </w:r>
      <w:r w:rsidR="00C018F8">
        <w:tab/>
        <w:t>Total revenues through May 2012</w:t>
      </w:r>
      <w:r>
        <w:t xml:space="preserve"> are $</w:t>
      </w:r>
      <w:r w:rsidR="00C018F8">
        <w:t>214,140,178.  PECO Ex. 2; I&amp;E</w:t>
      </w:r>
      <w:r>
        <w:t xml:space="preserve"> Ex. 1; Tr. </w:t>
      </w:r>
      <w:r w:rsidR="00C018F8">
        <w:t>10</w:t>
      </w:r>
      <w:r>
        <w:t>.</w:t>
      </w:r>
    </w:p>
    <w:p w:rsidR="009F30DD" w:rsidRDefault="009F30DD" w:rsidP="009F30DD">
      <w:pPr>
        <w:spacing w:line="360" w:lineRule="auto"/>
      </w:pPr>
    </w:p>
    <w:p w:rsidR="009F30DD" w:rsidRDefault="009F30DD" w:rsidP="009F30DD">
      <w:pPr>
        <w:spacing w:line="360" w:lineRule="auto"/>
      </w:pPr>
      <w:r>
        <w:tab/>
      </w:r>
      <w:r>
        <w:tab/>
        <w:t>7.</w:t>
      </w:r>
      <w:r>
        <w:tab/>
        <w:t xml:space="preserve">PECO experienced an </w:t>
      </w:r>
      <w:proofErr w:type="spellStart"/>
      <w:r>
        <w:t>overcollection</w:t>
      </w:r>
      <w:proofErr w:type="spellEnd"/>
      <w:r>
        <w:t xml:space="preserve"> of $</w:t>
      </w:r>
      <w:r w:rsidR="00C018F8">
        <w:t>69,116,632</w:t>
      </w:r>
      <w:r>
        <w:t xml:space="preserve">.  PECO Ex. 2; </w:t>
      </w:r>
      <w:r w:rsidR="00C018F8">
        <w:t>I&amp;E Ex. 1; Tr. 10</w:t>
      </w:r>
      <w:r>
        <w:t>.</w:t>
      </w:r>
    </w:p>
    <w:p w:rsidR="009F30DD" w:rsidRDefault="009F30DD" w:rsidP="009F30DD">
      <w:pPr>
        <w:spacing w:line="360" w:lineRule="auto"/>
      </w:pPr>
    </w:p>
    <w:p w:rsidR="009F30DD" w:rsidRDefault="009F30DD" w:rsidP="009F30DD">
      <w:pPr>
        <w:spacing w:line="360" w:lineRule="auto"/>
      </w:pPr>
      <w:r>
        <w:tab/>
      </w:r>
      <w:r>
        <w:tab/>
        <w:t>8.</w:t>
      </w:r>
      <w:r>
        <w:tab/>
        <w:t>According to the settlement approved by the Commission, PECO will not true-up the actual rates until May 31, 2013.  Tr</w:t>
      </w:r>
      <w:r w:rsidR="00BC2CA4">
        <w:t>.</w:t>
      </w:r>
      <w:r>
        <w:t xml:space="preserve"> </w:t>
      </w:r>
      <w:r w:rsidR="00BC2CA4">
        <w:t>10</w:t>
      </w:r>
      <w:r>
        <w:t>.</w:t>
      </w:r>
    </w:p>
    <w:p w:rsidR="009F30DD" w:rsidRDefault="009F30DD" w:rsidP="009F30DD">
      <w:pPr>
        <w:spacing w:line="360" w:lineRule="auto"/>
      </w:pPr>
    </w:p>
    <w:p w:rsidR="009F30DD" w:rsidRDefault="009F30DD" w:rsidP="009F30DD">
      <w:pPr>
        <w:spacing w:line="360" w:lineRule="auto"/>
      </w:pPr>
      <w:r>
        <w:tab/>
      </w:r>
      <w:r>
        <w:tab/>
        <w:t>9.</w:t>
      </w:r>
      <w:r>
        <w:tab/>
      </w:r>
      <w:r w:rsidR="00BC2CA4">
        <w:t>I&amp;E</w:t>
      </w:r>
      <w:r>
        <w:t xml:space="preserve"> submitted an exhibit summarizing the results of the PECO reconciliation filing, which is attached hereto as Appendix A.  </w:t>
      </w:r>
      <w:r w:rsidR="00BC2CA4">
        <w:t xml:space="preserve">I&amp;E </w:t>
      </w:r>
      <w:r>
        <w:t>Ex. 1.</w:t>
      </w:r>
    </w:p>
    <w:p w:rsidR="009F30DD" w:rsidRDefault="009F30DD" w:rsidP="009F30DD">
      <w:pPr>
        <w:spacing w:line="360" w:lineRule="auto"/>
      </w:pPr>
      <w:r>
        <w:tab/>
      </w:r>
      <w:r>
        <w:tab/>
      </w:r>
    </w:p>
    <w:p w:rsidR="009F30DD" w:rsidRDefault="009F30DD" w:rsidP="009F30DD">
      <w:pPr>
        <w:spacing w:line="360" w:lineRule="auto"/>
        <w:jc w:val="center"/>
        <w:rPr>
          <w:u w:val="single"/>
        </w:rPr>
      </w:pPr>
      <w:r>
        <w:br w:type="page"/>
      </w:r>
      <w:r>
        <w:rPr>
          <w:u w:val="single"/>
        </w:rPr>
        <w:t>DISCUSSION</w:t>
      </w:r>
    </w:p>
    <w:p w:rsidR="009F30DD" w:rsidRDefault="009F30DD" w:rsidP="009F30DD">
      <w:pPr>
        <w:spacing w:line="360" w:lineRule="auto"/>
        <w:jc w:val="center"/>
        <w:rPr>
          <w:u w:val="single"/>
        </w:rPr>
      </w:pPr>
    </w:p>
    <w:p w:rsidR="009F30DD" w:rsidRDefault="009F30DD" w:rsidP="009F30DD">
      <w:pPr>
        <w:spacing w:line="360" w:lineRule="auto"/>
      </w:pPr>
      <w:r>
        <w:tab/>
      </w:r>
      <w:r>
        <w:tab/>
        <w:t xml:space="preserve">The Commission held a public hearing on </w:t>
      </w:r>
      <w:r w:rsidR="00BC2CA4">
        <w:t>July 30</w:t>
      </w:r>
      <w:r>
        <w:t>, 201</w:t>
      </w:r>
      <w:r w:rsidR="00BC2CA4">
        <w:t>2</w:t>
      </w:r>
      <w:r>
        <w:t xml:space="preserve">, in compliance with 66 Pa. C.S. § 1307(e).  The exhibits presented by PECO and </w:t>
      </w:r>
      <w:r w:rsidR="00490100">
        <w:t>I&amp;E</w:t>
      </w:r>
      <w:r>
        <w:t xml:space="preserve"> were moved into evidence without objection.  Admission of the exhibits </w:t>
      </w:r>
      <w:r w:rsidR="0068332F">
        <w:t>is</w:t>
      </w:r>
      <w:r>
        <w:t xml:space="preserve"> subject to the usual condition that the numbers contained in them remain subject to audit, and that approval of the reconciliation statement does not constitute approval of either the accuracy of the reported figures or the reasonableness of the underlying transactions.  </w:t>
      </w:r>
    </w:p>
    <w:p w:rsidR="009F30DD" w:rsidRDefault="009F30DD" w:rsidP="009F30DD">
      <w:pPr>
        <w:spacing w:line="360" w:lineRule="auto"/>
      </w:pPr>
    </w:p>
    <w:p w:rsidR="009F30DD" w:rsidRDefault="009F30DD" w:rsidP="009F30DD">
      <w:pPr>
        <w:spacing w:line="360" w:lineRule="auto"/>
        <w:jc w:val="center"/>
        <w:rPr>
          <w:u w:val="single"/>
        </w:rPr>
      </w:pPr>
      <w:r>
        <w:rPr>
          <w:u w:val="single"/>
        </w:rPr>
        <w:t>CONCLUSIONS OF LAW</w:t>
      </w:r>
    </w:p>
    <w:p w:rsidR="009F30DD" w:rsidRDefault="009F30DD" w:rsidP="009F30DD">
      <w:pPr>
        <w:spacing w:line="360" w:lineRule="auto"/>
        <w:jc w:val="center"/>
        <w:rPr>
          <w:u w:val="single"/>
        </w:rPr>
      </w:pPr>
    </w:p>
    <w:p w:rsidR="009F30DD" w:rsidRDefault="009F30DD" w:rsidP="009F30DD">
      <w:pPr>
        <w:spacing w:line="360" w:lineRule="auto"/>
      </w:pPr>
      <w:r>
        <w:tab/>
      </w:r>
      <w:r>
        <w:tab/>
        <w:t>1.</w:t>
      </w:r>
      <w:r>
        <w:tab/>
        <w:t>The PECO reconciliation filing, summarized in Appendix A, is deemed to be an adequate filing within the meaning of Section 1307(e) of the Public Utility Code, 66 Pa. Code § 1307(e), subject to such further review and revision as may be found necessary by the Commission.</w:t>
      </w:r>
    </w:p>
    <w:p w:rsidR="009F30DD" w:rsidRDefault="009F30DD" w:rsidP="009F30DD">
      <w:pPr>
        <w:spacing w:line="360" w:lineRule="auto"/>
      </w:pPr>
    </w:p>
    <w:p w:rsidR="009F30DD" w:rsidRDefault="009F30DD" w:rsidP="009F30DD">
      <w:pPr>
        <w:spacing w:line="360" w:lineRule="auto"/>
      </w:pPr>
      <w:r>
        <w:tab/>
      </w:r>
      <w:r>
        <w:tab/>
        <w:t>2.</w:t>
      </w:r>
      <w:r>
        <w:tab/>
        <w:t>Acceptance of the Statement deemed to be adequate is based on the unaudited data reported by the utility and does not constitute a final approval of the accuracy of those figures or of the reasonableness of the underlying transaction.</w:t>
      </w:r>
    </w:p>
    <w:p w:rsidR="009F30DD" w:rsidRDefault="009F30DD" w:rsidP="009F30DD">
      <w:pPr>
        <w:spacing w:line="360" w:lineRule="auto"/>
      </w:pPr>
    </w:p>
    <w:p w:rsidR="009F30DD" w:rsidRDefault="009F30DD" w:rsidP="009F30DD">
      <w:pPr>
        <w:spacing w:line="360" w:lineRule="auto"/>
      </w:pPr>
      <w:r>
        <w:tab/>
      </w:r>
      <w:r>
        <w:tab/>
        <w:t>3.</w:t>
      </w:r>
      <w:r>
        <w:tab/>
        <w:t xml:space="preserve">The recovery of </w:t>
      </w:r>
      <w:proofErr w:type="spellStart"/>
      <w:r>
        <w:t>undercollections</w:t>
      </w:r>
      <w:proofErr w:type="spellEnd"/>
      <w:r>
        <w:t xml:space="preserve"> or the refund of </w:t>
      </w:r>
      <w:proofErr w:type="spellStart"/>
      <w:r>
        <w:t>overcollections</w:t>
      </w:r>
      <w:proofErr w:type="spellEnd"/>
      <w:r>
        <w:t xml:space="preserve"> for the utility whose filing is deemed to be adequate should be implemented based upon the operation of the automatic adjustment clauses as set forth in its tariff.</w:t>
      </w:r>
    </w:p>
    <w:p w:rsidR="009F30DD" w:rsidRDefault="009F30DD" w:rsidP="009F30DD">
      <w:pPr>
        <w:spacing w:line="360" w:lineRule="auto"/>
      </w:pPr>
    </w:p>
    <w:p w:rsidR="00CE69C5" w:rsidRDefault="00CE69C5">
      <w:pPr>
        <w:spacing w:line="360" w:lineRule="auto"/>
        <w:jc w:val="center"/>
        <w:rPr>
          <w:u w:val="single"/>
        </w:rPr>
      </w:pPr>
      <w:r>
        <w:rPr>
          <w:u w:val="single"/>
        </w:rPr>
        <w:br w:type="page"/>
      </w:r>
    </w:p>
    <w:p w:rsidR="009F30DD" w:rsidRDefault="009F30DD" w:rsidP="009F30DD">
      <w:pPr>
        <w:spacing w:line="360" w:lineRule="auto"/>
        <w:jc w:val="center"/>
        <w:rPr>
          <w:u w:val="single"/>
        </w:rPr>
      </w:pPr>
      <w:r>
        <w:rPr>
          <w:u w:val="single"/>
        </w:rPr>
        <w:t>ORDER</w:t>
      </w:r>
    </w:p>
    <w:p w:rsidR="009F30DD" w:rsidRDefault="009F30DD" w:rsidP="009F30DD">
      <w:pPr>
        <w:spacing w:line="360" w:lineRule="auto"/>
        <w:jc w:val="center"/>
        <w:rPr>
          <w:u w:val="single"/>
        </w:rPr>
      </w:pPr>
    </w:p>
    <w:p w:rsidR="009F30DD" w:rsidRDefault="009F30DD" w:rsidP="009F30DD">
      <w:pPr>
        <w:spacing w:line="360" w:lineRule="auto"/>
        <w:jc w:val="center"/>
        <w:rPr>
          <w:u w:val="single"/>
        </w:rPr>
      </w:pPr>
    </w:p>
    <w:p w:rsidR="009F30DD" w:rsidRDefault="009F30DD" w:rsidP="009F30DD">
      <w:pPr>
        <w:spacing w:line="360" w:lineRule="auto"/>
      </w:pPr>
      <w:r>
        <w:tab/>
      </w:r>
      <w:r>
        <w:tab/>
        <w:t>THEREFORE,</w:t>
      </w:r>
    </w:p>
    <w:p w:rsidR="009F30DD" w:rsidRDefault="009F30DD" w:rsidP="009F30DD">
      <w:pPr>
        <w:spacing w:line="360" w:lineRule="auto"/>
      </w:pPr>
    </w:p>
    <w:p w:rsidR="009F30DD" w:rsidRDefault="009F30DD" w:rsidP="009F30DD">
      <w:pPr>
        <w:spacing w:line="360" w:lineRule="auto"/>
      </w:pPr>
      <w:r>
        <w:tab/>
      </w:r>
      <w:r>
        <w:tab/>
        <w:t>IT IS RECOMMENDED:</w:t>
      </w:r>
    </w:p>
    <w:p w:rsidR="009F30DD" w:rsidRPr="0054068B" w:rsidRDefault="009F30DD" w:rsidP="009F30DD">
      <w:pPr>
        <w:spacing w:line="360" w:lineRule="auto"/>
      </w:pPr>
    </w:p>
    <w:p w:rsidR="009F30DD" w:rsidRDefault="009F30DD" w:rsidP="009F30DD">
      <w:pPr>
        <w:spacing w:line="360" w:lineRule="auto"/>
      </w:pPr>
      <w:r>
        <w:tab/>
      </w:r>
      <w:r>
        <w:tab/>
        <w:t>1.</w:t>
      </w:r>
      <w:r>
        <w:tab/>
        <w:t xml:space="preserve">That the PECO Energy Company’s Energy Efficiency and Conservation Program Cost Annual Section 1307(e) Reconciliation for the year ended </w:t>
      </w:r>
      <w:r w:rsidR="00BC2CA4">
        <w:t>May 31, 2012</w:t>
      </w:r>
      <w:r>
        <w:t>, as set forth in Appendix A of this Recommended Decision, be, and hereby is, accepted insofar as it is undisputed.</w:t>
      </w:r>
    </w:p>
    <w:p w:rsidR="009F30DD" w:rsidRDefault="009F30DD" w:rsidP="009F30DD">
      <w:pPr>
        <w:spacing w:line="360" w:lineRule="auto"/>
      </w:pPr>
    </w:p>
    <w:p w:rsidR="009F30DD" w:rsidRDefault="009F30DD" w:rsidP="009F30DD">
      <w:pPr>
        <w:spacing w:line="360" w:lineRule="auto"/>
      </w:pPr>
      <w:r>
        <w:tab/>
      </w:r>
      <w:r>
        <w:tab/>
        <w:t>2.</w:t>
      </w:r>
      <w:r>
        <w:tab/>
        <w:t>That acceptance of the undisputed PECO Energy Company</w:t>
      </w:r>
      <w:r w:rsidRPr="00915204">
        <w:t xml:space="preserve"> </w:t>
      </w:r>
      <w:r>
        <w:t>Company’s Energy Efficiency and Conservation Program Cost Annual Section 1307(e) Reconciliation</w:t>
      </w:r>
      <w:r w:rsidR="00BC2CA4">
        <w:t xml:space="preserve"> for the year ended May 31, 2012</w:t>
      </w:r>
      <w:r>
        <w:t xml:space="preserve"> is expressly subject to such further review and revision as may be found necessary as a result of a subsequent Commission audit, or of some other proceeding.</w:t>
      </w:r>
    </w:p>
    <w:p w:rsidR="009F30DD" w:rsidRDefault="009F30DD" w:rsidP="009F30DD">
      <w:pPr>
        <w:spacing w:line="360" w:lineRule="auto"/>
        <w:ind w:firstLine="1440"/>
      </w:pPr>
    </w:p>
    <w:p w:rsidR="009F30DD" w:rsidRDefault="009F30DD" w:rsidP="009F30DD">
      <w:pPr>
        <w:spacing w:line="360" w:lineRule="auto"/>
        <w:ind w:firstLine="1440"/>
      </w:pPr>
      <w:r>
        <w:t>3.</w:t>
      </w:r>
      <w:r>
        <w:tab/>
        <w:t>That acceptance of the undisputed PECO Energy Company</w:t>
      </w:r>
      <w:r w:rsidRPr="005008B1">
        <w:t xml:space="preserve"> </w:t>
      </w:r>
      <w:r>
        <w:t>Company’s Energy Efficiency and Conservation Program Cost Annual Section 1307(e) Reconciliation</w:t>
      </w:r>
      <w:r w:rsidR="00BC2CA4">
        <w:t xml:space="preserve"> for the year ended May 31, 2012</w:t>
      </w:r>
      <w:r>
        <w:t xml:space="preserve"> shall not constitute approval of either the accuracy of the reported figures or the reasonableness of the underlying transactions.</w:t>
      </w:r>
    </w:p>
    <w:p w:rsidR="009F30DD" w:rsidRDefault="009F30DD" w:rsidP="009F30DD">
      <w:pPr>
        <w:spacing w:line="360" w:lineRule="auto"/>
      </w:pPr>
    </w:p>
    <w:p w:rsidR="009F30DD" w:rsidRDefault="009F30DD" w:rsidP="009F30DD">
      <w:pPr>
        <w:spacing w:line="360" w:lineRule="auto"/>
      </w:pPr>
    </w:p>
    <w:p w:rsidR="009F30DD" w:rsidRDefault="009F30DD" w:rsidP="009F30DD">
      <w:r>
        <w:t>Date:</w:t>
      </w:r>
      <w:r>
        <w:tab/>
      </w:r>
      <w:r>
        <w:rPr>
          <w:u w:val="single"/>
        </w:rPr>
        <w:t xml:space="preserve">August </w:t>
      </w:r>
      <w:r w:rsidR="00490100">
        <w:rPr>
          <w:u w:val="single"/>
        </w:rPr>
        <w:t>29</w:t>
      </w:r>
      <w:r>
        <w:rPr>
          <w:u w:val="single"/>
        </w:rPr>
        <w:t>, 201</w:t>
      </w:r>
      <w:r w:rsidR="00BC2CA4">
        <w:rPr>
          <w:u w:val="single"/>
        </w:rPr>
        <w:t>2</w:t>
      </w:r>
      <w:r>
        <w:tab/>
      </w:r>
      <w:r>
        <w:tab/>
      </w:r>
      <w:r>
        <w:tab/>
      </w:r>
      <w:r>
        <w:tab/>
        <w:t>_____________________________</w:t>
      </w:r>
    </w:p>
    <w:p w:rsidR="009F30DD" w:rsidRDefault="009F30DD" w:rsidP="009F30DD">
      <w:r>
        <w:tab/>
      </w:r>
      <w:r>
        <w:tab/>
      </w:r>
      <w:r>
        <w:tab/>
      </w:r>
      <w:r>
        <w:tab/>
      </w:r>
      <w:r>
        <w:tab/>
      </w:r>
      <w:r>
        <w:tab/>
      </w:r>
      <w:r>
        <w:tab/>
        <w:t>Susan D. Colwell</w:t>
      </w:r>
    </w:p>
    <w:p w:rsidR="009F30DD" w:rsidRDefault="009F30DD" w:rsidP="009F30DD">
      <w:r>
        <w:tab/>
      </w:r>
      <w:r>
        <w:tab/>
      </w:r>
      <w:r>
        <w:tab/>
      </w:r>
      <w:r>
        <w:tab/>
      </w:r>
      <w:r>
        <w:tab/>
      </w:r>
      <w:r>
        <w:tab/>
      </w:r>
      <w:r>
        <w:tab/>
        <w:t>Administrative Law Judge</w:t>
      </w:r>
    </w:p>
    <w:p w:rsidR="009F30DD" w:rsidRDefault="009F30DD" w:rsidP="009F30DD"/>
    <w:p w:rsidR="009F30DD" w:rsidRDefault="009F30DD" w:rsidP="009F30DD"/>
    <w:p w:rsidR="009F30DD" w:rsidRDefault="009F30DD" w:rsidP="009F30DD"/>
    <w:p w:rsidR="009F30DD" w:rsidRDefault="009F30DD" w:rsidP="009F30DD"/>
    <w:p w:rsidR="0051351D" w:rsidRDefault="0051351D">
      <w:pPr>
        <w:spacing w:line="360" w:lineRule="auto"/>
        <w:jc w:val="center"/>
        <w:sectPr w:rsidR="0051351D" w:rsidSect="005008B1">
          <w:footerReference w:type="default" r:id="rId9"/>
          <w:footerReference w:type="first" r:id="rId10"/>
          <w:pgSz w:w="12240" w:h="15840"/>
          <w:pgMar w:top="1440" w:right="1440" w:bottom="1440" w:left="1440" w:header="720" w:footer="720" w:gutter="0"/>
          <w:cols w:space="720"/>
          <w:titlePg/>
          <w:docGrid w:linePitch="360"/>
        </w:sectPr>
      </w:pPr>
    </w:p>
    <w:p w:rsidR="00B71E4E" w:rsidRPr="005C266E" w:rsidRDefault="00B71E4E" w:rsidP="00B71E4E">
      <w:pPr>
        <w:jc w:val="right"/>
        <w:rPr>
          <w:rFonts w:ascii="Arial" w:hAnsi="Arial" w:cs="Arial"/>
        </w:rPr>
      </w:pPr>
      <w:r w:rsidRPr="005C266E">
        <w:rPr>
          <w:rFonts w:ascii="Arial" w:hAnsi="Arial" w:cs="Arial"/>
        </w:rPr>
        <w:t>M-201</w:t>
      </w:r>
      <w:r>
        <w:rPr>
          <w:rFonts w:ascii="Arial" w:hAnsi="Arial" w:cs="Arial"/>
        </w:rPr>
        <w:t>2</w:t>
      </w:r>
      <w:r w:rsidRPr="005C266E">
        <w:rPr>
          <w:rFonts w:ascii="Arial" w:hAnsi="Arial" w:cs="Arial"/>
        </w:rPr>
        <w:t>-</w:t>
      </w:r>
      <w:r>
        <w:rPr>
          <w:rFonts w:ascii="Arial" w:hAnsi="Arial" w:cs="Arial"/>
        </w:rPr>
        <w:t>2309311</w:t>
      </w:r>
    </w:p>
    <w:p w:rsidR="00B71E4E" w:rsidRPr="005C266E" w:rsidRDefault="00B71E4E" w:rsidP="00B71E4E">
      <w:pPr>
        <w:jc w:val="right"/>
        <w:rPr>
          <w:rFonts w:ascii="Arial" w:hAnsi="Arial" w:cs="Arial"/>
        </w:rPr>
      </w:pPr>
      <w:r>
        <w:rPr>
          <w:rFonts w:ascii="Arial" w:hAnsi="Arial" w:cs="Arial"/>
        </w:rPr>
        <w:t>I&amp;E</w:t>
      </w:r>
      <w:r w:rsidRPr="005C266E">
        <w:rPr>
          <w:rFonts w:ascii="Arial" w:hAnsi="Arial" w:cs="Arial"/>
        </w:rPr>
        <w:t xml:space="preserve"> Exhibit 1</w:t>
      </w:r>
    </w:p>
    <w:p w:rsidR="00B71E4E" w:rsidRPr="005C266E" w:rsidRDefault="00B71E4E" w:rsidP="00B71E4E">
      <w:pPr>
        <w:jc w:val="right"/>
        <w:rPr>
          <w:rFonts w:ascii="Arial" w:hAnsi="Arial" w:cs="Arial"/>
        </w:rPr>
      </w:pPr>
    </w:p>
    <w:p w:rsidR="00B71E4E" w:rsidRPr="005C266E" w:rsidRDefault="00B71E4E" w:rsidP="00B71E4E">
      <w:pPr>
        <w:rPr>
          <w:rFonts w:ascii="Arial" w:hAnsi="Arial" w:cs="Arial"/>
        </w:rPr>
      </w:pPr>
    </w:p>
    <w:p w:rsidR="00B71E4E" w:rsidRPr="005C266E" w:rsidRDefault="00B71E4E" w:rsidP="00B71E4E">
      <w:pPr>
        <w:rPr>
          <w:rFonts w:ascii="Arial" w:hAnsi="Arial" w:cs="Arial"/>
        </w:rPr>
      </w:pPr>
    </w:p>
    <w:p w:rsidR="00B71E4E" w:rsidRPr="005C266E" w:rsidRDefault="00B71E4E" w:rsidP="00B71E4E">
      <w:pPr>
        <w:rPr>
          <w:rFonts w:ascii="Arial" w:hAnsi="Arial" w:cs="Arial"/>
        </w:rPr>
      </w:pPr>
    </w:p>
    <w:p w:rsidR="00B71E4E" w:rsidRPr="005C266E" w:rsidRDefault="00B71E4E" w:rsidP="00B71E4E">
      <w:pPr>
        <w:jc w:val="center"/>
        <w:rPr>
          <w:rFonts w:ascii="Arial" w:hAnsi="Arial" w:cs="Arial"/>
          <w:b/>
        </w:rPr>
      </w:pPr>
      <w:r w:rsidRPr="005C266E">
        <w:rPr>
          <w:rFonts w:ascii="Arial" w:hAnsi="Arial" w:cs="Arial"/>
          <w:b/>
        </w:rPr>
        <w:t>Summary of PECO Energy Company’s</w:t>
      </w:r>
    </w:p>
    <w:p w:rsidR="00B71E4E" w:rsidRPr="005C266E" w:rsidRDefault="00B71E4E" w:rsidP="00B71E4E">
      <w:pPr>
        <w:jc w:val="center"/>
        <w:rPr>
          <w:rFonts w:ascii="Arial" w:hAnsi="Arial" w:cs="Arial"/>
          <w:b/>
        </w:rPr>
      </w:pPr>
      <w:r w:rsidRPr="005C266E">
        <w:rPr>
          <w:rFonts w:ascii="Arial" w:hAnsi="Arial" w:cs="Arial"/>
          <w:b/>
        </w:rPr>
        <w:t>Energy Efficiency and Conservation Program C</w:t>
      </w:r>
      <w:r>
        <w:rPr>
          <w:rFonts w:ascii="Arial" w:hAnsi="Arial" w:cs="Arial"/>
          <w:b/>
        </w:rPr>
        <w:t>ost</w:t>
      </w:r>
      <w:r w:rsidRPr="005C266E">
        <w:rPr>
          <w:rFonts w:ascii="Arial" w:hAnsi="Arial" w:cs="Arial"/>
          <w:b/>
        </w:rPr>
        <w:t xml:space="preserve"> (EEPC) Section 1307(e) Reconciliation</w:t>
      </w:r>
    </w:p>
    <w:p w:rsidR="00B71E4E" w:rsidRPr="00A564EB" w:rsidRDefault="00B71E4E" w:rsidP="00B71E4E">
      <w:pPr>
        <w:jc w:val="center"/>
        <w:rPr>
          <w:rFonts w:ascii="Arial" w:hAnsi="Arial" w:cs="Arial"/>
          <w:b/>
          <w:vertAlign w:val="superscript"/>
        </w:rPr>
      </w:pPr>
      <w:r w:rsidRPr="005C266E">
        <w:rPr>
          <w:rFonts w:ascii="Arial" w:hAnsi="Arial" w:cs="Arial"/>
          <w:b/>
        </w:rPr>
        <w:t xml:space="preserve">For The </w:t>
      </w:r>
      <w:r>
        <w:rPr>
          <w:rFonts w:ascii="Arial" w:hAnsi="Arial" w:cs="Arial"/>
          <w:b/>
        </w:rPr>
        <w:t>Period</w:t>
      </w:r>
      <w:r w:rsidRPr="005C266E">
        <w:rPr>
          <w:rFonts w:ascii="Arial" w:hAnsi="Arial" w:cs="Arial"/>
          <w:b/>
        </w:rPr>
        <w:t xml:space="preserve"> Ended May 31, 201</w:t>
      </w:r>
      <w:r>
        <w:rPr>
          <w:rFonts w:ascii="Arial" w:hAnsi="Arial" w:cs="Arial"/>
          <w:b/>
        </w:rPr>
        <w:t xml:space="preserve">2 </w:t>
      </w:r>
      <w:r>
        <w:rPr>
          <w:rFonts w:ascii="Arial" w:hAnsi="Arial" w:cs="Arial"/>
          <w:b/>
          <w:vertAlign w:val="superscript"/>
        </w:rPr>
        <w:t>1</w:t>
      </w:r>
    </w:p>
    <w:p w:rsidR="00B71E4E" w:rsidRPr="005C266E" w:rsidRDefault="00B71E4E" w:rsidP="00B71E4E">
      <w:pPr>
        <w:rPr>
          <w:rFonts w:ascii="Arial" w:hAnsi="Arial" w:cs="Arial"/>
        </w:rPr>
      </w:pPr>
    </w:p>
    <w:p w:rsidR="00B71E4E" w:rsidRPr="005C266E" w:rsidRDefault="00B71E4E" w:rsidP="00B71E4E">
      <w:pPr>
        <w:rPr>
          <w:rFonts w:ascii="Arial" w:hAnsi="Arial" w:cs="Arial"/>
        </w:rPr>
      </w:pPr>
    </w:p>
    <w:p w:rsidR="00B71E4E" w:rsidRPr="005C266E" w:rsidRDefault="00B71E4E" w:rsidP="00B71E4E">
      <w:pPr>
        <w:rPr>
          <w:rFonts w:ascii="Arial" w:hAnsi="Arial" w:cs="Arial"/>
        </w:rPr>
      </w:pPr>
    </w:p>
    <w:tbl>
      <w:tblPr>
        <w:tblW w:w="7290" w:type="dxa"/>
        <w:jc w:val="center"/>
        <w:tblLayout w:type="fixed"/>
        <w:tblLook w:val="01E0" w:firstRow="1" w:lastRow="1" w:firstColumn="1" w:lastColumn="1" w:noHBand="0" w:noVBand="0"/>
      </w:tblPr>
      <w:tblGrid>
        <w:gridCol w:w="1800"/>
        <w:gridCol w:w="2070"/>
        <w:gridCol w:w="1710"/>
        <w:gridCol w:w="1710"/>
      </w:tblGrid>
      <w:tr w:rsidR="00B71E4E" w:rsidRPr="005C266E" w:rsidTr="00485BBB">
        <w:trPr>
          <w:jc w:val="center"/>
        </w:trPr>
        <w:tc>
          <w:tcPr>
            <w:tcW w:w="1800" w:type="dxa"/>
          </w:tcPr>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u w:val="single"/>
              </w:rPr>
            </w:pPr>
            <w:r w:rsidRPr="005C266E">
              <w:rPr>
                <w:rFonts w:ascii="Arial" w:hAnsi="Arial" w:cs="Arial"/>
                <w:b/>
                <w:u w:val="single"/>
              </w:rPr>
              <w:t>Rate Class</w:t>
            </w:r>
          </w:p>
        </w:tc>
        <w:tc>
          <w:tcPr>
            <w:tcW w:w="2070" w:type="dxa"/>
          </w:tcPr>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rPr>
            </w:pPr>
          </w:p>
          <w:p w:rsidR="00B71E4E" w:rsidRPr="00A564EB" w:rsidRDefault="00B71E4E" w:rsidP="00485BBB">
            <w:pPr>
              <w:jc w:val="center"/>
              <w:rPr>
                <w:rFonts w:ascii="Arial" w:hAnsi="Arial" w:cs="Arial"/>
                <w:b/>
                <w:vertAlign w:val="superscript"/>
              </w:rPr>
            </w:pPr>
            <w:r>
              <w:rPr>
                <w:rFonts w:ascii="Arial" w:hAnsi="Arial" w:cs="Arial"/>
                <w:b/>
              </w:rPr>
              <w:t xml:space="preserve">EEPC </w:t>
            </w:r>
            <w:r w:rsidRPr="00A564EB">
              <w:rPr>
                <w:rFonts w:ascii="Arial" w:hAnsi="Arial" w:cs="Arial"/>
                <w:b/>
                <w:u w:val="single"/>
              </w:rPr>
              <w:t xml:space="preserve">Expenditures </w:t>
            </w:r>
            <w:r w:rsidRPr="00A564EB">
              <w:rPr>
                <w:rFonts w:ascii="Arial" w:hAnsi="Arial" w:cs="Arial"/>
                <w:b/>
                <w:u w:val="single"/>
                <w:vertAlign w:val="superscript"/>
              </w:rPr>
              <w:t>2</w:t>
            </w:r>
          </w:p>
        </w:tc>
        <w:tc>
          <w:tcPr>
            <w:tcW w:w="1710" w:type="dxa"/>
          </w:tcPr>
          <w:p w:rsidR="00B71E4E" w:rsidRPr="005C266E" w:rsidRDefault="00B71E4E" w:rsidP="00485BBB">
            <w:pPr>
              <w:jc w:val="center"/>
              <w:rPr>
                <w:rFonts w:ascii="Arial" w:hAnsi="Arial" w:cs="Arial"/>
                <w:b/>
              </w:rPr>
            </w:pPr>
          </w:p>
          <w:p w:rsidR="00B71E4E" w:rsidRDefault="00B71E4E" w:rsidP="00485BBB">
            <w:pPr>
              <w:jc w:val="center"/>
              <w:rPr>
                <w:rFonts w:ascii="Arial" w:hAnsi="Arial" w:cs="Arial"/>
                <w:b/>
              </w:rPr>
            </w:pPr>
          </w:p>
          <w:p w:rsidR="00B71E4E" w:rsidRPr="005C266E" w:rsidRDefault="00B71E4E" w:rsidP="00485BBB">
            <w:pPr>
              <w:jc w:val="center"/>
              <w:rPr>
                <w:rFonts w:ascii="Arial" w:hAnsi="Arial" w:cs="Arial"/>
                <w:b/>
              </w:rPr>
            </w:pPr>
            <w:r>
              <w:rPr>
                <w:rFonts w:ascii="Arial" w:hAnsi="Arial" w:cs="Arial"/>
                <w:b/>
              </w:rPr>
              <w:t>Recovery</w:t>
            </w:r>
            <w:r w:rsidRPr="005C266E">
              <w:rPr>
                <w:rFonts w:ascii="Arial" w:hAnsi="Arial" w:cs="Arial"/>
                <w:b/>
              </w:rPr>
              <w:t xml:space="preserve"> </w:t>
            </w:r>
            <w:r w:rsidRPr="005C266E">
              <w:rPr>
                <w:rFonts w:ascii="Arial" w:hAnsi="Arial" w:cs="Arial"/>
                <w:b/>
                <w:u w:val="single"/>
              </w:rPr>
              <w:t>Revenues</w:t>
            </w:r>
          </w:p>
        </w:tc>
        <w:tc>
          <w:tcPr>
            <w:tcW w:w="1710" w:type="dxa"/>
          </w:tcPr>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rPr>
            </w:pPr>
          </w:p>
          <w:p w:rsidR="00B71E4E" w:rsidRPr="005C266E" w:rsidRDefault="00B71E4E" w:rsidP="00485BBB">
            <w:pPr>
              <w:jc w:val="center"/>
              <w:rPr>
                <w:rFonts w:ascii="Arial" w:hAnsi="Arial" w:cs="Arial"/>
                <w:b/>
              </w:rPr>
            </w:pPr>
            <w:r w:rsidRPr="005C266E">
              <w:rPr>
                <w:rFonts w:ascii="Arial" w:hAnsi="Arial" w:cs="Arial"/>
                <w:b/>
              </w:rPr>
              <w:t>Over/(Under)</w:t>
            </w:r>
          </w:p>
          <w:p w:rsidR="00B71E4E" w:rsidRPr="00A564EB" w:rsidRDefault="00B71E4E" w:rsidP="00485BBB">
            <w:pPr>
              <w:jc w:val="center"/>
              <w:rPr>
                <w:rFonts w:ascii="Arial" w:hAnsi="Arial" w:cs="Arial"/>
                <w:b/>
                <w:u w:val="single"/>
                <w:vertAlign w:val="superscript"/>
              </w:rPr>
            </w:pPr>
            <w:r>
              <w:rPr>
                <w:rFonts w:ascii="Arial" w:hAnsi="Arial" w:cs="Arial"/>
                <w:b/>
                <w:u w:val="single"/>
              </w:rPr>
              <w:t xml:space="preserve">Recovery </w:t>
            </w:r>
            <w:r w:rsidRPr="00A564EB">
              <w:rPr>
                <w:rFonts w:ascii="Arial" w:hAnsi="Arial" w:cs="Arial"/>
                <w:b/>
                <w:u w:val="single"/>
                <w:vertAlign w:val="superscript"/>
              </w:rPr>
              <w:t>3</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center"/>
              <w:rPr>
                <w:rFonts w:ascii="Arial" w:hAnsi="Arial" w:cs="Arial"/>
              </w:rPr>
            </w:pPr>
            <w:r w:rsidRPr="005C266E">
              <w:rPr>
                <w:rFonts w:ascii="Arial" w:hAnsi="Arial" w:cs="Arial"/>
              </w:rPr>
              <w:t>(1)</w:t>
            </w:r>
          </w:p>
        </w:tc>
        <w:tc>
          <w:tcPr>
            <w:tcW w:w="1710" w:type="dxa"/>
          </w:tcPr>
          <w:p w:rsidR="00B71E4E" w:rsidRPr="005C266E" w:rsidRDefault="00B71E4E" w:rsidP="00485BBB">
            <w:pPr>
              <w:jc w:val="center"/>
              <w:rPr>
                <w:rFonts w:ascii="Arial" w:hAnsi="Arial" w:cs="Arial"/>
              </w:rPr>
            </w:pPr>
            <w:r w:rsidRPr="005C266E">
              <w:rPr>
                <w:rFonts w:ascii="Arial" w:hAnsi="Arial" w:cs="Arial"/>
              </w:rPr>
              <w:t>(2)</w:t>
            </w:r>
          </w:p>
        </w:tc>
        <w:tc>
          <w:tcPr>
            <w:tcW w:w="1710" w:type="dxa"/>
          </w:tcPr>
          <w:p w:rsidR="00B71E4E" w:rsidRPr="005C266E" w:rsidRDefault="00B71E4E" w:rsidP="00485BBB">
            <w:pPr>
              <w:jc w:val="center"/>
              <w:rPr>
                <w:rFonts w:ascii="Arial" w:hAnsi="Arial" w:cs="Arial"/>
              </w:rPr>
            </w:pPr>
            <w:r w:rsidRPr="005C266E">
              <w:rPr>
                <w:rFonts w:ascii="Arial" w:hAnsi="Arial" w:cs="Arial"/>
              </w:rPr>
              <w:t>(3) = (</w:t>
            </w:r>
            <w:r>
              <w:rPr>
                <w:rFonts w:ascii="Arial" w:hAnsi="Arial" w:cs="Arial"/>
              </w:rPr>
              <w:t>2</w:t>
            </w:r>
            <w:r w:rsidRPr="005C266E">
              <w:rPr>
                <w:rFonts w:ascii="Arial" w:hAnsi="Arial" w:cs="Arial"/>
              </w:rPr>
              <w:t>) - (</w:t>
            </w:r>
            <w:r>
              <w:rPr>
                <w:rFonts w:ascii="Arial" w:hAnsi="Arial" w:cs="Arial"/>
              </w:rPr>
              <w:t>1</w:t>
            </w:r>
            <w:r w:rsidRPr="005C266E">
              <w:rPr>
                <w:rFonts w:ascii="Arial" w:hAnsi="Arial" w:cs="Arial"/>
              </w:rPr>
              <w:t>)</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center"/>
              <w:rPr>
                <w:rFonts w:ascii="Arial" w:hAnsi="Arial" w:cs="Arial"/>
              </w:rPr>
            </w:pPr>
          </w:p>
        </w:tc>
        <w:tc>
          <w:tcPr>
            <w:tcW w:w="1710" w:type="dxa"/>
          </w:tcPr>
          <w:p w:rsidR="00B71E4E" w:rsidRPr="005C266E" w:rsidRDefault="00B71E4E" w:rsidP="00485BBB">
            <w:pPr>
              <w:jc w:val="center"/>
              <w:rPr>
                <w:rFonts w:ascii="Arial" w:hAnsi="Arial" w:cs="Arial"/>
              </w:rPr>
            </w:pPr>
          </w:p>
        </w:tc>
        <w:tc>
          <w:tcPr>
            <w:tcW w:w="1710" w:type="dxa"/>
          </w:tcPr>
          <w:p w:rsidR="00B71E4E" w:rsidRPr="005C266E" w:rsidRDefault="00B71E4E" w:rsidP="00485BBB">
            <w:pPr>
              <w:jc w:val="center"/>
              <w:rPr>
                <w:rFonts w:ascii="Arial" w:hAnsi="Arial" w:cs="Arial"/>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Residential</w:t>
            </w:r>
          </w:p>
        </w:tc>
        <w:tc>
          <w:tcPr>
            <w:tcW w:w="2070" w:type="dxa"/>
          </w:tcPr>
          <w:p w:rsidR="00B71E4E" w:rsidRPr="005C266E" w:rsidRDefault="00B71E4E" w:rsidP="00485BBB">
            <w:pPr>
              <w:jc w:val="right"/>
              <w:rPr>
                <w:rFonts w:ascii="Arial" w:hAnsi="Arial" w:cs="Arial"/>
              </w:rPr>
            </w:pPr>
            <w:r w:rsidRPr="005C266E">
              <w:rPr>
                <w:rFonts w:ascii="Arial" w:hAnsi="Arial" w:cs="Arial"/>
              </w:rPr>
              <w:t>$</w:t>
            </w:r>
            <w:r>
              <w:rPr>
                <w:rFonts w:ascii="Arial" w:hAnsi="Arial" w:cs="Arial"/>
              </w:rPr>
              <w:t xml:space="preserve">   87,812,863</w:t>
            </w:r>
          </w:p>
        </w:tc>
        <w:tc>
          <w:tcPr>
            <w:tcW w:w="1710" w:type="dxa"/>
          </w:tcPr>
          <w:p w:rsidR="00B71E4E" w:rsidRPr="005C266E" w:rsidRDefault="00B71E4E" w:rsidP="00485BBB">
            <w:pPr>
              <w:jc w:val="right"/>
              <w:rPr>
                <w:rFonts w:ascii="Arial" w:hAnsi="Arial" w:cs="Arial"/>
              </w:rPr>
            </w:pPr>
            <w:r w:rsidRPr="005C266E">
              <w:rPr>
                <w:rFonts w:ascii="Arial" w:hAnsi="Arial" w:cs="Arial"/>
              </w:rPr>
              <w:t>$</w:t>
            </w:r>
            <w:r>
              <w:rPr>
                <w:rFonts w:ascii="Arial" w:hAnsi="Arial" w:cs="Arial"/>
              </w:rPr>
              <w:t xml:space="preserve"> 97,883,660</w:t>
            </w:r>
          </w:p>
        </w:tc>
        <w:tc>
          <w:tcPr>
            <w:tcW w:w="1710" w:type="dxa"/>
          </w:tcPr>
          <w:p w:rsidR="00B71E4E" w:rsidRPr="005C266E" w:rsidRDefault="00B71E4E" w:rsidP="00485BBB">
            <w:pPr>
              <w:jc w:val="right"/>
              <w:rPr>
                <w:rFonts w:ascii="Arial" w:hAnsi="Arial" w:cs="Arial"/>
              </w:rPr>
            </w:pPr>
            <w:r w:rsidRPr="005C266E">
              <w:rPr>
                <w:rFonts w:ascii="Arial" w:hAnsi="Arial" w:cs="Arial"/>
              </w:rPr>
              <w:t>$</w:t>
            </w:r>
            <w:r>
              <w:rPr>
                <w:rFonts w:ascii="Arial" w:hAnsi="Arial" w:cs="Arial"/>
              </w:rPr>
              <w:t>10,070,796</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Commercial</w:t>
            </w:r>
          </w:p>
        </w:tc>
        <w:tc>
          <w:tcPr>
            <w:tcW w:w="2070" w:type="dxa"/>
          </w:tcPr>
          <w:p w:rsidR="00B71E4E" w:rsidRPr="005C266E" w:rsidRDefault="00B71E4E" w:rsidP="00485BBB">
            <w:pPr>
              <w:jc w:val="right"/>
              <w:rPr>
                <w:rFonts w:ascii="Arial" w:hAnsi="Arial" w:cs="Arial"/>
              </w:rPr>
            </w:pPr>
            <w:r>
              <w:rPr>
                <w:rFonts w:ascii="Arial" w:hAnsi="Arial" w:cs="Arial"/>
              </w:rPr>
              <w:t>22,136,369</w:t>
            </w:r>
          </w:p>
        </w:tc>
        <w:tc>
          <w:tcPr>
            <w:tcW w:w="1710" w:type="dxa"/>
          </w:tcPr>
          <w:p w:rsidR="00B71E4E" w:rsidRPr="005C266E" w:rsidRDefault="00B71E4E" w:rsidP="00485BBB">
            <w:pPr>
              <w:jc w:val="right"/>
              <w:rPr>
                <w:rFonts w:ascii="Arial" w:hAnsi="Arial" w:cs="Arial"/>
              </w:rPr>
            </w:pPr>
            <w:r>
              <w:rPr>
                <w:rFonts w:ascii="Arial" w:hAnsi="Arial" w:cs="Arial"/>
              </w:rPr>
              <w:t>48,646,897</w:t>
            </w:r>
          </w:p>
        </w:tc>
        <w:tc>
          <w:tcPr>
            <w:tcW w:w="1710" w:type="dxa"/>
          </w:tcPr>
          <w:p w:rsidR="00B71E4E" w:rsidRPr="005C266E" w:rsidRDefault="00B71E4E" w:rsidP="00485BBB">
            <w:pPr>
              <w:jc w:val="right"/>
              <w:rPr>
                <w:rFonts w:ascii="Arial" w:hAnsi="Arial" w:cs="Arial"/>
              </w:rPr>
            </w:pPr>
            <w:r>
              <w:rPr>
                <w:rFonts w:ascii="Arial" w:hAnsi="Arial" w:cs="Arial"/>
              </w:rPr>
              <w:t>26,510,527</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Industrial</w:t>
            </w:r>
          </w:p>
        </w:tc>
        <w:tc>
          <w:tcPr>
            <w:tcW w:w="2070" w:type="dxa"/>
          </w:tcPr>
          <w:p w:rsidR="00B71E4E" w:rsidRPr="005C266E" w:rsidRDefault="00B71E4E" w:rsidP="00485BBB">
            <w:pPr>
              <w:jc w:val="right"/>
              <w:rPr>
                <w:rFonts w:ascii="Arial" w:hAnsi="Arial" w:cs="Arial"/>
              </w:rPr>
            </w:pPr>
            <w:r>
              <w:rPr>
                <w:rFonts w:ascii="Arial" w:hAnsi="Arial" w:cs="Arial"/>
              </w:rPr>
              <w:t>31,670,149</w:t>
            </w:r>
          </w:p>
        </w:tc>
        <w:tc>
          <w:tcPr>
            <w:tcW w:w="1710" w:type="dxa"/>
          </w:tcPr>
          <w:p w:rsidR="00B71E4E" w:rsidRPr="005C266E" w:rsidRDefault="00B71E4E" w:rsidP="00485BBB">
            <w:pPr>
              <w:jc w:val="right"/>
              <w:rPr>
                <w:rFonts w:ascii="Arial" w:hAnsi="Arial" w:cs="Arial"/>
              </w:rPr>
            </w:pPr>
            <w:r>
              <w:rPr>
                <w:rFonts w:ascii="Arial" w:hAnsi="Arial" w:cs="Arial"/>
              </w:rPr>
              <w:t>63,894,182</w:t>
            </w:r>
          </w:p>
        </w:tc>
        <w:tc>
          <w:tcPr>
            <w:tcW w:w="1710" w:type="dxa"/>
          </w:tcPr>
          <w:p w:rsidR="00B71E4E" w:rsidRPr="005C266E" w:rsidRDefault="00B71E4E" w:rsidP="00485BBB">
            <w:pPr>
              <w:jc w:val="right"/>
              <w:rPr>
                <w:rFonts w:ascii="Arial" w:hAnsi="Arial" w:cs="Arial"/>
              </w:rPr>
            </w:pPr>
            <w:r>
              <w:rPr>
                <w:rFonts w:ascii="Arial" w:hAnsi="Arial" w:cs="Arial"/>
              </w:rPr>
              <w:t>32,224,032</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Street Lighting</w:t>
            </w:r>
          </w:p>
        </w:tc>
        <w:tc>
          <w:tcPr>
            <w:tcW w:w="2070" w:type="dxa"/>
          </w:tcPr>
          <w:p w:rsidR="00B71E4E" w:rsidRPr="001773E9" w:rsidRDefault="00B71E4E" w:rsidP="00485BBB">
            <w:pPr>
              <w:jc w:val="right"/>
              <w:rPr>
                <w:rFonts w:ascii="Arial" w:hAnsi="Arial" w:cs="Arial"/>
                <w:u w:val="single"/>
              </w:rPr>
            </w:pPr>
            <w:r>
              <w:rPr>
                <w:rFonts w:ascii="Arial" w:hAnsi="Arial" w:cs="Arial"/>
                <w:u w:val="single"/>
              </w:rPr>
              <w:t xml:space="preserve">      3,404,164</w:t>
            </w:r>
          </w:p>
        </w:tc>
        <w:tc>
          <w:tcPr>
            <w:tcW w:w="1710" w:type="dxa"/>
          </w:tcPr>
          <w:p w:rsidR="00B71E4E" w:rsidRPr="001773E9" w:rsidRDefault="00B71E4E" w:rsidP="00485BBB">
            <w:pPr>
              <w:jc w:val="right"/>
              <w:rPr>
                <w:rFonts w:ascii="Arial" w:hAnsi="Arial" w:cs="Arial"/>
                <w:u w:val="single"/>
              </w:rPr>
            </w:pPr>
            <w:r>
              <w:rPr>
                <w:rFonts w:ascii="Arial" w:hAnsi="Arial" w:cs="Arial"/>
                <w:u w:val="single"/>
              </w:rPr>
              <w:t xml:space="preserve">     3,715,440</w:t>
            </w:r>
          </w:p>
        </w:tc>
        <w:tc>
          <w:tcPr>
            <w:tcW w:w="1710" w:type="dxa"/>
          </w:tcPr>
          <w:p w:rsidR="00B71E4E" w:rsidRPr="001773E9" w:rsidRDefault="00B71E4E" w:rsidP="00485BBB">
            <w:pPr>
              <w:jc w:val="right"/>
              <w:rPr>
                <w:rFonts w:ascii="Arial" w:hAnsi="Arial" w:cs="Arial"/>
                <w:u w:val="single"/>
              </w:rPr>
            </w:pPr>
            <w:r>
              <w:rPr>
                <w:rFonts w:ascii="Arial" w:hAnsi="Arial" w:cs="Arial"/>
                <w:u w:val="single"/>
              </w:rPr>
              <w:t xml:space="preserve">       311,276</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c>
          <w:tcPr>
            <w:tcW w:w="1710" w:type="dxa"/>
          </w:tcPr>
          <w:p w:rsidR="00B71E4E" w:rsidRPr="005C266E" w:rsidRDefault="00B71E4E" w:rsidP="00485BBB">
            <w:pPr>
              <w:jc w:val="right"/>
              <w:rPr>
                <w:rFonts w:ascii="Arial" w:hAnsi="Arial" w:cs="Arial"/>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Total</w:t>
            </w:r>
          </w:p>
        </w:tc>
        <w:tc>
          <w:tcPr>
            <w:tcW w:w="207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 xml:space="preserve"> 145,023,546</w:t>
            </w:r>
          </w:p>
        </w:tc>
        <w:tc>
          <w:tcPr>
            <w:tcW w:w="171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214,140,178</w:t>
            </w:r>
          </w:p>
        </w:tc>
        <w:tc>
          <w:tcPr>
            <w:tcW w:w="171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69,116,632</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217A44" w:rsidRDefault="00B71E4E" w:rsidP="00485BBB">
            <w:pPr>
              <w:jc w:val="right"/>
              <w:rPr>
                <w:rFonts w:ascii="Arial" w:hAnsi="Arial" w:cs="Arial"/>
                <w:u w:val="double"/>
              </w:rPr>
            </w:pPr>
          </w:p>
        </w:tc>
        <w:tc>
          <w:tcPr>
            <w:tcW w:w="1710" w:type="dxa"/>
          </w:tcPr>
          <w:p w:rsidR="00B71E4E" w:rsidRPr="00217A44" w:rsidRDefault="00B71E4E" w:rsidP="00485BBB">
            <w:pPr>
              <w:jc w:val="right"/>
              <w:rPr>
                <w:rFonts w:ascii="Arial" w:hAnsi="Arial" w:cs="Arial"/>
                <w:u w:val="double"/>
              </w:rPr>
            </w:pPr>
          </w:p>
        </w:tc>
        <w:tc>
          <w:tcPr>
            <w:tcW w:w="1710" w:type="dxa"/>
          </w:tcPr>
          <w:p w:rsidR="00B71E4E" w:rsidRPr="00217A44" w:rsidRDefault="00B71E4E" w:rsidP="00485BBB">
            <w:pPr>
              <w:jc w:val="right"/>
              <w:rPr>
                <w:rFonts w:ascii="Arial" w:hAnsi="Arial" w:cs="Arial"/>
                <w:u w:val="double"/>
              </w:rPr>
            </w:pPr>
          </w:p>
        </w:tc>
      </w:tr>
      <w:tr w:rsidR="00B71E4E" w:rsidRPr="005C266E" w:rsidTr="00485BBB">
        <w:trPr>
          <w:jc w:val="center"/>
        </w:trPr>
        <w:tc>
          <w:tcPr>
            <w:tcW w:w="1800" w:type="dxa"/>
          </w:tcPr>
          <w:p w:rsidR="00B71E4E" w:rsidRPr="005C266E" w:rsidRDefault="00B71E4E" w:rsidP="00485BBB">
            <w:pPr>
              <w:jc w:val="center"/>
              <w:rPr>
                <w:rFonts w:ascii="Arial" w:hAnsi="Arial" w:cs="Arial"/>
              </w:rPr>
            </w:pPr>
            <w:r w:rsidRPr="005C266E">
              <w:rPr>
                <w:rFonts w:ascii="Arial" w:hAnsi="Arial" w:cs="Arial"/>
              </w:rPr>
              <w:t>Total w/ GRT</w:t>
            </w:r>
          </w:p>
        </w:tc>
        <w:tc>
          <w:tcPr>
            <w:tcW w:w="207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 xml:space="preserve"> 145,023,546</w:t>
            </w:r>
          </w:p>
        </w:tc>
        <w:tc>
          <w:tcPr>
            <w:tcW w:w="171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227,736,287</w:t>
            </w:r>
          </w:p>
        </w:tc>
        <w:tc>
          <w:tcPr>
            <w:tcW w:w="1710" w:type="dxa"/>
          </w:tcPr>
          <w:p w:rsidR="00B71E4E" w:rsidRPr="00217A44" w:rsidRDefault="00B71E4E" w:rsidP="00485BBB">
            <w:pPr>
              <w:jc w:val="right"/>
              <w:rPr>
                <w:rFonts w:ascii="Arial" w:hAnsi="Arial" w:cs="Arial"/>
                <w:u w:val="double"/>
              </w:rPr>
            </w:pPr>
            <w:r w:rsidRPr="00217A44">
              <w:rPr>
                <w:rFonts w:ascii="Arial" w:hAnsi="Arial" w:cs="Arial"/>
                <w:u w:val="double"/>
              </w:rPr>
              <w:t>$</w:t>
            </w:r>
            <w:r>
              <w:rPr>
                <w:rFonts w:ascii="Arial" w:hAnsi="Arial" w:cs="Arial"/>
                <w:u w:val="double"/>
              </w:rPr>
              <w:t>82,712,741</w:t>
            </w:r>
          </w:p>
        </w:tc>
      </w:tr>
      <w:tr w:rsidR="00B71E4E" w:rsidRPr="005C266E" w:rsidTr="00485BBB">
        <w:trPr>
          <w:jc w:val="center"/>
        </w:trPr>
        <w:tc>
          <w:tcPr>
            <w:tcW w:w="1800" w:type="dxa"/>
          </w:tcPr>
          <w:p w:rsidR="00B71E4E" w:rsidRPr="005C266E" w:rsidRDefault="00B71E4E" w:rsidP="00485BBB">
            <w:pPr>
              <w:jc w:val="center"/>
              <w:rPr>
                <w:rFonts w:ascii="Arial" w:hAnsi="Arial" w:cs="Arial"/>
              </w:rPr>
            </w:pPr>
          </w:p>
        </w:tc>
        <w:tc>
          <w:tcPr>
            <w:tcW w:w="2070" w:type="dxa"/>
          </w:tcPr>
          <w:p w:rsidR="00B71E4E" w:rsidRPr="005C266E" w:rsidRDefault="00B71E4E" w:rsidP="00485BBB">
            <w:pPr>
              <w:jc w:val="center"/>
              <w:rPr>
                <w:rFonts w:ascii="Arial" w:hAnsi="Arial" w:cs="Arial"/>
              </w:rPr>
            </w:pPr>
          </w:p>
        </w:tc>
        <w:tc>
          <w:tcPr>
            <w:tcW w:w="1710" w:type="dxa"/>
          </w:tcPr>
          <w:p w:rsidR="00B71E4E" w:rsidRPr="005C266E" w:rsidRDefault="00B71E4E" w:rsidP="00485BBB">
            <w:pPr>
              <w:jc w:val="center"/>
              <w:rPr>
                <w:rFonts w:ascii="Arial" w:hAnsi="Arial" w:cs="Arial"/>
              </w:rPr>
            </w:pPr>
          </w:p>
        </w:tc>
        <w:tc>
          <w:tcPr>
            <w:tcW w:w="1710" w:type="dxa"/>
          </w:tcPr>
          <w:p w:rsidR="00B71E4E" w:rsidRPr="005C266E" w:rsidRDefault="00B71E4E" w:rsidP="00485BBB">
            <w:pPr>
              <w:jc w:val="center"/>
              <w:rPr>
                <w:rFonts w:ascii="Arial" w:hAnsi="Arial" w:cs="Arial"/>
              </w:rPr>
            </w:pPr>
          </w:p>
        </w:tc>
      </w:tr>
    </w:tbl>
    <w:p w:rsidR="00B71E4E" w:rsidRPr="005C266E" w:rsidRDefault="00B71E4E" w:rsidP="00B71E4E">
      <w:pPr>
        <w:tabs>
          <w:tab w:val="left" w:pos="8280"/>
        </w:tabs>
        <w:rPr>
          <w:rFonts w:ascii="Arial" w:hAnsi="Arial" w:cs="Arial"/>
        </w:rPr>
      </w:pPr>
    </w:p>
    <w:p w:rsidR="00B71E4E" w:rsidRPr="005C266E" w:rsidRDefault="00B71E4E" w:rsidP="00B71E4E">
      <w:pPr>
        <w:tabs>
          <w:tab w:val="left" w:pos="8280"/>
        </w:tabs>
        <w:rPr>
          <w:rFonts w:ascii="Arial" w:hAnsi="Arial" w:cs="Arial"/>
        </w:rPr>
      </w:pPr>
    </w:p>
    <w:p w:rsidR="00B71E4E" w:rsidRPr="005C266E" w:rsidRDefault="00B71E4E" w:rsidP="00B71E4E">
      <w:pPr>
        <w:tabs>
          <w:tab w:val="left" w:pos="8280"/>
        </w:tabs>
        <w:rPr>
          <w:rFonts w:ascii="Arial" w:hAnsi="Arial" w:cs="Arial"/>
          <w:u w:val="single"/>
        </w:rPr>
      </w:pPr>
      <w:r w:rsidRPr="005C266E">
        <w:rPr>
          <w:rFonts w:ascii="Arial" w:hAnsi="Arial" w:cs="Arial"/>
          <w:u w:val="single"/>
        </w:rPr>
        <w:t>Notes:</w:t>
      </w:r>
    </w:p>
    <w:p w:rsidR="00B71E4E" w:rsidRPr="005C266E" w:rsidRDefault="00B71E4E" w:rsidP="00B71E4E">
      <w:pPr>
        <w:tabs>
          <w:tab w:val="left" w:pos="8280"/>
        </w:tabs>
        <w:rPr>
          <w:rFonts w:ascii="Arial" w:hAnsi="Arial" w:cs="Arial"/>
        </w:rPr>
      </w:pPr>
    </w:p>
    <w:p w:rsidR="00B71E4E" w:rsidRPr="005C266E" w:rsidRDefault="00B71E4E" w:rsidP="00B71E4E">
      <w:pPr>
        <w:numPr>
          <w:ilvl w:val="0"/>
          <w:numId w:val="1"/>
        </w:numPr>
        <w:tabs>
          <w:tab w:val="left" w:pos="720"/>
        </w:tabs>
        <w:rPr>
          <w:rFonts w:ascii="Arial" w:hAnsi="Arial" w:cs="Arial"/>
        </w:rPr>
      </w:pPr>
      <w:r w:rsidRPr="005C266E">
        <w:rPr>
          <w:rFonts w:ascii="Arial" w:hAnsi="Arial" w:cs="Arial"/>
        </w:rPr>
        <w:t>Exhibit is presented on a cumulative basis, as EEPC rates will not be adjusted until May 31, 2013 of the final plan year, per the approved tariff.</w:t>
      </w:r>
    </w:p>
    <w:p w:rsidR="00B71E4E" w:rsidRPr="005C266E" w:rsidRDefault="00B71E4E" w:rsidP="00B71E4E">
      <w:pPr>
        <w:tabs>
          <w:tab w:val="left" w:pos="8280"/>
        </w:tabs>
        <w:rPr>
          <w:rFonts w:ascii="Arial" w:hAnsi="Arial" w:cs="Arial"/>
        </w:rPr>
      </w:pPr>
    </w:p>
    <w:p w:rsidR="00B71E4E" w:rsidRDefault="00B71E4E" w:rsidP="00B71E4E">
      <w:pPr>
        <w:numPr>
          <w:ilvl w:val="0"/>
          <w:numId w:val="1"/>
        </w:numPr>
        <w:tabs>
          <w:tab w:val="left" w:pos="720"/>
        </w:tabs>
        <w:rPr>
          <w:rFonts w:ascii="Arial" w:hAnsi="Arial" w:cs="Arial"/>
        </w:rPr>
      </w:pPr>
      <w:r>
        <w:rPr>
          <w:rFonts w:ascii="Arial" w:hAnsi="Arial" w:cs="Arial"/>
        </w:rPr>
        <w:t>Includes costs accrued between October 2009 and December 2009.</w:t>
      </w:r>
    </w:p>
    <w:p w:rsidR="00B71E4E" w:rsidRDefault="00B71E4E" w:rsidP="00B71E4E">
      <w:pPr>
        <w:tabs>
          <w:tab w:val="left" w:pos="8280"/>
        </w:tabs>
        <w:rPr>
          <w:rFonts w:ascii="Arial" w:hAnsi="Arial" w:cs="Arial"/>
        </w:rPr>
      </w:pPr>
    </w:p>
    <w:p w:rsidR="00B71E4E" w:rsidRDefault="00B71E4E" w:rsidP="00B71E4E">
      <w:pPr>
        <w:numPr>
          <w:ilvl w:val="0"/>
          <w:numId w:val="1"/>
        </w:numPr>
        <w:tabs>
          <w:tab w:val="left" w:pos="720"/>
        </w:tabs>
        <w:rPr>
          <w:rFonts w:ascii="Arial" w:hAnsi="Arial" w:cs="Arial"/>
        </w:rPr>
      </w:pPr>
      <w:r>
        <w:rPr>
          <w:rFonts w:ascii="Arial" w:hAnsi="Arial" w:cs="Arial"/>
        </w:rPr>
        <w:t>I</w:t>
      </w:r>
      <w:r w:rsidRPr="005C266E">
        <w:rPr>
          <w:rFonts w:ascii="Arial" w:hAnsi="Arial" w:cs="Arial"/>
        </w:rPr>
        <w:t xml:space="preserve">nterest is not applicable </w:t>
      </w:r>
      <w:r>
        <w:rPr>
          <w:rFonts w:ascii="Arial" w:hAnsi="Arial" w:cs="Arial"/>
        </w:rPr>
        <w:t>per approved tariff</w:t>
      </w:r>
      <w:r w:rsidRPr="005C266E">
        <w:rPr>
          <w:rFonts w:ascii="Arial" w:hAnsi="Arial" w:cs="Arial"/>
        </w:rPr>
        <w:t>.</w:t>
      </w:r>
    </w:p>
    <w:p w:rsidR="00B71E4E" w:rsidRDefault="00B71E4E" w:rsidP="00B71E4E">
      <w:pPr>
        <w:tabs>
          <w:tab w:val="left" w:pos="8280"/>
        </w:tabs>
        <w:rPr>
          <w:rFonts w:ascii="Arial" w:hAnsi="Arial" w:cs="Arial"/>
        </w:rPr>
      </w:pPr>
    </w:p>
    <w:p w:rsidR="00B71E4E" w:rsidRPr="005C266E" w:rsidRDefault="00B71E4E" w:rsidP="00B71E4E">
      <w:pPr>
        <w:numPr>
          <w:ilvl w:val="0"/>
          <w:numId w:val="1"/>
        </w:numPr>
        <w:tabs>
          <w:tab w:val="left" w:pos="720"/>
        </w:tabs>
        <w:rPr>
          <w:rFonts w:ascii="Arial" w:hAnsi="Arial" w:cs="Arial"/>
        </w:rPr>
      </w:pPr>
      <w:r>
        <w:rPr>
          <w:rFonts w:ascii="Arial" w:hAnsi="Arial" w:cs="Arial"/>
        </w:rPr>
        <w:t>Arithmetical differences are due to rounding.</w:t>
      </w:r>
    </w:p>
    <w:p w:rsidR="00C04960" w:rsidRDefault="00C04960" w:rsidP="009F30DD"/>
    <w:sectPr w:rsidR="00C04960" w:rsidSect="005008B1">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94A" w:rsidRDefault="00B4694A">
      <w:r>
        <w:separator/>
      </w:r>
    </w:p>
  </w:endnote>
  <w:endnote w:type="continuationSeparator" w:id="0">
    <w:p w:rsidR="00B4694A" w:rsidRDefault="00B4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64137146"/>
      <w:docPartObj>
        <w:docPartGallery w:val="Page Numbers (Bottom of Page)"/>
        <w:docPartUnique/>
      </w:docPartObj>
    </w:sdtPr>
    <w:sdtEndPr>
      <w:rPr>
        <w:noProof/>
      </w:rPr>
    </w:sdtEndPr>
    <w:sdtContent>
      <w:p w:rsidR="0051351D" w:rsidRPr="0051351D" w:rsidRDefault="0051351D">
        <w:pPr>
          <w:pStyle w:val="Footer"/>
          <w:jc w:val="center"/>
          <w:rPr>
            <w:sz w:val="20"/>
            <w:szCs w:val="20"/>
          </w:rPr>
        </w:pPr>
        <w:r w:rsidRPr="0051351D">
          <w:rPr>
            <w:sz w:val="20"/>
            <w:szCs w:val="20"/>
          </w:rPr>
          <w:fldChar w:fldCharType="begin"/>
        </w:r>
        <w:r w:rsidRPr="0051351D">
          <w:rPr>
            <w:sz w:val="20"/>
            <w:szCs w:val="20"/>
          </w:rPr>
          <w:instrText xml:space="preserve"> PAGE   \* MERGEFORMAT </w:instrText>
        </w:r>
        <w:r w:rsidRPr="0051351D">
          <w:rPr>
            <w:sz w:val="20"/>
            <w:szCs w:val="20"/>
          </w:rPr>
          <w:fldChar w:fldCharType="separate"/>
        </w:r>
        <w:r>
          <w:rPr>
            <w:noProof/>
            <w:sz w:val="20"/>
            <w:szCs w:val="20"/>
          </w:rPr>
          <w:t>5</w:t>
        </w:r>
        <w:r w:rsidRPr="0051351D">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68562168"/>
      <w:docPartObj>
        <w:docPartGallery w:val="Page Numbers (Bottom of Page)"/>
        <w:docPartUnique/>
      </w:docPartObj>
    </w:sdtPr>
    <w:sdtEndPr>
      <w:rPr>
        <w:noProof/>
      </w:rPr>
    </w:sdtEndPr>
    <w:sdtContent>
      <w:p w:rsidR="0051351D" w:rsidRPr="0051351D" w:rsidRDefault="0051351D">
        <w:pPr>
          <w:pStyle w:val="Footer"/>
          <w:jc w:val="center"/>
          <w:rPr>
            <w:sz w:val="20"/>
            <w:szCs w:val="20"/>
          </w:rPr>
        </w:pPr>
        <w:r w:rsidRPr="0051351D">
          <w:rPr>
            <w:sz w:val="20"/>
            <w:szCs w:val="20"/>
          </w:rPr>
          <w:fldChar w:fldCharType="begin"/>
        </w:r>
        <w:r w:rsidRPr="0051351D">
          <w:rPr>
            <w:sz w:val="20"/>
            <w:szCs w:val="20"/>
          </w:rPr>
          <w:instrText xml:space="preserve"> PAGE   \* MERGEFORMAT </w:instrText>
        </w:r>
        <w:r w:rsidRPr="0051351D">
          <w:rPr>
            <w:sz w:val="20"/>
            <w:szCs w:val="20"/>
          </w:rPr>
          <w:fldChar w:fldCharType="separate"/>
        </w:r>
        <w:r>
          <w:rPr>
            <w:noProof/>
            <w:sz w:val="20"/>
            <w:szCs w:val="20"/>
          </w:rPr>
          <w:t>4</w:t>
        </w:r>
        <w:r w:rsidRPr="0051351D">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106315739"/>
      <w:docPartObj>
        <w:docPartGallery w:val="Page Numbers (Bottom of Page)"/>
        <w:docPartUnique/>
      </w:docPartObj>
    </w:sdtPr>
    <w:sdtEndPr>
      <w:rPr>
        <w:noProof/>
      </w:rPr>
    </w:sdtEndPr>
    <w:sdtContent>
      <w:p w:rsidR="00CE69C5" w:rsidRPr="00CE69C5" w:rsidRDefault="00CE69C5">
        <w:pPr>
          <w:pStyle w:val="Footer"/>
          <w:jc w:val="center"/>
          <w:rPr>
            <w:sz w:val="20"/>
            <w:szCs w:val="20"/>
          </w:rPr>
        </w:pPr>
        <w:r w:rsidRPr="00CE69C5">
          <w:rPr>
            <w:sz w:val="20"/>
            <w:szCs w:val="20"/>
          </w:rPr>
          <w:fldChar w:fldCharType="begin"/>
        </w:r>
        <w:r w:rsidRPr="00CE69C5">
          <w:rPr>
            <w:sz w:val="20"/>
            <w:szCs w:val="20"/>
          </w:rPr>
          <w:instrText xml:space="preserve"> PAGE   \* MERGEFORMAT </w:instrText>
        </w:r>
        <w:r w:rsidRPr="00CE69C5">
          <w:rPr>
            <w:sz w:val="20"/>
            <w:szCs w:val="20"/>
          </w:rPr>
          <w:fldChar w:fldCharType="separate"/>
        </w:r>
        <w:r w:rsidR="0051351D">
          <w:rPr>
            <w:noProof/>
            <w:sz w:val="20"/>
            <w:szCs w:val="20"/>
          </w:rPr>
          <w:t>2</w:t>
        </w:r>
        <w:r w:rsidRPr="00CE69C5">
          <w:rPr>
            <w:noProof/>
            <w:sz w:val="20"/>
            <w:szCs w:val="20"/>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51D" w:rsidRPr="00CE69C5" w:rsidRDefault="0051351D">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94A" w:rsidRDefault="00B4694A">
      <w:r>
        <w:separator/>
      </w:r>
    </w:p>
  </w:footnote>
  <w:footnote w:type="continuationSeparator" w:id="0">
    <w:p w:rsidR="00B4694A" w:rsidRDefault="00B46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E758F"/>
    <w:multiLevelType w:val="hybridMultilevel"/>
    <w:tmpl w:val="D6D0A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0DD"/>
    <w:rsid w:val="00001E3A"/>
    <w:rsid w:val="00001EF6"/>
    <w:rsid w:val="000028EA"/>
    <w:rsid w:val="00003D11"/>
    <w:rsid w:val="00004AA3"/>
    <w:rsid w:val="00005558"/>
    <w:rsid w:val="000079FE"/>
    <w:rsid w:val="00012104"/>
    <w:rsid w:val="00012655"/>
    <w:rsid w:val="0001305A"/>
    <w:rsid w:val="00016E55"/>
    <w:rsid w:val="00016FB1"/>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6944"/>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6EA"/>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0100"/>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351D"/>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332F"/>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30DD"/>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94A"/>
    <w:rsid w:val="00B475B6"/>
    <w:rsid w:val="00B55869"/>
    <w:rsid w:val="00B567F1"/>
    <w:rsid w:val="00B569FA"/>
    <w:rsid w:val="00B571D3"/>
    <w:rsid w:val="00B60E2D"/>
    <w:rsid w:val="00B635A5"/>
    <w:rsid w:val="00B63BE5"/>
    <w:rsid w:val="00B64CAA"/>
    <w:rsid w:val="00B66D36"/>
    <w:rsid w:val="00B71E4E"/>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2CA4"/>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72D"/>
    <w:rsid w:val="00BE5D1C"/>
    <w:rsid w:val="00BE701E"/>
    <w:rsid w:val="00BE7640"/>
    <w:rsid w:val="00BF0242"/>
    <w:rsid w:val="00BF0AE5"/>
    <w:rsid w:val="00BF144D"/>
    <w:rsid w:val="00BF214A"/>
    <w:rsid w:val="00BF377B"/>
    <w:rsid w:val="00BF3E1B"/>
    <w:rsid w:val="00BF635B"/>
    <w:rsid w:val="00BF7D51"/>
    <w:rsid w:val="00C00699"/>
    <w:rsid w:val="00C018F8"/>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69C5"/>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292"/>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DD"/>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30DD"/>
    <w:pPr>
      <w:tabs>
        <w:tab w:val="center" w:pos="4680"/>
        <w:tab w:val="right" w:pos="9360"/>
      </w:tabs>
    </w:pPr>
  </w:style>
  <w:style w:type="character" w:customStyle="1" w:styleId="FooterChar">
    <w:name w:val="Footer Char"/>
    <w:basedOn w:val="DefaultParagraphFont"/>
    <w:link w:val="Footer"/>
    <w:uiPriority w:val="99"/>
    <w:rsid w:val="009F30DD"/>
    <w:rPr>
      <w:rFonts w:eastAsia="Times New Roman"/>
    </w:rPr>
  </w:style>
  <w:style w:type="paragraph" w:styleId="BalloonText">
    <w:name w:val="Balloon Text"/>
    <w:basedOn w:val="Normal"/>
    <w:link w:val="BalloonTextChar"/>
    <w:uiPriority w:val="99"/>
    <w:semiHidden/>
    <w:unhideWhenUsed/>
    <w:rsid w:val="0068332F"/>
    <w:rPr>
      <w:rFonts w:ascii="Tahoma" w:hAnsi="Tahoma" w:cs="Tahoma"/>
      <w:sz w:val="16"/>
      <w:szCs w:val="16"/>
    </w:rPr>
  </w:style>
  <w:style w:type="character" w:customStyle="1" w:styleId="BalloonTextChar">
    <w:name w:val="Balloon Text Char"/>
    <w:basedOn w:val="DefaultParagraphFont"/>
    <w:link w:val="BalloonText"/>
    <w:uiPriority w:val="99"/>
    <w:semiHidden/>
    <w:rsid w:val="0068332F"/>
    <w:rPr>
      <w:rFonts w:ascii="Tahoma" w:eastAsia="Times New Roman" w:hAnsi="Tahoma" w:cs="Tahoma"/>
      <w:sz w:val="16"/>
      <w:szCs w:val="16"/>
    </w:rPr>
  </w:style>
  <w:style w:type="paragraph" w:styleId="Header">
    <w:name w:val="header"/>
    <w:basedOn w:val="Normal"/>
    <w:link w:val="HeaderChar"/>
    <w:uiPriority w:val="99"/>
    <w:unhideWhenUsed/>
    <w:rsid w:val="00CE69C5"/>
    <w:pPr>
      <w:tabs>
        <w:tab w:val="center" w:pos="4680"/>
        <w:tab w:val="right" w:pos="9360"/>
      </w:tabs>
    </w:pPr>
  </w:style>
  <w:style w:type="character" w:customStyle="1" w:styleId="HeaderChar">
    <w:name w:val="Header Char"/>
    <w:basedOn w:val="DefaultParagraphFont"/>
    <w:link w:val="Header"/>
    <w:uiPriority w:val="99"/>
    <w:rsid w:val="00CE69C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DD"/>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30DD"/>
    <w:pPr>
      <w:tabs>
        <w:tab w:val="center" w:pos="4680"/>
        <w:tab w:val="right" w:pos="9360"/>
      </w:tabs>
    </w:pPr>
  </w:style>
  <w:style w:type="character" w:customStyle="1" w:styleId="FooterChar">
    <w:name w:val="Footer Char"/>
    <w:basedOn w:val="DefaultParagraphFont"/>
    <w:link w:val="Footer"/>
    <w:uiPriority w:val="99"/>
    <w:rsid w:val="009F30DD"/>
    <w:rPr>
      <w:rFonts w:eastAsia="Times New Roman"/>
    </w:rPr>
  </w:style>
  <w:style w:type="paragraph" w:styleId="BalloonText">
    <w:name w:val="Balloon Text"/>
    <w:basedOn w:val="Normal"/>
    <w:link w:val="BalloonTextChar"/>
    <w:uiPriority w:val="99"/>
    <w:semiHidden/>
    <w:unhideWhenUsed/>
    <w:rsid w:val="0068332F"/>
    <w:rPr>
      <w:rFonts w:ascii="Tahoma" w:hAnsi="Tahoma" w:cs="Tahoma"/>
      <w:sz w:val="16"/>
      <w:szCs w:val="16"/>
    </w:rPr>
  </w:style>
  <w:style w:type="character" w:customStyle="1" w:styleId="BalloonTextChar">
    <w:name w:val="Balloon Text Char"/>
    <w:basedOn w:val="DefaultParagraphFont"/>
    <w:link w:val="BalloonText"/>
    <w:uiPriority w:val="99"/>
    <w:semiHidden/>
    <w:rsid w:val="0068332F"/>
    <w:rPr>
      <w:rFonts w:ascii="Tahoma" w:eastAsia="Times New Roman" w:hAnsi="Tahoma" w:cs="Tahoma"/>
      <w:sz w:val="16"/>
      <w:szCs w:val="16"/>
    </w:rPr>
  </w:style>
  <w:style w:type="paragraph" w:styleId="Header">
    <w:name w:val="header"/>
    <w:basedOn w:val="Normal"/>
    <w:link w:val="HeaderChar"/>
    <w:uiPriority w:val="99"/>
    <w:unhideWhenUsed/>
    <w:rsid w:val="00CE69C5"/>
    <w:pPr>
      <w:tabs>
        <w:tab w:val="center" w:pos="4680"/>
        <w:tab w:val="right" w:pos="9360"/>
      </w:tabs>
    </w:pPr>
  </w:style>
  <w:style w:type="character" w:customStyle="1" w:styleId="HeaderChar">
    <w:name w:val="Header Char"/>
    <w:basedOn w:val="DefaultParagraphFont"/>
    <w:link w:val="Header"/>
    <w:uiPriority w:val="99"/>
    <w:rsid w:val="00CE69C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2012-09-11T12:59:00Z</cp:lastPrinted>
  <dcterms:created xsi:type="dcterms:W3CDTF">2012-09-11T13:02:00Z</dcterms:created>
  <dcterms:modified xsi:type="dcterms:W3CDTF">2012-09-11T13:02:00Z</dcterms:modified>
</cp:coreProperties>
</file>