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bookmarkStart w:id="0" w:name="_GoBack"/>
      <w:bookmarkEnd w:id="0"/>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1447EC"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Kathleen Gunsser</w:t>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1447EC">
        <w:rPr>
          <w:rFonts w:ascii="Times New Roman" w:hAnsi="Times New Roman" w:cs="Times New Roman"/>
          <w:spacing w:val="-3"/>
        </w:rPr>
        <w:t>F-2012-2305058</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1447EC"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B46E13">
        <w:rPr>
          <w:rFonts w:ascii="Times New Roman" w:hAnsi="Times New Roman" w:cs="Times New Roman"/>
          <w:spacing w:val="-3"/>
        </w:rPr>
        <w:tab/>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 xml:space="preserve">Telephonic </w:t>
      </w:r>
      <w:r w:rsidR="00C2558F">
        <w:rPr>
          <w:rFonts w:ascii="Times New Roman" w:hAnsi="Times New Roman"/>
        </w:rPr>
        <w:t xml:space="preserve">Hearing Notice dated </w:t>
      </w:r>
      <w:r w:rsidR="00F27A21">
        <w:rPr>
          <w:rFonts w:ascii="Times New Roman" w:hAnsi="Times New Roman"/>
        </w:rPr>
        <w:t>September 6</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F27A21">
        <w:rPr>
          <w:rFonts w:ascii="Times New Roman" w:hAnsi="Times New Roman"/>
        </w:rPr>
        <w:t>Monday, October 29</w:t>
      </w:r>
      <w:r w:rsidR="00B85488">
        <w:rPr>
          <w:rFonts w:ascii="Times New Roman" w:hAnsi="Times New Roman"/>
        </w:rPr>
        <w:t>, 2012</w:t>
      </w:r>
      <w:r w:rsidR="00E60F37">
        <w:rPr>
          <w:rFonts w:ascii="Times New Roman" w:hAnsi="Times New Roman"/>
        </w:rPr>
        <w:t xml:space="preserve">, at </w:t>
      </w:r>
      <w:r w:rsidR="00A462E1">
        <w:rPr>
          <w:rFonts w:ascii="Times New Roman" w:hAnsi="Times New Roman"/>
        </w:rPr>
        <w:t>10:00 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462E1">
        <w:rPr>
          <w:rFonts w:ascii="Times New Roman" w:hAnsi="Times New Roman"/>
        </w:rPr>
        <w:t>10:00 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69264F"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69264F"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9</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69264F"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10</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11</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lastRenderedPageBreak/>
        <w:t>1</w:t>
      </w:r>
      <w:r w:rsidR="0069264F">
        <w:rPr>
          <w:rFonts w:ascii="Times New Roman" w:hAnsi="Times New Roman" w:cs="Times New Roman"/>
          <w:spacing w:val="-3"/>
        </w:rPr>
        <w:t>2</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F27A21">
        <w:rPr>
          <w:rFonts w:ascii="Times New Roman" w:hAnsi="Times New Roman" w:cs="Times New Roman"/>
          <w:spacing w:val="-3"/>
          <w:u w:val="single"/>
        </w:rPr>
        <w:t>September 12</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85D" w:rsidRDefault="00E7185D">
      <w:pPr>
        <w:spacing w:line="20" w:lineRule="exact"/>
        <w:rPr>
          <w:sz w:val="20"/>
          <w:szCs w:val="20"/>
        </w:rPr>
      </w:pPr>
    </w:p>
  </w:endnote>
  <w:endnote w:type="continuationSeparator" w:id="0">
    <w:p w:rsidR="00E7185D" w:rsidRDefault="00E7185D">
      <w:pPr>
        <w:pStyle w:val="ParaTab1"/>
        <w:rPr>
          <w:sz w:val="20"/>
          <w:szCs w:val="20"/>
        </w:rPr>
      </w:pPr>
      <w:r>
        <w:rPr>
          <w:sz w:val="20"/>
          <w:szCs w:val="20"/>
        </w:rPr>
        <w:t xml:space="preserve"> </w:t>
      </w:r>
    </w:p>
  </w:endnote>
  <w:endnote w:type="continuationNotice" w:id="1">
    <w:p w:rsidR="00E7185D" w:rsidRDefault="00E7185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170937">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85D" w:rsidRDefault="00E7185D">
      <w:pPr>
        <w:pStyle w:val="ParaTab1"/>
        <w:rPr>
          <w:sz w:val="20"/>
          <w:szCs w:val="20"/>
        </w:rPr>
      </w:pPr>
      <w:r>
        <w:rPr>
          <w:sz w:val="20"/>
          <w:szCs w:val="20"/>
        </w:rPr>
        <w:separator/>
      </w:r>
    </w:p>
  </w:footnote>
  <w:footnote w:type="continuationSeparator" w:id="0">
    <w:p w:rsidR="00E7185D" w:rsidRDefault="00E7185D">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10A7"/>
    <w:rsid w:val="001447EC"/>
    <w:rsid w:val="00145617"/>
    <w:rsid w:val="00150A55"/>
    <w:rsid w:val="001545A6"/>
    <w:rsid w:val="00155746"/>
    <w:rsid w:val="0015688E"/>
    <w:rsid w:val="00166348"/>
    <w:rsid w:val="00170937"/>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E5DF7"/>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52E"/>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6DE9"/>
    <w:rsid w:val="004F7B16"/>
    <w:rsid w:val="00503931"/>
    <w:rsid w:val="00506D69"/>
    <w:rsid w:val="00511F84"/>
    <w:rsid w:val="005120AF"/>
    <w:rsid w:val="00513E70"/>
    <w:rsid w:val="00514DF4"/>
    <w:rsid w:val="00515BEF"/>
    <w:rsid w:val="0052020F"/>
    <w:rsid w:val="005211C3"/>
    <w:rsid w:val="00522445"/>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9452C"/>
    <w:rsid w:val="00AA3EF2"/>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2AF1"/>
    <w:rsid w:val="00CE52C1"/>
    <w:rsid w:val="00CE6E48"/>
    <w:rsid w:val="00CE7B0E"/>
    <w:rsid w:val="00CF5A83"/>
    <w:rsid w:val="00D00C91"/>
    <w:rsid w:val="00D02DA3"/>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185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27A21"/>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5845</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2012-05-24T15:10:00Z</cp:lastPrinted>
  <dcterms:created xsi:type="dcterms:W3CDTF">2012-09-12T18:49:00Z</dcterms:created>
  <dcterms:modified xsi:type="dcterms:W3CDTF">2012-09-12T18:49:00Z</dcterms:modified>
</cp:coreProperties>
</file>