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90117B" w:rsidP="0090117B">
      <w:pPr>
        <w:jc w:val="center"/>
        <w:rPr>
          <w:b/>
        </w:rPr>
      </w:pPr>
      <w:bookmarkStart w:id="0" w:name="_GoBack"/>
      <w:bookmarkEnd w:id="0"/>
      <w:r>
        <w:rPr>
          <w:b/>
        </w:rPr>
        <w:t>BEFORE THE</w:t>
      </w:r>
    </w:p>
    <w:p w:rsidR="0090117B" w:rsidRDefault="0090117B" w:rsidP="0090117B">
      <w:pPr>
        <w:jc w:val="center"/>
      </w:pPr>
      <w:r>
        <w:rPr>
          <w:b/>
        </w:rPr>
        <w:t>PENNSYLVANIA PUBLIC UTILITY COMMISSION</w:t>
      </w:r>
    </w:p>
    <w:p w:rsidR="0090117B" w:rsidRDefault="0090117B" w:rsidP="0090117B"/>
    <w:p w:rsidR="0090117B" w:rsidRDefault="0090117B" w:rsidP="0090117B"/>
    <w:p w:rsidR="0090117B" w:rsidRDefault="0090117B" w:rsidP="0090117B"/>
    <w:p w:rsidR="0090117B" w:rsidRDefault="0090117B" w:rsidP="0090117B">
      <w:r>
        <w:t>Raymond E. Anderson</w:t>
      </w:r>
      <w:r>
        <w:tab/>
      </w:r>
      <w:r>
        <w:tab/>
      </w:r>
      <w:r>
        <w:tab/>
      </w:r>
      <w:r>
        <w:tab/>
        <w:t>:</w:t>
      </w:r>
    </w:p>
    <w:p w:rsidR="0090117B" w:rsidRDefault="0090117B" w:rsidP="0090117B">
      <w:r>
        <w:tab/>
      </w:r>
      <w:r>
        <w:tab/>
      </w:r>
      <w:r>
        <w:tab/>
      </w:r>
      <w:r>
        <w:tab/>
      </w:r>
      <w:r>
        <w:tab/>
      </w:r>
      <w:r>
        <w:tab/>
      </w:r>
      <w:r>
        <w:tab/>
        <w:t>:</w:t>
      </w:r>
    </w:p>
    <w:p w:rsidR="0090117B" w:rsidRDefault="0090117B" w:rsidP="0090117B">
      <w:r>
        <w:tab/>
        <w:t>v.</w:t>
      </w:r>
      <w:r>
        <w:tab/>
      </w:r>
      <w:r>
        <w:tab/>
      </w:r>
      <w:r>
        <w:tab/>
      </w:r>
      <w:r>
        <w:tab/>
      </w:r>
      <w:r>
        <w:tab/>
      </w:r>
      <w:r>
        <w:tab/>
        <w:t>:</w:t>
      </w:r>
      <w:r>
        <w:tab/>
      </w:r>
      <w:r>
        <w:tab/>
        <w:t>C-2012-2299593</w:t>
      </w:r>
    </w:p>
    <w:p w:rsidR="0090117B" w:rsidRDefault="0090117B" w:rsidP="0090117B">
      <w:r>
        <w:tab/>
      </w:r>
      <w:r>
        <w:tab/>
      </w:r>
      <w:r>
        <w:tab/>
      </w:r>
      <w:r>
        <w:tab/>
      </w:r>
      <w:r>
        <w:tab/>
      </w:r>
      <w:r>
        <w:tab/>
      </w:r>
      <w:r>
        <w:tab/>
        <w:t>:</w:t>
      </w:r>
    </w:p>
    <w:p w:rsidR="0090117B" w:rsidRDefault="0090117B" w:rsidP="0090117B">
      <w:r>
        <w:t>Duquesne Light Company</w:t>
      </w:r>
      <w:r>
        <w:tab/>
      </w:r>
      <w:r>
        <w:tab/>
      </w:r>
      <w:r>
        <w:tab/>
      </w:r>
      <w:r>
        <w:tab/>
        <w:t>:</w:t>
      </w:r>
    </w:p>
    <w:p w:rsidR="0090117B" w:rsidRDefault="0090117B" w:rsidP="0090117B"/>
    <w:p w:rsidR="0090117B" w:rsidRDefault="0090117B" w:rsidP="0090117B"/>
    <w:p w:rsidR="0090117B" w:rsidRDefault="0090117B" w:rsidP="0090117B"/>
    <w:p w:rsidR="0090117B" w:rsidRDefault="0090117B" w:rsidP="0090117B">
      <w:pPr>
        <w:jc w:val="center"/>
      </w:pPr>
      <w:r>
        <w:rPr>
          <w:b/>
          <w:u w:val="single"/>
        </w:rPr>
        <w:t>INITIAL DECISION</w:t>
      </w:r>
    </w:p>
    <w:p w:rsidR="0090117B" w:rsidRDefault="0090117B" w:rsidP="0090117B">
      <w:pPr>
        <w:jc w:val="center"/>
      </w:pPr>
    </w:p>
    <w:p w:rsidR="0090117B" w:rsidRDefault="0090117B" w:rsidP="0090117B">
      <w:pPr>
        <w:jc w:val="center"/>
      </w:pPr>
    </w:p>
    <w:p w:rsidR="0090117B" w:rsidRDefault="0090117B" w:rsidP="0090117B">
      <w:pPr>
        <w:jc w:val="center"/>
      </w:pPr>
      <w:r>
        <w:t>Before</w:t>
      </w:r>
    </w:p>
    <w:p w:rsidR="0090117B" w:rsidRDefault="0090117B" w:rsidP="0090117B">
      <w:pPr>
        <w:jc w:val="center"/>
      </w:pPr>
      <w:r>
        <w:t>John H. Corbett, Jr.</w:t>
      </w:r>
    </w:p>
    <w:p w:rsidR="0090117B" w:rsidRDefault="0090117B" w:rsidP="0090117B">
      <w:pPr>
        <w:jc w:val="center"/>
      </w:pPr>
      <w:r>
        <w:t>Administrative Law Judge</w:t>
      </w:r>
    </w:p>
    <w:p w:rsidR="0090117B" w:rsidRDefault="0090117B" w:rsidP="0090117B">
      <w:pPr>
        <w:jc w:val="center"/>
      </w:pPr>
    </w:p>
    <w:p w:rsidR="0090117B" w:rsidRDefault="0090117B" w:rsidP="0090117B">
      <w:pPr>
        <w:jc w:val="center"/>
      </w:pPr>
    </w:p>
    <w:p w:rsidR="0090117B" w:rsidRDefault="0090117B" w:rsidP="0090117B">
      <w:pPr>
        <w:jc w:val="center"/>
      </w:pPr>
      <w:r>
        <w:rPr>
          <w:u w:val="single"/>
        </w:rPr>
        <w:t>HISTORY OF THE PROCEEDING</w:t>
      </w:r>
    </w:p>
    <w:p w:rsidR="0090117B" w:rsidRDefault="0090117B" w:rsidP="0090117B"/>
    <w:p w:rsidR="0090117B" w:rsidRDefault="0090117B" w:rsidP="0090117B"/>
    <w:p w:rsidR="0090117B" w:rsidRDefault="00482494" w:rsidP="0090117B">
      <w:pPr>
        <w:spacing w:line="360" w:lineRule="auto"/>
      </w:pPr>
      <w:r>
        <w:tab/>
      </w:r>
      <w:r>
        <w:tab/>
        <w:t xml:space="preserve">On April 16, 2012, Raymond E. Anderson (“Complainant”) filed a formal complaint with the Pennsylvania Public Utility Commission (“Commission”) alleging personnel </w:t>
      </w:r>
      <w:r w:rsidR="00A0325B">
        <w:t xml:space="preserve">from </w:t>
      </w:r>
      <w:r>
        <w:t xml:space="preserve">Duquesne Light Company </w:t>
      </w:r>
      <w:r w:rsidR="00A0325B">
        <w:t>(“Respondent” or “Duquesne Light”) trespass on his property to conduct maintenance and line clearance activities on its facilities located in a right</w:t>
      </w:r>
      <w:r w:rsidR="00DC581D">
        <w:t xml:space="preserve">-of-way on property owned by a </w:t>
      </w:r>
      <w:r w:rsidR="00A0325B">
        <w:t>neighbor.</w:t>
      </w:r>
      <w:r w:rsidR="00025AA4">
        <w:t xml:space="preserve">  For relief, he asks that Duquesne Light be directed to not trespass on his property.  Respondent answered the complaint on May 9, 2012</w:t>
      </w:r>
      <w:r w:rsidR="0018673F">
        <w:t xml:space="preserve"> asserting it has a right to enter the property burdened by its facilities pursuant to a right-of-way agreement and alternatively, it has an easement by prescription by virtue of having its facilities on the property and accessing the property for maintenance and repairs</w:t>
      </w:r>
      <w:r w:rsidR="00D6277F">
        <w:t xml:space="preserve"> for nearly 60 years.</w:t>
      </w:r>
    </w:p>
    <w:p w:rsidR="00D6277F" w:rsidRDefault="00D6277F" w:rsidP="0090117B">
      <w:pPr>
        <w:spacing w:line="360" w:lineRule="auto"/>
      </w:pPr>
    </w:p>
    <w:p w:rsidR="00ED7009" w:rsidRDefault="00D6277F" w:rsidP="0090117B">
      <w:pPr>
        <w:spacing w:line="360" w:lineRule="auto"/>
      </w:pPr>
      <w:r>
        <w:tab/>
      </w:r>
      <w:r>
        <w:tab/>
      </w:r>
      <w:r w:rsidR="00A54091">
        <w:t>I received this case assignment on June 4, 2012.  A standard Prehearing Order was issued on</w:t>
      </w:r>
      <w:r w:rsidR="00865ACF">
        <w:t xml:space="preserve"> June 5, 2012.</w:t>
      </w:r>
      <w:r w:rsidR="000C3E81">
        <w:t xml:space="preserve">  On July 11, 2012, an Interim Order was issued without objection granting Respondent’s motion for a continuance of the July 12, 2012 telephonic hearing in order to give the parties an opportunity to further discuss settlement.</w:t>
      </w:r>
      <w:r w:rsidR="00ED7009">
        <w:t xml:space="preserve">  This case was then rescheduled for a telephonic hearing on September 5, 2012.</w:t>
      </w:r>
    </w:p>
    <w:p w:rsidR="00ED7009" w:rsidRDefault="00ED7009" w:rsidP="0090117B">
      <w:pPr>
        <w:spacing w:line="360" w:lineRule="auto"/>
      </w:pPr>
      <w:r>
        <w:lastRenderedPageBreak/>
        <w:tab/>
      </w:r>
      <w:r>
        <w:tab/>
        <w:t xml:space="preserve">On this latter date, a telephonic hearing convened and Complainant appeared </w:t>
      </w:r>
      <w:r>
        <w:rPr>
          <w:i/>
        </w:rPr>
        <w:t>pro se</w:t>
      </w:r>
      <w:r>
        <w:t xml:space="preserve">.  Jennifer L. Allison, Esq. represented Respondent.  Complainant submitted one exhibit that was admitted into the record.  </w:t>
      </w:r>
      <w:r w:rsidR="00EF4A44">
        <w:t>Neither party filed a brief.  At the conclusion of Complainant’s case-in-chief, Respondent’s counsel moved to dismiss the complaint for lack of subject matter jurisdiction.  This decision memorializes my ruling at the hearing granting the motion.</w:t>
      </w:r>
    </w:p>
    <w:p w:rsidR="000F16F6" w:rsidRDefault="000F16F6" w:rsidP="0090117B">
      <w:pPr>
        <w:spacing w:line="360" w:lineRule="auto"/>
      </w:pPr>
    </w:p>
    <w:p w:rsidR="000F16F6" w:rsidRDefault="000F16F6" w:rsidP="000F16F6">
      <w:pPr>
        <w:spacing w:line="360" w:lineRule="auto"/>
        <w:jc w:val="center"/>
      </w:pPr>
      <w:r>
        <w:rPr>
          <w:u w:val="single"/>
        </w:rPr>
        <w:t>FINDINGS OF FACT</w:t>
      </w:r>
    </w:p>
    <w:p w:rsidR="000F16F6" w:rsidRDefault="000F16F6" w:rsidP="000F16F6">
      <w:pPr>
        <w:spacing w:line="360" w:lineRule="auto"/>
      </w:pPr>
    </w:p>
    <w:p w:rsidR="000F16F6" w:rsidRDefault="00B82B98" w:rsidP="00B82B98">
      <w:pPr>
        <w:pStyle w:val="ListParagraph"/>
        <w:numPr>
          <w:ilvl w:val="0"/>
          <w:numId w:val="1"/>
        </w:numPr>
        <w:spacing w:line="360" w:lineRule="auto"/>
        <w:ind w:left="0" w:firstLine="1440"/>
      </w:pPr>
      <w:r>
        <w:t>Complainant, Raymond E. Anderson, resides at 2423 Rihn Strasse, Gibsonia, Pennsylvania 15044.</w:t>
      </w:r>
    </w:p>
    <w:p w:rsidR="00B82B98" w:rsidRDefault="00B82B98" w:rsidP="00B82B98">
      <w:pPr>
        <w:pStyle w:val="ListParagraph"/>
        <w:spacing w:line="360" w:lineRule="auto"/>
        <w:ind w:left="1440"/>
      </w:pPr>
    </w:p>
    <w:p w:rsidR="00B82B98" w:rsidRDefault="00B82B98" w:rsidP="00B82B98">
      <w:pPr>
        <w:pStyle w:val="ListParagraph"/>
        <w:numPr>
          <w:ilvl w:val="0"/>
          <w:numId w:val="1"/>
        </w:numPr>
        <w:spacing w:line="360" w:lineRule="auto"/>
        <w:ind w:left="0" w:firstLine="1440"/>
      </w:pPr>
      <w:r>
        <w:t>Respondent, Duquesne Light Company,</w:t>
      </w:r>
      <w:r w:rsidR="001F4259">
        <w:t xml:space="preserve"> provides residential electric</w:t>
      </w:r>
      <w:r>
        <w:t xml:space="preserve"> service to Complainant at the foregoing location.</w:t>
      </w:r>
    </w:p>
    <w:p w:rsidR="00B82B98" w:rsidRDefault="00B82B98" w:rsidP="00B82B98">
      <w:pPr>
        <w:pStyle w:val="ListParagraph"/>
      </w:pPr>
    </w:p>
    <w:p w:rsidR="00B82B98" w:rsidRDefault="00E01141" w:rsidP="00B82B98">
      <w:pPr>
        <w:pStyle w:val="ListParagraph"/>
        <w:numPr>
          <w:ilvl w:val="0"/>
          <w:numId w:val="1"/>
        </w:numPr>
        <w:spacing w:line="360" w:lineRule="auto"/>
        <w:ind w:left="0" w:firstLine="1440"/>
      </w:pPr>
      <w:r>
        <w:t>Complainant has lived at 2423 Rihn Strasse since 1978.</w:t>
      </w:r>
    </w:p>
    <w:p w:rsidR="00E01141" w:rsidRDefault="00E01141" w:rsidP="00E01141">
      <w:pPr>
        <w:pStyle w:val="ListParagraph"/>
      </w:pPr>
    </w:p>
    <w:p w:rsidR="00E01141" w:rsidRDefault="00E01141" w:rsidP="00B82B98">
      <w:pPr>
        <w:pStyle w:val="ListParagraph"/>
        <w:numPr>
          <w:ilvl w:val="0"/>
          <w:numId w:val="1"/>
        </w:numPr>
        <w:spacing w:line="360" w:lineRule="auto"/>
        <w:ind w:left="0" w:firstLine="1440"/>
      </w:pPr>
      <w:r>
        <w:t>In 1999, Complainant purchased 4.3 acres of property from a neighbor.</w:t>
      </w:r>
    </w:p>
    <w:p w:rsidR="00E01141" w:rsidRDefault="00E01141" w:rsidP="00E01141">
      <w:pPr>
        <w:pStyle w:val="ListParagraph"/>
      </w:pPr>
    </w:p>
    <w:p w:rsidR="00E01141" w:rsidRDefault="00FB006F" w:rsidP="00B82B98">
      <w:pPr>
        <w:pStyle w:val="ListParagraph"/>
        <w:numPr>
          <w:ilvl w:val="0"/>
          <w:numId w:val="1"/>
        </w:numPr>
        <w:spacing w:line="360" w:lineRule="auto"/>
        <w:ind w:left="0" w:firstLine="1440"/>
      </w:pPr>
      <w:r>
        <w:t xml:space="preserve">Over the years and as recently as a year or two ago, </w:t>
      </w:r>
      <w:r w:rsidR="00E01141">
        <w:t xml:space="preserve">Complainant claims Duquesne Light personnel </w:t>
      </w:r>
      <w:r>
        <w:t xml:space="preserve">have </w:t>
      </w:r>
      <w:r w:rsidR="00E01141">
        <w:t>trespass</w:t>
      </w:r>
      <w:r>
        <w:t>ed</w:t>
      </w:r>
      <w:r w:rsidR="00E01141">
        <w:t xml:space="preserve"> on his 4.3 acres in order to access a right-of-way on his neighbor’s property where </w:t>
      </w:r>
      <w:r>
        <w:t xml:space="preserve">it engages in maintenance and line clearance for </w:t>
      </w:r>
      <w:r w:rsidR="00E01141">
        <w:t xml:space="preserve">four </w:t>
      </w:r>
      <w:r>
        <w:t>of its poles and related facilities.</w:t>
      </w:r>
    </w:p>
    <w:p w:rsidR="00FB006F" w:rsidRDefault="00FB006F" w:rsidP="00FB006F">
      <w:pPr>
        <w:pStyle w:val="ListParagraph"/>
      </w:pPr>
    </w:p>
    <w:p w:rsidR="00FB006F" w:rsidRDefault="00FB006F" w:rsidP="00B82B98">
      <w:pPr>
        <w:pStyle w:val="ListParagraph"/>
        <w:numPr>
          <w:ilvl w:val="0"/>
          <w:numId w:val="1"/>
        </w:numPr>
        <w:spacing w:line="360" w:lineRule="auto"/>
        <w:ind w:left="0" w:firstLine="1440"/>
      </w:pPr>
      <w:r>
        <w:t xml:space="preserve">Duquesne Light </w:t>
      </w:r>
      <w:r w:rsidR="00D237CB">
        <w:t xml:space="preserve">avers </w:t>
      </w:r>
      <w:r>
        <w:t xml:space="preserve">it has an easement </w:t>
      </w:r>
      <w:r w:rsidR="00D237CB">
        <w:t>to perform this work.</w:t>
      </w:r>
    </w:p>
    <w:p w:rsidR="00D237CB" w:rsidRDefault="00D237CB" w:rsidP="00D237CB">
      <w:pPr>
        <w:pStyle w:val="ListParagraph"/>
      </w:pPr>
    </w:p>
    <w:p w:rsidR="00D237CB" w:rsidRDefault="00D237CB" w:rsidP="00B82B98">
      <w:pPr>
        <w:pStyle w:val="ListParagraph"/>
        <w:numPr>
          <w:ilvl w:val="0"/>
          <w:numId w:val="1"/>
        </w:numPr>
        <w:spacing w:line="360" w:lineRule="auto"/>
        <w:ind w:left="0" w:firstLine="1440"/>
      </w:pPr>
      <w:r>
        <w:t>Complainant does not contend that Duquesne Light’s service or facilities are in any way unsafe, unreasonable or inadequate.</w:t>
      </w:r>
    </w:p>
    <w:p w:rsidR="00D237CB" w:rsidRDefault="00D237CB" w:rsidP="00D237CB">
      <w:pPr>
        <w:pStyle w:val="ListParagraph"/>
      </w:pPr>
    </w:p>
    <w:p w:rsidR="00D237CB" w:rsidRDefault="00D237CB" w:rsidP="00D237CB">
      <w:pPr>
        <w:spacing w:line="360" w:lineRule="auto"/>
        <w:jc w:val="center"/>
      </w:pPr>
      <w:r>
        <w:rPr>
          <w:u w:val="single"/>
        </w:rPr>
        <w:t>DISCUSSION</w:t>
      </w:r>
    </w:p>
    <w:p w:rsidR="00D237CB" w:rsidRDefault="00D237CB" w:rsidP="00D237CB">
      <w:pPr>
        <w:spacing w:line="360" w:lineRule="auto"/>
      </w:pPr>
    </w:p>
    <w:p w:rsidR="00DC358C" w:rsidRDefault="00E52741" w:rsidP="00DC358C">
      <w:pPr>
        <w:spacing w:line="360" w:lineRule="auto"/>
      </w:pPr>
      <w:r>
        <w:tab/>
      </w:r>
      <w:r>
        <w:tab/>
      </w:r>
      <w:r w:rsidR="00DC358C" w:rsidRPr="00A937DA">
        <w:t xml:space="preserve">As a creature of legislation, the Commission possesses only the authority the State Legislature has specifically granted to it in the Public Utility Code (the “Code”), 66 Pa. C.S. §§101, </w:t>
      </w:r>
      <w:r w:rsidR="00DC358C" w:rsidRPr="00A937DA">
        <w:rPr>
          <w:i/>
        </w:rPr>
        <w:t>et seq</w:t>
      </w:r>
      <w:r w:rsidR="00DC358C" w:rsidRPr="00A937DA">
        <w:t xml:space="preserve">.  Its jurisdiction must arise from the express language of the pertinent enabling </w:t>
      </w:r>
      <w:r w:rsidR="00DC358C" w:rsidRPr="00A937DA">
        <w:lastRenderedPageBreak/>
        <w:t xml:space="preserve">legislation or by strong and necessary implication therefrom.  </w:t>
      </w:r>
      <w:r w:rsidR="00DC358C" w:rsidRPr="00A937DA">
        <w:rPr>
          <w:u w:val="single"/>
        </w:rPr>
        <w:t xml:space="preserve">Feingold v. </w:t>
      </w:r>
      <w:smartTag w:uri="urn:schemas-microsoft-com:office:smarttags" w:element="City">
        <w:smartTag w:uri="urn:schemas-microsoft-com:office:smarttags" w:element="place">
          <w:r w:rsidR="00DC358C" w:rsidRPr="00A937DA">
            <w:rPr>
              <w:u w:val="single"/>
            </w:rPr>
            <w:t>Bell</w:t>
          </w:r>
        </w:smartTag>
      </w:smartTag>
      <w:r w:rsidR="00DC358C" w:rsidRPr="00A937DA">
        <w:rPr>
          <w:u w:val="single"/>
        </w:rPr>
        <w:t xml:space="preserve"> of </w:t>
      </w:r>
      <w:smartTag w:uri="urn:schemas-microsoft-com:office:smarttags" w:element="State">
        <w:smartTag w:uri="urn:schemas-microsoft-com:office:smarttags" w:element="place">
          <w:r w:rsidR="00DC358C" w:rsidRPr="00A937DA">
            <w:rPr>
              <w:u w:val="single"/>
            </w:rPr>
            <w:t>Pa.</w:t>
          </w:r>
        </w:smartTag>
      </w:smartTag>
      <w:r w:rsidR="00DC358C" w:rsidRPr="00A937DA">
        <w:t xml:space="preserve">, 477 </w:t>
      </w:r>
      <w:smartTag w:uri="urn:schemas-microsoft-com:office:smarttags" w:element="State">
        <w:smartTag w:uri="urn:schemas-microsoft-com:office:smarttags" w:element="place">
          <w:r w:rsidR="00DC358C" w:rsidRPr="00A937DA">
            <w:t>Pa.</w:t>
          </w:r>
        </w:smartTag>
      </w:smartTag>
      <w:r w:rsidR="00DC358C" w:rsidRPr="00A937DA">
        <w:t xml:space="preserve"> 1, 383 A.2d </w:t>
      </w:r>
      <w:r w:rsidR="00DC358C">
        <w:t>7</w:t>
      </w:r>
      <w:r w:rsidR="00DC358C" w:rsidRPr="00A937DA">
        <w:t xml:space="preserve">91 (1977); </w:t>
      </w:r>
      <w:r w:rsidR="00DC358C" w:rsidRPr="00A937DA">
        <w:rPr>
          <w:u w:val="single"/>
        </w:rPr>
        <w:t xml:space="preserve">Allegheny County Port Authority v. </w:t>
      </w:r>
      <w:smartTag w:uri="urn:schemas-microsoft-com:office:smarttags" w:element="State">
        <w:smartTag w:uri="urn:schemas-microsoft-com:office:smarttags" w:element="place">
          <w:r w:rsidR="00DC358C" w:rsidRPr="00A937DA">
            <w:rPr>
              <w:u w:val="single"/>
            </w:rPr>
            <w:t>Pa.</w:t>
          </w:r>
        </w:smartTag>
      </w:smartTag>
      <w:r w:rsidR="00DC358C" w:rsidRPr="00A937DA">
        <w:rPr>
          <w:u w:val="single"/>
        </w:rPr>
        <w:t xml:space="preserve"> P.U.C.</w:t>
      </w:r>
      <w:r w:rsidR="00DC358C" w:rsidRPr="00A937DA">
        <w:t xml:space="preserve">, 427 </w:t>
      </w:r>
      <w:smartTag w:uri="urn:schemas-microsoft-com:office:smarttags" w:element="State">
        <w:smartTag w:uri="urn:schemas-microsoft-com:office:smarttags" w:element="place">
          <w:r w:rsidR="00DC358C" w:rsidRPr="00A937DA">
            <w:t>Pa.</w:t>
          </w:r>
        </w:smartTag>
      </w:smartTag>
      <w:r w:rsidR="00DC358C" w:rsidRPr="00A937DA">
        <w:t xml:space="preserve"> 562, 237 A.2d 602 (1967); </w:t>
      </w:r>
      <w:r w:rsidR="00DC358C" w:rsidRPr="00A937DA">
        <w:rPr>
          <w:u w:val="single"/>
        </w:rPr>
        <w:t>Behrend v. Bell of P</w:t>
      </w:r>
      <w:r w:rsidR="00DC358C">
        <w:rPr>
          <w:u w:val="single"/>
        </w:rPr>
        <w:t>a.</w:t>
      </w:r>
      <w:r w:rsidR="00DC358C" w:rsidRPr="00A937DA">
        <w:t>, 257 Pa. Superior Ct. 35, 390 A.2d 233 (1978);</w:t>
      </w:r>
      <w:r w:rsidR="00DC358C">
        <w:t xml:space="preserve"> </w:t>
      </w:r>
      <w:r w:rsidR="00DC358C">
        <w:rPr>
          <w:u w:val="single"/>
        </w:rPr>
        <w:t>Harrisburg Taxicab &amp; Baggage Co. v. Pa. P.U.C.</w:t>
      </w:r>
      <w:r w:rsidR="00DC358C">
        <w:t>, 786 A.2d 288 (Pa. Cmwlth. 2001); and</w:t>
      </w:r>
      <w:r w:rsidR="00DC358C" w:rsidRPr="00A937DA">
        <w:t xml:space="preserve"> </w:t>
      </w:r>
      <w:r w:rsidR="00DC358C" w:rsidRPr="00A937DA">
        <w:rPr>
          <w:u w:val="single"/>
        </w:rPr>
        <w:t>City of Erie v. Pa. Electric Co.</w:t>
      </w:r>
      <w:r w:rsidR="00DC358C" w:rsidRPr="00A937DA">
        <w:t>, 383 A.2d 575 (</w:t>
      </w:r>
      <w:smartTag w:uri="urn:schemas-microsoft-com:office:smarttags" w:element="State">
        <w:smartTag w:uri="urn:schemas-microsoft-com:office:smarttags" w:element="place">
          <w:r w:rsidR="00DC358C" w:rsidRPr="00A937DA">
            <w:t>Pa.</w:t>
          </w:r>
        </w:smartTag>
      </w:smartTag>
      <w:r w:rsidR="00DC358C">
        <w:t xml:space="preserve"> Cmwlth. 1978).  Parties to an action may not confer jurisdiction upon a tribunal where none exists.  </w:t>
      </w:r>
      <w:r w:rsidR="00DC358C">
        <w:rPr>
          <w:u w:val="single"/>
        </w:rPr>
        <w:t>Roberts v. Martorano</w:t>
      </w:r>
      <w:r w:rsidR="00DC358C">
        <w:t xml:space="preserve">, 427 Pa. 581, 235 A.2d 602 (1967).  Similarly, a challenge to subject matter jurisdiction is never waived; this jurisdictional question may be raised at any stage of the judicial process.  </w:t>
      </w:r>
      <w:r w:rsidR="00DC358C">
        <w:rPr>
          <w:u w:val="single"/>
        </w:rPr>
        <w:t>Commonwealth v. Atlantic &amp; Gulf Coast Stevedores, Inc.</w:t>
      </w:r>
      <w:r w:rsidR="00DC358C">
        <w:t xml:space="preserve">, 422 Pa. 442, 221 A.2d 128 (1966).  Furthermore, the mere fact that a party to an action qualifies as a regulated utility does not automatically confer subject matter jurisdiction upon the Commission.  </w:t>
      </w:r>
      <w:r w:rsidR="00DC358C">
        <w:rPr>
          <w:u w:val="single"/>
        </w:rPr>
        <w:t>DeFrancesco v. Western Pennsylvania Water Co.</w:t>
      </w:r>
      <w:r w:rsidR="00DC358C">
        <w:t>, 499 Pa. 374, 453 A.2d 595 (1982).</w:t>
      </w:r>
    </w:p>
    <w:p w:rsidR="00DC358C" w:rsidRDefault="00DC358C" w:rsidP="00DC358C">
      <w:pPr>
        <w:spacing w:line="360" w:lineRule="auto"/>
      </w:pPr>
    </w:p>
    <w:p w:rsidR="00DC358C" w:rsidRDefault="00DC358C" w:rsidP="00DC358C">
      <w:pPr>
        <w:spacing w:line="360" w:lineRule="auto"/>
      </w:pPr>
      <w:r>
        <w:tab/>
      </w:r>
      <w:r>
        <w:tab/>
        <w:t xml:space="preserve">As directed by </w:t>
      </w:r>
      <w:r w:rsidRPr="00415BC5">
        <w:t xml:space="preserve">Section 501 of the Code, 66 </w:t>
      </w:r>
      <w:smartTag w:uri="urn:schemas-microsoft-com:office:smarttags" w:element="place">
        <w:smartTag w:uri="urn:schemas-microsoft-com:office:smarttags" w:element="State">
          <w:r w:rsidRPr="00415BC5">
            <w:t>Pa.</w:t>
          </w:r>
        </w:smartTag>
      </w:smartTag>
      <w:r w:rsidRPr="00415BC5">
        <w:t xml:space="preserve">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CB1665">
        <w:rPr>
          <w:i/>
        </w:rPr>
        <w:t>See also</w:t>
      </w:r>
      <w:r w:rsidRPr="00415BC5">
        <w:t xml:space="preserve">, 52 </w:t>
      </w:r>
      <w:smartTag w:uri="urn:schemas-microsoft-com:office:smarttags" w:element="place">
        <w:smartTag w:uri="urn:schemas-microsoft-com:office:smarttags" w:element="State">
          <w:r w:rsidRPr="00415BC5">
            <w:t>Pa.</w:t>
          </w:r>
        </w:smartTag>
      </w:smartTag>
      <w:r w:rsidRPr="00415BC5">
        <w:t xml:space="preserve"> Code §5.21(a).</w:t>
      </w:r>
    </w:p>
    <w:p w:rsidR="00DC358C" w:rsidRDefault="00DC358C" w:rsidP="00DC358C">
      <w:pPr>
        <w:spacing w:line="360" w:lineRule="auto"/>
      </w:pPr>
    </w:p>
    <w:p w:rsidR="00DC358C" w:rsidRDefault="00DC358C" w:rsidP="00DC358C">
      <w:pPr>
        <w:spacing w:line="360" w:lineRule="auto"/>
      </w:pPr>
      <w:r>
        <w:tab/>
      </w:r>
      <w:r>
        <w:tab/>
      </w:r>
      <w:r w:rsidRPr="00A66E41">
        <w:t>Section 1501 of the Code, 66 Pa. C.S.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w:t>
      </w:r>
      <w:r>
        <w:t>ity must furnish or employ.  66 </w:t>
      </w:r>
      <w:r w:rsidRPr="00A66E41">
        <w:t>Pa. C.S. §1505.</w:t>
      </w:r>
    </w:p>
    <w:p w:rsidR="00DC358C" w:rsidRDefault="00DC358C" w:rsidP="00DC358C">
      <w:pPr>
        <w:spacing w:line="360" w:lineRule="auto"/>
      </w:pPr>
    </w:p>
    <w:p w:rsidR="00D237CB" w:rsidRDefault="00DC358C" w:rsidP="00DC358C">
      <w:pPr>
        <w:spacing w:line="360" w:lineRule="auto"/>
      </w:pPr>
      <w:r>
        <w:tab/>
      </w:r>
      <w:r>
        <w:tab/>
        <w:t xml:space="preserve">Stated differently, the Commission is responsible “for prescribing rules and regulations governing reasonableness, adequacy and sufficiency of service, and the courts have </w:t>
      </w:r>
      <w:r>
        <w:lastRenderedPageBreak/>
        <w:t xml:space="preserve">interpreted those sections as vesting in the [Commission] exclusive jurisdiction over those matters.”  </w:t>
      </w:r>
      <w:r>
        <w:rPr>
          <w:u w:val="single"/>
        </w:rPr>
        <w:t>T.W. Phillips Gas &amp; Oil Co. v. Peoples Natural Gas Co.</w:t>
      </w:r>
      <w:r>
        <w:t xml:space="preserve">, 492 A.2d 776, 779 (Pa. Cmwlth. 1985).  In order to sustain a complaint, the Commission must find that the utility violated its duty under the Code, the Commission’s regulations or a Commission order.  </w:t>
      </w:r>
      <w:r>
        <w:rPr>
          <w:u w:val="single"/>
        </w:rPr>
        <w:t>West Penn Power Co. v. Pa. P.U.C.</w:t>
      </w:r>
      <w:r>
        <w:t>, 478 A.2d 947 (Pa. Cmwlth. 1984).</w:t>
      </w:r>
    </w:p>
    <w:p w:rsidR="00DC358C" w:rsidRDefault="00DC358C" w:rsidP="00DC358C">
      <w:pPr>
        <w:spacing w:line="360" w:lineRule="auto"/>
      </w:pPr>
    </w:p>
    <w:p w:rsidR="00DC358C" w:rsidRDefault="00DC358C" w:rsidP="00DC358C">
      <w:pPr>
        <w:spacing w:line="360" w:lineRule="auto"/>
      </w:pPr>
      <w:r>
        <w:tab/>
      </w:r>
      <w:r>
        <w:tab/>
        <w:t xml:space="preserve">The </w:t>
      </w:r>
      <w:r w:rsidR="00280306">
        <w:t xml:space="preserve">Commission has no jurisdiction to review a claim of trespass.  Because the Commission possesses only those powers expressly conferred upon it by the legislature, the Commission does not “have jurisdiction over private contractual disputes between citizens and utilities.”  </w:t>
      </w:r>
      <w:r w:rsidR="00280306">
        <w:rPr>
          <w:u w:val="single"/>
        </w:rPr>
        <w:t>T.W. Phillips</w:t>
      </w:r>
      <w:r w:rsidR="00280306">
        <w:t xml:space="preserve">, 492 A.2d at 779.  Hence, the Commission “does not have jurisdiction to determine the scope and validity of an easement.”  </w:t>
      </w:r>
      <w:r w:rsidR="00280306">
        <w:rPr>
          <w:u w:val="single"/>
        </w:rPr>
        <w:t xml:space="preserve">Fairview Water Co. v. </w:t>
      </w:r>
      <w:smartTag w:uri="urn:schemas-microsoft-com:office:smarttags" w:element="State">
        <w:smartTag w:uri="urn:schemas-microsoft-com:office:smarttags" w:element="place">
          <w:r w:rsidR="00280306">
            <w:rPr>
              <w:u w:val="single"/>
            </w:rPr>
            <w:t>Pa.</w:t>
          </w:r>
        </w:smartTag>
      </w:smartTag>
      <w:r w:rsidR="00280306">
        <w:rPr>
          <w:u w:val="single"/>
        </w:rPr>
        <w:t xml:space="preserve"> P.U.C.</w:t>
      </w:r>
      <w:r w:rsidR="00280306">
        <w:t>, 509 </w:t>
      </w:r>
      <w:smartTag w:uri="urn:schemas-microsoft-com:office:smarttags" w:element="State">
        <w:smartTag w:uri="urn:schemas-microsoft-com:office:smarttags" w:element="place">
          <w:r w:rsidR="00280306">
            <w:t>Pa.</w:t>
          </w:r>
        </w:smartTag>
      </w:smartTag>
      <w:r w:rsidR="00280306">
        <w:t xml:space="preserve"> 384, 393, 502 A.2d 162, 167 (1985); </w:t>
      </w:r>
      <w:r w:rsidR="00280306">
        <w:rPr>
          <w:u w:val="single"/>
        </w:rPr>
        <w:t>Rogoff v. Buncher Co.</w:t>
      </w:r>
      <w:r w:rsidR="00280306">
        <w:t>, 395 </w:t>
      </w:r>
      <w:smartTag w:uri="urn:schemas-microsoft-com:office:smarttags" w:element="State">
        <w:smartTag w:uri="urn:schemas-microsoft-com:office:smarttags" w:element="place">
          <w:r w:rsidR="00280306">
            <w:t>Pa.</w:t>
          </w:r>
        </w:smartTag>
      </w:smartTag>
      <w:r w:rsidR="00280306">
        <w:t xml:space="preserve"> 477, 151 A.2d 83 (1959); </w:t>
      </w:r>
      <w:r w:rsidR="00280306">
        <w:rPr>
          <w:u w:val="single"/>
        </w:rPr>
        <w:t>Hoch v. Philadelphia Electric Co.</w:t>
      </w:r>
      <w:r w:rsidR="00280306">
        <w:t xml:space="preserve">, </w:t>
      </w:r>
      <w:smartTag w:uri="urn:schemas-microsoft-com:office:smarttags" w:element="Street">
        <w:smartTag w:uri="urn:schemas-microsoft-com:office:smarttags" w:element="address">
          <w:r w:rsidR="00280306">
            <w:t>341 Pa. Superior Ct.</w:t>
          </w:r>
        </w:smartTag>
      </w:smartTag>
      <w:r w:rsidR="00280306">
        <w:t xml:space="preserve"> 598, 492 A.2d 27 (1985); </w:t>
      </w:r>
      <w:smartTag w:uri="urn:schemas-microsoft-com:office:smarttags" w:element="City">
        <w:smartTag w:uri="urn:schemas-microsoft-com:office:smarttags" w:element="place">
          <w:r w:rsidR="00280306" w:rsidRPr="00BB3A01">
            <w:rPr>
              <w:u w:val="single"/>
            </w:rPr>
            <w:t>Messina</w:t>
          </w:r>
        </w:smartTag>
      </w:smartTag>
      <w:r w:rsidR="00280306" w:rsidRPr="00BB3A01">
        <w:rPr>
          <w:u w:val="single"/>
        </w:rPr>
        <w:t xml:space="preserve"> v</w:t>
      </w:r>
      <w:r w:rsidR="00280306">
        <w:rPr>
          <w:u w:val="single"/>
        </w:rPr>
        <w:t>.</w:t>
      </w:r>
      <w:r w:rsidR="00280306" w:rsidRPr="00BB3A01">
        <w:rPr>
          <w:u w:val="single"/>
        </w:rPr>
        <w:t xml:space="preserve"> Bell Atlantic-Pennsylvania, Inc.</w:t>
      </w:r>
      <w:r w:rsidR="00280306">
        <w:t>, Docket No. </w:t>
      </w:r>
      <w:r w:rsidR="00280306" w:rsidRPr="00BB3A01">
        <w:t>C-00968225</w:t>
      </w:r>
      <w:r w:rsidR="00280306">
        <w:t xml:space="preserve">, </w:t>
      </w:r>
      <w:r w:rsidR="00280306" w:rsidRPr="00BB3A01">
        <w:t>1998 Pa. PUC LEXIS 190</w:t>
      </w:r>
      <w:r w:rsidR="00280306">
        <w:t xml:space="preserve"> (Order entered </w:t>
      </w:r>
      <w:r w:rsidR="00280306" w:rsidRPr="00BB3A01">
        <w:t>September 23, 1998</w:t>
      </w:r>
      <w:r w:rsidR="00280306">
        <w:t xml:space="preserve">); and </w:t>
      </w:r>
      <w:r w:rsidR="00280306" w:rsidRPr="009A5535">
        <w:rPr>
          <w:u w:val="single"/>
        </w:rPr>
        <w:t>Shafer</w:t>
      </w:r>
      <w:r w:rsidR="00280306">
        <w:rPr>
          <w:u w:val="single"/>
        </w:rPr>
        <w:t>, et al.</w:t>
      </w:r>
      <w:r w:rsidR="00280306" w:rsidRPr="009A5535">
        <w:rPr>
          <w:u w:val="single"/>
        </w:rPr>
        <w:t xml:space="preserve"> v. National Utilities, Inc.</w:t>
      </w:r>
      <w:r w:rsidR="00280306">
        <w:t>, Docket No. C</w:t>
      </w:r>
      <w:r w:rsidR="00280306">
        <w:noBreakHyphen/>
      </w:r>
      <w:r w:rsidR="00280306" w:rsidRPr="009A5535">
        <w:t>00956802</w:t>
      </w:r>
      <w:r w:rsidR="00280306">
        <w:t xml:space="preserve">, </w:t>
      </w:r>
      <w:r w:rsidR="00280306" w:rsidRPr="009A5535">
        <w:t>1996 Pa. PUC LEXIS 57</w:t>
      </w:r>
      <w:r w:rsidR="00280306">
        <w:t xml:space="preserve"> (Order entered </w:t>
      </w:r>
      <w:r w:rsidR="00280306" w:rsidRPr="009A5535">
        <w:t>June 12, 1996</w:t>
      </w:r>
      <w:r w:rsidR="00280306">
        <w:t>).  Accordingly, the Commission has no jurisdiction to determine whether Duquesne Light operated within the scope of its easement when it entered upon Complainant’s property to perform maintenance or line clearance for its facilities or whether it committed a trespass upon Complainant’s property.  These questions remain for a Court of Common Pleas to decide and not for this Commission.</w:t>
      </w:r>
    </w:p>
    <w:p w:rsidR="00280306" w:rsidRDefault="00280306" w:rsidP="00DC358C">
      <w:pPr>
        <w:spacing w:line="360" w:lineRule="auto"/>
      </w:pPr>
    </w:p>
    <w:p w:rsidR="00280306" w:rsidRDefault="00280306" w:rsidP="00DC358C">
      <w:pPr>
        <w:spacing w:line="360" w:lineRule="auto"/>
      </w:pPr>
      <w:r>
        <w:tab/>
      </w:r>
      <w:r>
        <w:tab/>
        <w:t>Finally, Complainant does not question the safety, reasonableness or adequacy</w:t>
      </w:r>
      <w:r w:rsidR="005E38FA">
        <w:t xml:space="preserve"> of Duquesne Light’s service or facilities.  66 Pa. C.S. §1501.  Therefore, no jurisdictional issue exists for the Commission to consider.  Accordingly, the complaint must be dismissed.</w:t>
      </w:r>
    </w:p>
    <w:p w:rsidR="005E38FA" w:rsidRDefault="005E38FA" w:rsidP="00DC358C">
      <w:pPr>
        <w:spacing w:line="360" w:lineRule="auto"/>
      </w:pPr>
    </w:p>
    <w:p w:rsidR="005E38FA" w:rsidRDefault="005E38FA" w:rsidP="005E38FA">
      <w:pPr>
        <w:spacing w:line="360" w:lineRule="auto"/>
        <w:jc w:val="center"/>
      </w:pPr>
      <w:r>
        <w:rPr>
          <w:u w:val="single"/>
        </w:rPr>
        <w:t>CONCLUSION OF LAW</w:t>
      </w:r>
    </w:p>
    <w:p w:rsidR="005E38FA" w:rsidRDefault="005E38FA" w:rsidP="005E38FA">
      <w:pPr>
        <w:spacing w:line="360" w:lineRule="auto"/>
      </w:pPr>
    </w:p>
    <w:p w:rsidR="005E38FA" w:rsidRDefault="005E38FA" w:rsidP="005E38FA">
      <w:pPr>
        <w:spacing w:line="360" w:lineRule="auto"/>
      </w:pPr>
      <w:r>
        <w:tab/>
      </w:r>
      <w:r>
        <w:tab/>
      </w:r>
      <w:r w:rsidR="009B5809">
        <w:t>The Commission has no jurisdiction to</w:t>
      </w:r>
      <w:r w:rsidR="009B5809" w:rsidRPr="00D21CB1">
        <w:t xml:space="preserve"> </w:t>
      </w:r>
      <w:r w:rsidR="009B5809">
        <w:t xml:space="preserve">determine the scope and validity of an easement.  </w:t>
      </w:r>
      <w:r w:rsidR="009B5809">
        <w:rPr>
          <w:u w:val="single"/>
        </w:rPr>
        <w:t>Fairview Water Co. v. Pa. P.U.C.</w:t>
      </w:r>
      <w:r w:rsidR="009B5809">
        <w:t>, 509 Pa. 384, 393, 502 A.2d 162, 167 (1985).</w:t>
      </w:r>
    </w:p>
    <w:p w:rsidR="009B5809" w:rsidRDefault="009B5809">
      <w:r>
        <w:br w:type="page"/>
      </w:r>
    </w:p>
    <w:p w:rsidR="009B5809" w:rsidRDefault="00244F06" w:rsidP="00244F06">
      <w:pPr>
        <w:spacing w:line="360" w:lineRule="auto"/>
        <w:jc w:val="center"/>
      </w:pPr>
      <w:r>
        <w:rPr>
          <w:u w:val="single"/>
        </w:rPr>
        <w:lastRenderedPageBreak/>
        <w:t>ORDER</w:t>
      </w:r>
    </w:p>
    <w:p w:rsidR="00244F06" w:rsidRDefault="00244F06" w:rsidP="00244F06">
      <w:pPr>
        <w:spacing w:line="360" w:lineRule="auto"/>
      </w:pPr>
    </w:p>
    <w:p w:rsidR="00244F06" w:rsidRDefault="00244F06" w:rsidP="00244F06">
      <w:pPr>
        <w:spacing w:line="360" w:lineRule="auto"/>
      </w:pPr>
      <w:r>
        <w:tab/>
      </w:r>
      <w:r>
        <w:tab/>
        <w:t>THEREFORE,</w:t>
      </w:r>
    </w:p>
    <w:p w:rsidR="00244F06" w:rsidRDefault="00244F06" w:rsidP="00244F06">
      <w:pPr>
        <w:spacing w:line="360" w:lineRule="auto"/>
      </w:pPr>
    </w:p>
    <w:p w:rsidR="00244F06" w:rsidRDefault="00244F06" w:rsidP="00244F06">
      <w:pPr>
        <w:spacing w:line="360" w:lineRule="auto"/>
      </w:pPr>
      <w:r>
        <w:tab/>
      </w:r>
      <w:r>
        <w:tab/>
        <w:t>IT IS ORDERED:</w:t>
      </w:r>
    </w:p>
    <w:p w:rsidR="00244F06" w:rsidRDefault="00244F06" w:rsidP="00244F06">
      <w:pPr>
        <w:spacing w:line="360" w:lineRule="auto"/>
      </w:pPr>
    </w:p>
    <w:p w:rsidR="00244F06" w:rsidRDefault="00244F06" w:rsidP="00244F06">
      <w:pPr>
        <w:pStyle w:val="ListParagraph"/>
        <w:numPr>
          <w:ilvl w:val="0"/>
          <w:numId w:val="2"/>
        </w:numPr>
        <w:spacing w:line="360" w:lineRule="auto"/>
        <w:ind w:left="0" w:firstLine="1440"/>
      </w:pPr>
      <w:r>
        <w:t>That the motion of Duquesne Light Company to dismiss the complaint of Raymond E. Anderson at Docket No. C-2012-2299593 for lack of subject matter jurisdiction is hereby granted.</w:t>
      </w:r>
    </w:p>
    <w:p w:rsidR="00244F06" w:rsidRDefault="00244F06" w:rsidP="00244F06">
      <w:pPr>
        <w:pStyle w:val="ListParagraph"/>
        <w:spacing w:line="360" w:lineRule="auto"/>
        <w:ind w:left="1440"/>
      </w:pPr>
    </w:p>
    <w:p w:rsidR="00244F06" w:rsidRDefault="00244F06" w:rsidP="00244F06">
      <w:pPr>
        <w:pStyle w:val="ListParagraph"/>
        <w:numPr>
          <w:ilvl w:val="0"/>
          <w:numId w:val="2"/>
        </w:numPr>
        <w:spacing w:line="360" w:lineRule="auto"/>
        <w:ind w:left="0" w:firstLine="1440"/>
      </w:pPr>
      <w:r>
        <w:t>That the complaint of Raymond E. Anderson against Duquesne Light Company at Docket No. C-2012-2299593 is hereby dismissed.</w:t>
      </w:r>
    </w:p>
    <w:p w:rsidR="00244F06" w:rsidRDefault="00244F06" w:rsidP="00244F06">
      <w:pPr>
        <w:pStyle w:val="ListParagraph"/>
      </w:pPr>
    </w:p>
    <w:p w:rsidR="00244F06" w:rsidRDefault="00244F06" w:rsidP="00244F06">
      <w:pPr>
        <w:spacing w:line="360" w:lineRule="auto"/>
      </w:pPr>
    </w:p>
    <w:p w:rsidR="00244F06" w:rsidRDefault="00244F06" w:rsidP="00244F06">
      <w:r>
        <w:t xml:space="preserve">Date: </w:t>
      </w:r>
      <w:r>
        <w:rPr>
          <w:u w:val="single"/>
        </w:rPr>
        <w:t>September 6, 2012</w:t>
      </w:r>
      <w:r>
        <w:tab/>
      </w:r>
      <w:r>
        <w:tab/>
      </w:r>
      <w:r>
        <w:tab/>
      </w:r>
      <w:r>
        <w:tab/>
      </w:r>
      <w:r w:rsidR="003846D3">
        <w:rPr>
          <w:u w:val="single"/>
        </w:rPr>
        <w:tab/>
      </w:r>
      <w:r w:rsidR="003846D3">
        <w:rPr>
          <w:u w:val="single"/>
        </w:rPr>
        <w:tab/>
      </w:r>
      <w:r w:rsidR="003846D3">
        <w:rPr>
          <w:u w:val="single"/>
        </w:rPr>
        <w:tab/>
      </w:r>
      <w:r w:rsidR="003846D3">
        <w:rPr>
          <w:u w:val="single"/>
        </w:rPr>
        <w:tab/>
      </w:r>
      <w:r w:rsidR="003846D3">
        <w:rPr>
          <w:u w:val="single"/>
        </w:rPr>
        <w:tab/>
      </w:r>
      <w:r w:rsidR="003846D3">
        <w:rPr>
          <w:u w:val="single"/>
        </w:rPr>
        <w:tab/>
      </w:r>
    </w:p>
    <w:p w:rsidR="003846D3" w:rsidRDefault="003846D3" w:rsidP="00244F06">
      <w:r>
        <w:tab/>
      </w:r>
      <w:r>
        <w:tab/>
      </w:r>
      <w:r>
        <w:tab/>
      </w:r>
      <w:r>
        <w:tab/>
      </w:r>
      <w:r>
        <w:tab/>
      </w:r>
      <w:r>
        <w:tab/>
      </w:r>
      <w:r>
        <w:tab/>
        <w:t>John H. Corbett, Jr.</w:t>
      </w:r>
    </w:p>
    <w:p w:rsidR="003846D3" w:rsidRDefault="003846D3" w:rsidP="00244F06">
      <w:r>
        <w:tab/>
      </w:r>
      <w:r>
        <w:tab/>
      </w:r>
      <w:r>
        <w:tab/>
      </w:r>
      <w:r>
        <w:tab/>
      </w:r>
      <w:r>
        <w:tab/>
      </w:r>
      <w:r>
        <w:tab/>
      </w:r>
      <w:r>
        <w:tab/>
        <w:t>Administrative Law Judge</w:t>
      </w:r>
    </w:p>
    <w:p w:rsidR="003846D3" w:rsidRPr="003846D3" w:rsidRDefault="003846D3" w:rsidP="00244F06"/>
    <w:sectPr w:rsidR="003846D3" w:rsidRPr="003846D3" w:rsidSect="00ED7009">
      <w:footerReference w:type="default" r:id="rId8"/>
      <w:pgSz w:w="12240" w:h="15840" w:code="1"/>
      <w:pgMar w:top="1440" w:right="1440" w:bottom="1440" w:left="1440" w:header="144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F6" w:rsidRDefault="001943F6" w:rsidP="000F16F6">
      <w:r>
        <w:separator/>
      </w:r>
    </w:p>
  </w:endnote>
  <w:endnote w:type="continuationSeparator" w:id="0">
    <w:p w:rsidR="001943F6" w:rsidRDefault="001943F6" w:rsidP="000F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67532"/>
      <w:docPartObj>
        <w:docPartGallery w:val="Page Numbers (Bottom of Page)"/>
        <w:docPartUnique/>
      </w:docPartObj>
    </w:sdtPr>
    <w:sdtEndPr>
      <w:rPr>
        <w:noProof/>
      </w:rPr>
    </w:sdtEndPr>
    <w:sdtContent>
      <w:p w:rsidR="000F16F6" w:rsidRDefault="000F16F6">
        <w:pPr>
          <w:pStyle w:val="Footer"/>
          <w:jc w:val="center"/>
        </w:pPr>
        <w:r>
          <w:fldChar w:fldCharType="begin"/>
        </w:r>
        <w:r>
          <w:instrText xml:space="preserve"> PAGE   \* MERGEFORMAT </w:instrText>
        </w:r>
        <w:r>
          <w:fldChar w:fldCharType="separate"/>
        </w:r>
        <w:r w:rsidR="00D9616A">
          <w:rPr>
            <w:noProof/>
          </w:rPr>
          <w:t>5</w:t>
        </w:r>
        <w:r>
          <w:rPr>
            <w:noProof/>
          </w:rPr>
          <w:fldChar w:fldCharType="end"/>
        </w:r>
      </w:p>
    </w:sdtContent>
  </w:sdt>
  <w:p w:rsidR="000F16F6" w:rsidRDefault="000F1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F6" w:rsidRDefault="001943F6" w:rsidP="000F16F6">
      <w:r>
        <w:separator/>
      </w:r>
    </w:p>
  </w:footnote>
  <w:footnote w:type="continuationSeparator" w:id="0">
    <w:p w:rsidR="001943F6" w:rsidRDefault="001943F6" w:rsidP="000F1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49E5"/>
    <w:multiLevelType w:val="hybridMultilevel"/>
    <w:tmpl w:val="106A24B4"/>
    <w:lvl w:ilvl="0" w:tplc="8266E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2D4F12"/>
    <w:multiLevelType w:val="hybridMultilevel"/>
    <w:tmpl w:val="341E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17B"/>
    <w:rsid w:val="00002E71"/>
    <w:rsid w:val="0000610B"/>
    <w:rsid w:val="0001444C"/>
    <w:rsid w:val="000158F5"/>
    <w:rsid w:val="00015C87"/>
    <w:rsid w:val="000200B5"/>
    <w:rsid w:val="00022031"/>
    <w:rsid w:val="00022664"/>
    <w:rsid w:val="00024AA5"/>
    <w:rsid w:val="00025AA4"/>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3E81"/>
    <w:rsid w:val="000C5510"/>
    <w:rsid w:val="000C71B2"/>
    <w:rsid w:val="000C76C7"/>
    <w:rsid w:val="000D0A51"/>
    <w:rsid w:val="000D1336"/>
    <w:rsid w:val="000D715A"/>
    <w:rsid w:val="000D7906"/>
    <w:rsid w:val="000E0C64"/>
    <w:rsid w:val="000E1700"/>
    <w:rsid w:val="000E4E82"/>
    <w:rsid w:val="000E6C36"/>
    <w:rsid w:val="000F0CB0"/>
    <w:rsid w:val="000F16F6"/>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F38"/>
    <w:rsid w:val="00151828"/>
    <w:rsid w:val="00152DD8"/>
    <w:rsid w:val="001534FA"/>
    <w:rsid w:val="00153BB2"/>
    <w:rsid w:val="001551FE"/>
    <w:rsid w:val="00155E3F"/>
    <w:rsid w:val="00157F7C"/>
    <w:rsid w:val="00163667"/>
    <w:rsid w:val="00171BA7"/>
    <w:rsid w:val="00177B41"/>
    <w:rsid w:val="00177C22"/>
    <w:rsid w:val="0018502A"/>
    <w:rsid w:val="00186713"/>
    <w:rsid w:val="0018673F"/>
    <w:rsid w:val="00190B52"/>
    <w:rsid w:val="00192F81"/>
    <w:rsid w:val="001943F6"/>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1F9D"/>
    <w:rsid w:val="001F1FC5"/>
    <w:rsid w:val="001F4259"/>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44F06"/>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0306"/>
    <w:rsid w:val="0028196A"/>
    <w:rsid w:val="00282E72"/>
    <w:rsid w:val="00286013"/>
    <w:rsid w:val="00286E18"/>
    <w:rsid w:val="00292413"/>
    <w:rsid w:val="00292C52"/>
    <w:rsid w:val="0029312D"/>
    <w:rsid w:val="00297007"/>
    <w:rsid w:val="002A08AE"/>
    <w:rsid w:val="002A0C6D"/>
    <w:rsid w:val="002A16F1"/>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3FC4"/>
    <w:rsid w:val="00364892"/>
    <w:rsid w:val="00372BCE"/>
    <w:rsid w:val="00375FC7"/>
    <w:rsid w:val="00376FD2"/>
    <w:rsid w:val="00377219"/>
    <w:rsid w:val="00383E9E"/>
    <w:rsid w:val="003846D3"/>
    <w:rsid w:val="00386EC2"/>
    <w:rsid w:val="003914A1"/>
    <w:rsid w:val="003915CD"/>
    <w:rsid w:val="003928FD"/>
    <w:rsid w:val="00393A51"/>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5628"/>
    <w:rsid w:val="003E5D1E"/>
    <w:rsid w:val="003F100E"/>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606F8"/>
    <w:rsid w:val="004610DD"/>
    <w:rsid w:val="00465CA9"/>
    <w:rsid w:val="00466EEB"/>
    <w:rsid w:val="004763CF"/>
    <w:rsid w:val="00476406"/>
    <w:rsid w:val="004801CF"/>
    <w:rsid w:val="00482494"/>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93F"/>
    <w:rsid w:val="005319D7"/>
    <w:rsid w:val="00544B49"/>
    <w:rsid w:val="005463A9"/>
    <w:rsid w:val="00546F57"/>
    <w:rsid w:val="005474D6"/>
    <w:rsid w:val="0055234E"/>
    <w:rsid w:val="00553A47"/>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45C9"/>
    <w:rsid w:val="005D5EE7"/>
    <w:rsid w:val="005E38FA"/>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8E0"/>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65ACF"/>
    <w:rsid w:val="00870493"/>
    <w:rsid w:val="008733F2"/>
    <w:rsid w:val="008739F3"/>
    <w:rsid w:val="00875888"/>
    <w:rsid w:val="00877335"/>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96D"/>
    <w:rsid w:val="008C1CCC"/>
    <w:rsid w:val="008C4B08"/>
    <w:rsid w:val="008C4DAE"/>
    <w:rsid w:val="008C6C90"/>
    <w:rsid w:val="008C6CD3"/>
    <w:rsid w:val="008D25CC"/>
    <w:rsid w:val="008D3E8B"/>
    <w:rsid w:val="008D409A"/>
    <w:rsid w:val="008D70A6"/>
    <w:rsid w:val="008E121E"/>
    <w:rsid w:val="008E31F7"/>
    <w:rsid w:val="008F6929"/>
    <w:rsid w:val="0090117B"/>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48C1"/>
    <w:rsid w:val="009B5809"/>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0325B"/>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54091"/>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7E41"/>
    <w:rsid w:val="00B43E1A"/>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2B98"/>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348"/>
    <w:rsid w:val="00C52731"/>
    <w:rsid w:val="00C55401"/>
    <w:rsid w:val="00C60CCE"/>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2216"/>
    <w:rsid w:val="00D237CB"/>
    <w:rsid w:val="00D25F59"/>
    <w:rsid w:val="00D266C2"/>
    <w:rsid w:val="00D3255C"/>
    <w:rsid w:val="00D3420E"/>
    <w:rsid w:val="00D3478E"/>
    <w:rsid w:val="00D356CF"/>
    <w:rsid w:val="00D4206A"/>
    <w:rsid w:val="00D4620B"/>
    <w:rsid w:val="00D50C61"/>
    <w:rsid w:val="00D5467C"/>
    <w:rsid w:val="00D621DA"/>
    <w:rsid w:val="00D6277F"/>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16A"/>
    <w:rsid w:val="00D969EB"/>
    <w:rsid w:val="00D974FF"/>
    <w:rsid w:val="00DA0270"/>
    <w:rsid w:val="00DA04D6"/>
    <w:rsid w:val="00DA06FC"/>
    <w:rsid w:val="00DA56F0"/>
    <w:rsid w:val="00DA5F0B"/>
    <w:rsid w:val="00DA7A60"/>
    <w:rsid w:val="00DB4818"/>
    <w:rsid w:val="00DB5F13"/>
    <w:rsid w:val="00DC358C"/>
    <w:rsid w:val="00DC581D"/>
    <w:rsid w:val="00DC5B32"/>
    <w:rsid w:val="00DD173D"/>
    <w:rsid w:val="00DD40C0"/>
    <w:rsid w:val="00DE2FEA"/>
    <w:rsid w:val="00DE4AC1"/>
    <w:rsid w:val="00DE5630"/>
    <w:rsid w:val="00DE5FF0"/>
    <w:rsid w:val="00DF0EC6"/>
    <w:rsid w:val="00DF26E7"/>
    <w:rsid w:val="00DF4B57"/>
    <w:rsid w:val="00DF54D3"/>
    <w:rsid w:val="00DF6DBF"/>
    <w:rsid w:val="00E01141"/>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4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55A2"/>
    <w:rsid w:val="00ED7009"/>
    <w:rsid w:val="00EE010A"/>
    <w:rsid w:val="00EF0A65"/>
    <w:rsid w:val="00EF12CB"/>
    <w:rsid w:val="00EF331C"/>
    <w:rsid w:val="00EF3332"/>
    <w:rsid w:val="00EF41AC"/>
    <w:rsid w:val="00EF4A44"/>
    <w:rsid w:val="00EF4F0C"/>
    <w:rsid w:val="00F0033E"/>
    <w:rsid w:val="00F02A7A"/>
    <w:rsid w:val="00F03624"/>
    <w:rsid w:val="00F06057"/>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A0D"/>
    <w:rsid w:val="00FA521B"/>
    <w:rsid w:val="00FA7E0A"/>
    <w:rsid w:val="00FB006F"/>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16F6"/>
    <w:pPr>
      <w:tabs>
        <w:tab w:val="center" w:pos="4680"/>
        <w:tab w:val="right" w:pos="9360"/>
      </w:tabs>
    </w:pPr>
  </w:style>
  <w:style w:type="character" w:customStyle="1" w:styleId="HeaderChar">
    <w:name w:val="Header Char"/>
    <w:basedOn w:val="DefaultParagraphFont"/>
    <w:link w:val="Header"/>
    <w:rsid w:val="000F16F6"/>
    <w:rPr>
      <w:sz w:val="24"/>
      <w:szCs w:val="24"/>
    </w:rPr>
  </w:style>
  <w:style w:type="paragraph" w:styleId="Footer">
    <w:name w:val="footer"/>
    <w:basedOn w:val="Normal"/>
    <w:link w:val="FooterChar"/>
    <w:uiPriority w:val="99"/>
    <w:rsid w:val="000F16F6"/>
    <w:pPr>
      <w:tabs>
        <w:tab w:val="center" w:pos="4680"/>
        <w:tab w:val="right" w:pos="9360"/>
      </w:tabs>
    </w:pPr>
  </w:style>
  <w:style w:type="character" w:customStyle="1" w:styleId="FooterChar">
    <w:name w:val="Footer Char"/>
    <w:basedOn w:val="DefaultParagraphFont"/>
    <w:link w:val="Footer"/>
    <w:uiPriority w:val="99"/>
    <w:rsid w:val="000F16F6"/>
    <w:rPr>
      <w:sz w:val="24"/>
      <w:szCs w:val="24"/>
    </w:rPr>
  </w:style>
  <w:style w:type="paragraph" w:styleId="ListParagraph">
    <w:name w:val="List Paragraph"/>
    <w:basedOn w:val="Normal"/>
    <w:uiPriority w:val="34"/>
    <w:qFormat/>
    <w:rsid w:val="00B82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16F6"/>
    <w:pPr>
      <w:tabs>
        <w:tab w:val="center" w:pos="4680"/>
        <w:tab w:val="right" w:pos="9360"/>
      </w:tabs>
    </w:pPr>
  </w:style>
  <w:style w:type="character" w:customStyle="1" w:styleId="HeaderChar">
    <w:name w:val="Header Char"/>
    <w:basedOn w:val="DefaultParagraphFont"/>
    <w:link w:val="Header"/>
    <w:rsid w:val="000F16F6"/>
    <w:rPr>
      <w:sz w:val="24"/>
      <w:szCs w:val="24"/>
    </w:rPr>
  </w:style>
  <w:style w:type="paragraph" w:styleId="Footer">
    <w:name w:val="footer"/>
    <w:basedOn w:val="Normal"/>
    <w:link w:val="FooterChar"/>
    <w:uiPriority w:val="99"/>
    <w:rsid w:val="000F16F6"/>
    <w:pPr>
      <w:tabs>
        <w:tab w:val="center" w:pos="4680"/>
        <w:tab w:val="right" w:pos="9360"/>
      </w:tabs>
    </w:pPr>
  </w:style>
  <w:style w:type="character" w:customStyle="1" w:styleId="FooterChar">
    <w:name w:val="Footer Char"/>
    <w:basedOn w:val="DefaultParagraphFont"/>
    <w:link w:val="Footer"/>
    <w:uiPriority w:val="99"/>
    <w:rsid w:val="000F16F6"/>
    <w:rPr>
      <w:sz w:val="24"/>
      <w:szCs w:val="24"/>
    </w:rPr>
  </w:style>
  <w:style w:type="paragraph" w:styleId="ListParagraph">
    <w:name w:val="List Paragraph"/>
    <w:basedOn w:val="Normal"/>
    <w:uiPriority w:val="34"/>
    <w:qFormat/>
    <w:rsid w:val="00B8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2</cp:revision>
  <dcterms:created xsi:type="dcterms:W3CDTF">2012-09-06T18:15:00Z</dcterms:created>
  <dcterms:modified xsi:type="dcterms:W3CDTF">2012-09-06T18:15:00Z</dcterms:modified>
</cp:coreProperties>
</file>