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bookmarkStart w:id="0" w:name="_GoBack"/>
      <w:bookmarkEnd w:id="0"/>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7575B7" w:rsidP="00CF4780">
      <w:r>
        <w:t>Timothy Stump</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w:t>
      </w:r>
      <w:r w:rsidR="007575B7">
        <w:t>313345</w:t>
      </w:r>
    </w:p>
    <w:p w:rsidR="00CF4780" w:rsidRDefault="00CF4780" w:rsidP="00CF4780">
      <w:r>
        <w:tab/>
      </w:r>
      <w:r>
        <w:tab/>
      </w:r>
      <w:r>
        <w:tab/>
      </w:r>
      <w:r>
        <w:tab/>
      </w:r>
      <w:r>
        <w:tab/>
      </w:r>
      <w:r>
        <w:tab/>
        <w:t>:</w:t>
      </w:r>
    </w:p>
    <w:p w:rsidR="00CF4780" w:rsidRDefault="007575B7" w:rsidP="00CF4780">
      <w:r>
        <w:t>Metropolitan Edison Company</w:t>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F83F79" w:rsidRPr="00F83F79" w:rsidRDefault="00F83F79" w:rsidP="00F83F79">
      <w:pPr>
        <w:tabs>
          <w:tab w:val="center" w:pos="4320"/>
        </w:tabs>
        <w:suppressAutoHyphens/>
        <w:ind w:right="-720"/>
        <w:jc w:val="center"/>
        <w:rPr>
          <w:b/>
          <w:bCs/>
          <w:spacing w:val="-3"/>
          <w:u w:val="single"/>
        </w:rPr>
      </w:pPr>
      <w:r w:rsidRPr="00F83F79">
        <w:rPr>
          <w:b/>
          <w:bCs/>
          <w:spacing w:val="-3"/>
          <w:u w:val="single"/>
        </w:rPr>
        <w:t xml:space="preserve">ORDER GRANTING IN PART AND DENYING </w:t>
      </w:r>
    </w:p>
    <w:p w:rsidR="00F83F79" w:rsidRDefault="00F83F79" w:rsidP="00F83F79">
      <w:pPr>
        <w:tabs>
          <w:tab w:val="center" w:pos="4320"/>
        </w:tabs>
        <w:suppressAutoHyphens/>
        <w:ind w:right="-720"/>
        <w:jc w:val="center"/>
        <w:rPr>
          <w:b/>
          <w:bCs/>
          <w:spacing w:val="-3"/>
          <w:u w:val="single"/>
        </w:rPr>
      </w:pPr>
      <w:r w:rsidRPr="00F83F79">
        <w:rPr>
          <w:b/>
          <w:bCs/>
          <w:spacing w:val="-3"/>
          <w:u w:val="single"/>
        </w:rPr>
        <w:t>IN PART PRELIMINARY OBJECTIONS</w:t>
      </w:r>
    </w:p>
    <w:p w:rsidR="00007CCF" w:rsidRPr="00F83F79" w:rsidRDefault="00007CCF" w:rsidP="00F83F79">
      <w:pPr>
        <w:tabs>
          <w:tab w:val="center" w:pos="4320"/>
        </w:tabs>
        <w:suppressAutoHyphens/>
        <w:ind w:right="-720"/>
        <w:jc w:val="center"/>
        <w:rPr>
          <w:b/>
          <w:bCs/>
          <w:spacing w:val="-3"/>
        </w:rPr>
      </w:pPr>
      <w:r>
        <w:rPr>
          <w:b/>
          <w:bCs/>
          <w:spacing w:val="-3"/>
          <w:u w:val="single"/>
        </w:rPr>
        <w:t>AND REFERRING COMPLAINT FOR MEDIATION REVIEW</w:t>
      </w:r>
    </w:p>
    <w:p w:rsidR="00F83F79" w:rsidRPr="00F83F79" w:rsidRDefault="00F83F79" w:rsidP="00F83F79">
      <w:pPr>
        <w:tabs>
          <w:tab w:val="left" w:pos="-720"/>
        </w:tabs>
        <w:suppressAutoHyphens/>
        <w:autoSpaceDE w:val="0"/>
        <w:autoSpaceDN w:val="0"/>
        <w:spacing w:line="360" w:lineRule="auto"/>
        <w:ind w:firstLine="1440"/>
        <w:rPr>
          <w:spacing w:val="-3"/>
        </w:rPr>
      </w:pPr>
    </w:p>
    <w:p w:rsidR="00F83F79" w:rsidRDefault="00F83F79" w:rsidP="00F83F79">
      <w:pPr>
        <w:tabs>
          <w:tab w:val="left" w:pos="-720"/>
        </w:tabs>
        <w:suppressAutoHyphens/>
        <w:autoSpaceDE w:val="0"/>
        <w:autoSpaceDN w:val="0"/>
        <w:spacing w:line="360" w:lineRule="auto"/>
        <w:ind w:right="-720"/>
      </w:pPr>
    </w:p>
    <w:p w:rsidR="00F83F79" w:rsidRPr="00F83F79" w:rsidRDefault="00F83F79" w:rsidP="00F83F79">
      <w:pPr>
        <w:tabs>
          <w:tab w:val="left" w:pos="-720"/>
        </w:tabs>
        <w:suppressAutoHyphens/>
        <w:autoSpaceDE w:val="0"/>
        <w:autoSpaceDN w:val="0"/>
        <w:spacing w:line="360" w:lineRule="auto"/>
        <w:ind w:right="-720"/>
      </w:pPr>
      <w:r w:rsidRPr="00F83F79">
        <w:tab/>
      </w:r>
      <w:r w:rsidRPr="00F83F79">
        <w:tab/>
        <w:t xml:space="preserve">This Order grants, in part, the Preliminary Objections filed by Metropolitan Edison Company (Met Ed or Respondent) in this case on jurisdictional grounds and dismisses the Complaint in part, but refers the remainder of the Complaint (i.e. quality </w:t>
      </w:r>
      <w:r w:rsidR="0076191C">
        <w:t xml:space="preserve">of </w:t>
      </w:r>
      <w:r w:rsidRPr="00F83F79">
        <w:t>service allegations) to the Commission’s Mediation Unit for review and appropriate action.</w:t>
      </w:r>
    </w:p>
    <w:p w:rsidR="00F83F79" w:rsidRDefault="00F83F79" w:rsidP="000962F2">
      <w:pPr>
        <w:spacing w:line="360" w:lineRule="auto"/>
        <w:ind w:firstLine="1440"/>
      </w:pPr>
    </w:p>
    <w:p w:rsidR="00F83F79" w:rsidRPr="00F83F79" w:rsidRDefault="00F83F79" w:rsidP="00F83F79">
      <w:pPr>
        <w:spacing w:line="360" w:lineRule="auto"/>
        <w:jc w:val="center"/>
        <w:rPr>
          <w:u w:val="single"/>
        </w:rPr>
      </w:pPr>
      <w:r>
        <w:rPr>
          <w:u w:val="single"/>
        </w:rPr>
        <w:t>HISTORY</w:t>
      </w:r>
    </w:p>
    <w:p w:rsidR="00F83F79" w:rsidRDefault="00F83F79" w:rsidP="000962F2">
      <w:pPr>
        <w:spacing w:line="360" w:lineRule="auto"/>
        <w:ind w:firstLine="1440"/>
      </w:pPr>
    </w:p>
    <w:p w:rsidR="00775D75" w:rsidRDefault="000962F2" w:rsidP="000962F2">
      <w:pPr>
        <w:spacing w:line="360" w:lineRule="auto"/>
        <w:ind w:firstLine="1440"/>
      </w:pPr>
      <w:r w:rsidRPr="007F27A1">
        <w:t xml:space="preserve">On </w:t>
      </w:r>
      <w:r w:rsidR="00775D75">
        <w:t>June 26</w:t>
      </w:r>
      <w:r w:rsidR="00D82CCD">
        <w:t xml:space="preserve">, 2012, </w:t>
      </w:r>
      <w:r w:rsidR="00775D75">
        <w:t>Timothy Stump</w:t>
      </w:r>
      <w:r w:rsidR="00717239">
        <w:t xml:space="preserve"> (Complainant)</w:t>
      </w:r>
      <w:r w:rsidRPr="007F27A1">
        <w:t xml:space="preserve"> filed a formal Complaint (Complaint) against </w:t>
      </w:r>
      <w:r w:rsidR="00F83F79">
        <w:t xml:space="preserve">Met Ed </w:t>
      </w:r>
      <w:r w:rsidRPr="007F27A1">
        <w:t xml:space="preserve">with the Pennsylvania Public Utility Commission (Commission) at Docket No. </w:t>
      </w:r>
      <w:proofErr w:type="gramStart"/>
      <w:r w:rsidRPr="007F27A1">
        <w:t>C-201</w:t>
      </w:r>
      <w:r w:rsidR="00D82CCD">
        <w:t>2</w:t>
      </w:r>
      <w:r w:rsidRPr="007F27A1">
        <w:t>-</w:t>
      </w:r>
      <w:r w:rsidR="00775D75">
        <w:t>2313345</w:t>
      </w:r>
      <w:r>
        <w:t>.</w:t>
      </w:r>
      <w:proofErr w:type="gramEnd"/>
      <w:r w:rsidR="00DF480E">
        <w:t xml:space="preserve">  </w:t>
      </w:r>
      <w:r w:rsidR="00775D75">
        <w:t>C</w:t>
      </w:r>
      <w:r w:rsidR="00D82CCD">
        <w:t xml:space="preserve">omplainant contends that </w:t>
      </w:r>
      <w:r w:rsidR="00775D75">
        <w:t xml:space="preserve">Met Ed endangered his life by </w:t>
      </w:r>
      <w:r w:rsidR="0076191C">
        <w:t xml:space="preserve">unlawfully </w:t>
      </w:r>
      <w:r w:rsidR="00775D75">
        <w:t>terminating his electric service</w:t>
      </w:r>
      <w:r w:rsidR="0076191C">
        <w:t xml:space="preserve"> though knowing that Complainant is physically disabled.  </w:t>
      </w:r>
      <w:r w:rsidR="00775D75">
        <w:t>Complaina</w:t>
      </w:r>
      <w:r w:rsidR="00F83F79">
        <w:t>n</w:t>
      </w:r>
      <w:r w:rsidR="00775D75">
        <w:t>t characterizes his Complaint as a “lawsuit” and demands an award of $100,000 “compensation” for this alleged endangerment.</w:t>
      </w:r>
    </w:p>
    <w:p w:rsidR="00D82CCD" w:rsidRDefault="00D82CCD" w:rsidP="000962F2">
      <w:pPr>
        <w:spacing w:line="360" w:lineRule="auto"/>
        <w:ind w:firstLine="1440"/>
      </w:pPr>
    </w:p>
    <w:p w:rsidR="00775D75" w:rsidRDefault="001B4A47" w:rsidP="000962F2">
      <w:pPr>
        <w:spacing w:line="360" w:lineRule="auto"/>
        <w:ind w:firstLine="1440"/>
      </w:pPr>
      <w:r>
        <w:t xml:space="preserve">The Complaint was served on </w:t>
      </w:r>
      <w:r w:rsidR="00775D75">
        <w:t>July 12</w:t>
      </w:r>
      <w:r w:rsidR="00D82CCD">
        <w:t xml:space="preserve">, 2012, and on </w:t>
      </w:r>
      <w:r w:rsidR="00775D75">
        <w:t>July 31</w:t>
      </w:r>
      <w:r w:rsidR="00D82CCD">
        <w:t xml:space="preserve">, 2012, </w:t>
      </w:r>
      <w:r w:rsidR="00775D75">
        <w:t xml:space="preserve">Met Ed </w:t>
      </w:r>
      <w:r w:rsidR="00D82CCD">
        <w:t>filed an Answer to the Complaint</w:t>
      </w:r>
      <w:r>
        <w:t xml:space="preserve">.  </w:t>
      </w:r>
      <w:r w:rsidR="00D82CCD">
        <w:t xml:space="preserve">In that Answer, PGW denied </w:t>
      </w:r>
      <w:r w:rsidR="0076191C">
        <w:t xml:space="preserve">unlawfully terminating the Complainant’s electric service or </w:t>
      </w:r>
      <w:r w:rsidR="00775D75">
        <w:t xml:space="preserve">endangering the </w:t>
      </w:r>
      <w:r w:rsidR="00D82CCD">
        <w:t>Complainant.</w:t>
      </w:r>
    </w:p>
    <w:p w:rsidR="00D82CCD" w:rsidRDefault="00775D75" w:rsidP="000962F2">
      <w:pPr>
        <w:spacing w:line="360" w:lineRule="auto"/>
        <w:ind w:firstLine="1440"/>
      </w:pPr>
      <w:r>
        <w:t xml:space="preserve"> </w:t>
      </w:r>
    </w:p>
    <w:p w:rsidR="00D82CCD" w:rsidRDefault="00D82CCD" w:rsidP="000962F2">
      <w:pPr>
        <w:spacing w:line="360" w:lineRule="auto"/>
        <w:ind w:firstLine="1440"/>
      </w:pPr>
      <w:r>
        <w:lastRenderedPageBreak/>
        <w:t xml:space="preserve">Also on </w:t>
      </w:r>
      <w:r w:rsidR="00775D75">
        <w:t xml:space="preserve">July 31, </w:t>
      </w:r>
      <w:r>
        <w:t xml:space="preserve">2012, </w:t>
      </w:r>
      <w:r w:rsidR="00775D75">
        <w:t xml:space="preserve">Met Ed </w:t>
      </w:r>
      <w:r>
        <w:t>filed Preliminary Objections to the Complaint.  Those Preliminary Objections were properly endorsed with a Notice to Plead.  To date, no responsive pleading has been f</w:t>
      </w:r>
      <w:r w:rsidR="001060C5">
        <w:t>iled by the Complainant to the P</w:t>
      </w:r>
      <w:r>
        <w:t>reliminary Objections.  The Preliminary Objections are the subject of this Order.</w:t>
      </w:r>
    </w:p>
    <w:p w:rsidR="001B4A47" w:rsidRDefault="001B4A47" w:rsidP="000962F2">
      <w:pPr>
        <w:spacing w:line="360" w:lineRule="auto"/>
        <w:ind w:firstLine="1440"/>
      </w:pPr>
    </w:p>
    <w:p w:rsidR="00DF44D8" w:rsidRDefault="00F97B31" w:rsidP="00D02BB0">
      <w:pPr>
        <w:spacing w:line="360" w:lineRule="auto"/>
        <w:ind w:firstLine="1440"/>
      </w:pPr>
      <w:r>
        <w:t xml:space="preserve">In its Preliminary Objections, Respondent requests that </w:t>
      </w:r>
      <w:r w:rsidR="00D82CCD">
        <w:t xml:space="preserve">the Complainant’s </w:t>
      </w:r>
      <w:r>
        <w:t xml:space="preserve">demand for monetary compensation be </w:t>
      </w:r>
      <w:r w:rsidR="00775D75">
        <w:t>stricken from the Complaint as beyond the jurisdiction of the Commission, and that the Commission prohibit any testimony from the Complainant related to monetary</w:t>
      </w:r>
      <w:r>
        <w:t xml:space="preserve"> damages</w:t>
      </w:r>
      <w:r w:rsidR="00156140">
        <w:t xml:space="preserve">.  </w:t>
      </w:r>
    </w:p>
    <w:p w:rsidR="00775D75" w:rsidRDefault="00775D75" w:rsidP="00D02BB0">
      <w:pPr>
        <w:spacing w:line="360" w:lineRule="auto"/>
        <w:ind w:firstLine="1440"/>
      </w:pPr>
    </w:p>
    <w:p w:rsidR="00F814C8" w:rsidRDefault="00F814C8" w:rsidP="00F814C8">
      <w:pPr>
        <w:spacing w:line="360" w:lineRule="auto"/>
        <w:jc w:val="center"/>
        <w:rPr>
          <w:u w:val="single"/>
        </w:rPr>
      </w:pPr>
      <w:r>
        <w:rPr>
          <w:u w:val="single"/>
        </w:rPr>
        <w:t>DISCUSSION</w:t>
      </w:r>
    </w:p>
    <w:p w:rsidR="00F814C8" w:rsidRDefault="00F814C8" w:rsidP="00F814C8">
      <w:pPr>
        <w:spacing w:line="360" w:lineRule="auto"/>
        <w:jc w:val="center"/>
        <w:rPr>
          <w:u w:val="single"/>
        </w:rPr>
      </w:pPr>
    </w:p>
    <w:p w:rsidR="00F814C8" w:rsidRDefault="00F814C8" w:rsidP="00F814C8">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F814C8" w:rsidRDefault="00F814C8" w:rsidP="00F814C8">
      <w:pPr>
        <w:spacing w:line="360" w:lineRule="auto"/>
      </w:pPr>
    </w:p>
    <w:p w:rsidR="00F814C8" w:rsidRDefault="00F814C8" w:rsidP="00F814C8">
      <w:pPr>
        <w:spacing w:line="360" w:lineRule="auto"/>
        <w:ind w:left="720" w:firstLine="720"/>
      </w:pPr>
      <w:r>
        <w:t>Preliminary objections are limited to the following:</w:t>
      </w:r>
    </w:p>
    <w:p w:rsidR="00F814C8" w:rsidRDefault="00F814C8" w:rsidP="00F814C8">
      <w:pPr>
        <w:spacing w:line="360" w:lineRule="auto"/>
      </w:pPr>
    </w:p>
    <w:p w:rsidR="00F814C8" w:rsidRDefault="00F814C8" w:rsidP="00F814C8">
      <w:pPr>
        <w:ind w:left="1440" w:right="1440"/>
        <w:rPr>
          <w:b/>
        </w:rPr>
      </w:pPr>
      <w:r>
        <w:rPr>
          <w:b/>
        </w:rPr>
        <w:t>§ 5.101.  Preliminary objections.</w:t>
      </w:r>
    </w:p>
    <w:p w:rsidR="00D82CCD" w:rsidRDefault="00D82CCD" w:rsidP="00F814C8">
      <w:pPr>
        <w:ind w:left="1440" w:right="1440"/>
      </w:pPr>
    </w:p>
    <w:p w:rsidR="00F814C8" w:rsidRDefault="00F814C8" w:rsidP="00F814C8">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814C8" w:rsidRDefault="00F814C8" w:rsidP="00F814C8">
      <w:pPr>
        <w:ind w:left="1440" w:right="1440"/>
        <w:rPr>
          <w:i/>
        </w:rPr>
      </w:pPr>
    </w:p>
    <w:p w:rsidR="00F814C8" w:rsidRDefault="00F814C8" w:rsidP="00F814C8">
      <w:pPr>
        <w:ind w:left="1440" w:right="1440"/>
      </w:pPr>
      <w:r>
        <w:t>(1)  Lack of Commission jurisdiction or improper service of the pleading initiating the proceeding.</w:t>
      </w:r>
    </w:p>
    <w:p w:rsidR="00F814C8" w:rsidRDefault="00F814C8" w:rsidP="00F814C8">
      <w:pPr>
        <w:ind w:left="1440" w:right="1440"/>
      </w:pPr>
    </w:p>
    <w:p w:rsidR="00F814C8" w:rsidRDefault="00F814C8" w:rsidP="00F814C8">
      <w:pPr>
        <w:ind w:left="1440" w:right="1440"/>
      </w:pPr>
      <w:r>
        <w:t>(2)  Failure of a pleading to conform to this chapter or the inclusion of scandalous or impertinent matter.</w:t>
      </w:r>
    </w:p>
    <w:p w:rsidR="00F814C8" w:rsidRDefault="00F814C8" w:rsidP="00F814C8">
      <w:pPr>
        <w:ind w:left="1440" w:right="1440"/>
      </w:pPr>
    </w:p>
    <w:p w:rsidR="00F814C8" w:rsidRDefault="00F814C8" w:rsidP="00F814C8">
      <w:pPr>
        <w:ind w:left="1440" w:right="1440"/>
      </w:pPr>
      <w:r>
        <w:t>(3)  Insufficient specificity of a pleading.</w:t>
      </w:r>
    </w:p>
    <w:p w:rsidR="00F814C8" w:rsidRDefault="00F814C8" w:rsidP="00F814C8">
      <w:pPr>
        <w:ind w:left="1440" w:right="1440"/>
      </w:pPr>
    </w:p>
    <w:p w:rsidR="00F814C8" w:rsidRDefault="00F814C8" w:rsidP="00F814C8">
      <w:pPr>
        <w:ind w:left="1440" w:right="1440"/>
      </w:pPr>
      <w:r>
        <w:lastRenderedPageBreak/>
        <w:t>(4)  Legal insufficiency of a pleading.</w:t>
      </w:r>
    </w:p>
    <w:p w:rsidR="00F814C8" w:rsidRDefault="00F814C8" w:rsidP="00F814C8">
      <w:pPr>
        <w:ind w:left="1440" w:right="1440"/>
      </w:pPr>
    </w:p>
    <w:p w:rsidR="00F814C8" w:rsidRDefault="00F814C8" w:rsidP="00F814C8">
      <w:pPr>
        <w:ind w:left="1440" w:right="1440"/>
      </w:pPr>
      <w:r>
        <w:t>(5) Lack of capacity to sue, nonjoinder of a necessary party or misjoinder of a cause of action.</w:t>
      </w:r>
    </w:p>
    <w:p w:rsidR="00F814C8" w:rsidRDefault="00F814C8" w:rsidP="00F814C8">
      <w:pPr>
        <w:ind w:left="1440" w:right="1440"/>
      </w:pPr>
    </w:p>
    <w:p w:rsidR="00F814C8" w:rsidRDefault="00F814C8" w:rsidP="00F814C8">
      <w:pPr>
        <w:ind w:left="1440" w:right="1440"/>
      </w:pPr>
      <w:r>
        <w:t>(6)  Pendency of a prior proceeding or agreement for alternative dispute resolution.</w:t>
      </w:r>
    </w:p>
    <w:p w:rsidR="00F814C8" w:rsidRDefault="00F814C8" w:rsidP="00F814C8">
      <w:pPr>
        <w:spacing w:line="360" w:lineRule="auto"/>
      </w:pPr>
      <w:r>
        <w:tab/>
      </w:r>
      <w:r>
        <w:tab/>
      </w:r>
    </w:p>
    <w:p w:rsidR="00F814C8" w:rsidRDefault="00F814C8" w:rsidP="00F814C8">
      <w:pPr>
        <w:spacing w:line="360" w:lineRule="auto"/>
      </w:pPr>
      <w:r>
        <w:tab/>
      </w:r>
      <w:r>
        <w:tab/>
        <w:t>When considering preliminary objection</w:t>
      </w:r>
      <w:r w:rsidR="00271FF8">
        <w:t>s</w:t>
      </w:r>
      <w:r>
        <w:t xml:space="preserve">, the Commission must determine “whether the law says with certainty, based on well-pleading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w:t>
      </w:r>
      <w:r w:rsidR="0090680D">
        <w:t>Cmwlth</w:t>
      </w:r>
      <w:r>
        <w:t xml:space="preserve">. 2002).”  </w:t>
      </w:r>
      <w:r w:rsidRPr="00F87999">
        <w:rPr>
          <w:i/>
        </w:rPr>
        <w:t xml:space="preserve">Dept. of Auditor General, et al. v. State Employees’ Retirement System, et al., </w:t>
      </w:r>
      <w:r>
        <w:t xml:space="preserve">836 A.2d 1053, 1064 (Pa. Cmwlth. 2003).  </w:t>
      </w:r>
      <w:r>
        <w:rPr>
          <w:i/>
        </w:rPr>
        <w:t xml:space="preserve"> </w:t>
      </w:r>
    </w:p>
    <w:p w:rsidR="00F814C8" w:rsidRDefault="00F814C8" w:rsidP="00F814C8">
      <w:pPr>
        <w:spacing w:line="360" w:lineRule="auto"/>
      </w:pPr>
    </w:p>
    <w:p w:rsidR="000962F2" w:rsidRPr="007F27A1" w:rsidRDefault="000962F2" w:rsidP="000962F2">
      <w:pPr>
        <w:tabs>
          <w:tab w:val="left" w:pos="-1440"/>
          <w:tab w:val="left" w:pos="-720"/>
        </w:tabs>
        <w:suppressAutoHyphens/>
        <w:spacing w:line="360" w:lineRule="auto"/>
        <w:ind w:firstLine="1440"/>
      </w:pPr>
      <w:r w:rsidRPr="007F27A1">
        <w:t xml:space="preserve">Commission preliminary motion practice is comparable to Pennsylvania civil practice respecting the filing of preliminary objections.  </w:t>
      </w:r>
      <w:r w:rsidRPr="007F27A1">
        <w:rPr>
          <w:i/>
        </w:rPr>
        <w:t xml:space="preserve">Equitable Small Transportation Intervenors v. Equitable Gas Company, </w:t>
      </w:r>
      <w:r w:rsidRPr="007F27A1">
        <w:t>1994 Pa. PUC LEXIS 69, Docket No. C-00935435 (July 18, 1994).</w:t>
      </w:r>
    </w:p>
    <w:p w:rsidR="00863916" w:rsidRDefault="00863916" w:rsidP="000962F2">
      <w:pPr>
        <w:tabs>
          <w:tab w:val="left" w:pos="-1440"/>
          <w:tab w:val="left" w:pos="-720"/>
        </w:tabs>
        <w:suppressAutoHyphens/>
        <w:spacing w:line="360" w:lineRule="auto"/>
        <w:ind w:firstLine="1440"/>
      </w:pPr>
    </w:p>
    <w:p w:rsidR="000962F2" w:rsidRPr="007F27A1" w:rsidRDefault="000962F2" w:rsidP="000962F2">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w:t>
      </w:r>
      <w:proofErr w:type="spellStart"/>
      <w:r w:rsidRPr="007F27A1">
        <w:rPr>
          <w:i/>
        </w:rPr>
        <w:t>Martorano</w:t>
      </w:r>
      <w:proofErr w:type="spellEnd"/>
      <w:r w:rsidRPr="007F27A1">
        <w:rPr>
          <w:i/>
        </w:rPr>
        <w:t xml:space="preserve">, </w:t>
      </w:r>
      <w:r w:rsidRPr="007F27A1">
        <w:t xml:space="preserve">427 Pa. 581, 235 A.2d 602(1967).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A.2d 548 (1989), </w:t>
      </w:r>
      <w:proofErr w:type="spellStart"/>
      <w:r w:rsidRPr="007F27A1">
        <w:rPr>
          <w:i/>
        </w:rPr>
        <w:t>Edan</w:t>
      </w:r>
      <w:proofErr w:type="spellEnd"/>
      <w:r w:rsidRPr="007F27A1">
        <w:rPr>
          <w:i/>
        </w:rPr>
        <w:t xml:space="preserve"> Transportation Corp. v. PUC, </w:t>
      </w:r>
      <w:r w:rsidRPr="007F27A1">
        <w:t xml:space="preserve">154 Pa.Cmwlth. 21, 623 A.2d 6 (1993).  </w:t>
      </w:r>
    </w:p>
    <w:p w:rsidR="000962F2" w:rsidRDefault="000962F2" w:rsidP="000962F2">
      <w:pPr>
        <w:tabs>
          <w:tab w:val="left" w:pos="-1440"/>
          <w:tab w:val="left" w:pos="-720"/>
        </w:tabs>
        <w:suppressAutoHyphens/>
        <w:spacing w:line="360" w:lineRule="auto"/>
        <w:ind w:firstLine="1440"/>
      </w:pPr>
    </w:p>
    <w:p w:rsidR="000962F2" w:rsidRDefault="000962F2" w:rsidP="000962F2">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 xml:space="preserve">Interstate </w:t>
      </w:r>
      <w:proofErr w:type="spellStart"/>
      <w:r w:rsidRPr="001D56D9">
        <w:rPr>
          <w:i/>
        </w:rPr>
        <w:t>Traveller</w:t>
      </w:r>
      <w:proofErr w:type="spellEnd"/>
      <w:r w:rsidRPr="001D56D9">
        <w:rPr>
          <w:i/>
        </w:rPr>
        <w:t xml:space="preserve"> Services, Inc. v. Pa. Dept. of Environment Resources,</w:t>
      </w:r>
      <w:r>
        <w:t xml:space="preserve"> 406 A.2d 1020 (Pa. 1979); </w:t>
      </w:r>
      <w:r w:rsidRPr="001D56D9">
        <w:rPr>
          <w:i/>
        </w:rPr>
        <w:t xml:space="preserve">Rivera v. Philadelphia Theological Seminary of St. Charles </w:t>
      </w:r>
      <w:proofErr w:type="spellStart"/>
      <w:r w:rsidRPr="001D56D9">
        <w:rPr>
          <w:i/>
        </w:rPr>
        <w:t>Borromeo</w:t>
      </w:r>
      <w:proofErr w:type="spellEnd"/>
      <w:r w:rsidRPr="001D56D9">
        <w:rPr>
          <w:i/>
        </w:rPr>
        <w:t>, Inc.</w:t>
      </w:r>
      <w:r>
        <w:t xml:space="preserve">, 595 A.2d 172 (Pa. </w:t>
      </w:r>
      <w:r>
        <w:lastRenderedPageBreak/>
        <w:t xml:space="preserve">Super 1991).  The Commission follows this standard.  </w:t>
      </w:r>
      <w:proofErr w:type="gramStart"/>
      <w:r>
        <w:rPr>
          <w:i/>
        </w:rPr>
        <w:t>Montague v. Philadelphia Electric Company,</w:t>
      </w:r>
      <w:r>
        <w:t xml:space="preserve"> 66 Pa.</w:t>
      </w:r>
      <w:r w:rsidR="00934BA5">
        <w:t xml:space="preserve"> </w:t>
      </w:r>
      <w:r>
        <w:t>PUC 24 (1988).</w:t>
      </w:r>
      <w:proofErr w:type="gramEnd"/>
    </w:p>
    <w:p w:rsidR="000962F2" w:rsidRDefault="000962F2" w:rsidP="000962F2">
      <w:pPr>
        <w:tabs>
          <w:tab w:val="left" w:pos="-1440"/>
          <w:tab w:val="left" w:pos="-720"/>
        </w:tabs>
        <w:suppressAutoHyphens/>
        <w:spacing w:line="360" w:lineRule="auto"/>
        <w:ind w:firstLine="1440"/>
      </w:pPr>
    </w:p>
    <w:p w:rsidR="000962F2" w:rsidRDefault="00D82CCD" w:rsidP="000962F2">
      <w:pPr>
        <w:tabs>
          <w:tab w:val="left" w:pos="-1440"/>
          <w:tab w:val="left" w:pos="-720"/>
        </w:tabs>
        <w:suppressAutoHyphens/>
        <w:spacing w:line="360" w:lineRule="auto"/>
        <w:ind w:firstLine="1440"/>
      </w:pPr>
      <w:r>
        <w:t>However, t</w:t>
      </w:r>
      <w:r w:rsidR="000962F2">
        <w:t xml:space="preserve">he Commission must view </w:t>
      </w:r>
      <w:r>
        <w:t>a</w:t>
      </w:r>
      <w:r w:rsidR="000962F2">
        <w:t xml:space="preserve"> complaint in the light most favorable to Complainant and should dismiss </w:t>
      </w:r>
      <w:r>
        <w:t>a</w:t>
      </w:r>
      <w:r w:rsidR="000962F2">
        <w:t xml:space="preserve"> complaint only if it appears that the Complainant would not be entitled to relief </w:t>
      </w:r>
      <w:r w:rsidR="000962F2" w:rsidRPr="00D82CCD">
        <w:rPr>
          <w:i/>
        </w:rPr>
        <w:t>under any circumstances</w:t>
      </w:r>
      <w:r w:rsidR="000962F2">
        <w:t xml:space="preserve"> as a matter of law.  </w:t>
      </w:r>
      <w:r w:rsidR="000962F2">
        <w:rPr>
          <w:i/>
        </w:rPr>
        <w:t xml:space="preserve">Equitable Small Transportation Intervenors v. Equitable Gas Company, </w:t>
      </w:r>
      <w:r w:rsidR="000962F2">
        <w:t xml:space="preserve">1994 Pa PUC LEXIS 69, Docket No. </w:t>
      </w:r>
      <w:proofErr w:type="gramStart"/>
      <w:r w:rsidR="000962F2">
        <w:t>C-00935435 (1994).</w:t>
      </w:r>
      <w:proofErr w:type="gramEnd"/>
      <w:r>
        <w:t xml:space="preserve"> (</w:t>
      </w:r>
      <w:proofErr w:type="gramStart"/>
      <w:r>
        <w:t>emphasis</w:t>
      </w:r>
      <w:proofErr w:type="gramEnd"/>
      <w:r>
        <w:t xml:space="preserve"> added)</w:t>
      </w:r>
    </w:p>
    <w:p w:rsidR="00D82CCD" w:rsidRDefault="00D82CCD" w:rsidP="000962F2">
      <w:pPr>
        <w:tabs>
          <w:tab w:val="left" w:pos="-1440"/>
          <w:tab w:val="left" w:pos="-720"/>
        </w:tabs>
        <w:suppressAutoHyphens/>
        <w:spacing w:line="360" w:lineRule="auto"/>
        <w:ind w:firstLine="1440"/>
      </w:pPr>
    </w:p>
    <w:p w:rsidR="00D82CCD" w:rsidRPr="00D82CCD" w:rsidRDefault="00D82CCD" w:rsidP="00D82CCD">
      <w:pPr>
        <w:tabs>
          <w:tab w:val="left" w:pos="-1440"/>
          <w:tab w:val="left" w:pos="-720"/>
        </w:tabs>
        <w:suppressAutoHyphens/>
        <w:spacing w:line="360" w:lineRule="auto"/>
        <w:ind w:firstLine="1440"/>
      </w:pPr>
      <w:r>
        <w:t>In this case, the</w:t>
      </w:r>
      <w:r w:rsidRPr="00D82CCD">
        <w:t xml:space="preserve"> Complainant is seeking compensatory damages for </w:t>
      </w:r>
      <w:r>
        <w:t xml:space="preserve">an alleged </w:t>
      </w:r>
      <w:r w:rsidR="0076191C">
        <w:t xml:space="preserve">unlawful </w:t>
      </w:r>
      <w:r>
        <w:t>action by</w:t>
      </w:r>
      <w:r w:rsidR="00775D75">
        <w:t xml:space="preserve"> Met Ed.</w:t>
      </w:r>
      <w:r>
        <w:t xml:space="preserve">  </w:t>
      </w:r>
      <w:r w:rsidR="0076191C">
        <w:t>However, i</w:t>
      </w:r>
      <w:r>
        <w:t xml:space="preserve">t is well established that </w:t>
      </w:r>
      <w:r w:rsidRPr="00D82CCD">
        <w:t>th</w:t>
      </w:r>
      <w:r>
        <w:t>e</w:t>
      </w:r>
      <w:r w:rsidRPr="00D82CCD">
        <w:t xml:space="preserve"> Commission lacks jurisdiction to award compensatory damages.  </w:t>
      </w:r>
      <w:r w:rsidRPr="00D82CCD">
        <w:rPr>
          <w:i/>
        </w:rPr>
        <w:t>See Feingold v. Bell of Pennsylvania,</w:t>
      </w:r>
      <w:r w:rsidRPr="00D82CCD">
        <w:t xml:space="preserve"> 477 Pa. 1, </w:t>
      </w:r>
      <w:proofErr w:type="gramStart"/>
      <w:r w:rsidRPr="00D82CCD">
        <w:t>383 A.2d 791</w:t>
      </w:r>
      <w:proofErr w:type="gramEnd"/>
      <w:r w:rsidRPr="00D82CCD">
        <w:t xml:space="preserve"> (1977).  52 Pa. Code §5.101(a</w:t>
      </w:r>
      <w:proofErr w:type="gramStart"/>
      <w:r w:rsidRPr="00D82CCD">
        <w:t>)(</w:t>
      </w:r>
      <w:proofErr w:type="gramEnd"/>
      <w:r w:rsidRPr="00D82CCD">
        <w:t>4).  Although th</w:t>
      </w:r>
      <w:r w:rsidR="0076191C">
        <w:t>e</w:t>
      </w:r>
      <w:r w:rsidRPr="00D82CCD">
        <w:t xml:space="preserve"> Commission has general jurisdiction over the rates and services of public utilities operating in Pennsylvania, </w:t>
      </w:r>
      <w:r>
        <w:t xml:space="preserve">the Commission has </w:t>
      </w:r>
      <w:r w:rsidRPr="00D82CCD">
        <w:t xml:space="preserve">only the powers and authority granted by the General Assembly in the Public Utility Code which does </w:t>
      </w:r>
      <w:r w:rsidRPr="00D82CCD">
        <w:rPr>
          <w:u w:val="single"/>
        </w:rPr>
        <w:t>not</w:t>
      </w:r>
      <w:r w:rsidRPr="00D82CCD">
        <w:t xml:space="preserve"> grant the Commission authority to award damages.  </w:t>
      </w:r>
      <w:r w:rsidRPr="00D82CCD">
        <w:rPr>
          <w:i/>
        </w:rPr>
        <w:t xml:space="preserve">See In Re: </w:t>
      </w:r>
      <w:proofErr w:type="spellStart"/>
      <w:r w:rsidRPr="00D82CCD">
        <w:rPr>
          <w:i/>
        </w:rPr>
        <w:t>Melograne</w:t>
      </w:r>
      <w:proofErr w:type="spellEnd"/>
      <w:r w:rsidRPr="00D82CCD">
        <w:rPr>
          <w:i/>
        </w:rPr>
        <w:t xml:space="preserve">, </w:t>
      </w:r>
      <w:proofErr w:type="gramStart"/>
      <w:r w:rsidRPr="00D82CCD">
        <w:t>812 A.2d 1164</w:t>
      </w:r>
      <w:proofErr w:type="gramEnd"/>
      <w:r w:rsidRPr="00D82CCD">
        <w:t xml:space="preserve"> (Pa. 2002); </w:t>
      </w:r>
      <w:proofErr w:type="spellStart"/>
      <w:r w:rsidRPr="00D82CCD">
        <w:rPr>
          <w:i/>
        </w:rPr>
        <w:t>Terminato</w:t>
      </w:r>
      <w:proofErr w:type="spellEnd"/>
      <w:r w:rsidRPr="00D82CCD">
        <w:rPr>
          <w:i/>
        </w:rPr>
        <w:t xml:space="preserve"> v. Pa. National Insurance Company, </w:t>
      </w:r>
      <w:r w:rsidRPr="00D82CCD">
        <w:t xml:space="preserve">645 A. 2d 1287 (Pa. 1994).  </w:t>
      </w:r>
    </w:p>
    <w:p w:rsidR="00D82CCD" w:rsidRDefault="00D82CCD" w:rsidP="000962F2">
      <w:pPr>
        <w:tabs>
          <w:tab w:val="left" w:pos="-1440"/>
          <w:tab w:val="left" w:pos="-720"/>
        </w:tabs>
        <w:suppressAutoHyphens/>
        <w:spacing w:line="360" w:lineRule="auto"/>
        <w:ind w:firstLine="1440"/>
      </w:pPr>
    </w:p>
    <w:p w:rsidR="00D061A5" w:rsidRDefault="00D82CCD" w:rsidP="00D061A5">
      <w:pPr>
        <w:tabs>
          <w:tab w:val="left" w:pos="-1440"/>
          <w:tab w:val="left" w:pos="-720"/>
        </w:tabs>
        <w:suppressAutoHyphens/>
        <w:spacing w:line="360" w:lineRule="auto"/>
        <w:ind w:firstLine="1440"/>
      </w:pPr>
      <w:r>
        <w:t xml:space="preserve">In its Preliminary Objections, </w:t>
      </w:r>
      <w:r w:rsidR="00594B84">
        <w:t>Met Ed</w:t>
      </w:r>
      <w:r>
        <w:t xml:space="preserve"> objects to the Complainant’s request for damages as “impertinent matter” under</w:t>
      </w:r>
      <w:r w:rsidRPr="00D82CCD">
        <w:t xml:space="preserve"> 52 Pa. Code § 5.101</w:t>
      </w:r>
      <w:r>
        <w:t xml:space="preserve">(a)(2) and asks that the Complainant’s prayer for relief in that regard be stricken.  I agree.  </w:t>
      </w:r>
      <w:r w:rsidR="00D061A5">
        <w:t xml:space="preserve">A prayer for damages which are not legally recoverable in the cause of action pleaded is “impertinent matter” in the sense that it is irrelevant to the cause of action.  </w:t>
      </w:r>
      <w:r w:rsidR="00D061A5">
        <w:rPr>
          <w:i/>
        </w:rPr>
        <w:t xml:space="preserve">See, Legion Ins. Co. v. </w:t>
      </w:r>
      <w:proofErr w:type="spellStart"/>
      <w:r w:rsidR="00D061A5">
        <w:rPr>
          <w:i/>
        </w:rPr>
        <w:t>Doeff</w:t>
      </w:r>
      <w:proofErr w:type="spellEnd"/>
      <w:r w:rsidR="00D061A5">
        <w:rPr>
          <w:i/>
        </w:rPr>
        <w:t xml:space="preserve">, </w:t>
      </w:r>
      <w:r w:rsidR="00D061A5">
        <w:t xml:space="preserve">2001 </w:t>
      </w:r>
      <w:proofErr w:type="spellStart"/>
      <w:r w:rsidR="00D061A5">
        <w:t>Phila</w:t>
      </w:r>
      <w:proofErr w:type="spellEnd"/>
      <w:r w:rsidR="00D061A5">
        <w:t>. Ct. Com. Pl. LEXIS 97 (2001).  A preliminary objection in the nature of a motion to strike off impertinent matter is the appropriate means to challenge an erroneous prayer for damages.</w:t>
      </w:r>
      <w:r>
        <w:t xml:space="preserve">  </w:t>
      </w:r>
      <w:r w:rsidR="00594B84">
        <w:t>Met Ed</w:t>
      </w:r>
      <w:r>
        <w:t xml:space="preserve">’s Preliminary Objections will be sustained and the </w:t>
      </w:r>
      <w:r w:rsidR="00972005">
        <w:t>(</w:t>
      </w:r>
      <w:r w:rsidR="0076191C">
        <w:t>implicit</w:t>
      </w:r>
      <w:r w:rsidR="00972005">
        <w:t>)</w:t>
      </w:r>
      <w:r w:rsidR="0076191C">
        <w:t xml:space="preserve"> </w:t>
      </w:r>
      <w:r>
        <w:t>Motion to Strike the prayer for relief will be granted.</w:t>
      </w:r>
      <w:r w:rsidR="005370C0">
        <w:t xml:space="preserve">  </w:t>
      </w:r>
      <w:r w:rsidR="0076191C">
        <w:t xml:space="preserve">While the </w:t>
      </w:r>
      <w:r w:rsidR="005370C0" w:rsidRPr="005370C0">
        <w:t xml:space="preserve">Respondent may ultimately face a civil penalty if Complainant meets his burden of proving inadequate service, Complainant cannot recover monetary damages from this administrative agency.  Requests for monetary damage should be made before a Court of Common Pleas or a district magistrate.  </w:t>
      </w:r>
    </w:p>
    <w:p w:rsidR="001E3ED5" w:rsidRDefault="0076191C" w:rsidP="001E3ED5">
      <w:pPr>
        <w:tabs>
          <w:tab w:val="left" w:pos="-1440"/>
          <w:tab w:val="left" w:pos="-720"/>
        </w:tabs>
        <w:suppressAutoHyphens/>
        <w:spacing w:line="360" w:lineRule="auto"/>
        <w:ind w:firstLine="1440"/>
      </w:pPr>
      <w:r>
        <w:lastRenderedPageBreak/>
        <w:t>A</w:t>
      </w:r>
      <w:r w:rsidR="001E3ED5">
        <w:t xml:space="preserve">lthough </w:t>
      </w:r>
      <w:r>
        <w:t>Complainant’s</w:t>
      </w:r>
      <w:r w:rsidR="001E3ED5">
        <w:t xml:space="preserve"> claim for damages must fail, the facts as averred in Complaint do raise an issue regarding </w:t>
      </w:r>
      <w:r w:rsidR="00594B84">
        <w:t>Met Ed</w:t>
      </w:r>
      <w:r w:rsidR="001E3ED5">
        <w:t>’s service</w:t>
      </w:r>
      <w:r>
        <w:t xml:space="preserve"> (unlawful termination)</w:t>
      </w:r>
      <w:r w:rsidR="00D82CCD">
        <w:t xml:space="preserve">, </w:t>
      </w:r>
      <w:r w:rsidR="001E3ED5">
        <w:t xml:space="preserve">and the Commission has jurisdiction over service disputes between utilities and customers.  66 Pa. C.S. §1501.  If </w:t>
      </w:r>
      <w:r w:rsidR="00D82CCD">
        <w:t>the Complainant’s</w:t>
      </w:r>
      <w:r w:rsidR="001E3ED5">
        <w:t xml:space="preserve"> allegations </w:t>
      </w:r>
      <w:r w:rsidR="005370C0">
        <w:t xml:space="preserve">with respect to adequacy of service </w:t>
      </w:r>
      <w:r w:rsidR="001E3ED5">
        <w:t xml:space="preserve">are proven by a preponderance of evidence at a hearing, they may well constitute a violation of the provisions of Section 1501 of the Public Utility Code, 66 Pa. C.S. § 101 </w:t>
      </w:r>
      <w:r w:rsidR="001E3ED5">
        <w:rPr>
          <w:i/>
        </w:rPr>
        <w:t>et seq.</w:t>
      </w:r>
      <w:r w:rsidR="001E3ED5">
        <w:t xml:space="preserve">; rendering less than adequate service.  </w:t>
      </w:r>
      <w:r w:rsidR="001E3ED5">
        <w:rPr>
          <w:i/>
        </w:rPr>
        <w:t xml:space="preserve">Honey Brook Water Co. v. Pa. Public Utility Commission, </w:t>
      </w:r>
      <w:r w:rsidR="001E3ED5">
        <w:t xml:space="preserve">167 Pa.Cmwlth. </w:t>
      </w:r>
      <w:proofErr w:type="gramStart"/>
      <w:r w:rsidR="001E3ED5">
        <w:t xml:space="preserve">140, 647 A.2d 653 (1994), </w:t>
      </w:r>
      <w:r w:rsidR="001E3ED5" w:rsidRPr="00934BA5">
        <w:rPr>
          <w:i/>
        </w:rPr>
        <w:t>a</w:t>
      </w:r>
      <w:r w:rsidR="00934BA5">
        <w:rPr>
          <w:i/>
        </w:rPr>
        <w:t>pp</w:t>
      </w:r>
      <w:r w:rsidR="00934BA5" w:rsidRPr="00934BA5">
        <w:rPr>
          <w:i/>
        </w:rPr>
        <w:t>.</w:t>
      </w:r>
      <w:r w:rsidR="001E3ED5" w:rsidRPr="00934BA5">
        <w:rPr>
          <w:i/>
        </w:rPr>
        <w:t xml:space="preserve"> </w:t>
      </w:r>
      <w:r w:rsidR="00934BA5" w:rsidRPr="00934BA5">
        <w:rPr>
          <w:i/>
        </w:rPr>
        <w:t>d</w:t>
      </w:r>
      <w:r w:rsidR="001E3ED5" w:rsidRPr="00934BA5">
        <w:rPr>
          <w:i/>
        </w:rPr>
        <w:t>enied</w:t>
      </w:r>
      <w:r w:rsidR="001E3ED5">
        <w:t>, 540 Pa. 587, 655 A.2d 518 (1995).</w:t>
      </w:r>
      <w:proofErr w:type="gramEnd"/>
      <w:r w:rsidR="001E3ED5">
        <w:t xml:space="preserve">  </w:t>
      </w:r>
      <w:r w:rsidR="00F83F79">
        <w:t xml:space="preserve"> Prior to the scheduling of a hearing</w:t>
      </w:r>
      <w:r>
        <w:t>,</w:t>
      </w:r>
      <w:r w:rsidR="00F83F79">
        <w:t xml:space="preserve"> th</w:t>
      </w:r>
      <w:r>
        <w:t>is</w:t>
      </w:r>
      <w:r w:rsidR="005370C0" w:rsidRPr="005370C0">
        <w:t xml:space="preserve"> </w:t>
      </w:r>
      <w:r>
        <w:t>matter</w:t>
      </w:r>
      <w:r w:rsidR="005370C0" w:rsidRPr="005370C0">
        <w:t xml:space="preserve"> will be referred to the Commission’s Mediation Unit for review and appropriate action.</w:t>
      </w:r>
    </w:p>
    <w:p w:rsidR="001E3ED5" w:rsidRDefault="001E3ED5" w:rsidP="001E3ED5">
      <w:pPr>
        <w:spacing w:line="360" w:lineRule="auto"/>
      </w:pPr>
    </w:p>
    <w:p w:rsidR="001E3ED5" w:rsidRDefault="001E3ED5" w:rsidP="001E3ED5">
      <w:pPr>
        <w:spacing w:line="360" w:lineRule="auto"/>
      </w:pPr>
      <w:r>
        <w:tab/>
      </w:r>
      <w:r w:rsidR="00F814C8">
        <w:tab/>
      </w:r>
      <w:r>
        <w:t>THEREFORE,</w:t>
      </w:r>
    </w:p>
    <w:p w:rsidR="001E3ED5" w:rsidRDefault="001E3ED5" w:rsidP="001E3ED5">
      <w:pPr>
        <w:spacing w:line="360" w:lineRule="auto"/>
      </w:pPr>
    </w:p>
    <w:p w:rsidR="001E3ED5" w:rsidRDefault="001E3ED5" w:rsidP="001E3ED5">
      <w:pPr>
        <w:spacing w:line="360" w:lineRule="auto"/>
      </w:pPr>
      <w:r>
        <w:tab/>
      </w:r>
      <w:r>
        <w:tab/>
        <w:t>IT IS ORDERED:</w:t>
      </w:r>
    </w:p>
    <w:p w:rsidR="001E3ED5" w:rsidRDefault="001E3ED5" w:rsidP="001E3ED5">
      <w:pPr>
        <w:spacing w:line="360" w:lineRule="auto"/>
      </w:pPr>
    </w:p>
    <w:p w:rsidR="001E3ED5" w:rsidRDefault="001E3ED5" w:rsidP="001E3ED5">
      <w:pPr>
        <w:spacing w:line="360" w:lineRule="auto"/>
      </w:pPr>
      <w:r>
        <w:tab/>
      </w:r>
      <w:r>
        <w:tab/>
        <w:t>1.</w:t>
      </w:r>
      <w:r w:rsidRPr="001E3ED5">
        <w:t xml:space="preserve"> </w:t>
      </w:r>
      <w:r>
        <w:tab/>
        <w:t xml:space="preserve">That the Preliminary Objections filed by </w:t>
      </w:r>
      <w:r w:rsidR="00594B84">
        <w:t xml:space="preserve">Metropolitan Edison Company </w:t>
      </w:r>
      <w:r>
        <w:t>in the case</w:t>
      </w:r>
      <w:r w:rsidRPr="001E3ED5">
        <w:t xml:space="preserve"> </w:t>
      </w:r>
      <w:r>
        <w:t>captioned</w:t>
      </w:r>
      <w:r w:rsidR="00D82CCD">
        <w:t xml:space="preserve"> </w:t>
      </w:r>
      <w:r w:rsidR="00594B84">
        <w:rPr>
          <w:i/>
        </w:rPr>
        <w:t xml:space="preserve">Timothy R. Stump </w:t>
      </w:r>
      <w:r w:rsidR="00D82CCD" w:rsidRPr="00D82CCD">
        <w:rPr>
          <w:i/>
        </w:rPr>
        <w:t xml:space="preserve"> v. </w:t>
      </w:r>
      <w:r w:rsidR="00594B84">
        <w:rPr>
          <w:i/>
        </w:rPr>
        <w:t>Metropolitan Edison Company</w:t>
      </w:r>
      <w:r>
        <w:t xml:space="preserve">, </w:t>
      </w:r>
      <w:r w:rsidR="001060C5">
        <w:t xml:space="preserve">Pa. </w:t>
      </w:r>
      <w:r>
        <w:t>PUC Docket No. C-201</w:t>
      </w:r>
      <w:r w:rsidR="00D82CCD">
        <w:t>2</w:t>
      </w:r>
      <w:r>
        <w:t>-2</w:t>
      </w:r>
      <w:r w:rsidR="00594B84">
        <w:t>313345</w:t>
      </w:r>
      <w:r>
        <w:t xml:space="preserve">, are </w:t>
      </w:r>
      <w:r w:rsidR="00D82CCD">
        <w:t>sustained</w:t>
      </w:r>
      <w:r w:rsidR="002F3C07">
        <w:t xml:space="preserve"> with respect to the lack of jurisdiction of the Commission to award monetary damages</w:t>
      </w:r>
      <w:r>
        <w:t>.</w:t>
      </w:r>
    </w:p>
    <w:p w:rsidR="001E3ED5" w:rsidRDefault="001E3ED5" w:rsidP="001E3ED5">
      <w:pPr>
        <w:spacing w:line="360" w:lineRule="auto"/>
      </w:pPr>
    </w:p>
    <w:p w:rsidR="001E3ED5" w:rsidRDefault="001E3ED5" w:rsidP="001E3ED5">
      <w:pPr>
        <w:spacing w:line="360" w:lineRule="auto"/>
      </w:pPr>
      <w:r>
        <w:tab/>
      </w:r>
      <w:r>
        <w:tab/>
        <w:t>2.</w:t>
      </w:r>
      <w:r>
        <w:tab/>
        <w:t xml:space="preserve">That </w:t>
      </w:r>
      <w:r w:rsidR="00D82CCD">
        <w:t xml:space="preserve">the Motion to Strike the </w:t>
      </w:r>
      <w:r>
        <w:t xml:space="preserve">Complainant’s </w:t>
      </w:r>
      <w:r w:rsidR="00D82CCD">
        <w:t xml:space="preserve">prayer for relief in the form of monetary damages is granted, and the </w:t>
      </w:r>
      <w:r w:rsidR="002F3C07">
        <w:t xml:space="preserve">related request </w:t>
      </w:r>
      <w:r w:rsidR="00D82CCD">
        <w:t xml:space="preserve">for relief in the Complaint filed at </w:t>
      </w:r>
      <w:r w:rsidR="001060C5">
        <w:t xml:space="preserve">Pa. </w:t>
      </w:r>
      <w:r w:rsidR="00D82CCD" w:rsidRPr="00D82CCD">
        <w:t>PUC Docket No. C-2012-</w:t>
      </w:r>
      <w:r w:rsidR="00594B84">
        <w:t>2313345</w:t>
      </w:r>
      <w:r w:rsidR="00D82CCD">
        <w:t xml:space="preserve"> is </w:t>
      </w:r>
      <w:r>
        <w:t>stricken.</w:t>
      </w:r>
    </w:p>
    <w:p w:rsidR="002F3C07" w:rsidRDefault="002F3C07" w:rsidP="001E3ED5">
      <w:pPr>
        <w:spacing w:line="360" w:lineRule="auto"/>
      </w:pPr>
    </w:p>
    <w:p w:rsidR="002F3C07" w:rsidRDefault="002F3C07" w:rsidP="001E3ED5">
      <w:pPr>
        <w:spacing w:line="360" w:lineRule="auto"/>
      </w:pPr>
      <w:r>
        <w:tab/>
      </w:r>
      <w:r>
        <w:tab/>
        <w:t>3.</w:t>
      </w:r>
      <w:r>
        <w:tab/>
      </w:r>
      <w:r w:rsidRPr="002F3C07">
        <w:t>That those portions of the Complaint of T</w:t>
      </w:r>
      <w:r>
        <w:t>imothy Stump</w:t>
      </w:r>
      <w:r w:rsidRPr="002F3C07">
        <w:t xml:space="preserve"> against </w:t>
      </w:r>
      <w:r>
        <w:t xml:space="preserve">Metropolitan Edison Company </w:t>
      </w:r>
      <w:r w:rsidRPr="002F3C07">
        <w:t>at Docket No. C-201</w:t>
      </w:r>
      <w:r>
        <w:t>2</w:t>
      </w:r>
      <w:r w:rsidRPr="002F3C07">
        <w:t>-</w:t>
      </w:r>
      <w:r>
        <w:t>2313345</w:t>
      </w:r>
      <w:r w:rsidRPr="002F3C07">
        <w:t xml:space="preserve"> with respect to quality of service will be referred to the Commission’s Mediation Unit for mediation review.</w:t>
      </w:r>
    </w:p>
    <w:p w:rsidR="001E3ED5" w:rsidRDefault="001E3ED5" w:rsidP="001E3ED5">
      <w:pPr>
        <w:spacing w:line="360" w:lineRule="auto"/>
      </w:pPr>
    </w:p>
    <w:p w:rsidR="0076191C" w:rsidRDefault="0076191C" w:rsidP="001E3ED5">
      <w:pPr>
        <w:spacing w:line="360" w:lineRule="auto"/>
      </w:pPr>
    </w:p>
    <w:p w:rsidR="00972005" w:rsidRDefault="00972005" w:rsidP="001E3ED5">
      <w:pPr>
        <w:spacing w:line="360" w:lineRule="auto"/>
      </w:pPr>
    </w:p>
    <w:p w:rsidR="005370C0" w:rsidRDefault="001E3ED5" w:rsidP="00D82CCD">
      <w:pPr>
        <w:spacing w:line="360" w:lineRule="auto"/>
      </w:pPr>
      <w:r>
        <w:lastRenderedPageBreak/>
        <w:tab/>
      </w:r>
      <w:r>
        <w:tab/>
      </w:r>
      <w:r w:rsidR="005370C0">
        <w:t>4.</w:t>
      </w:r>
      <w:r w:rsidR="005370C0">
        <w:tab/>
      </w:r>
      <w:r w:rsidR="005370C0" w:rsidRPr="005370C0">
        <w:t>That should the parties fail to resolve the matter with the aid of the mediator, th</w:t>
      </w:r>
      <w:r w:rsidR="005370C0">
        <w:t>e Complaint at Docket No. C-2012</w:t>
      </w:r>
      <w:r w:rsidR="005370C0" w:rsidRPr="005370C0">
        <w:t>-2</w:t>
      </w:r>
      <w:r w:rsidR="005370C0">
        <w:t>313345</w:t>
      </w:r>
      <w:r w:rsidR="005370C0" w:rsidRPr="005370C0">
        <w:t xml:space="preserve"> shall be scheduled for hearing.</w:t>
      </w:r>
    </w:p>
    <w:p w:rsidR="00F814C8" w:rsidRDefault="00913550" w:rsidP="00F814C8">
      <w:pPr>
        <w:spacing w:line="360" w:lineRule="auto"/>
      </w:pPr>
      <w:r>
        <w:tab/>
      </w:r>
      <w:r>
        <w:tab/>
      </w:r>
    </w:p>
    <w:p w:rsidR="000962F2" w:rsidRPr="007F27A1" w:rsidRDefault="000962F2" w:rsidP="000962F2">
      <w:pPr>
        <w:spacing w:line="360" w:lineRule="auto"/>
      </w:pPr>
      <w:r>
        <w:tab/>
      </w:r>
      <w:r>
        <w:tab/>
      </w:r>
    </w:p>
    <w:p w:rsidR="000962F2" w:rsidRDefault="000962F2" w:rsidP="000962F2">
      <w:r>
        <w:t xml:space="preserve">Date:  </w:t>
      </w:r>
      <w:r w:rsidR="00594B84">
        <w:rPr>
          <w:u w:val="single"/>
        </w:rPr>
        <w:t>September 18</w:t>
      </w:r>
      <w:r w:rsidR="00D82CCD">
        <w:rPr>
          <w:u w:val="single"/>
        </w:rPr>
        <w:t>, 2012</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85531B" w:rsidRPr="00CF4780" w:rsidRDefault="000962F2" w:rsidP="001E3ED5">
      <w:r w:rsidRPr="007F27A1">
        <w:tab/>
      </w:r>
      <w:r w:rsidRPr="007F27A1">
        <w:tab/>
      </w:r>
      <w:r w:rsidRPr="007F27A1">
        <w:tab/>
      </w:r>
      <w:r w:rsidRPr="007F27A1">
        <w:tab/>
      </w:r>
      <w:r w:rsidRPr="007F27A1">
        <w:tab/>
      </w:r>
      <w:r w:rsidR="00D1767C">
        <w:tab/>
      </w:r>
      <w:r w:rsidRPr="007F27A1">
        <w:t>Administrative Law Judge</w:t>
      </w:r>
    </w:p>
    <w:sectPr w:rsidR="0085531B" w:rsidRPr="00CF478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19" w:rsidRDefault="00195219">
      <w:r>
        <w:separator/>
      </w:r>
    </w:p>
  </w:endnote>
  <w:endnote w:type="continuationSeparator" w:id="0">
    <w:p w:rsidR="00195219" w:rsidRDefault="0019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726CC4">
      <w:rPr>
        <w:rStyle w:val="PageNumber"/>
        <w:noProof/>
      </w:rPr>
      <w:t>1</w:t>
    </w:r>
    <w:r>
      <w:rPr>
        <w:rStyle w:val="PageNumber"/>
      </w:rPr>
      <w:fldChar w:fldCharType="end"/>
    </w:r>
  </w:p>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19" w:rsidRDefault="00195219">
      <w:r>
        <w:separator/>
      </w:r>
    </w:p>
  </w:footnote>
  <w:footnote w:type="continuationSeparator" w:id="0">
    <w:p w:rsidR="00195219" w:rsidRDefault="00195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65C6-3D2E-429F-B4D8-02DCE53E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2</cp:revision>
  <cp:lastPrinted>2012-02-07T20:24:00Z</cp:lastPrinted>
  <dcterms:created xsi:type="dcterms:W3CDTF">2012-09-18T18:24:00Z</dcterms:created>
  <dcterms:modified xsi:type="dcterms:W3CDTF">2012-09-18T18:24:00Z</dcterms:modified>
</cp:coreProperties>
</file>