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15C4E" w:rsidRPr="00555AB2" w:rsidRDefault="00E15C4E" w:rsidP="00E15C4E">
      <w:pPr>
        <w:rPr>
          <w:bCs/>
        </w:rPr>
      </w:pPr>
    </w:p>
    <w:p w:rsidR="00E15C4E" w:rsidRPr="00555AB2" w:rsidRDefault="00E15C4E" w:rsidP="00E15C4E">
      <w:pPr>
        <w:rPr>
          <w:bCs/>
        </w:rPr>
      </w:pPr>
    </w:p>
    <w:p w:rsidR="00E15C4E" w:rsidRDefault="00E15C4E" w:rsidP="00E15C4E">
      <w:r>
        <w:t>Petition of PPL Electric Utilities Corporation</w:t>
      </w:r>
      <w:r>
        <w:tab/>
        <w:t>:</w:t>
      </w:r>
    </w:p>
    <w:p w:rsidR="00E15C4E" w:rsidRDefault="00E15C4E" w:rsidP="00E15C4E">
      <w:r>
        <w:t xml:space="preserve">For an Evidentiary Hearing on the Energy </w:t>
      </w:r>
      <w:r>
        <w:tab/>
      </w:r>
      <w:r>
        <w:tab/>
        <w:t>:</w:t>
      </w:r>
      <w:r>
        <w:tab/>
        <w:t>P-2012-2320369</w:t>
      </w:r>
    </w:p>
    <w:p w:rsidR="00E15C4E" w:rsidRDefault="00E15C4E" w:rsidP="00E15C4E">
      <w:r>
        <w:t>Efficiency Benchmarks Established for the Period</w:t>
      </w:r>
      <w:r>
        <w:tab/>
        <w:t>:</w:t>
      </w:r>
      <w:r>
        <w:tab/>
      </w:r>
    </w:p>
    <w:p w:rsidR="00E15C4E" w:rsidRDefault="00E15C4E" w:rsidP="00E15C4E">
      <w:r>
        <w:t>June 1, 2013 through May 31, 2016</w:t>
      </w:r>
      <w:r>
        <w:tab/>
      </w:r>
      <w:r>
        <w:tab/>
      </w:r>
      <w:r>
        <w:tab/>
        <w:t>:</w:t>
      </w:r>
    </w:p>
    <w:p w:rsidR="00E15C4E" w:rsidRPr="00E22703" w:rsidRDefault="00E15C4E" w:rsidP="00E15C4E"/>
    <w:p w:rsidR="00125773" w:rsidRPr="00E22703" w:rsidRDefault="00125773" w:rsidP="00125773"/>
    <w:p w:rsidR="00125773" w:rsidRDefault="00125773" w:rsidP="00125773">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125773" w:rsidRDefault="00125773" w:rsidP="00125773">
      <w:pPr>
        <w:tabs>
          <w:tab w:val="center" w:pos="4680"/>
        </w:tabs>
        <w:suppressAutoHyphens/>
        <w:jc w:val="center"/>
        <w:rPr>
          <w:b/>
          <w:spacing w:val="-3"/>
          <w:u w:val="single"/>
        </w:rPr>
      </w:pPr>
    </w:p>
    <w:p w:rsidR="00125773" w:rsidRPr="007B76C4" w:rsidRDefault="00125773" w:rsidP="00125773">
      <w:pPr>
        <w:tabs>
          <w:tab w:val="center" w:pos="4680"/>
        </w:tabs>
        <w:suppressAutoHyphens/>
        <w:jc w:val="center"/>
        <w:rPr>
          <w:spacing w:val="-3"/>
        </w:rPr>
      </w:pPr>
    </w:p>
    <w:p w:rsidR="00125773" w:rsidRDefault="00125773" w:rsidP="00125773">
      <w:pPr>
        <w:spacing w:line="360" w:lineRule="auto"/>
        <w:ind w:firstLine="1440"/>
      </w:pPr>
      <w:r>
        <w:t xml:space="preserve">On August 3, 2012, the Commission entered an Implementation Order regarding the </w:t>
      </w:r>
      <w:r>
        <w:rPr>
          <w:i/>
        </w:rPr>
        <w:t>Energy Efficiency and Conservation Program</w:t>
      </w:r>
      <w:r>
        <w:t xml:space="preserve"> at Docket Nos. </w:t>
      </w:r>
      <w:proofErr w:type="gramStart"/>
      <w:r>
        <w:t>M-2012-2289411 and M-2008-2069887.</w:t>
      </w:r>
      <w:proofErr w:type="gramEnd"/>
      <w:r>
        <w:t xml:space="preserve">  The Commission established energy efficiency (“EE”) (but not peak demand reduction (“PDR”)) benchmarks for the period June 1, 2013 through May 31, 2016 (“Phase II Period”).   The Commission gave the electric distribution companies until August 20, 2012, within which time to accept the Commission’s proposed consumption reduction benchmarks, or to file a petition for an evidentiary hearing, otherwise the energy efficiency benchmarks would be deemed accepted. </w:t>
      </w:r>
      <w:r>
        <w:rPr>
          <w:i/>
        </w:rPr>
        <w:t>Id.</w:t>
      </w:r>
      <w:r>
        <w:t xml:space="preserve">   </w:t>
      </w:r>
    </w:p>
    <w:p w:rsidR="00125773" w:rsidRDefault="00125773" w:rsidP="00125773">
      <w:pPr>
        <w:spacing w:line="360" w:lineRule="auto"/>
        <w:ind w:firstLine="1440"/>
      </w:pPr>
    </w:p>
    <w:p w:rsidR="003422EC" w:rsidRDefault="00537145" w:rsidP="00EE4F04">
      <w:pPr>
        <w:spacing w:line="360" w:lineRule="auto"/>
        <w:ind w:firstLine="1440"/>
      </w:pPr>
      <w:r>
        <w:t>PPL Electric Utilities (PPL)</w:t>
      </w:r>
      <w:r w:rsidR="00125773">
        <w:t xml:space="preserve"> filed a Petition for an Evidentiary Hearing on August 20, 2012.  The petition was assigned Docket No. </w:t>
      </w:r>
      <w:proofErr w:type="gramStart"/>
      <w:r w:rsidR="00125773">
        <w:t>P-2012-2320</w:t>
      </w:r>
      <w:r>
        <w:t>369</w:t>
      </w:r>
      <w:r w:rsidR="00125773">
        <w:t>.</w:t>
      </w:r>
      <w:proofErr w:type="gramEnd"/>
      <w:r w:rsidR="00125773">
        <w:t xml:space="preserve">  The petition for an evidentiary hearing was assigned to the Office of Administrative Law Judge with a certified record deadline of November 2, 2012.  </w:t>
      </w:r>
      <w:r w:rsidR="003422EC">
        <w:t>On August 20, 2012, the Companies also filed a petition for reconsideration of the Commission’s Implementation Order</w:t>
      </w:r>
      <w:r>
        <w:t>, which is currently pending before the Commission</w:t>
      </w:r>
      <w:r w:rsidR="003422EC">
        <w:t xml:space="preserve">. </w:t>
      </w:r>
    </w:p>
    <w:p w:rsidR="003422EC" w:rsidRDefault="003422EC" w:rsidP="003422EC">
      <w:pPr>
        <w:spacing w:line="360" w:lineRule="auto"/>
      </w:pPr>
    </w:p>
    <w:p w:rsidR="003422EC" w:rsidRDefault="003422EC" w:rsidP="003422EC">
      <w:pPr>
        <w:spacing w:line="360" w:lineRule="auto"/>
      </w:pPr>
      <w:r>
        <w:tab/>
      </w:r>
      <w:r>
        <w:tab/>
        <w:t>An Initial Prehearing Conference was held on September 10, 2012.  I noted the appearance of</w:t>
      </w:r>
      <w:r w:rsidR="00537145">
        <w:t xml:space="preserve"> Andrew S. Tubbs</w:t>
      </w:r>
      <w:r>
        <w:t>, Esquire</w:t>
      </w:r>
      <w:r w:rsidR="00537145">
        <w:t xml:space="preserve">, Paul E. Russell, Esquire and David B. </w:t>
      </w:r>
      <w:proofErr w:type="spellStart"/>
      <w:r w:rsidR="00537145">
        <w:t>MacGregor</w:t>
      </w:r>
      <w:proofErr w:type="spellEnd"/>
      <w:r w:rsidR="00537145">
        <w:t>, Esquire</w:t>
      </w:r>
      <w:r>
        <w:t xml:space="preserve"> </w:t>
      </w:r>
      <w:r w:rsidR="00537145">
        <w:t>on behalf of PPL</w:t>
      </w:r>
      <w:r w:rsidR="00C331D8">
        <w:t xml:space="preserve">; </w:t>
      </w:r>
      <w:r>
        <w:t>S</w:t>
      </w:r>
      <w:r w:rsidR="00BE6FF5">
        <w:t>haun</w:t>
      </w:r>
      <w:r w:rsidR="00C331D8">
        <w:t xml:space="preserve"> A.</w:t>
      </w:r>
      <w:r>
        <w:t xml:space="preserve"> Sparks</w:t>
      </w:r>
      <w:r w:rsidR="00C331D8">
        <w:t>, Esquire</w:t>
      </w:r>
      <w:r>
        <w:t xml:space="preserve"> and </w:t>
      </w:r>
      <w:proofErr w:type="spellStart"/>
      <w:r w:rsidR="00C331D8">
        <w:t>Krystle</w:t>
      </w:r>
      <w:proofErr w:type="spellEnd"/>
      <w:r w:rsidR="00C331D8">
        <w:t xml:space="preserve"> J. </w:t>
      </w:r>
      <w:proofErr w:type="spellStart"/>
      <w:r w:rsidR="00C331D8">
        <w:t>Sacav</w:t>
      </w:r>
      <w:r>
        <w:t>age</w:t>
      </w:r>
      <w:proofErr w:type="spellEnd"/>
      <w:r w:rsidR="00BE6FF5">
        <w:t>, Esquire</w:t>
      </w:r>
      <w:r>
        <w:t xml:space="preserve"> </w:t>
      </w:r>
      <w:r w:rsidR="00BE6FF5">
        <w:t>on behalf of</w:t>
      </w:r>
      <w:r>
        <w:t xml:space="preserve"> the PA Statewide Evaluator</w:t>
      </w:r>
      <w:r w:rsidR="00C331D8">
        <w:t xml:space="preserve">; </w:t>
      </w:r>
      <w:r w:rsidR="00537145">
        <w:t xml:space="preserve">Jeffrey J. Norton, Esquire on behalf of </w:t>
      </w:r>
      <w:proofErr w:type="spellStart"/>
      <w:r w:rsidR="00537145">
        <w:t>Comverge</w:t>
      </w:r>
      <w:proofErr w:type="spellEnd"/>
      <w:r w:rsidR="00537145">
        <w:t xml:space="preserve">, Inc.; </w:t>
      </w:r>
      <w:r>
        <w:t xml:space="preserve">Harry </w:t>
      </w:r>
      <w:r w:rsidR="00BE6FF5">
        <w:t xml:space="preserve">S. </w:t>
      </w:r>
      <w:r>
        <w:t>Geller,</w:t>
      </w:r>
      <w:r w:rsidR="00C331D8">
        <w:t xml:space="preserve"> Esquire </w:t>
      </w:r>
      <w:r w:rsidR="00BE6FF5">
        <w:t>on behalf of</w:t>
      </w:r>
      <w:r w:rsidR="00C331D8">
        <w:t xml:space="preserve"> the</w:t>
      </w:r>
      <w:r>
        <w:t xml:space="preserve"> Coalition for </w:t>
      </w:r>
      <w:r>
        <w:lastRenderedPageBreak/>
        <w:t xml:space="preserve">Affordable Utility Services and Energy Efficiency in Pennsylvania </w:t>
      </w:r>
      <w:r w:rsidR="00C331D8">
        <w:t>(</w:t>
      </w:r>
      <w:r>
        <w:t>CAUSE-PA</w:t>
      </w:r>
      <w:r w:rsidR="00C331D8">
        <w:t xml:space="preserve">); </w:t>
      </w:r>
      <w:r w:rsidR="00537145">
        <w:t xml:space="preserve">Craig R. </w:t>
      </w:r>
      <w:proofErr w:type="spellStart"/>
      <w:r w:rsidR="00537145">
        <w:t>Burgra</w:t>
      </w:r>
      <w:r w:rsidR="00EE4F04">
        <w:t>ff</w:t>
      </w:r>
      <w:proofErr w:type="spellEnd"/>
      <w:r w:rsidR="00537145">
        <w:t xml:space="preserve">, Esquire on behalf of Sustainable Energy Fund; </w:t>
      </w:r>
      <w:r>
        <w:t xml:space="preserve">Zachary </w:t>
      </w:r>
      <w:proofErr w:type="spellStart"/>
      <w:r>
        <w:t>Fabish</w:t>
      </w:r>
      <w:proofErr w:type="spellEnd"/>
      <w:r>
        <w:t>,</w:t>
      </w:r>
      <w:r w:rsidR="00C331D8">
        <w:t xml:space="preserve"> Esquire </w:t>
      </w:r>
      <w:r w:rsidR="00BE6FF5">
        <w:t>on behalf of</w:t>
      </w:r>
      <w:r w:rsidR="00C331D8">
        <w:t xml:space="preserve"> the</w:t>
      </w:r>
      <w:r>
        <w:t xml:space="preserve"> Clean Air Council &amp; Sierra Club</w:t>
      </w:r>
      <w:r w:rsidR="00C331D8">
        <w:t xml:space="preserve">; </w:t>
      </w:r>
      <w:r>
        <w:t xml:space="preserve">Heather </w:t>
      </w:r>
      <w:r w:rsidR="00BE6FF5">
        <w:t xml:space="preserve">M. </w:t>
      </w:r>
      <w:proofErr w:type="spellStart"/>
      <w:r>
        <w:t>Langeland</w:t>
      </w:r>
      <w:proofErr w:type="spellEnd"/>
      <w:r>
        <w:t xml:space="preserve">, </w:t>
      </w:r>
      <w:r w:rsidR="00C331D8">
        <w:t xml:space="preserve">Esquire </w:t>
      </w:r>
      <w:r w:rsidR="00BE6FF5">
        <w:t>on behalf of</w:t>
      </w:r>
      <w:r w:rsidR="00C331D8">
        <w:t xml:space="preserve"> </w:t>
      </w:r>
      <w:proofErr w:type="spellStart"/>
      <w:r>
        <w:t>P</w:t>
      </w:r>
      <w:r w:rsidR="00C331D8">
        <w:t>ennFuture</w:t>
      </w:r>
      <w:proofErr w:type="spellEnd"/>
      <w:r w:rsidR="00537145">
        <w:t xml:space="preserve">; and Pamela </w:t>
      </w:r>
      <w:proofErr w:type="spellStart"/>
      <w:r w:rsidR="00537145">
        <w:t>Polacek</w:t>
      </w:r>
      <w:proofErr w:type="spellEnd"/>
      <w:r w:rsidR="00537145">
        <w:t xml:space="preserve">, Esquire on behalf of PPL Industrial Customer Alliance (PPLICA). </w:t>
      </w:r>
      <w:r w:rsidR="00C331D8">
        <w:t xml:space="preserve"> J</w:t>
      </w:r>
      <w:r>
        <w:t xml:space="preserve">oseph </w:t>
      </w:r>
      <w:r w:rsidR="00BE6FF5">
        <w:t xml:space="preserve">L. </w:t>
      </w:r>
      <w:proofErr w:type="spellStart"/>
      <w:r>
        <w:t>Vullo</w:t>
      </w:r>
      <w:proofErr w:type="spellEnd"/>
      <w:r>
        <w:t xml:space="preserve">, </w:t>
      </w:r>
      <w:r w:rsidR="00C331D8">
        <w:t xml:space="preserve">Esquire was </w:t>
      </w:r>
      <w:r>
        <w:t>not present but I note</w:t>
      </w:r>
      <w:r w:rsidR="00C331D8">
        <w:t>d</w:t>
      </w:r>
      <w:r>
        <w:t xml:space="preserve"> </w:t>
      </w:r>
      <w:r w:rsidR="00C331D8">
        <w:t xml:space="preserve">that </w:t>
      </w:r>
      <w:r>
        <w:t>he submitted a</w:t>
      </w:r>
      <w:r w:rsidR="00BE6FF5">
        <w:t>n uncontested</w:t>
      </w:r>
      <w:r>
        <w:t xml:space="preserve"> petition for intervention on behalf of Community Action Association of P</w:t>
      </w:r>
      <w:r w:rsidR="00C331D8">
        <w:t>A</w:t>
      </w:r>
      <w:r>
        <w:t xml:space="preserve"> s/k/a CAPP.</w:t>
      </w:r>
    </w:p>
    <w:p w:rsidR="003422EC" w:rsidRDefault="003422EC" w:rsidP="003422EC">
      <w:pPr>
        <w:spacing w:line="360" w:lineRule="auto"/>
      </w:pPr>
    </w:p>
    <w:p w:rsidR="003422EC" w:rsidRDefault="003422EC" w:rsidP="003422EC">
      <w:pPr>
        <w:spacing w:line="360" w:lineRule="auto"/>
        <w:ind w:firstLine="1440"/>
      </w:pPr>
      <w:r>
        <w:t xml:space="preserve">The following matters were addressed: (1) coordination of the evidentiary hearing with </w:t>
      </w:r>
      <w:r w:rsidR="00F44350">
        <w:t xml:space="preserve">PECO Energy Company’s (PECO) and </w:t>
      </w:r>
      <w:r w:rsidR="00EE4F04">
        <w:t xml:space="preserve">the FirstEnergy Companies’ </w:t>
      </w:r>
      <w:r>
        <w:t xml:space="preserve">evidentiary hearings; (2) a motion for </w:t>
      </w:r>
      <w:r w:rsidRPr="00217D8B">
        <w:rPr>
          <w:i/>
        </w:rPr>
        <w:t xml:space="preserve">ad </w:t>
      </w:r>
      <w:proofErr w:type="spellStart"/>
      <w:r w:rsidRPr="00217D8B">
        <w:rPr>
          <w:i/>
        </w:rPr>
        <w:t>h</w:t>
      </w:r>
      <w:r w:rsidR="00E43492">
        <w:rPr>
          <w:i/>
        </w:rPr>
        <w:t>a</w:t>
      </w:r>
      <w:r w:rsidRPr="00217D8B">
        <w:rPr>
          <w:i/>
        </w:rPr>
        <w:t>c</w:t>
      </w:r>
      <w:proofErr w:type="spellEnd"/>
      <w:r w:rsidRPr="00217D8B">
        <w:rPr>
          <w:i/>
        </w:rPr>
        <w:t xml:space="preserve"> vice</w:t>
      </w:r>
      <w:r>
        <w:t xml:space="preserve"> admission; (3) petitions to intervene; (4) a procedural schedule; (5) service of documents; (6) discovery matters; and (7) a protective order.  These matters are discussed below.</w:t>
      </w:r>
    </w:p>
    <w:p w:rsidR="003422EC" w:rsidRDefault="003422EC" w:rsidP="003422EC">
      <w:pPr>
        <w:spacing w:line="360" w:lineRule="auto"/>
        <w:ind w:firstLine="1440"/>
      </w:pPr>
    </w:p>
    <w:p w:rsidR="00BE6FF5" w:rsidRDefault="00BE6FF5" w:rsidP="00BE6FF5">
      <w:pPr>
        <w:spacing w:line="360" w:lineRule="auto"/>
        <w:rPr>
          <w:u w:val="single"/>
        </w:rPr>
      </w:pPr>
      <w:r>
        <w:rPr>
          <w:u w:val="single"/>
        </w:rPr>
        <w:t xml:space="preserve">Coordination of case with </w:t>
      </w:r>
      <w:r w:rsidR="00537145">
        <w:rPr>
          <w:u w:val="single"/>
        </w:rPr>
        <w:t>PECO</w:t>
      </w:r>
      <w:r>
        <w:rPr>
          <w:u w:val="single"/>
        </w:rPr>
        <w:t xml:space="preserve">’s and </w:t>
      </w:r>
      <w:r w:rsidR="00537145">
        <w:rPr>
          <w:u w:val="single"/>
        </w:rPr>
        <w:t>FirstEnergy Companies’</w:t>
      </w:r>
      <w:r>
        <w:rPr>
          <w:u w:val="single"/>
        </w:rPr>
        <w:t xml:space="preserve"> evidentiary hearings</w:t>
      </w:r>
    </w:p>
    <w:p w:rsidR="00BE6FF5" w:rsidRDefault="00BE6FF5" w:rsidP="00BE6FF5">
      <w:pPr>
        <w:spacing w:line="360" w:lineRule="auto"/>
      </w:pPr>
      <w:r>
        <w:tab/>
      </w:r>
    </w:p>
    <w:p w:rsidR="00EE4F04" w:rsidRDefault="00747F84" w:rsidP="00BE6FF5">
      <w:pPr>
        <w:spacing w:line="360" w:lineRule="auto"/>
      </w:pPr>
      <w:r>
        <w:tab/>
      </w:r>
      <w:r>
        <w:tab/>
        <w:t>PPL agreed to hold its evidentiary hearing on October 18, one day before the FirstEnergy Companies’ hearing on October 19 in order to conserve</w:t>
      </w:r>
      <w:r w:rsidR="00EE4F04">
        <w:t xml:space="preserve"> the</w:t>
      </w:r>
      <w:r>
        <w:t xml:space="preserve"> resources of other parties and in the interest of judicial efficiency.  </w:t>
      </w:r>
      <w:r w:rsidR="002760E4">
        <w:t>The Statewide Evaluator requested consolidation of hearing dates into subsequent days because his witnesses are located in various parts of the country.</w:t>
      </w:r>
      <w:r w:rsidR="00BE6FF5">
        <w:t xml:space="preserve">  </w:t>
      </w:r>
      <w:r w:rsidR="002760E4">
        <w:t xml:space="preserve"> The PPL hearing will be scheduled for October 18, 2012, under a separate </w:t>
      </w:r>
      <w:r w:rsidR="00EE4F04">
        <w:t>hearing notice in order</w:t>
      </w:r>
      <w:r w:rsidR="002760E4">
        <w:t xml:space="preserve"> to accommodate </w:t>
      </w:r>
      <w:r w:rsidR="00EE4F04">
        <w:t>certain</w:t>
      </w:r>
      <w:r w:rsidR="002760E4">
        <w:t xml:space="preserve"> parties’ requests</w:t>
      </w:r>
      <w:r w:rsidR="00E43492">
        <w:t xml:space="preserve"> that the hearings be </w:t>
      </w:r>
      <w:r w:rsidR="00EE4F04">
        <w:t xml:space="preserve">consolidated as much as possible and at least </w:t>
      </w:r>
      <w:r w:rsidR="00E43492">
        <w:t>held on subsequent days</w:t>
      </w:r>
      <w:r w:rsidR="002760E4">
        <w:t>.</w:t>
      </w:r>
      <w:r w:rsidR="00990B97">
        <w:t xml:space="preserve">  </w:t>
      </w:r>
    </w:p>
    <w:p w:rsidR="00BE6FF5" w:rsidRDefault="00BE6FF5" w:rsidP="00BE6FF5">
      <w:pPr>
        <w:spacing w:line="360" w:lineRule="auto"/>
      </w:pPr>
      <w:r>
        <w:tab/>
      </w:r>
    </w:p>
    <w:p w:rsidR="003422EC" w:rsidRPr="00990B97" w:rsidRDefault="003422EC" w:rsidP="003422EC">
      <w:r w:rsidRPr="00990B97">
        <w:rPr>
          <w:u w:val="single"/>
        </w:rPr>
        <w:t xml:space="preserve">Motion for Admission </w:t>
      </w:r>
      <w:r w:rsidR="00990B97">
        <w:rPr>
          <w:u w:val="single"/>
        </w:rPr>
        <w:t>P</w:t>
      </w:r>
      <w:r w:rsidRPr="00990B97">
        <w:rPr>
          <w:u w:val="single"/>
        </w:rPr>
        <w:t xml:space="preserve">ro </w:t>
      </w:r>
      <w:proofErr w:type="spellStart"/>
      <w:r w:rsidR="00990B97">
        <w:rPr>
          <w:u w:val="single"/>
        </w:rPr>
        <w:t>Hac</w:t>
      </w:r>
      <w:proofErr w:type="spellEnd"/>
      <w:r w:rsidRPr="00990B97">
        <w:rPr>
          <w:u w:val="single"/>
        </w:rPr>
        <w:t xml:space="preserve"> </w:t>
      </w:r>
      <w:r w:rsidR="00990B97">
        <w:rPr>
          <w:u w:val="single"/>
        </w:rPr>
        <w:t>V</w:t>
      </w:r>
      <w:r w:rsidRPr="00990B97">
        <w:rPr>
          <w:u w:val="single"/>
        </w:rPr>
        <w:t>ice</w:t>
      </w:r>
    </w:p>
    <w:p w:rsidR="00990B97" w:rsidRDefault="00990B97" w:rsidP="003422EC"/>
    <w:p w:rsidR="003422EC" w:rsidRPr="00925CF8" w:rsidRDefault="00990B97" w:rsidP="00990B97">
      <w:pPr>
        <w:spacing w:line="360" w:lineRule="auto"/>
      </w:pPr>
      <w:r>
        <w:tab/>
      </w:r>
      <w:r>
        <w:tab/>
        <w:t xml:space="preserve">On August 30, 2012, </w:t>
      </w:r>
      <w:r w:rsidR="003422EC">
        <w:t xml:space="preserve">Joseph O. </w:t>
      </w:r>
      <w:proofErr w:type="spellStart"/>
      <w:r w:rsidR="003422EC">
        <w:t>Minott</w:t>
      </w:r>
      <w:proofErr w:type="spellEnd"/>
      <w:r>
        <w:t xml:space="preserve">, Esquire filed a </w:t>
      </w:r>
      <w:r w:rsidR="003422EC">
        <w:t>Motion for</w:t>
      </w:r>
      <w:r>
        <w:t xml:space="preserve"> Admission Pro </w:t>
      </w:r>
      <w:proofErr w:type="spellStart"/>
      <w:r>
        <w:t>Hac</w:t>
      </w:r>
      <w:proofErr w:type="spellEnd"/>
      <w:r>
        <w:t xml:space="preserve"> Vice moving for admission of candidate</w:t>
      </w:r>
      <w:r w:rsidR="003422EC">
        <w:t xml:space="preserve"> Zachary </w:t>
      </w:r>
      <w:r>
        <w:t xml:space="preserve">M. </w:t>
      </w:r>
      <w:proofErr w:type="spellStart"/>
      <w:r w:rsidR="003422EC">
        <w:t>Fabish</w:t>
      </w:r>
      <w:proofErr w:type="spellEnd"/>
      <w:r w:rsidR="003422EC">
        <w:t xml:space="preserve"> </w:t>
      </w:r>
      <w:r>
        <w:t>to represent the</w:t>
      </w:r>
      <w:r w:rsidR="003422EC">
        <w:t xml:space="preserve"> Clean Air Council and Sierra Club</w:t>
      </w:r>
      <w:r>
        <w:t xml:space="preserve"> in the above-captioned proceeding.  There was no objection to this Motion at the prehearing conference.  Accordingly, it shall be granted.</w:t>
      </w:r>
    </w:p>
    <w:p w:rsidR="003422EC" w:rsidRDefault="003422EC" w:rsidP="00990B97">
      <w:pPr>
        <w:spacing w:line="360" w:lineRule="auto"/>
        <w:rPr>
          <w:b/>
          <w:u w:val="single"/>
        </w:rPr>
      </w:pPr>
    </w:p>
    <w:p w:rsidR="005A2709" w:rsidRDefault="005A2709" w:rsidP="003422EC">
      <w:pPr>
        <w:rPr>
          <w:u w:val="single"/>
        </w:rPr>
      </w:pPr>
    </w:p>
    <w:p w:rsidR="005A2709" w:rsidRDefault="005A2709" w:rsidP="003422EC">
      <w:pPr>
        <w:rPr>
          <w:u w:val="single"/>
        </w:rPr>
      </w:pPr>
    </w:p>
    <w:p w:rsidR="003422EC" w:rsidRPr="00990B97" w:rsidRDefault="003422EC" w:rsidP="003422EC">
      <w:pPr>
        <w:rPr>
          <w:u w:val="single"/>
        </w:rPr>
      </w:pPr>
      <w:r w:rsidRPr="00990B97">
        <w:rPr>
          <w:u w:val="single"/>
        </w:rPr>
        <w:t>Petitions to Intervene</w:t>
      </w:r>
    </w:p>
    <w:p w:rsidR="003422EC" w:rsidRPr="00925CF8" w:rsidRDefault="003422EC" w:rsidP="003422EC"/>
    <w:p w:rsidR="003422EC" w:rsidRDefault="00E43492" w:rsidP="00E43492">
      <w:pPr>
        <w:spacing w:line="360" w:lineRule="auto"/>
      </w:pPr>
      <w:r>
        <w:tab/>
      </w:r>
      <w:r>
        <w:tab/>
      </w:r>
      <w:r w:rsidR="003422EC">
        <w:t>I received several petitions to intervene in this case including</w:t>
      </w:r>
      <w:r>
        <w:t>:</w:t>
      </w:r>
      <w:r w:rsidR="003422EC">
        <w:t xml:space="preserve">  </w:t>
      </w:r>
    </w:p>
    <w:p w:rsidR="003422EC" w:rsidRDefault="003422EC" w:rsidP="003422EC"/>
    <w:p w:rsidR="003422EC" w:rsidRDefault="003422EC" w:rsidP="003422EC">
      <w:r>
        <w:t>CAPP (Community Action Association of PA)</w:t>
      </w:r>
    </w:p>
    <w:p w:rsidR="003422EC" w:rsidRDefault="003422EC" w:rsidP="003422EC">
      <w:r>
        <w:t>CAUSE-PA</w:t>
      </w:r>
    </w:p>
    <w:p w:rsidR="003422EC" w:rsidRDefault="003422EC" w:rsidP="003422EC">
      <w:r>
        <w:t>Clean Air Council/Sierra Club</w:t>
      </w:r>
    </w:p>
    <w:p w:rsidR="00747F84" w:rsidRDefault="00747F84" w:rsidP="003422EC">
      <w:r>
        <w:t>PPLICA</w:t>
      </w:r>
    </w:p>
    <w:p w:rsidR="003422EC" w:rsidRDefault="003422EC" w:rsidP="003422EC">
      <w:r>
        <w:t>Citizens for Pennsylvania’ Future (</w:t>
      </w:r>
      <w:proofErr w:type="spellStart"/>
      <w:r>
        <w:t>P</w:t>
      </w:r>
      <w:r w:rsidR="00E43492">
        <w:t>ennFuture</w:t>
      </w:r>
      <w:proofErr w:type="spellEnd"/>
      <w:r>
        <w:t>)</w:t>
      </w:r>
    </w:p>
    <w:p w:rsidR="00747F84" w:rsidRDefault="00747F84" w:rsidP="003422EC">
      <w:proofErr w:type="spellStart"/>
      <w:r>
        <w:t>Comverge</w:t>
      </w:r>
      <w:proofErr w:type="spellEnd"/>
      <w:r>
        <w:t>, Inc.</w:t>
      </w:r>
    </w:p>
    <w:p w:rsidR="00EE4F04" w:rsidRDefault="00EE4F04" w:rsidP="003422EC">
      <w:r>
        <w:t>Sustainable Energy Fund</w:t>
      </w:r>
    </w:p>
    <w:p w:rsidR="00747F84" w:rsidRDefault="00747F84" w:rsidP="003422EC"/>
    <w:p w:rsidR="00E43492" w:rsidRDefault="00E43492" w:rsidP="00E43492">
      <w:pPr>
        <w:spacing w:line="360" w:lineRule="auto"/>
      </w:pPr>
    </w:p>
    <w:p w:rsidR="0007482E" w:rsidRDefault="00747F84" w:rsidP="00E43492">
      <w:pPr>
        <w:spacing w:line="360" w:lineRule="auto"/>
      </w:pPr>
      <w:r>
        <w:tab/>
      </w:r>
      <w:r w:rsidR="00EE4F04">
        <w:tab/>
      </w:r>
      <w:r>
        <w:t>PPL objected to Clean Air Council</w:t>
      </w:r>
      <w:r w:rsidR="00EE4F04">
        <w:t>’s</w:t>
      </w:r>
      <w:r>
        <w:t xml:space="preserve"> </w:t>
      </w:r>
      <w:r w:rsidR="0007482E">
        <w:t xml:space="preserve">(CAC) </w:t>
      </w:r>
      <w:r>
        <w:t>and Sierra Club’s</w:t>
      </w:r>
      <w:r w:rsidR="00724F23">
        <w:t xml:space="preserve"> (Petitioners)</w:t>
      </w:r>
      <w:r>
        <w:t xml:space="preserve"> </w:t>
      </w:r>
      <w:r w:rsidR="0007482E">
        <w:t xml:space="preserve">Petition to Intervene arguing that their intervention does not comply with the Commission’s regulations regarding petitions to intervene and </w:t>
      </w:r>
      <w:r w:rsidR="00EE4F04">
        <w:t xml:space="preserve">that </w:t>
      </w:r>
      <w:r w:rsidR="0007482E">
        <w:t xml:space="preserve">they have failed to allege sufficient facts to support their standing to participate in this proceeding.  </w:t>
      </w:r>
    </w:p>
    <w:p w:rsidR="0007482E" w:rsidRDefault="0007482E" w:rsidP="00E43492">
      <w:pPr>
        <w:spacing w:line="360" w:lineRule="auto"/>
      </w:pPr>
    </w:p>
    <w:p w:rsidR="0007482E" w:rsidRDefault="0007482E" w:rsidP="00E43492">
      <w:pPr>
        <w:spacing w:line="360" w:lineRule="auto"/>
      </w:pPr>
      <w:r>
        <w:tab/>
      </w:r>
      <w:r w:rsidR="00EE4F04">
        <w:tab/>
      </w:r>
      <w:r>
        <w:t xml:space="preserve">The Commission’s regulations provide that a petition to intervene may be filed by a person claiming an </w:t>
      </w:r>
      <w:r w:rsidR="00724F23">
        <w:t>interest</w:t>
      </w:r>
      <w:r>
        <w:t xml:space="preserve"> which may be directly affected and which is not adequately represented by </w:t>
      </w:r>
      <w:r w:rsidR="00724F23">
        <w:t>existing</w:t>
      </w:r>
      <w:r>
        <w:t xml:space="preserve"> participants, and as to which the petitioner may be bound by the action of the Commission in the proceeding.  </w:t>
      </w:r>
      <w:proofErr w:type="gramStart"/>
      <w:r>
        <w:t>52 Pa. Code § 5.72(a).</w:t>
      </w:r>
      <w:proofErr w:type="gramEnd"/>
      <w:r>
        <w:t xml:space="preserve">  A petition to intervene must set out clearly and concisely the facts from which the alleged intervention right or interest can be determined, and the grounds of the proposed intervention.  </w:t>
      </w:r>
      <w:proofErr w:type="gramStart"/>
      <w:r>
        <w:t>52 Pa. Code § 5.73(a).</w:t>
      </w:r>
      <w:proofErr w:type="gramEnd"/>
      <w:r>
        <w:t xml:space="preserve">  PPL asserts CAC and Sierra Club have no direct interest in this proceeding, they are neither customers of PPL, nor do they list</w:t>
      </w:r>
      <w:r w:rsidR="00724F23">
        <w:t xml:space="preserve"> in their petition to intervene any </w:t>
      </w:r>
      <w:r>
        <w:t>customers residing in PPL’s service territory that have CAC or Sierra Club membership.</w:t>
      </w:r>
    </w:p>
    <w:p w:rsidR="0007482E" w:rsidRDefault="0007482E" w:rsidP="00E43492">
      <w:pPr>
        <w:spacing w:line="360" w:lineRule="auto"/>
      </w:pPr>
    </w:p>
    <w:p w:rsidR="00EE4F04" w:rsidRDefault="0007482E" w:rsidP="00E43492">
      <w:pPr>
        <w:spacing w:line="360" w:lineRule="auto"/>
      </w:pPr>
      <w:r>
        <w:tab/>
      </w:r>
      <w:r w:rsidR="00724F23">
        <w:t>Petitioners respond</w:t>
      </w:r>
      <w:r>
        <w:t xml:space="preserve"> that the total number of CAC members in Pennsylvania is 4,598 and that some of these members </w:t>
      </w:r>
      <w:r w:rsidR="00724F23">
        <w:t xml:space="preserve">(at least 40) </w:t>
      </w:r>
      <w:r>
        <w:t xml:space="preserve">reside in PPL’s service territory, including: Brooks </w:t>
      </w:r>
      <w:proofErr w:type="spellStart"/>
      <w:r>
        <w:t>Mountcastle</w:t>
      </w:r>
      <w:proofErr w:type="spellEnd"/>
      <w:r>
        <w:t xml:space="preserve"> and Evan Pappas, who reside in Harrisburg, PA.  </w:t>
      </w:r>
      <w:r w:rsidR="00724F23">
        <w:t xml:space="preserve">Further, </w:t>
      </w:r>
      <w:r w:rsidR="00724F23">
        <w:lastRenderedPageBreak/>
        <w:t xml:space="preserve">the total number of Sierra Club members residing within PPL’s service territory is at least 2,154 members.  </w:t>
      </w:r>
    </w:p>
    <w:p w:rsidR="00EE4F04" w:rsidRDefault="00EE4F04" w:rsidP="00E43492">
      <w:pPr>
        <w:spacing w:line="360" w:lineRule="auto"/>
      </w:pPr>
    </w:p>
    <w:p w:rsidR="00EE4F04" w:rsidRDefault="00EE4F04" w:rsidP="00E43492">
      <w:pPr>
        <w:spacing w:line="360" w:lineRule="auto"/>
      </w:pPr>
      <w:r>
        <w:tab/>
      </w:r>
      <w:r>
        <w:tab/>
      </w:r>
      <w:r w:rsidR="00724F23">
        <w:t xml:space="preserve">Further CAC has averred in its petition that it is a non-profit organization dedicated to the public interested, specifically regarding matter involving clean air, and the Sierra Club is a national non-profit organization designed to protect the environment and promote responsible use of the Earth’s resources and ecosystems.    Petitioners are concerned the issues in the instant evidentiary hearing will affect the interests of their respective members and may impact the safety, reliability, cleanliness and affordability of PPL’s public utility services.  Changes to targets for energy consumption reduction will affect air quality, public health, energy conservation efforts, prices, reliability, and the availability and quality of energy savings programs and incentives.  </w:t>
      </w:r>
    </w:p>
    <w:p w:rsidR="00EE4F04" w:rsidRDefault="00EE4F04" w:rsidP="00E43492">
      <w:pPr>
        <w:spacing w:line="360" w:lineRule="auto"/>
      </w:pPr>
    </w:p>
    <w:p w:rsidR="0007482E" w:rsidRDefault="00EE4F04" w:rsidP="00E43492">
      <w:pPr>
        <w:spacing w:line="360" w:lineRule="auto"/>
      </w:pPr>
      <w:r>
        <w:tab/>
      </w:r>
      <w:r>
        <w:tab/>
      </w:r>
      <w:r w:rsidR="00724F23">
        <w:t xml:space="preserve">I find Sierra Club and CAC </w:t>
      </w:r>
      <w:r>
        <w:t xml:space="preserve">have standing </w:t>
      </w:r>
      <w:r w:rsidR="00724F23">
        <w:t>to intervene in this proceeding as they have a su</w:t>
      </w:r>
      <w:r>
        <w:t>fficient</w:t>
      </w:r>
      <w:r w:rsidR="00724F23">
        <w:t xml:space="preserve"> number of members located within the service territory of PPL</w:t>
      </w:r>
      <w:r w:rsidR="005C4EA3">
        <w:t>, and they have stated grounds adequately related to the scope of the proceeding</w:t>
      </w:r>
      <w:r w:rsidR="00724F23">
        <w:t>.</w:t>
      </w:r>
      <w:r w:rsidR="005C4EA3">
        <w:t xml:space="preserve"> </w:t>
      </w:r>
      <w:r w:rsidR="00724F23">
        <w:t xml:space="preserve"> </w:t>
      </w:r>
      <w:r w:rsidR="005C4EA3">
        <w:t>T</w:t>
      </w:r>
      <w:r w:rsidR="00724F23">
        <w:t xml:space="preserve">herefore, the Petitioners shall be given </w:t>
      </w:r>
      <w:proofErr w:type="spellStart"/>
      <w:r w:rsidR="00724F23">
        <w:t>intervenor</w:t>
      </w:r>
      <w:proofErr w:type="spellEnd"/>
      <w:r w:rsidR="00724F23">
        <w:t xml:space="preserve"> status.  </w:t>
      </w:r>
    </w:p>
    <w:p w:rsidR="0007482E" w:rsidRDefault="0007482E" w:rsidP="00E43492">
      <w:pPr>
        <w:spacing w:line="360" w:lineRule="auto"/>
      </w:pPr>
    </w:p>
    <w:p w:rsidR="00747F84" w:rsidRDefault="0007482E" w:rsidP="00E43492">
      <w:pPr>
        <w:spacing w:line="360" w:lineRule="auto"/>
      </w:pPr>
      <w:r>
        <w:tab/>
      </w:r>
      <w:r w:rsidR="005C4EA3">
        <w:tab/>
      </w:r>
      <w:r w:rsidR="00747F84">
        <w:t xml:space="preserve">PPL objected to </w:t>
      </w:r>
      <w:proofErr w:type="spellStart"/>
      <w:r w:rsidR="00747F84">
        <w:t>Comverge</w:t>
      </w:r>
      <w:proofErr w:type="spellEnd"/>
      <w:r w:rsidR="00747F84">
        <w:t xml:space="preserve">, Inc.’s petition to intervene.  However, subsequent to the prehearing conference on September 11, 2012, </w:t>
      </w:r>
      <w:proofErr w:type="spellStart"/>
      <w:r w:rsidR="00747F84">
        <w:t>Comverge</w:t>
      </w:r>
      <w:proofErr w:type="spellEnd"/>
      <w:r w:rsidR="00747F84">
        <w:t xml:space="preserve">, Inc. and PPL submitted a letter stating that </w:t>
      </w:r>
      <w:proofErr w:type="spellStart"/>
      <w:r w:rsidR="00747F84">
        <w:t>Comverge</w:t>
      </w:r>
      <w:proofErr w:type="spellEnd"/>
      <w:r w:rsidR="00747F84">
        <w:t xml:space="preserve">, Inc. agrees to limit its participation in the proceeding to the issues raised by PPL in its Petition for an Evidentiary Hearing on the Energy Benchmarks Established for the Period June 1, 2013 through May 31, 2016 and PPL agrees to withdraw its objection to </w:t>
      </w:r>
      <w:proofErr w:type="spellStart"/>
      <w:r w:rsidR="00747F84">
        <w:t>Comverge</w:t>
      </w:r>
      <w:proofErr w:type="spellEnd"/>
      <w:r w:rsidR="005C4EA3">
        <w:t>, Inc.</w:t>
      </w:r>
      <w:r w:rsidR="00747F84">
        <w:t>’s Petition to Intervene.</w:t>
      </w:r>
      <w:r w:rsidR="0017055E">
        <w:t xml:space="preserve">  Accordingly, </w:t>
      </w:r>
      <w:proofErr w:type="spellStart"/>
      <w:r w:rsidR="0017055E">
        <w:t>Comverge</w:t>
      </w:r>
      <w:proofErr w:type="spellEnd"/>
      <w:r w:rsidR="0017055E">
        <w:t xml:space="preserve">, Inc. will be given </w:t>
      </w:r>
      <w:proofErr w:type="spellStart"/>
      <w:r w:rsidR="0017055E">
        <w:t>intervenor</w:t>
      </w:r>
      <w:proofErr w:type="spellEnd"/>
      <w:r w:rsidR="0017055E">
        <w:t xml:space="preserve"> status. </w:t>
      </w:r>
    </w:p>
    <w:p w:rsidR="00747F84" w:rsidRDefault="00747F84" w:rsidP="00E43492">
      <w:pPr>
        <w:spacing w:line="360" w:lineRule="auto"/>
      </w:pPr>
    </w:p>
    <w:p w:rsidR="00E43492" w:rsidRDefault="00747F84" w:rsidP="00E43492">
      <w:pPr>
        <w:spacing w:line="360" w:lineRule="auto"/>
      </w:pPr>
      <w:r>
        <w:tab/>
      </w:r>
      <w:r w:rsidR="00E43492">
        <w:t xml:space="preserve">There was no objection to </w:t>
      </w:r>
      <w:r>
        <w:t xml:space="preserve">PPLICA’s, </w:t>
      </w:r>
      <w:proofErr w:type="spellStart"/>
      <w:r>
        <w:t>PennFuture’s</w:t>
      </w:r>
      <w:proofErr w:type="spellEnd"/>
      <w:r>
        <w:t xml:space="preserve">, CAUSE-PA’s or CAPP’s Petitions to Intervene; accordingly, they shall be granted and </w:t>
      </w:r>
      <w:r w:rsidR="005C4EA3">
        <w:t xml:space="preserve">they </w:t>
      </w:r>
      <w:r>
        <w:t xml:space="preserve">shall </w:t>
      </w:r>
      <w:r w:rsidR="00E43492">
        <w:t xml:space="preserve">have status as </w:t>
      </w:r>
      <w:proofErr w:type="spellStart"/>
      <w:r w:rsidR="00E43492">
        <w:t>Intervenors</w:t>
      </w:r>
      <w:proofErr w:type="spellEnd"/>
      <w:r w:rsidR="00E43492">
        <w:t xml:space="preserve">.  In accordance with 52 </w:t>
      </w:r>
      <w:proofErr w:type="spellStart"/>
      <w:r w:rsidR="00E43492">
        <w:t>Pa.Code</w:t>
      </w:r>
      <w:proofErr w:type="spellEnd"/>
      <w:r w:rsidR="00E43492">
        <w:t xml:space="preserve"> § 5.71, OCA is authorized by statute to participate in this proceeding.  The Statewide Evaluator filed a notice of appearance.</w:t>
      </w:r>
    </w:p>
    <w:p w:rsidR="00E43492" w:rsidRPr="007B68B9" w:rsidRDefault="00E43492" w:rsidP="00E43492">
      <w:pPr>
        <w:spacing w:line="360" w:lineRule="auto"/>
      </w:pPr>
      <w:r>
        <w:t xml:space="preserve">  </w:t>
      </w:r>
    </w:p>
    <w:p w:rsidR="00427E91" w:rsidRDefault="00427E91" w:rsidP="00427E91">
      <w:pPr>
        <w:spacing w:line="360" w:lineRule="auto"/>
        <w:rPr>
          <w:u w:val="single"/>
        </w:rPr>
      </w:pPr>
    </w:p>
    <w:p w:rsidR="00427E91" w:rsidRDefault="00427E91" w:rsidP="00427E91">
      <w:pPr>
        <w:spacing w:line="360" w:lineRule="auto"/>
      </w:pPr>
      <w:r>
        <w:rPr>
          <w:u w:val="single"/>
        </w:rPr>
        <w:t>Procedural Schedule</w:t>
      </w:r>
    </w:p>
    <w:p w:rsidR="00427E91" w:rsidRDefault="00427E91" w:rsidP="00427E91">
      <w:pPr>
        <w:spacing w:line="360" w:lineRule="auto"/>
      </w:pPr>
      <w:r>
        <w:tab/>
      </w:r>
    </w:p>
    <w:p w:rsidR="003422EC" w:rsidRDefault="00427E91" w:rsidP="00427E91">
      <w:r>
        <w:tab/>
      </w:r>
      <w:r>
        <w:tab/>
        <w:t>The procedural schedule is as follows:</w:t>
      </w:r>
    </w:p>
    <w:p w:rsidR="005C4EA3" w:rsidRDefault="005C4EA3" w:rsidP="00427E91"/>
    <w:tbl>
      <w:tblPr>
        <w:tblW w:w="0" w:type="auto"/>
        <w:tblLook w:val="04A0" w:firstRow="1" w:lastRow="0" w:firstColumn="1" w:lastColumn="0" w:noHBand="0" w:noVBand="1"/>
      </w:tblPr>
      <w:tblGrid>
        <w:gridCol w:w="6782"/>
        <w:gridCol w:w="2074"/>
      </w:tblGrid>
      <w:tr w:rsidR="0017055E" w:rsidTr="0017055E">
        <w:tc>
          <w:tcPr>
            <w:tcW w:w="6782" w:type="dxa"/>
          </w:tcPr>
          <w:p w:rsidR="0017055E" w:rsidRDefault="0017055E" w:rsidP="00D13565">
            <w:pPr>
              <w:tabs>
                <w:tab w:val="left" w:leader="dot" w:pos="7200"/>
              </w:tabs>
              <w:spacing w:before="120" w:after="120"/>
            </w:pPr>
            <w:r>
              <w:t>Companies’ Direct Testimony</w:t>
            </w:r>
            <w:r>
              <w:tab/>
            </w:r>
          </w:p>
        </w:tc>
        <w:tc>
          <w:tcPr>
            <w:tcW w:w="2074" w:type="dxa"/>
          </w:tcPr>
          <w:p w:rsidR="0017055E" w:rsidRDefault="0017055E" w:rsidP="00D13565">
            <w:pPr>
              <w:spacing w:before="120" w:after="120"/>
              <w:ind w:left="-108"/>
            </w:pPr>
            <w:r>
              <w:t>September 28, 2012</w:t>
            </w:r>
          </w:p>
        </w:tc>
      </w:tr>
      <w:tr w:rsidR="0017055E" w:rsidTr="0017055E">
        <w:tc>
          <w:tcPr>
            <w:tcW w:w="6782" w:type="dxa"/>
          </w:tcPr>
          <w:p w:rsidR="0017055E" w:rsidRDefault="0017055E" w:rsidP="00D13565">
            <w:pPr>
              <w:tabs>
                <w:tab w:val="left" w:leader="dot" w:pos="7200"/>
              </w:tabs>
              <w:spacing w:before="120" w:after="120"/>
            </w:pPr>
            <w:r>
              <w:t>Other Parties’ Direct Testimony</w:t>
            </w:r>
            <w:r>
              <w:tab/>
            </w:r>
          </w:p>
        </w:tc>
        <w:tc>
          <w:tcPr>
            <w:tcW w:w="2074" w:type="dxa"/>
          </w:tcPr>
          <w:p w:rsidR="0017055E" w:rsidRDefault="0017055E" w:rsidP="00D13565">
            <w:pPr>
              <w:spacing w:before="120" w:after="120"/>
              <w:ind w:left="-108"/>
            </w:pPr>
            <w:r>
              <w:t xml:space="preserve"> October 12, 2012</w:t>
            </w:r>
          </w:p>
        </w:tc>
      </w:tr>
      <w:tr w:rsidR="0017055E" w:rsidTr="0017055E">
        <w:tc>
          <w:tcPr>
            <w:tcW w:w="6782" w:type="dxa"/>
          </w:tcPr>
          <w:p w:rsidR="0017055E" w:rsidRDefault="0017055E" w:rsidP="00D13565">
            <w:pPr>
              <w:tabs>
                <w:tab w:val="left" w:leader="dot" w:pos="7200"/>
              </w:tabs>
              <w:spacing w:before="120" w:after="120"/>
            </w:pPr>
            <w:r>
              <w:t>Oral Rebuttal Testimony/Evidentiary Hearing(s)</w:t>
            </w:r>
            <w:r>
              <w:tab/>
            </w:r>
          </w:p>
        </w:tc>
        <w:tc>
          <w:tcPr>
            <w:tcW w:w="2074" w:type="dxa"/>
          </w:tcPr>
          <w:p w:rsidR="0017055E" w:rsidRDefault="0017055E" w:rsidP="00D13565">
            <w:pPr>
              <w:spacing w:before="120" w:after="120"/>
              <w:ind w:left="-108"/>
            </w:pPr>
            <w:r>
              <w:t xml:space="preserve"> October 18, 2012</w:t>
            </w:r>
          </w:p>
        </w:tc>
      </w:tr>
      <w:tr w:rsidR="0017055E" w:rsidTr="0017055E">
        <w:tc>
          <w:tcPr>
            <w:tcW w:w="6782" w:type="dxa"/>
          </w:tcPr>
          <w:p w:rsidR="0017055E" w:rsidRDefault="0017055E" w:rsidP="00D13565">
            <w:pPr>
              <w:tabs>
                <w:tab w:val="left" w:leader="dot" w:pos="7200"/>
              </w:tabs>
              <w:spacing w:before="120" w:after="120"/>
            </w:pPr>
            <w:r>
              <w:t>Main Briefs</w:t>
            </w:r>
            <w:r>
              <w:tab/>
            </w:r>
          </w:p>
        </w:tc>
        <w:tc>
          <w:tcPr>
            <w:tcW w:w="2074" w:type="dxa"/>
          </w:tcPr>
          <w:p w:rsidR="0017055E" w:rsidRDefault="0017055E" w:rsidP="00D13565">
            <w:pPr>
              <w:spacing w:before="120" w:after="120"/>
              <w:ind w:left="-108"/>
            </w:pPr>
            <w:r>
              <w:t xml:space="preserve"> October 26, 2012</w:t>
            </w:r>
          </w:p>
        </w:tc>
      </w:tr>
      <w:tr w:rsidR="0017055E" w:rsidTr="0017055E">
        <w:tc>
          <w:tcPr>
            <w:tcW w:w="6782" w:type="dxa"/>
          </w:tcPr>
          <w:p w:rsidR="0017055E" w:rsidRDefault="0017055E" w:rsidP="00D13565">
            <w:pPr>
              <w:tabs>
                <w:tab w:val="left" w:leader="dot" w:pos="7200"/>
              </w:tabs>
              <w:spacing w:before="120" w:after="120"/>
            </w:pPr>
            <w:r>
              <w:t>Reply Briefs</w:t>
            </w:r>
            <w:r>
              <w:tab/>
            </w:r>
          </w:p>
        </w:tc>
        <w:tc>
          <w:tcPr>
            <w:tcW w:w="2074" w:type="dxa"/>
          </w:tcPr>
          <w:p w:rsidR="0017055E" w:rsidRDefault="0017055E" w:rsidP="00D13565">
            <w:pPr>
              <w:spacing w:before="120" w:after="120"/>
              <w:ind w:left="-108"/>
            </w:pPr>
            <w:r>
              <w:t xml:space="preserve"> October 31, 2012</w:t>
            </w:r>
          </w:p>
        </w:tc>
      </w:tr>
    </w:tbl>
    <w:p w:rsidR="005C4EA3" w:rsidRDefault="005C4EA3" w:rsidP="0017055E">
      <w:pPr>
        <w:spacing w:line="360" w:lineRule="auto"/>
      </w:pPr>
    </w:p>
    <w:p w:rsidR="00427E91" w:rsidRDefault="00226DCF" w:rsidP="0017055E">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 2003.</w:t>
      </w:r>
      <w:r w:rsidR="00427E91">
        <w:t xml:space="preserve">  </w:t>
      </w:r>
    </w:p>
    <w:p w:rsidR="00226DCF" w:rsidRDefault="00226DCF" w:rsidP="00226DCF">
      <w:pPr>
        <w:spacing w:line="360" w:lineRule="auto"/>
      </w:pP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w:t>
      </w:r>
      <w:r w:rsidR="0017055E">
        <w:t>PPL</w:t>
      </w:r>
      <w:r>
        <w:t xml:space="preserve"> will coordinate the order of witnesses and estimated time for cross-examination by each party, and will supply a copy of the witness order to me </w:t>
      </w:r>
      <w:r w:rsidR="00F61506">
        <w:t>at least</w:t>
      </w:r>
      <w:r>
        <w:t xml:space="preserve"> </w:t>
      </w:r>
      <w:r w:rsidR="0017055E">
        <w:t xml:space="preserve">three (3) </w:t>
      </w:r>
      <w:r w:rsidR="00F61506">
        <w:t>day</w:t>
      </w:r>
      <w:r w:rsidR="0017055E">
        <w:t>s</w:t>
      </w:r>
      <w:r>
        <w:t xml:space="preserve"> prior to the hearing.</w:t>
      </w:r>
      <w:r w:rsidR="00F61506">
        <w:t xml:space="preserve">  </w:t>
      </w:r>
    </w:p>
    <w:p w:rsidR="00226DCF" w:rsidRDefault="00226DCF" w:rsidP="00226DCF">
      <w:pPr>
        <w:spacing w:line="360" w:lineRule="auto"/>
      </w:pP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r w:rsidR="00F61506">
        <w:t xml:space="preserve"> </w:t>
      </w:r>
    </w:p>
    <w:p w:rsidR="005C4EA3" w:rsidRDefault="005C4EA3" w:rsidP="00226DCF">
      <w:pPr>
        <w:spacing w:line="360" w:lineRule="auto"/>
      </w:pPr>
    </w:p>
    <w:p w:rsidR="005C4EA3" w:rsidRDefault="005C4EA3" w:rsidP="00226DCF">
      <w:pPr>
        <w:spacing w:line="360" w:lineRule="auto"/>
        <w:rPr>
          <w:u w:val="single"/>
        </w:rPr>
      </w:pPr>
    </w:p>
    <w:p w:rsidR="00226DCF" w:rsidRDefault="00226DCF" w:rsidP="00226DCF">
      <w:pPr>
        <w:spacing w:line="360" w:lineRule="auto"/>
      </w:pPr>
      <w:r>
        <w:rPr>
          <w:u w:val="single"/>
        </w:rPr>
        <w:lastRenderedPageBreak/>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Motions or objections with respect to written testimony must be presented in writing and provided to the parties and the presiding officer no later than 24 hours prior to the date that the witness is scheduled to testify</w:t>
      </w:r>
      <w:r w:rsidR="0017055E">
        <w:t>.</w:t>
      </w: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17055E">
        <w:t>Thursday, October 18</w:t>
      </w:r>
      <w:r w:rsidR="000975FC">
        <w:t>, 2012</w:t>
      </w:r>
      <w:r>
        <w:t xml:space="preserve"> </w:t>
      </w:r>
      <w:r w:rsidR="00F61506">
        <w:t xml:space="preserve">in Hearing Room No. </w:t>
      </w:r>
      <w:r w:rsidR="0017055E">
        <w:t>5</w:t>
      </w:r>
      <w:r w:rsidR="00F61506">
        <w:t xml:space="preserve">,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roofErr w:type="gramStart"/>
      <w:r w:rsidR="00F61506">
        <w:t>N.T. 18.</w:t>
      </w:r>
      <w:proofErr w:type="gramEnd"/>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226DCF" w:rsidRDefault="00226DCF" w:rsidP="00226DCF">
      <w:pPr>
        <w:spacing w:line="360" w:lineRule="auto"/>
      </w:pPr>
      <w:r>
        <w:tab/>
      </w:r>
      <w:r>
        <w:tab/>
        <w:t>The OCA indicated that it was not necessary to schedule public input hearings in this proceeding</w:t>
      </w:r>
      <w:r w:rsidR="000975FC">
        <w:t>.</w:t>
      </w:r>
      <w:r w:rsidR="00F61506">
        <w:t xml:space="preserve">  </w:t>
      </w:r>
    </w:p>
    <w:p w:rsidR="000975FC" w:rsidRDefault="000975FC"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were in agreement with a </w:t>
      </w:r>
      <w:r>
        <w:t xml:space="preserve">modification of the discovery rules set forth in the Commission’s regulations due to the time constraints that could be applicable to this proceeding.  </w:t>
      </w:r>
      <w:r w:rsidR="005A2709">
        <w:t>N.T. 1</w:t>
      </w:r>
      <w:r w:rsidR="005C4EA3">
        <w:t>6</w:t>
      </w:r>
      <w:r w:rsidR="005A2709">
        <w:t>–1</w:t>
      </w:r>
      <w:r w:rsidR="005C4EA3">
        <w:t>8</w:t>
      </w:r>
      <w:r w:rsidR="005A2709">
        <w:t xml:space="preserve">.  </w:t>
      </w:r>
      <w:r>
        <w:t>I note that service of objections is not required upon the A</w:t>
      </w:r>
      <w:r w:rsidR="00FB6C3D">
        <w:t>dministrative Law Judge</w:t>
      </w:r>
      <w:r>
        <w:t xml:space="preserve">; however, it is required upon the parties.  Accordingly, the discovery rules for this proceeding, from </w:t>
      </w:r>
      <w:r w:rsidR="00E53DE7">
        <w:t xml:space="preserve">September </w:t>
      </w:r>
      <w:r w:rsidR="005C4EA3">
        <w:t>2</w:t>
      </w:r>
      <w:r w:rsidR="0017055E">
        <w:t>0</w:t>
      </w:r>
      <w:r w:rsidR="00E53DE7">
        <w:t>, 2012</w:t>
      </w:r>
      <w:r>
        <w:t>, forward are as follows:</w:t>
      </w:r>
    </w:p>
    <w:p w:rsidR="004236F3" w:rsidRDefault="004236F3" w:rsidP="004236F3">
      <w:pPr>
        <w:spacing w:line="360" w:lineRule="auto"/>
      </w:pPr>
    </w:p>
    <w:p w:rsidR="004236F3" w:rsidRDefault="004236F3" w:rsidP="004236F3">
      <w:pPr>
        <w:ind w:left="720"/>
      </w:pPr>
      <w:r>
        <w:t>1.</w:t>
      </w:r>
      <w:r>
        <w:tab/>
        <w:t xml:space="preserve">The response period for replying to written interrogatories, requests for production and requests for admissions is ten (10) calendar days of receipt or the party’s best effort except that during the period between October 12 – 18, 2012, </w:t>
      </w:r>
      <w:r>
        <w:lastRenderedPageBreak/>
        <w:t>answers to interrogatories shall be served in-hand within four (4) calendar days of service of the interrogatories.</w:t>
      </w:r>
    </w:p>
    <w:p w:rsidR="004236F3" w:rsidRDefault="004236F3" w:rsidP="004236F3">
      <w:pPr>
        <w:ind w:left="720"/>
      </w:pPr>
    </w:p>
    <w:p w:rsidR="004236F3" w:rsidRDefault="004236F3" w:rsidP="004236F3">
      <w:pPr>
        <w:ind w:left="720"/>
      </w:pPr>
      <w:r>
        <w:t>2.</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4236F3" w:rsidRDefault="004236F3" w:rsidP="004236F3">
      <w:pPr>
        <w:ind w:left="720"/>
      </w:pPr>
    </w:p>
    <w:p w:rsidR="004236F3" w:rsidRDefault="004236F3" w:rsidP="004236F3">
      <w:pPr>
        <w:ind w:left="720"/>
      </w:pPr>
      <w:r>
        <w:t>3.</w:t>
      </w:r>
      <w:r>
        <w:tab/>
        <w:t xml:space="preserve">Answers to motions to dismiss objections and/or direct the answering of interrogatories to be filed within three (3) days of service of such motions. </w:t>
      </w:r>
    </w:p>
    <w:p w:rsidR="004236F3" w:rsidRDefault="004236F3" w:rsidP="004236F3">
      <w:pPr>
        <w:ind w:left="720"/>
      </w:pPr>
    </w:p>
    <w:p w:rsidR="004236F3" w:rsidRDefault="004236F3" w:rsidP="004236F3">
      <w:pPr>
        <w:ind w:left="720"/>
      </w:pPr>
      <w:r>
        <w:t>4.</w:t>
      </w:r>
      <w:r>
        <w:tab/>
        <w:t>Rulings over such motions to be issued, if possible, within seven (7) days of filing of the motion.</w:t>
      </w:r>
    </w:p>
    <w:p w:rsidR="004236F3" w:rsidRDefault="004236F3" w:rsidP="004236F3">
      <w:pPr>
        <w:ind w:left="720"/>
      </w:pPr>
    </w:p>
    <w:p w:rsidR="004236F3" w:rsidRDefault="004236F3" w:rsidP="004236F3">
      <w:pPr>
        <w:ind w:left="720"/>
      </w:pPr>
      <w:r>
        <w:t>5.</w:t>
      </w:r>
      <w:r>
        <w:tab/>
        <w:t>Responses to requests for document production, entry for inspection or other purposes to be served in-hand within ten (10) calendar days.</w:t>
      </w:r>
    </w:p>
    <w:p w:rsidR="004236F3" w:rsidRDefault="004236F3" w:rsidP="004236F3">
      <w:pPr>
        <w:ind w:left="720"/>
      </w:pPr>
    </w:p>
    <w:p w:rsidR="004236F3" w:rsidRDefault="004236F3" w:rsidP="004236F3">
      <w:pPr>
        <w:ind w:left="720"/>
      </w:pPr>
      <w:r>
        <w:t>6.</w:t>
      </w:r>
      <w:r>
        <w:tab/>
        <w:t>Requests for admission be deemed admitted unless answered within ten (10) days or objected to within five (5) days of service.</w:t>
      </w:r>
    </w:p>
    <w:p w:rsidR="004236F3" w:rsidRDefault="004236F3" w:rsidP="004236F3">
      <w:pPr>
        <w:ind w:left="720"/>
      </w:pPr>
    </w:p>
    <w:p w:rsidR="004236F3" w:rsidRDefault="004236F3" w:rsidP="004236F3">
      <w:pPr>
        <w:ind w:left="720"/>
      </w:pPr>
      <w:r>
        <w:t>7.</w:t>
      </w:r>
      <w:r>
        <w:tab/>
        <w:t xml:space="preserve">Responses to interrogatories served after noon on Friday will be due as if served the following Monday.  </w:t>
      </w:r>
    </w:p>
    <w:p w:rsidR="004236F3" w:rsidRDefault="004236F3" w:rsidP="004236F3">
      <w:pPr>
        <w:ind w:left="720"/>
      </w:pPr>
    </w:p>
    <w:p w:rsidR="004236F3" w:rsidRDefault="004236F3" w:rsidP="004236F3">
      <w:pPr>
        <w:ind w:left="720"/>
      </w:pPr>
      <w:r>
        <w:t>8.</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4236F3" w:rsidRDefault="004236F3" w:rsidP="004236F3">
      <w:pPr>
        <w:ind w:left="720"/>
      </w:pPr>
    </w:p>
    <w:p w:rsidR="004236F3" w:rsidRDefault="004236F3" w:rsidP="004236F3">
      <w:pPr>
        <w:ind w:left="720"/>
      </w:pPr>
      <w:r>
        <w:t>9.</w:t>
      </w:r>
      <w:r>
        <w:tab/>
        <w:t>Pursuant to 52 Pa. Code § 5.341(b), neither discovery requests nor responses thereto are to be served on the Commission or the ALJ, although a certificate of service may be filed with the Commission’s Secretary.</w:t>
      </w:r>
    </w:p>
    <w:p w:rsidR="004236F3" w:rsidRDefault="004236F3" w:rsidP="004236F3">
      <w:pPr>
        <w:ind w:left="720"/>
      </w:pPr>
    </w:p>
    <w:p w:rsidR="004236F3" w:rsidRDefault="004236F3" w:rsidP="004236F3">
      <w:pPr>
        <w:ind w:left="720"/>
      </w:pPr>
      <w:r>
        <w:t>10.</w:t>
      </w:r>
      <w:r>
        <w:tab/>
        <w:t>Discovery requests, motions to compel and responses are to be served electronically as well as on paper.</w:t>
      </w:r>
    </w:p>
    <w:p w:rsidR="004236F3" w:rsidRDefault="004236F3" w:rsidP="004236F3">
      <w:pPr>
        <w:ind w:left="720"/>
      </w:pPr>
    </w:p>
    <w:p w:rsidR="004236F3" w:rsidRDefault="004236F3" w:rsidP="004236F3">
      <w:pPr>
        <w:spacing w:line="360" w:lineRule="auto"/>
      </w:pPr>
      <w:r>
        <w:tab/>
      </w:r>
    </w:p>
    <w:p w:rsidR="00226DCF" w:rsidRDefault="00226DCF" w:rsidP="00226DCF">
      <w:pPr>
        <w:spacing w:line="360" w:lineRule="auto"/>
      </w:pPr>
      <w:r>
        <w:rPr>
          <w:u w:val="single"/>
        </w:rPr>
        <w:t>Protective Order</w:t>
      </w:r>
    </w:p>
    <w:p w:rsidR="00226DCF" w:rsidRDefault="00226DCF" w:rsidP="00226DCF">
      <w:pPr>
        <w:spacing w:line="360" w:lineRule="auto"/>
      </w:pPr>
    </w:p>
    <w:p w:rsidR="00E07FB0" w:rsidRDefault="00226DCF" w:rsidP="00226DCF">
      <w:pPr>
        <w:spacing w:line="360" w:lineRule="auto"/>
      </w:pPr>
      <w:r>
        <w:tab/>
      </w:r>
      <w:r>
        <w:tab/>
      </w:r>
      <w:r w:rsidR="0017055E">
        <w:t xml:space="preserve">PPL indicated it </w:t>
      </w:r>
      <w:r w:rsidR="005C4EA3">
        <w:t xml:space="preserve">did not have a </w:t>
      </w:r>
      <w:r w:rsidR="0017055E">
        <w:t xml:space="preserve">proposed protective order </w:t>
      </w:r>
      <w:r w:rsidR="005C4EA3">
        <w:t xml:space="preserve">at this time. </w:t>
      </w:r>
      <w:r w:rsidR="0017055E">
        <w:t xml:space="preserve"> </w:t>
      </w:r>
    </w:p>
    <w:p w:rsidR="0017055E" w:rsidRDefault="0017055E" w:rsidP="00226DCF">
      <w:pPr>
        <w:spacing w:line="360" w:lineRule="auto"/>
        <w:rPr>
          <w:u w:val="single"/>
        </w:rPr>
      </w:pPr>
    </w:p>
    <w:p w:rsidR="005C4EA3" w:rsidRDefault="005C4EA3" w:rsidP="00226DCF">
      <w:pPr>
        <w:spacing w:line="360" w:lineRule="auto"/>
        <w:rPr>
          <w:u w:val="single"/>
        </w:rPr>
      </w:pPr>
    </w:p>
    <w:p w:rsidR="005C4EA3" w:rsidRDefault="005C4EA3" w:rsidP="00226DCF">
      <w:pPr>
        <w:spacing w:line="360" w:lineRule="auto"/>
        <w:rPr>
          <w:u w:val="single"/>
        </w:rPr>
      </w:pPr>
    </w:p>
    <w:p w:rsidR="00226DCF" w:rsidRDefault="00226DCF" w:rsidP="00226DCF">
      <w:pPr>
        <w:spacing w:line="360" w:lineRule="auto"/>
      </w:pPr>
      <w:r>
        <w:rPr>
          <w:u w:val="single"/>
        </w:rPr>
        <w:lastRenderedPageBreak/>
        <w:t>Settlement</w:t>
      </w:r>
    </w:p>
    <w:p w:rsidR="00226DCF" w:rsidRDefault="00226DCF" w:rsidP="00226DCF">
      <w:pPr>
        <w:spacing w:line="360" w:lineRule="auto"/>
      </w:pPr>
    </w:p>
    <w:p w:rsidR="00226DCF" w:rsidRDefault="00226DCF" w:rsidP="00226DCF">
      <w:pPr>
        <w:spacing w:line="360" w:lineRule="auto"/>
      </w:pPr>
      <w:r>
        <w:tab/>
      </w:r>
      <w:r>
        <w:tab/>
      </w:r>
      <w:r w:rsidR="000975FC">
        <w:t xml:space="preserve">There is </w:t>
      </w:r>
      <w:r w:rsidR="005C4EA3">
        <w:t xml:space="preserve">no </w:t>
      </w:r>
      <w:r>
        <w:t xml:space="preserve">settlement conference </w:t>
      </w:r>
      <w:r w:rsidR="000975FC">
        <w:t>scheduled</w:t>
      </w:r>
      <w:r w:rsidR="00E07FB0">
        <w:t xml:space="preserve"> </w:t>
      </w:r>
      <w:r w:rsidR="000975FC">
        <w:t>in this case</w:t>
      </w:r>
      <w:r w:rsidR="005C4EA3">
        <w:t>; however, 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enclosed with this Order.  Additional counsel or technical advisors may be included on an e-mail service list upon request.  Thus far, the e-mail distribution list includes the following counsels’ and prospective witnesses’ e-mail addresses.  This list is subject to change as the litigation progresses.</w:t>
      </w:r>
    </w:p>
    <w:p w:rsidR="00226DCF" w:rsidRDefault="00226DCF" w:rsidP="00226DCF">
      <w:pPr>
        <w:spacing w:line="360" w:lineRule="auto"/>
      </w:pPr>
    </w:p>
    <w:p w:rsidR="00B6249F" w:rsidRDefault="00734B6C" w:rsidP="00226DCF">
      <w:pPr>
        <w:spacing w:line="360" w:lineRule="auto"/>
      </w:pPr>
      <w:hyperlink r:id="rId9" w:history="1">
        <w:r w:rsidR="00B6249F" w:rsidRPr="005C5B9B">
          <w:rPr>
            <w:rStyle w:val="Hyperlink"/>
          </w:rPr>
          <w:t>shsparks@pa.gov</w:t>
        </w:r>
      </w:hyperlink>
    </w:p>
    <w:p w:rsidR="00B6249F" w:rsidRDefault="00734B6C" w:rsidP="00226DCF">
      <w:pPr>
        <w:spacing w:line="360" w:lineRule="auto"/>
      </w:pPr>
      <w:hyperlink r:id="rId10" w:history="1">
        <w:r w:rsidR="00B6249F" w:rsidRPr="005C5B9B">
          <w:rPr>
            <w:rStyle w:val="Hyperlink"/>
          </w:rPr>
          <w:t>langeland@pennfuture.org</w:t>
        </w:r>
      </w:hyperlink>
    </w:p>
    <w:p w:rsidR="00B6249F" w:rsidRDefault="00734B6C" w:rsidP="00226DCF">
      <w:pPr>
        <w:spacing w:line="360" w:lineRule="auto"/>
      </w:pPr>
      <w:hyperlink r:id="rId11" w:history="1">
        <w:r w:rsidR="00B6249F" w:rsidRPr="005C5B9B">
          <w:rPr>
            <w:rStyle w:val="Hyperlink"/>
          </w:rPr>
          <w:t>Zachary.fabish@sierraclub.org</w:t>
        </w:r>
      </w:hyperlink>
    </w:p>
    <w:p w:rsidR="00B6249F" w:rsidRDefault="00734B6C" w:rsidP="00226DCF">
      <w:pPr>
        <w:spacing w:line="360" w:lineRule="auto"/>
      </w:pPr>
      <w:hyperlink r:id="rId12" w:history="1">
        <w:r w:rsidR="00B6249F" w:rsidRPr="005C5B9B">
          <w:rPr>
            <w:rStyle w:val="Hyperlink"/>
          </w:rPr>
          <w:t>kribrown@pa.gov</w:t>
        </w:r>
      </w:hyperlink>
    </w:p>
    <w:p w:rsidR="00226DCF" w:rsidRDefault="00734B6C" w:rsidP="00226DCF">
      <w:pPr>
        <w:spacing w:line="360" w:lineRule="auto"/>
      </w:pPr>
      <w:hyperlink r:id="rId13" w:history="1">
        <w:r w:rsidR="00226DCF" w:rsidRPr="00B227D0">
          <w:rPr>
            <w:rStyle w:val="Hyperlink"/>
          </w:rPr>
          <w:t>pulp@palegalaid.net</w:t>
        </w:r>
      </w:hyperlink>
    </w:p>
    <w:p w:rsidR="00B6249F" w:rsidRDefault="00734B6C" w:rsidP="00226DCF">
      <w:pPr>
        <w:spacing w:line="360" w:lineRule="auto"/>
      </w:pPr>
      <w:hyperlink r:id="rId14" w:history="1">
        <w:r w:rsidR="004236F3" w:rsidRPr="00680E93">
          <w:rPr>
            <w:rStyle w:val="Hyperlink"/>
          </w:rPr>
          <w:t>joe_minott@cleanair.org</w:t>
        </w:r>
      </w:hyperlink>
    </w:p>
    <w:p w:rsidR="00F96AFC" w:rsidRDefault="00734B6C" w:rsidP="00226DCF">
      <w:pPr>
        <w:spacing w:line="360" w:lineRule="auto"/>
      </w:pPr>
      <w:hyperlink r:id="rId15" w:history="1">
        <w:r w:rsidR="00F96AFC" w:rsidRPr="005C5B9B">
          <w:rPr>
            <w:rStyle w:val="Hyperlink"/>
          </w:rPr>
          <w:t>jlvullo@aol.com</w:t>
        </w:r>
      </w:hyperlink>
    </w:p>
    <w:p w:rsidR="00226DCF" w:rsidRDefault="00734B6C" w:rsidP="00226DCF">
      <w:pPr>
        <w:spacing w:line="360" w:lineRule="auto"/>
        <w:rPr>
          <w:u w:val="single"/>
        </w:rPr>
      </w:pPr>
      <w:hyperlink r:id="rId16" w:history="1">
        <w:r w:rsidR="0017055E" w:rsidRPr="00FC219A">
          <w:rPr>
            <w:rStyle w:val="Hyperlink"/>
          </w:rPr>
          <w:t>jnorton@eckertseamans.com</w:t>
        </w:r>
      </w:hyperlink>
    </w:p>
    <w:p w:rsidR="0017055E" w:rsidRDefault="00734B6C" w:rsidP="00226DCF">
      <w:pPr>
        <w:spacing w:line="360" w:lineRule="auto"/>
        <w:rPr>
          <w:u w:val="single"/>
        </w:rPr>
      </w:pPr>
      <w:hyperlink r:id="rId17" w:history="1">
        <w:r w:rsidR="0017055E" w:rsidRPr="00FC219A">
          <w:rPr>
            <w:rStyle w:val="Hyperlink"/>
          </w:rPr>
          <w:t>cshultz@eckertseamans.com</w:t>
        </w:r>
      </w:hyperlink>
    </w:p>
    <w:p w:rsidR="0017055E" w:rsidRDefault="00734B6C" w:rsidP="00226DCF">
      <w:pPr>
        <w:spacing w:line="360" w:lineRule="auto"/>
        <w:rPr>
          <w:u w:val="single"/>
        </w:rPr>
      </w:pPr>
      <w:hyperlink r:id="rId18" w:history="1">
        <w:r w:rsidR="0017055E" w:rsidRPr="00FC219A">
          <w:rPr>
            <w:rStyle w:val="Hyperlink"/>
          </w:rPr>
          <w:t>jjohnson@paoca.org</w:t>
        </w:r>
      </w:hyperlink>
    </w:p>
    <w:p w:rsidR="0017055E" w:rsidRDefault="00734B6C" w:rsidP="00226DCF">
      <w:pPr>
        <w:spacing w:line="360" w:lineRule="auto"/>
        <w:rPr>
          <w:u w:val="single"/>
        </w:rPr>
      </w:pPr>
      <w:hyperlink r:id="rId19" w:history="1">
        <w:r w:rsidR="0017055E" w:rsidRPr="00FC219A">
          <w:rPr>
            <w:rStyle w:val="Hyperlink"/>
          </w:rPr>
          <w:t>jmullins@paoca.org</w:t>
        </w:r>
      </w:hyperlink>
    </w:p>
    <w:p w:rsidR="0017055E" w:rsidRDefault="00734B6C" w:rsidP="00226DCF">
      <w:pPr>
        <w:spacing w:line="360" w:lineRule="auto"/>
        <w:rPr>
          <w:u w:val="single"/>
        </w:rPr>
      </w:pPr>
      <w:hyperlink r:id="rId20" w:history="1">
        <w:r w:rsidR="0017055E" w:rsidRPr="00FC219A">
          <w:rPr>
            <w:rStyle w:val="Hyperlink"/>
          </w:rPr>
          <w:t>perrussell@pplweb.com</w:t>
        </w:r>
      </w:hyperlink>
    </w:p>
    <w:p w:rsidR="0017055E" w:rsidRDefault="00734B6C" w:rsidP="00226DCF">
      <w:pPr>
        <w:spacing w:line="360" w:lineRule="auto"/>
        <w:rPr>
          <w:u w:val="single"/>
        </w:rPr>
      </w:pPr>
      <w:hyperlink r:id="rId21" w:history="1">
        <w:r w:rsidR="0017055E" w:rsidRPr="00FC219A">
          <w:rPr>
            <w:rStyle w:val="Hyperlink"/>
          </w:rPr>
          <w:t>dmacgretor@postschell.com</w:t>
        </w:r>
      </w:hyperlink>
    </w:p>
    <w:p w:rsidR="0017055E" w:rsidRDefault="00734B6C" w:rsidP="00226DCF">
      <w:pPr>
        <w:spacing w:line="360" w:lineRule="auto"/>
        <w:rPr>
          <w:u w:val="single"/>
        </w:rPr>
      </w:pPr>
      <w:hyperlink r:id="rId22" w:history="1">
        <w:r w:rsidR="0017055E" w:rsidRPr="00FC219A">
          <w:rPr>
            <w:rStyle w:val="Hyperlink"/>
          </w:rPr>
          <w:t>crburgraff@hmslegal.com</w:t>
        </w:r>
      </w:hyperlink>
    </w:p>
    <w:p w:rsidR="0017055E" w:rsidRDefault="00734B6C" w:rsidP="00226DCF">
      <w:pPr>
        <w:spacing w:line="360" w:lineRule="auto"/>
        <w:rPr>
          <w:u w:val="single"/>
        </w:rPr>
      </w:pPr>
      <w:hyperlink r:id="rId23" w:history="1">
        <w:r w:rsidR="0017055E" w:rsidRPr="00FC219A">
          <w:rPr>
            <w:rStyle w:val="Hyperlink"/>
          </w:rPr>
          <w:t>ppolacek@mwn.com</w:t>
        </w:r>
      </w:hyperlink>
    </w:p>
    <w:p w:rsidR="0017055E" w:rsidRDefault="00734B6C" w:rsidP="00226DCF">
      <w:pPr>
        <w:spacing w:line="360" w:lineRule="auto"/>
        <w:rPr>
          <w:u w:val="single"/>
        </w:rPr>
      </w:pPr>
      <w:hyperlink r:id="rId24" w:history="1">
        <w:r w:rsidR="0017055E" w:rsidRPr="00FC219A">
          <w:rPr>
            <w:rStyle w:val="Hyperlink"/>
          </w:rPr>
          <w:t>hgellerpulp@palegalaid.net</w:t>
        </w:r>
      </w:hyperlink>
    </w:p>
    <w:p w:rsidR="0017055E" w:rsidRDefault="00734B6C" w:rsidP="00226DCF">
      <w:pPr>
        <w:spacing w:line="360" w:lineRule="auto"/>
        <w:rPr>
          <w:u w:val="single"/>
        </w:rPr>
      </w:pPr>
      <w:hyperlink r:id="rId25" w:history="1">
        <w:r w:rsidR="0017055E" w:rsidRPr="00FC219A">
          <w:rPr>
            <w:rStyle w:val="Hyperlink"/>
          </w:rPr>
          <w:t>atubbs@postschell.com</w:t>
        </w:r>
      </w:hyperlink>
    </w:p>
    <w:p w:rsidR="0017055E" w:rsidRDefault="00734B6C" w:rsidP="00226DCF">
      <w:pPr>
        <w:spacing w:line="360" w:lineRule="auto"/>
        <w:rPr>
          <w:u w:val="single"/>
        </w:rPr>
      </w:pPr>
      <w:hyperlink r:id="rId26" w:history="1">
        <w:r w:rsidR="0017055E" w:rsidRPr="00FC219A">
          <w:rPr>
            <w:rStyle w:val="Hyperlink"/>
          </w:rPr>
          <w:t>abakare@mwn.com</w:t>
        </w:r>
      </w:hyperlink>
    </w:p>
    <w:p w:rsidR="0017055E" w:rsidRPr="000520A4" w:rsidRDefault="0017055E"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226DCF">
      <w:pPr>
        <w:spacing w:line="360" w:lineRule="auto"/>
        <w:ind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p w:rsidR="00226DCF" w:rsidRDefault="00226DCF" w:rsidP="00C0336A">
      <w:pPr>
        <w:spacing w:line="360" w:lineRule="auto"/>
        <w:ind w:firstLine="1440"/>
      </w:pPr>
      <w:r>
        <w:rPr>
          <w:bCs/>
        </w:rPr>
        <w:t xml:space="preserve">1.         </w:t>
      </w:r>
      <w:r>
        <w:t>That the procedural schedule is as follows:</w:t>
      </w:r>
    </w:p>
    <w:tbl>
      <w:tblPr>
        <w:tblW w:w="0" w:type="auto"/>
        <w:tblLook w:val="04A0" w:firstRow="1" w:lastRow="0" w:firstColumn="1" w:lastColumn="0" w:noHBand="0" w:noVBand="1"/>
      </w:tblPr>
      <w:tblGrid>
        <w:gridCol w:w="6460"/>
        <w:gridCol w:w="2396"/>
      </w:tblGrid>
      <w:tr w:rsidR="0017055E" w:rsidTr="0017055E">
        <w:tc>
          <w:tcPr>
            <w:tcW w:w="6460" w:type="dxa"/>
          </w:tcPr>
          <w:p w:rsidR="0017055E" w:rsidRDefault="0017055E" w:rsidP="00D13565">
            <w:pPr>
              <w:tabs>
                <w:tab w:val="left" w:leader="dot" w:pos="7200"/>
              </w:tabs>
              <w:spacing w:before="120" w:after="120"/>
            </w:pPr>
          </w:p>
        </w:tc>
        <w:tc>
          <w:tcPr>
            <w:tcW w:w="2396" w:type="dxa"/>
          </w:tcPr>
          <w:p w:rsidR="0017055E" w:rsidRDefault="0017055E" w:rsidP="00D13565">
            <w:pPr>
              <w:spacing w:before="120" w:after="120"/>
              <w:ind w:left="-108"/>
            </w:pPr>
          </w:p>
        </w:tc>
      </w:tr>
      <w:tr w:rsidR="0017055E" w:rsidTr="0017055E">
        <w:tc>
          <w:tcPr>
            <w:tcW w:w="6460" w:type="dxa"/>
          </w:tcPr>
          <w:p w:rsidR="0017055E" w:rsidRDefault="0017055E" w:rsidP="00D13565">
            <w:pPr>
              <w:tabs>
                <w:tab w:val="left" w:leader="dot" w:pos="7200"/>
              </w:tabs>
              <w:spacing w:before="120" w:after="120"/>
            </w:pPr>
            <w:r>
              <w:t>Companies’ Direct Testimony</w:t>
            </w:r>
            <w:r>
              <w:tab/>
            </w:r>
          </w:p>
        </w:tc>
        <w:tc>
          <w:tcPr>
            <w:tcW w:w="2396" w:type="dxa"/>
          </w:tcPr>
          <w:p w:rsidR="0017055E" w:rsidRDefault="0017055E" w:rsidP="00D13565">
            <w:pPr>
              <w:spacing w:before="120" w:after="120"/>
              <w:ind w:left="-108"/>
            </w:pPr>
            <w:r>
              <w:t>September 28, 2012</w:t>
            </w:r>
          </w:p>
        </w:tc>
      </w:tr>
      <w:tr w:rsidR="0017055E" w:rsidTr="0017055E">
        <w:tc>
          <w:tcPr>
            <w:tcW w:w="6460" w:type="dxa"/>
          </w:tcPr>
          <w:p w:rsidR="0017055E" w:rsidRDefault="0017055E" w:rsidP="00D13565">
            <w:pPr>
              <w:tabs>
                <w:tab w:val="left" w:leader="dot" w:pos="7200"/>
              </w:tabs>
              <w:spacing w:before="120" w:after="120"/>
            </w:pPr>
            <w:r>
              <w:t>Other Parties’ Direct Testimony</w:t>
            </w:r>
            <w:r>
              <w:tab/>
            </w:r>
          </w:p>
        </w:tc>
        <w:tc>
          <w:tcPr>
            <w:tcW w:w="2396" w:type="dxa"/>
          </w:tcPr>
          <w:p w:rsidR="0017055E" w:rsidRDefault="0017055E" w:rsidP="00D13565">
            <w:pPr>
              <w:spacing w:before="120" w:after="120"/>
              <w:ind w:left="-108"/>
            </w:pPr>
            <w:r>
              <w:t xml:space="preserve"> October 12, 2012</w:t>
            </w:r>
          </w:p>
        </w:tc>
      </w:tr>
      <w:tr w:rsidR="0017055E" w:rsidTr="0017055E">
        <w:tc>
          <w:tcPr>
            <w:tcW w:w="6460" w:type="dxa"/>
          </w:tcPr>
          <w:p w:rsidR="0017055E" w:rsidRDefault="0017055E" w:rsidP="00D13565">
            <w:pPr>
              <w:tabs>
                <w:tab w:val="left" w:leader="dot" w:pos="7200"/>
              </w:tabs>
              <w:spacing w:before="120" w:after="120"/>
            </w:pPr>
            <w:r>
              <w:t>Oral Rebuttal Testimony/Evidentiary Hearing(s)</w:t>
            </w:r>
            <w:r>
              <w:tab/>
            </w:r>
          </w:p>
        </w:tc>
        <w:tc>
          <w:tcPr>
            <w:tcW w:w="2396" w:type="dxa"/>
          </w:tcPr>
          <w:p w:rsidR="0017055E" w:rsidRDefault="0017055E" w:rsidP="00D13565">
            <w:pPr>
              <w:spacing w:before="120" w:after="120"/>
              <w:ind w:left="-108"/>
            </w:pPr>
            <w:r>
              <w:t xml:space="preserve"> October 18, 2012</w:t>
            </w:r>
          </w:p>
        </w:tc>
      </w:tr>
      <w:tr w:rsidR="0017055E" w:rsidTr="0017055E">
        <w:tc>
          <w:tcPr>
            <w:tcW w:w="6460" w:type="dxa"/>
          </w:tcPr>
          <w:p w:rsidR="0017055E" w:rsidRDefault="0017055E" w:rsidP="00D13565">
            <w:pPr>
              <w:tabs>
                <w:tab w:val="left" w:leader="dot" w:pos="7200"/>
              </w:tabs>
              <w:spacing w:before="120" w:after="120"/>
            </w:pPr>
            <w:r>
              <w:t>Main Briefs</w:t>
            </w:r>
            <w:r>
              <w:tab/>
            </w:r>
          </w:p>
        </w:tc>
        <w:tc>
          <w:tcPr>
            <w:tcW w:w="2396" w:type="dxa"/>
          </w:tcPr>
          <w:p w:rsidR="0017055E" w:rsidRDefault="0017055E" w:rsidP="00D13565">
            <w:pPr>
              <w:spacing w:before="120" w:after="120"/>
              <w:ind w:left="-108"/>
            </w:pPr>
            <w:r>
              <w:t xml:space="preserve"> October 26, 2012</w:t>
            </w:r>
          </w:p>
        </w:tc>
      </w:tr>
      <w:tr w:rsidR="0017055E" w:rsidTr="0017055E">
        <w:tc>
          <w:tcPr>
            <w:tcW w:w="6460" w:type="dxa"/>
          </w:tcPr>
          <w:p w:rsidR="0017055E" w:rsidRDefault="0017055E" w:rsidP="00D13565">
            <w:pPr>
              <w:tabs>
                <w:tab w:val="left" w:leader="dot" w:pos="7200"/>
              </w:tabs>
              <w:spacing w:before="120" w:after="120"/>
            </w:pPr>
            <w:r>
              <w:t>Reply Briefs</w:t>
            </w:r>
            <w:r>
              <w:tab/>
            </w:r>
          </w:p>
        </w:tc>
        <w:tc>
          <w:tcPr>
            <w:tcW w:w="2396" w:type="dxa"/>
          </w:tcPr>
          <w:p w:rsidR="0017055E" w:rsidRDefault="0017055E" w:rsidP="00D13565">
            <w:pPr>
              <w:spacing w:before="120" w:after="120"/>
              <w:ind w:left="-108"/>
            </w:pPr>
            <w:r>
              <w:t xml:space="preserve"> October 31, 2012</w:t>
            </w:r>
          </w:p>
        </w:tc>
      </w:tr>
    </w:tbl>
    <w:p w:rsidR="005C4EA3" w:rsidRDefault="005C4EA3" w:rsidP="00226DCF">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r>
        <w:tab/>
      </w: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5A2709">
        <w:t>4</w:t>
      </w:r>
      <w:r>
        <w:t>.</w:t>
      </w:r>
      <w:r>
        <w:tab/>
        <w:t xml:space="preserve">That the discovery rules for this proceeding, from </w:t>
      </w:r>
      <w:r w:rsidR="00742EDE">
        <w:t xml:space="preserve">September </w:t>
      </w:r>
      <w:r w:rsidR="0017055E">
        <w:t>20</w:t>
      </w:r>
      <w:r w:rsidR="00742EDE">
        <w:t>, 2012</w:t>
      </w:r>
      <w:r>
        <w:t>, forward are as follows:</w:t>
      </w:r>
    </w:p>
    <w:p w:rsidR="004236F3" w:rsidRDefault="004236F3" w:rsidP="004236F3">
      <w:pPr>
        <w:spacing w:line="360" w:lineRule="auto"/>
      </w:pPr>
    </w:p>
    <w:p w:rsidR="004236F3" w:rsidRDefault="004236F3" w:rsidP="004236F3">
      <w:pPr>
        <w:ind w:left="720"/>
      </w:pPr>
      <w:r>
        <w:t>a.</w:t>
      </w:r>
      <w:r>
        <w:tab/>
        <w:t>The response period for replying to written interrogatories, requests for production and requests for admissions is ten (10) calendar days of receipt or the party’s best effort except that during the period between October 12 – 18, 2012, answers to interrogatories shall be served in-hand within four (4) calendar days of service of the interrogatories.</w:t>
      </w:r>
    </w:p>
    <w:p w:rsidR="004236F3" w:rsidRDefault="004236F3" w:rsidP="004236F3">
      <w:pPr>
        <w:ind w:left="720"/>
      </w:pPr>
    </w:p>
    <w:p w:rsidR="004236F3" w:rsidRDefault="004236F3" w:rsidP="004236F3">
      <w:pPr>
        <w:ind w:left="720"/>
      </w:pPr>
      <w:r>
        <w:t>b.</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4236F3" w:rsidRDefault="004236F3" w:rsidP="004236F3">
      <w:pPr>
        <w:ind w:left="720"/>
      </w:pPr>
    </w:p>
    <w:p w:rsidR="004236F3" w:rsidRDefault="004236F3" w:rsidP="004236F3">
      <w:pPr>
        <w:ind w:left="720"/>
      </w:pPr>
      <w:r>
        <w:t>c.</w:t>
      </w:r>
      <w:r>
        <w:tab/>
        <w:t xml:space="preserve">Answers to motions to dismiss objections and/or direct the answering of interrogatories to be filed within three (3) days of service of such motions. </w:t>
      </w:r>
    </w:p>
    <w:p w:rsidR="004236F3" w:rsidRDefault="004236F3" w:rsidP="004236F3">
      <w:pPr>
        <w:ind w:left="720"/>
      </w:pPr>
    </w:p>
    <w:p w:rsidR="004236F3" w:rsidRDefault="004236F3" w:rsidP="004236F3">
      <w:pPr>
        <w:ind w:left="720"/>
      </w:pPr>
      <w:r>
        <w:t>d.</w:t>
      </w:r>
      <w:r>
        <w:tab/>
        <w:t>Rulings over such motions to be issued, if possible, within seven (7) days of filing of the motion.</w:t>
      </w:r>
    </w:p>
    <w:p w:rsidR="004236F3" w:rsidRDefault="004236F3" w:rsidP="004236F3">
      <w:pPr>
        <w:ind w:left="720"/>
      </w:pPr>
    </w:p>
    <w:p w:rsidR="004236F3" w:rsidRDefault="004236F3" w:rsidP="004236F3">
      <w:pPr>
        <w:ind w:left="720"/>
      </w:pPr>
      <w:r>
        <w:t>e.</w:t>
      </w:r>
      <w:r>
        <w:tab/>
        <w:t>Responses to requests for document production, entry for inspection or other purposes to be served in-hand within ten (10) calendar days.</w:t>
      </w:r>
    </w:p>
    <w:p w:rsidR="004236F3" w:rsidRDefault="004236F3" w:rsidP="004236F3">
      <w:pPr>
        <w:ind w:left="720"/>
      </w:pPr>
    </w:p>
    <w:p w:rsidR="004236F3" w:rsidRDefault="004236F3" w:rsidP="004236F3">
      <w:pPr>
        <w:ind w:left="720"/>
      </w:pPr>
      <w:r>
        <w:t>f.</w:t>
      </w:r>
      <w:r>
        <w:tab/>
        <w:t>Requests for admission be deemed admitted unless answered within ten (10) days or objected to within five (5) days of service.</w:t>
      </w:r>
    </w:p>
    <w:p w:rsidR="004236F3" w:rsidRDefault="004236F3" w:rsidP="004236F3">
      <w:pPr>
        <w:ind w:left="720"/>
      </w:pPr>
    </w:p>
    <w:p w:rsidR="004236F3" w:rsidRDefault="004236F3" w:rsidP="004236F3">
      <w:pPr>
        <w:ind w:left="720"/>
      </w:pPr>
      <w:proofErr w:type="gramStart"/>
      <w:r>
        <w:t>g</w:t>
      </w:r>
      <w:proofErr w:type="gramEnd"/>
      <w:r>
        <w:t>.</w:t>
      </w:r>
      <w:r>
        <w:tab/>
        <w:t xml:space="preserve">Responses to interrogatories served after noon on Friday will be due as if served the following Monday.  </w:t>
      </w:r>
    </w:p>
    <w:p w:rsidR="004236F3" w:rsidRDefault="004236F3" w:rsidP="004236F3">
      <w:pPr>
        <w:ind w:left="720"/>
      </w:pPr>
    </w:p>
    <w:p w:rsidR="004236F3" w:rsidRDefault="004236F3" w:rsidP="004236F3">
      <w:pPr>
        <w:ind w:left="720"/>
      </w:pPr>
      <w:r>
        <w:t>h.</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4236F3" w:rsidRDefault="004236F3" w:rsidP="004236F3">
      <w:pPr>
        <w:ind w:left="720"/>
      </w:pPr>
    </w:p>
    <w:p w:rsidR="004236F3" w:rsidRDefault="004236F3" w:rsidP="004236F3">
      <w:pPr>
        <w:ind w:left="720"/>
      </w:pPr>
      <w:proofErr w:type="spellStart"/>
      <w:r>
        <w:t>i</w:t>
      </w:r>
      <w:proofErr w:type="spellEnd"/>
      <w:r>
        <w:t>.</w:t>
      </w:r>
      <w:r>
        <w:tab/>
        <w:t>Pursuant to 52 Pa. Code § 5.341(b), neither discovery requests nor responses thereto are to be served on the Commission or the ALJ, although a certificate of service may be filed with the Commission’s Secretary.</w:t>
      </w:r>
    </w:p>
    <w:p w:rsidR="004236F3" w:rsidRDefault="004236F3" w:rsidP="004236F3">
      <w:pPr>
        <w:ind w:left="720"/>
      </w:pPr>
    </w:p>
    <w:p w:rsidR="004236F3" w:rsidRDefault="004236F3" w:rsidP="004236F3">
      <w:pPr>
        <w:ind w:left="720"/>
      </w:pPr>
      <w:r>
        <w:t>j.</w:t>
      </w:r>
      <w:r>
        <w:tab/>
        <w:t>Discovery requests, motions to compel and responses are to be served electronically as well as on paper.</w:t>
      </w:r>
    </w:p>
    <w:p w:rsidR="004236F3" w:rsidRDefault="004236F3" w:rsidP="004236F3">
      <w:pPr>
        <w:ind w:left="720"/>
      </w:pPr>
    </w:p>
    <w:p w:rsidR="004236F3" w:rsidRDefault="004236F3" w:rsidP="004236F3">
      <w:pPr>
        <w:spacing w:line="360" w:lineRule="auto"/>
      </w:pPr>
      <w:r>
        <w:tab/>
      </w:r>
    </w:p>
    <w:p w:rsidR="00226DCF" w:rsidRDefault="00226DCF" w:rsidP="00226DCF">
      <w:pPr>
        <w:spacing w:line="360" w:lineRule="auto"/>
      </w:pPr>
      <w:r>
        <w:tab/>
      </w:r>
      <w:r w:rsidR="00FB6C3D">
        <w:tab/>
      </w:r>
      <w:r w:rsidR="005A2709">
        <w:t>5</w:t>
      </w:r>
      <w:r>
        <w:t>.</w:t>
      </w:r>
      <w:r>
        <w:tab/>
        <w:t>That directives regarding other matters including: identification of witness order, motions, and settlement petitions are adopted as referenced in this Order.</w:t>
      </w:r>
      <w:r>
        <w:tab/>
      </w:r>
    </w:p>
    <w:p w:rsidR="00226DCF" w:rsidRDefault="00226DCF" w:rsidP="00226DCF">
      <w:pPr>
        <w:spacing w:line="360" w:lineRule="auto"/>
      </w:pPr>
    </w:p>
    <w:p w:rsidR="00226DCF" w:rsidRDefault="00226DCF" w:rsidP="00226DCF">
      <w:pPr>
        <w:spacing w:line="360" w:lineRule="auto"/>
      </w:pPr>
      <w:r>
        <w:lastRenderedPageBreak/>
        <w:tab/>
      </w:r>
      <w:r>
        <w:tab/>
      </w:r>
      <w:r w:rsidR="005A2709">
        <w:t>6</w:t>
      </w:r>
      <w:r>
        <w:t>.</w:t>
      </w:r>
      <w:r>
        <w:tab/>
        <w:t>That the Petitions to Intervene filed by</w:t>
      </w:r>
      <w:r w:rsidR="00161EBF">
        <w:t>: the Coalition for Affordable Utility Services and Energy Efficiency in Pennsylvania (</w:t>
      </w:r>
      <w:r>
        <w:t>CAUSE-PA</w:t>
      </w:r>
      <w:r w:rsidR="00161EBF">
        <w:t>)</w:t>
      </w:r>
      <w:r>
        <w:t xml:space="preserve">; </w:t>
      </w:r>
      <w:r w:rsidR="00161EBF">
        <w:t>Citizens for Pennsylvania’s Future (Penn Future); Clean Air Council and Sierra Club; Community Action Association of Pennsylvania (CAAP)</w:t>
      </w:r>
      <w:r w:rsidR="004236F3">
        <w:t>;</w:t>
      </w:r>
      <w:r w:rsidR="004236F3" w:rsidRPr="004236F3">
        <w:t xml:space="preserve"> </w:t>
      </w:r>
      <w:r w:rsidR="004236F3">
        <w:t xml:space="preserve">the </w:t>
      </w:r>
      <w:r w:rsidR="0017055E">
        <w:t xml:space="preserve">PPL Industrial Customer Alliance (PPLICA); the Sustainable Energy Fund; </w:t>
      </w:r>
      <w:r w:rsidR="00EE4F04">
        <w:t xml:space="preserve">and </w:t>
      </w:r>
      <w:proofErr w:type="spellStart"/>
      <w:r w:rsidR="0017055E">
        <w:t>Comverge</w:t>
      </w:r>
      <w:proofErr w:type="spellEnd"/>
      <w:r w:rsidR="0017055E">
        <w:t>, Inc.</w:t>
      </w:r>
      <w:r w:rsidR="00EE4F04">
        <w:t xml:space="preserve"> </w:t>
      </w:r>
      <w:r w:rsidR="00161EBF">
        <w:t>ar</w:t>
      </w:r>
      <w:r>
        <w:t>e hereby granted.</w:t>
      </w:r>
    </w:p>
    <w:p w:rsidR="00226DCF" w:rsidRDefault="00226DCF" w:rsidP="00226DCF">
      <w:pPr>
        <w:spacing w:line="360" w:lineRule="auto"/>
      </w:pPr>
    </w:p>
    <w:p w:rsidR="00226DCF" w:rsidRDefault="00226DCF" w:rsidP="00226DCF">
      <w:pPr>
        <w:spacing w:line="360" w:lineRule="auto"/>
      </w:pPr>
      <w:r>
        <w:tab/>
      </w:r>
      <w:r>
        <w:tab/>
      </w:r>
      <w:r w:rsidR="005A2709">
        <w:t>7</w:t>
      </w:r>
      <w:r>
        <w:t>.</w:t>
      </w:r>
      <w:r>
        <w:tab/>
        <w:t xml:space="preserve">That </w:t>
      </w:r>
      <w:r w:rsidR="00161EBF">
        <w:t xml:space="preserve">Zachary Max </w:t>
      </w:r>
      <w:proofErr w:type="spellStart"/>
      <w:r w:rsidR="00161EBF">
        <w:t>Fabish</w:t>
      </w:r>
      <w:proofErr w:type="spellEnd"/>
      <w:r>
        <w:t xml:space="preserve">, Esquire, counsel for </w:t>
      </w:r>
      <w:r w:rsidR="00161EBF">
        <w:t>Clean Air Council and Sierra Club</w:t>
      </w:r>
      <w:r>
        <w:t xml:space="preserve"> is granted leave to participate in these proceedings </w:t>
      </w:r>
      <w:r>
        <w:rPr>
          <w:i/>
        </w:rPr>
        <w:t xml:space="preserve">pro </w:t>
      </w:r>
      <w:proofErr w:type="spellStart"/>
      <w:r>
        <w:rPr>
          <w:i/>
        </w:rPr>
        <w:t>hac</w:t>
      </w:r>
      <w:proofErr w:type="spellEnd"/>
      <w:r>
        <w:rPr>
          <w:i/>
        </w:rPr>
        <w:t xml:space="preserve"> vice</w:t>
      </w:r>
      <w:r>
        <w:t>.</w:t>
      </w:r>
    </w:p>
    <w:p w:rsidR="005A2709" w:rsidRDefault="005A2709" w:rsidP="00226DCF">
      <w:pPr>
        <w:spacing w:line="360" w:lineRule="auto"/>
      </w:pPr>
    </w:p>
    <w:p w:rsidR="00226DCF" w:rsidRDefault="004236F3" w:rsidP="00226DCF">
      <w:pPr>
        <w:spacing w:line="360" w:lineRule="auto"/>
      </w:pPr>
      <w:r>
        <w:tab/>
      </w:r>
      <w:r>
        <w:tab/>
      </w:r>
    </w:p>
    <w:p w:rsidR="00226DCF" w:rsidRDefault="00226DCF" w:rsidP="00226DCF"/>
    <w:p w:rsidR="00226DCF" w:rsidRPr="00774975" w:rsidRDefault="00226DCF" w:rsidP="00226DCF">
      <w:pPr>
        <w:rPr>
          <w:u w:val="single"/>
        </w:rPr>
      </w:pPr>
      <w:r w:rsidRPr="00E22703">
        <w:t xml:space="preserve">Date: </w:t>
      </w:r>
      <w:r w:rsidR="00161EBF">
        <w:rPr>
          <w:u w:val="single"/>
        </w:rPr>
        <w:t xml:space="preserve">September </w:t>
      </w:r>
      <w:r w:rsidR="00EE4F04">
        <w:rPr>
          <w:u w:val="single"/>
        </w:rPr>
        <w:t>20</w:t>
      </w:r>
      <w:r>
        <w:rPr>
          <w:u w:val="single"/>
        </w:rPr>
        <w:t>, 201</w:t>
      </w:r>
      <w:r w:rsidR="00EE4F04">
        <w:rPr>
          <w:u w:val="single"/>
        </w:rPr>
        <w:t>2</w:t>
      </w:r>
      <w:r>
        <w:tab/>
      </w:r>
      <w:r>
        <w:tab/>
      </w:r>
      <w:r>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7438F2" w:rsidRDefault="00226DCF" w:rsidP="00226DCF">
      <w:pPr>
        <w:sectPr w:rsidR="007438F2" w:rsidSect="00713D64">
          <w:footerReference w:type="default" r:id="rId27"/>
          <w:pgSz w:w="12240" w:h="15840"/>
          <w:pgMar w:top="1440" w:right="180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7438F2" w:rsidRPr="00BD3CAA" w:rsidRDefault="007438F2" w:rsidP="007438F2">
      <w:pPr>
        <w:contextualSpacing/>
        <w:rPr>
          <w:rFonts w:ascii="Microsoft Sans Serif" w:hAnsi="Microsoft Sans Serif" w:cs="Microsoft Sans Serif"/>
          <w:b/>
          <w:caps/>
          <w:u w:val="single"/>
        </w:rPr>
      </w:pPr>
      <w:r w:rsidRPr="00BD3CAA">
        <w:rPr>
          <w:rFonts w:ascii="Microsoft Sans Serif" w:hAnsi="Microsoft Sans Serif" w:cs="Microsoft Sans Serif"/>
          <w:b/>
          <w:caps/>
          <w:u w:val="single"/>
        </w:rPr>
        <w:lastRenderedPageBreak/>
        <w:t>P-2012-2320369 Petition of PPL Electric Utilities Corporation</w:t>
      </w:r>
    </w:p>
    <w:p w:rsidR="007438F2" w:rsidRDefault="007438F2" w:rsidP="007438F2">
      <w:pPr>
        <w:contextualSpacing/>
        <w:rPr>
          <w:rFonts w:ascii="Microsoft Sans Serif" w:hAnsi="Microsoft Sans Serif" w:cs="Microsoft Sans Serif"/>
          <w:caps/>
        </w:rPr>
      </w:pPr>
    </w:p>
    <w:p w:rsidR="007438F2" w:rsidRPr="00A5481B" w:rsidRDefault="007438F2" w:rsidP="007438F2">
      <w:pPr>
        <w:contextualSpacing/>
        <w:rPr>
          <w:rFonts w:ascii="Microsoft Sans Serif" w:hAnsi="Microsoft Sans Serif" w:cs="Microsoft Sans Serif"/>
          <w:b/>
          <w:i/>
          <w:caps/>
          <w:u w:val="single"/>
        </w:rPr>
      </w:pPr>
      <w:r>
        <w:rPr>
          <w:rFonts w:ascii="Microsoft Sans Serif" w:hAnsi="Microsoft Sans Serif" w:cs="Microsoft Sans Serif"/>
          <w:b/>
          <w:i/>
          <w:caps/>
          <w:u w:val="single"/>
        </w:rPr>
        <w:t>rEVISED 9/20</w:t>
      </w:r>
      <w:r w:rsidRPr="00A5481B">
        <w:rPr>
          <w:rFonts w:ascii="Microsoft Sans Serif" w:hAnsi="Microsoft Sans Serif" w:cs="Microsoft Sans Serif"/>
          <w:b/>
          <w:i/>
          <w:caps/>
          <w:u w:val="single"/>
        </w:rPr>
        <w:t>/12</w:t>
      </w:r>
    </w:p>
    <w:p w:rsidR="007438F2" w:rsidRPr="008B121C" w:rsidRDefault="007438F2" w:rsidP="007438F2">
      <w:pPr>
        <w:contextualSpacing/>
        <w:rPr>
          <w:rFonts w:ascii="Microsoft Sans Serif" w:hAnsi="Calibri"/>
          <w:b/>
          <w:szCs w:val="22"/>
          <w:u w:val="single"/>
        </w:rPr>
        <w:sectPr w:rsidR="007438F2" w:rsidRPr="008B121C" w:rsidSect="007438F2">
          <w:pgSz w:w="12240" w:h="15840"/>
          <w:pgMar w:top="720" w:right="720" w:bottom="720" w:left="720" w:header="720" w:footer="720" w:gutter="0"/>
          <w:cols w:space="720"/>
          <w:docGrid w:linePitch="360"/>
        </w:sectPr>
      </w:pPr>
      <w:r w:rsidRPr="008B121C">
        <w:rPr>
          <w:rFonts w:ascii="Calibri" w:hAnsi="Calibri"/>
          <w:sz w:val="22"/>
          <w:szCs w:val="22"/>
        </w:rPr>
        <w:tab/>
      </w:r>
    </w:p>
    <w:p w:rsidR="007438F2" w:rsidRDefault="007438F2" w:rsidP="007438F2">
      <w:pPr>
        <w:contextualSpacing/>
        <w:rPr>
          <w:rFonts w:ascii="Microsoft Sans Serif" w:hAnsi="Calibri"/>
          <w:szCs w:val="22"/>
        </w:rPr>
      </w:pPr>
      <w:r>
        <w:rPr>
          <w:rFonts w:ascii="Microsoft Sans Serif" w:hAnsi="Calibri"/>
          <w:szCs w:val="22"/>
        </w:rPr>
        <w:lastRenderedPageBreak/>
        <w:t>ADEOLU A BAKARE ESQUIRE</w:t>
      </w:r>
      <w:r w:rsidRPr="008B121C">
        <w:rPr>
          <w:rFonts w:ascii="Microsoft Sans Serif" w:hAnsi="Calibri"/>
          <w:szCs w:val="22"/>
        </w:rPr>
        <w:cr/>
      </w:r>
      <w:r>
        <w:rPr>
          <w:rFonts w:ascii="Microsoft Sans Serif" w:hAnsi="Calibri"/>
          <w:szCs w:val="22"/>
        </w:rPr>
        <w:t>PAMELA POLACEK ESQUIRE</w:t>
      </w:r>
    </w:p>
    <w:p w:rsidR="007438F2" w:rsidRDefault="007438F2" w:rsidP="007438F2">
      <w:pPr>
        <w:contextualSpacing/>
        <w:rPr>
          <w:rFonts w:ascii="Microsoft Sans Serif" w:hAnsi="Calibri"/>
          <w:b/>
          <w:szCs w:val="22"/>
          <w:u w:val="single"/>
        </w:rPr>
      </w:pPr>
      <w:r w:rsidRPr="008B121C">
        <w:rPr>
          <w:rFonts w:ascii="Microsoft Sans Serif" w:hAnsi="Calibri"/>
          <w:szCs w:val="22"/>
        </w:rPr>
        <w:t>MCNEES WALLACE &amp; NURICK</w:t>
      </w:r>
      <w:r w:rsidRPr="008B121C">
        <w:rPr>
          <w:rFonts w:ascii="Microsoft Sans Serif" w:hAnsi="Calibri"/>
          <w:szCs w:val="22"/>
        </w:rPr>
        <w:cr/>
        <w:t>100 PINE STREET</w:t>
      </w:r>
      <w:r w:rsidRPr="008B121C">
        <w:rPr>
          <w:rFonts w:ascii="Microsoft Sans Serif" w:hAnsi="Calibri"/>
          <w:szCs w:val="22"/>
        </w:rPr>
        <w:cr/>
        <w:t>PO BOX 1166</w:t>
      </w:r>
      <w:r w:rsidRPr="008B121C">
        <w:rPr>
          <w:rFonts w:ascii="Microsoft Sans Serif" w:hAnsi="Calibri"/>
          <w:szCs w:val="22"/>
        </w:rPr>
        <w:cr/>
        <w:t>HARRISBURG PA  171</w:t>
      </w:r>
      <w:r>
        <w:rPr>
          <w:rFonts w:ascii="Microsoft Sans Serif" w:hAnsi="Calibri"/>
          <w:szCs w:val="22"/>
        </w:rPr>
        <w:t>08-1166</w:t>
      </w:r>
      <w:r>
        <w:rPr>
          <w:rFonts w:ascii="Microsoft Sans Serif" w:hAnsi="Calibri"/>
          <w:szCs w:val="22"/>
        </w:rPr>
        <w:cr/>
        <w:t>717.237.5368</w:t>
      </w:r>
      <w:r w:rsidRPr="008B121C">
        <w:rPr>
          <w:rFonts w:ascii="Microsoft Sans Serif" w:hAnsi="Calibri"/>
          <w:szCs w:val="22"/>
        </w:rPr>
        <w:cr/>
      </w:r>
      <w:proofErr w:type="gramStart"/>
      <w:r w:rsidRPr="00F96575">
        <w:rPr>
          <w:rFonts w:ascii="Microsoft Sans Serif" w:hAnsi="Calibri"/>
          <w:b/>
          <w:szCs w:val="22"/>
          <w:u w:val="single"/>
        </w:rPr>
        <w:t>e-serve</w:t>
      </w:r>
      <w:proofErr w:type="gramEnd"/>
    </w:p>
    <w:p w:rsidR="007438F2" w:rsidRDefault="007438F2" w:rsidP="007438F2">
      <w:pPr>
        <w:contextualSpacing/>
        <w:rPr>
          <w:rFonts w:ascii="Microsoft Sans Serif" w:hAnsi="Calibri"/>
          <w:szCs w:val="22"/>
        </w:rPr>
      </w:pPr>
    </w:p>
    <w:p w:rsidR="007438F2" w:rsidRDefault="007438F2" w:rsidP="007438F2">
      <w:pPr>
        <w:contextualSpacing/>
        <w:rPr>
          <w:rFonts w:ascii="Microsoft Sans Serif" w:hAnsi="Calibri"/>
          <w:szCs w:val="22"/>
        </w:rPr>
      </w:pPr>
      <w:r w:rsidRPr="008B121C">
        <w:rPr>
          <w:rFonts w:ascii="Microsoft Sans Serif" w:hAnsi="Calibri"/>
          <w:szCs w:val="22"/>
        </w:rPr>
        <w:t>ANDREW S TUBBS ESQUIRE</w:t>
      </w:r>
      <w:r w:rsidRPr="008B121C">
        <w:rPr>
          <w:rFonts w:ascii="Microsoft Sans Serif" w:hAnsi="Calibri"/>
          <w:szCs w:val="22"/>
        </w:rPr>
        <w:cr/>
        <w:t>POST &amp; SCHELL</w:t>
      </w:r>
      <w:r>
        <w:rPr>
          <w:rFonts w:ascii="Microsoft Sans Serif" w:hAnsi="Calibri"/>
          <w:szCs w:val="22"/>
        </w:rPr>
        <w:t xml:space="preserve"> PC</w:t>
      </w:r>
      <w:r w:rsidRPr="008B121C">
        <w:rPr>
          <w:rFonts w:ascii="Microsoft Sans Serif" w:hAnsi="Calibri"/>
          <w:szCs w:val="22"/>
        </w:rPr>
        <w:cr/>
        <w:t>12TH FLOOR</w:t>
      </w:r>
      <w:r w:rsidRPr="008B121C">
        <w:rPr>
          <w:rFonts w:ascii="Microsoft Sans Serif" w:hAnsi="Calibri"/>
          <w:szCs w:val="22"/>
        </w:rPr>
        <w:cr/>
        <w:t xml:space="preserve">17 NORTH SECOND </w:t>
      </w:r>
      <w:proofErr w:type="gramStart"/>
      <w:r w:rsidRPr="008B121C">
        <w:rPr>
          <w:rFonts w:ascii="Microsoft Sans Serif" w:hAnsi="Calibri"/>
          <w:szCs w:val="22"/>
        </w:rPr>
        <w:t>STREET</w:t>
      </w:r>
      <w:proofErr w:type="gramEnd"/>
      <w:r w:rsidRPr="008B121C">
        <w:rPr>
          <w:rFonts w:ascii="Microsoft Sans Serif" w:hAnsi="Calibri"/>
          <w:szCs w:val="22"/>
        </w:rPr>
        <w:cr/>
        <w:t>HARRISBU</w:t>
      </w:r>
      <w:r>
        <w:rPr>
          <w:rFonts w:ascii="Microsoft Sans Serif" w:hAnsi="Calibri"/>
          <w:szCs w:val="22"/>
        </w:rPr>
        <w:t>RG PA  17101-1601</w:t>
      </w:r>
      <w:r>
        <w:rPr>
          <w:rFonts w:ascii="Microsoft Sans Serif" w:hAnsi="Calibri"/>
          <w:szCs w:val="22"/>
        </w:rPr>
        <w:cr/>
        <w:t>717-612-6057</w:t>
      </w:r>
      <w:r>
        <w:rPr>
          <w:rFonts w:ascii="Microsoft Sans Serif" w:hAnsi="Calibri"/>
          <w:szCs w:val="22"/>
        </w:rPr>
        <w:cr/>
      </w:r>
      <w:proofErr w:type="gramStart"/>
      <w:r w:rsidRPr="00435EA6">
        <w:rPr>
          <w:rFonts w:ascii="Microsoft Sans Serif" w:hAnsi="Calibri"/>
          <w:b/>
          <w:szCs w:val="22"/>
          <w:u w:val="single"/>
        </w:rPr>
        <w:t>e-serve</w:t>
      </w:r>
      <w:proofErr w:type="gramEnd"/>
    </w:p>
    <w:p w:rsidR="007438F2" w:rsidRDefault="007438F2" w:rsidP="007438F2">
      <w:pPr>
        <w:contextualSpacing/>
        <w:rPr>
          <w:rFonts w:ascii="Microsoft Sans Serif" w:hAnsi="Calibri"/>
          <w:szCs w:val="22"/>
        </w:rPr>
      </w:pPr>
      <w:r w:rsidRPr="008B121C">
        <w:rPr>
          <w:rFonts w:ascii="Microsoft Sans Serif" w:hAnsi="Calibri"/>
          <w:szCs w:val="22"/>
        </w:rPr>
        <w:cr/>
        <w:t>ZACHARY MAX FABISH ESQUIRE</w:t>
      </w:r>
      <w:r w:rsidRPr="008B121C">
        <w:rPr>
          <w:rFonts w:ascii="Microsoft Sans Serif" w:hAnsi="Calibri"/>
          <w:szCs w:val="22"/>
        </w:rPr>
        <w:cr/>
        <w:t>50 F STREET</w:t>
      </w:r>
      <w:r w:rsidRPr="008B121C">
        <w:rPr>
          <w:rFonts w:ascii="Microsoft Sans Serif" w:hAnsi="Calibri"/>
          <w:szCs w:val="22"/>
        </w:rPr>
        <w:cr/>
        <w:t>8TH FLOOR</w:t>
      </w:r>
      <w:r w:rsidRPr="008B121C">
        <w:rPr>
          <w:rFonts w:ascii="Microsoft Sans Serif" w:hAnsi="Calibri"/>
          <w:szCs w:val="22"/>
        </w:rPr>
        <w:cr/>
        <w:t>WAS</w:t>
      </w:r>
      <w:r>
        <w:rPr>
          <w:rFonts w:ascii="Microsoft Sans Serif" w:hAnsi="Calibri"/>
          <w:szCs w:val="22"/>
        </w:rPr>
        <w:t>HINGTON DC  20001</w:t>
      </w:r>
      <w:r>
        <w:rPr>
          <w:rFonts w:ascii="Microsoft Sans Serif" w:hAnsi="Calibri"/>
          <w:szCs w:val="22"/>
        </w:rPr>
        <w:cr/>
        <w:t>202-675-7917</w:t>
      </w:r>
      <w:r>
        <w:rPr>
          <w:rFonts w:ascii="Microsoft Sans Serif" w:hAnsi="Calibri"/>
          <w:szCs w:val="22"/>
        </w:rPr>
        <w:cr/>
      </w:r>
      <w:proofErr w:type="gramStart"/>
      <w:r w:rsidRPr="00435EA6">
        <w:rPr>
          <w:rFonts w:ascii="Microsoft Sans Serif" w:hAnsi="Calibri"/>
          <w:b/>
          <w:szCs w:val="22"/>
          <w:u w:val="single"/>
        </w:rPr>
        <w:t>e-serve</w:t>
      </w:r>
      <w:proofErr w:type="gramEnd"/>
    </w:p>
    <w:p w:rsidR="007438F2" w:rsidRDefault="007438F2" w:rsidP="007438F2">
      <w:pPr>
        <w:contextualSpacing/>
        <w:rPr>
          <w:rFonts w:ascii="Microsoft Sans Serif" w:hAnsi="Calibri"/>
          <w:szCs w:val="22"/>
        </w:rPr>
      </w:pPr>
    </w:p>
    <w:p w:rsidR="007438F2" w:rsidRDefault="007438F2" w:rsidP="007438F2">
      <w:pPr>
        <w:contextualSpacing/>
        <w:rPr>
          <w:rFonts w:ascii="Microsoft Sans Serif" w:hAnsi="Calibri"/>
          <w:szCs w:val="22"/>
        </w:rPr>
      </w:pPr>
      <w:r w:rsidRPr="008B121C">
        <w:rPr>
          <w:rFonts w:ascii="Microsoft Sans Serif" w:hAnsi="Calibri"/>
          <w:szCs w:val="22"/>
        </w:rPr>
        <w:t xml:space="preserve">JOSEPH OTIS MINOTT </w:t>
      </w:r>
    </w:p>
    <w:p w:rsidR="007438F2" w:rsidRDefault="007438F2" w:rsidP="007438F2">
      <w:pPr>
        <w:contextualSpacing/>
        <w:rPr>
          <w:rFonts w:ascii="Microsoft Sans Serif" w:hAnsi="Calibri"/>
          <w:szCs w:val="22"/>
        </w:rPr>
      </w:pPr>
      <w:r w:rsidRPr="008B121C">
        <w:rPr>
          <w:rFonts w:ascii="Microsoft Sans Serif" w:hAnsi="Calibri"/>
          <w:szCs w:val="22"/>
        </w:rPr>
        <w:t>EXECUTIVE DIRECTOR</w:t>
      </w:r>
      <w:r w:rsidRPr="008B121C">
        <w:rPr>
          <w:rFonts w:ascii="Microsoft Sans Serif" w:hAnsi="Calibri"/>
          <w:szCs w:val="22"/>
        </w:rPr>
        <w:cr/>
        <w:t>CLEAN AIR COUNCIL</w:t>
      </w:r>
      <w:r w:rsidRPr="008B121C">
        <w:rPr>
          <w:rFonts w:ascii="Microsoft Sans Serif" w:hAnsi="Calibri"/>
          <w:szCs w:val="22"/>
        </w:rPr>
        <w:cr/>
        <w:t>135 S 19TH STREET</w:t>
      </w:r>
      <w:r w:rsidRPr="008B121C">
        <w:rPr>
          <w:rFonts w:ascii="Microsoft Sans Serif" w:hAnsi="Calibri"/>
          <w:szCs w:val="22"/>
        </w:rPr>
        <w:cr/>
        <w:t>SUITE 300</w:t>
      </w:r>
      <w:r w:rsidRPr="008B121C">
        <w:rPr>
          <w:rFonts w:ascii="Microsoft Sans Serif" w:hAnsi="Calibri"/>
          <w:szCs w:val="22"/>
        </w:rPr>
        <w:cr/>
        <w:t>PHILADELPHIA PA  19103</w:t>
      </w:r>
      <w:r w:rsidRPr="008B121C">
        <w:rPr>
          <w:rFonts w:ascii="Microsoft Sans Serif" w:hAnsi="Calibri"/>
          <w:szCs w:val="22"/>
        </w:rPr>
        <w:cr/>
        <w:t>215-567-4004</w:t>
      </w:r>
      <w:r w:rsidRPr="008B121C">
        <w:rPr>
          <w:rFonts w:ascii="Microsoft Sans Serif" w:hAnsi="Calibri"/>
          <w:szCs w:val="22"/>
        </w:rPr>
        <w:cr/>
      </w:r>
      <w:proofErr w:type="gramStart"/>
      <w:r w:rsidRPr="00F96575">
        <w:rPr>
          <w:rFonts w:ascii="Microsoft Sans Serif" w:hAnsi="Calibri"/>
          <w:b/>
          <w:szCs w:val="22"/>
          <w:u w:val="single"/>
        </w:rPr>
        <w:t>e-serve</w:t>
      </w:r>
      <w:proofErr w:type="gramEnd"/>
    </w:p>
    <w:p w:rsidR="007438F2" w:rsidRDefault="007438F2" w:rsidP="007438F2">
      <w:pPr>
        <w:contextualSpacing/>
        <w:rPr>
          <w:rFonts w:ascii="Microsoft Sans Serif" w:hAnsi="Calibri"/>
          <w:szCs w:val="22"/>
        </w:rPr>
      </w:pPr>
      <w:r w:rsidRPr="008B121C">
        <w:rPr>
          <w:rFonts w:ascii="Microsoft Sans Serif" w:hAnsi="Calibri"/>
          <w:szCs w:val="22"/>
        </w:rPr>
        <w:cr/>
        <w:t>PAUL E RUSSELL ESQUIRE</w:t>
      </w:r>
      <w:r w:rsidRPr="008B121C">
        <w:rPr>
          <w:rFonts w:ascii="Microsoft Sans Serif" w:hAnsi="Calibri"/>
          <w:szCs w:val="22"/>
        </w:rPr>
        <w:cr/>
      </w:r>
      <w:r>
        <w:rPr>
          <w:rFonts w:ascii="Microsoft Sans Serif" w:hAnsi="Calibri"/>
          <w:szCs w:val="22"/>
        </w:rPr>
        <w:t>ASSOCIATE GENERAL COUNSEL</w:t>
      </w:r>
    </w:p>
    <w:p w:rsidR="007438F2" w:rsidRDefault="007438F2" w:rsidP="007438F2">
      <w:pPr>
        <w:contextualSpacing/>
        <w:rPr>
          <w:rFonts w:ascii="Microsoft Sans Serif" w:hAnsi="Calibri"/>
          <w:szCs w:val="22"/>
        </w:rPr>
      </w:pPr>
      <w:r w:rsidRPr="008B121C">
        <w:rPr>
          <w:rFonts w:ascii="Microsoft Sans Serif" w:hAnsi="Calibri"/>
          <w:szCs w:val="22"/>
        </w:rPr>
        <w:t>PPL ELECTRIC UTILITIES CORPORATION</w:t>
      </w:r>
      <w:r w:rsidRPr="008B121C">
        <w:rPr>
          <w:rFonts w:ascii="Microsoft Sans Serif" w:hAnsi="Calibri"/>
          <w:szCs w:val="22"/>
        </w:rPr>
        <w:cr/>
      </w:r>
      <w:r>
        <w:rPr>
          <w:rFonts w:ascii="Microsoft Sans Serif" w:hAnsi="Calibri"/>
          <w:szCs w:val="22"/>
        </w:rPr>
        <w:t>OFFICE OF GENERAL COUNSEL</w:t>
      </w:r>
    </w:p>
    <w:p w:rsidR="007438F2" w:rsidRDefault="007438F2" w:rsidP="007438F2">
      <w:pPr>
        <w:contextualSpacing/>
        <w:rPr>
          <w:rFonts w:ascii="Microsoft Sans Serif" w:hAnsi="Calibri"/>
          <w:b/>
          <w:szCs w:val="22"/>
          <w:u w:val="single"/>
        </w:rPr>
      </w:pPr>
      <w:r w:rsidRPr="008B121C">
        <w:rPr>
          <w:rFonts w:ascii="Microsoft Sans Serif" w:hAnsi="Calibri"/>
          <w:szCs w:val="22"/>
        </w:rPr>
        <w:t>2 NORTH NINTH STREET</w:t>
      </w:r>
      <w:r w:rsidRPr="008B121C">
        <w:rPr>
          <w:rFonts w:ascii="Microsoft Sans Serif" w:hAnsi="Calibri"/>
          <w:szCs w:val="22"/>
        </w:rPr>
        <w:cr/>
        <w:t>ALLENTOWN PA  18101</w:t>
      </w:r>
      <w:r w:rsidRPr="008B121C">
        <w:rPr>
          <w:rFonts w:ascii="Microsoft Sans Serif" w:hAnsi="Calibri"/>
          <w:szCs w:val="22"/>
        </w:rPr>
        <w:cr/>
        <w:t>610-774-4254</w:t>
      </w:r>
      <w:r w:rsidRPr="008B121C">
        <w:rPr>
          <w:rFonts w:ascii="Microsoft Sans Serif" w:hAnsi="Calibri"/>
          <w:szCs w:val="22"/>
        </w:rPr>
        <w:cr/>
      </w:r>
      <w:proofErr w:type="gramStart"/>
      <w:r w:rsidRPr="00F96575">
        <w:rPr>
          <w:rFonts w:ascii="Microsoft Sans Serif" w:hAnsi="Calibri"/>
          <w:b/>
          <w:szCs w:val="22"/>
          <w:u w:val="single"/>
        </w:rPr>
        <w:t>e-serve</w:t>
      </w:r>
      <w:proofErr w:type="gramEnd"/>
    </w:p>
    <w:p w:rsidR="007438F2" w:rsidRDefault="007438F2" w:rsidP="007438F2">
      <w:pPr>
        <w:contextualSpacing/>
        <w:rPr>
          <w:rFonts w:ascii="Microsoft Sans Serif" w:hAnsi="Calibri"/>
          <w:b/>
          <w:szCs w:val="22"/>
          <w:u w:val="single"/>
        </w:rPr>
      </w:pPr>
    </w:p>
    <w:p w:rsidR="007438F2" w:rsidRDefault="007438F2" w:rsidP="007438F2">
      <w:pPr>
        <w:contextualSpacing/>
        <w:rPr>
          <w:rFonts w:ascii="Microsoft Sans Serif" w:hAnsi="Calibri"/>
          <w:szCs w:val="22"/>
        </w:rPr>
      </w:pPr>
      <w:r>
        <w:rPr>
          <w:rFonts w:ascii="Microsoft Sans Serif" w:hAnsi="Calibri"/>
          <w:szCs w:val="22"/>
        </w:rPr>
        <w:br w:type="page"/>
      </w:r>
    </w:p>
    <w:p w:rsidR="007438F2" w:rsidRDefault="007438F2" w:rsidP="007438F2">
      <w:pPr>
        <w:contextualSpacing/>
        <w:rPr>
          <w:rFonts w:ascii="Microsoft Sans Serif" w:hAnsi="Calibri"/>
          <w:szCs w:val="22"/>
        </w:rPr>
      </w:pPr>
      <w:r>
        <w:rPr>
          <w:rFonts w:ascii="Microsoft Sans Serif" w:hAnsi="Calibri"/>
          <w:szCs w:val="22"/>
        </w:rPr>
        <w:lastRenderedPageBreak/>
        <w:t>HEATHER LANGELAND ESQUIRE</w:t>
      </w:r>
    </w:p>
    <w:p w:rsidR="007438F2" w:rsidRDefault="007438F2" w:rsidP="007438F2">
      <w:pPr>
        <w:contextualSpacing/>
        <w:rPr>
          <w:rFonts w:ascii="Microsoft Sans Serif" w:hAnsi="Calibri"/>
          <w:szCs w:val="22"/>
        </w:rPr>
      </w:pPr>
      <w:r w:rsidRPr="008B121C">
        <w:rPr>
          <w:rFonts w:ascii="Microsoft Sans Serif" w:hAnsi="Calibri"/>
          <w:szCs w:val="22"/>
        </w:rPr>
        <w:t>CITIZENS FOR PENNSYLVANIA'S FUT</w:t>
      </w:r>
      <w:r>
        <w:rPr>
          <w:rFonts w:ascii="Microsoft Sans Serif" w:hAnsi="Calibri"/>
          <w:szCs w:val="22"/>
        </w:rPr>
        <w:t>URE</w:t>
      </w:r>
    </w:p>
    <w:p w:rsidR="007438F2" w:rsidRDefault="007438F2" w:rsidP="007438F2">
      <w:pPr>
        <w:contextualSpacing/>
        <w:rPr>
          <w:rFonts w:ascii="Microsoft Sans Serif" w:hAnsi="Calibri"/>
          <w:szCs w:val="22"/>
        </w:rPr>
      </w:pPr>
      <w:r>
        <w:rPr>
          <w:rFonts w:ascii="Microsoft Sans Serif" w:hAnsi="Calibri"/>
          <w:szCs w:val="22"/>
        </w:rPr>
        <w:t>(PENNFUTURE)</w:t>
      </w:r>
      <w:r>
        <w:rPr>
          <w:rFonts w:ascii="Microsoft Sans Serif" w:hAnsi="Calibri"/>
          <w:szCs w:val="22"/>
        </w:rPr>
        <w:cr/>
        <w:t>425 SIXTH AVENUE SUITE 2770</w:t>
      </w:r>
    </w:p>
    <w:p w:rsidR="007438F2" w:rsidRDefault="007438F2" w:rsidP="007438F2">
      <w:pPr>
        <w:contextualSpacing/>
        <w:rPr>
          <w:rFonts w:ascii="Microsoft Sans Serif" w:hAnsi="Calibri"/>
          <w:b/>
          <w:szCs w:val="22"/>
          <w:u w:val="single"/>
        </w:rPr>
      </w:pPr>
      <w:r>
        <w:rPr>
          <w:rFonts w:ascii="Microsoft Sans Serif" w:hAnsi="Calibri"/>
          <w:szCs w:val="22"/>
        </w:rPr>
        <w:t>PITTSBURGH PA 15219</w:t>
      </w:r>
      <w:r>
        <w:rPr>
          <w:rFonts w:ascii="Microsoft Sans Serif" w:hAnsi="Calibri"/>
          <w:szCs w:val="22"/>
        </w:rPr>
        <w:cr/>
        <w:t>412-258-</w:t>
      </w:r>
      <w:proofErr w:type="gramStart"/>
      <w:r>
        <w:rPr>
          <w:rFonts w:ascii="Microsoft Sans Serif" w:hAnsi="Calibri"/>
          <w:szCs w:val="22"/>
        </w:rPr>
        <w:t>6680</w:t>
      </w:r>
      <w:r w:rsidRPr="008B121C">
        <w:rPr>
          <w:rFonts w:ascii="Microsoft Sans Serif" w:hAnsi="Calibri"/>
          <w:szCs w:val="22"/>
        </w:rPr>
        <w:t xml:space="preserve"> </w:t>
      </w:r>
      <w:r w:rsidRPr="008B121C">
        <w:rPr>
          <w:rFonts w:ascii="Microsoft Sans Serif" w:hAnsi="Calibri"/>
          <w:szCs w:val="22"/>
        </w:rPr>
        <w:cr/>
      </w:r>
      <w:r w:rsidRPr="00B21A82">
        <w:rPr>
          <w:rFonts w:ascii="Microsoft Sans Serif" w:hAnsi="Calibri"/>
          <w:b/>
          <w:szCs w:val="22"/>
          <w:u w:val="single"/>
        </w:rPr>
        <w:t>e</w:t>
      </w:r>
      <w:proofErr w:type="gramEnd"/>
      <w:r w:rsidRPr="00B21A82">
        <w:rPr>
          <w:rFonts w:ascii="Microsoft Sans Serif" w:hAnsi="Calibri"/>
          <w:b/>
          <w:szCs w:val="22"/>
          <w:u w:val="single"/>
        </w:rPr>
        <w:t>-serve</w:t>
      </w:r>
    </w:p>
    <w:p w:rsidR="007438F2" w:rsidRDefault="007438F2" w:rsidP="007438F2">
      <w:pPr>
        <w:contextualSpacing/>
        <w:rPr>
          <w:rFonts w:ascii="Microsoft Sans Serif" w:hAnsi="Calibri"/>
          <w:b/>
          <w:szCs w:val="22"/>
          <w:u w:val="single"/>
        </w:rPr>
      </w:pPr>
    </w:p>
    <w:p w:rsidR="007438F2" w:rsidRPr="008B121C" w:rsidRDefault="007438F2" w:rsidP="007438F2">
      <w:pPr>
        <w:contextualSpacing/>
        <w:rPr>
          <w:rFonts w:ascii="Microsoft Sans Serif" w:hAnsi="Calibri"/>
          <w:szCs w:val="22"/>
        </w:rPr>
      </w:pPr>
      <w:r w:rsidRPr="008B121C">
        <w:rPr>
          <w:rFonts w:ascii="Microsoft Sans Serif" w:hAnsi="Calibri"/>
          <w:szCs w:val="22"/>
        </w:rPr>
        <w:t>HARRY S GELLER EXECUTIVE DIRECTOR</w:t>
      </w:r>
      <w:r w:rsidRPr="008B121C">
        <w:rPr>
          <w:rFonts w:ascii="Microsoft Sans Serif" w:hAnsi="Calibri"/>
          <w:szCs w:val="22"/>
        </w:rPr>
        <w:cr/>
        <w:t>PATRICK M CICERO ESQUIRE</w:t>
      </w:r>
    </w:p>
    <w:p w:rsidR="007438F2" w:rsidRPr="008B121C" w:rsidRDefault="007438F2" w:rsidP="007438F2">
      <w:pPr>
        <w:contextualSpacing/>
        <w:rPr>
          <w:rFonts w:ascii="Microsoft Sans Serif" w:hAnsi="Calibri"/>
          <w:szCs w:val="22"/>
        </w:rPr>
      </w:pPr>
      <w:r w:rsidRPr="008B121C">
        <w:rPr>
          <w:rFonts w:ascii="Microsoft Sans Serif" w:hAnsi="Calibri"/>
          <w:szCs w:val="22"/>
        </w:rPr>
        <w:t>BRYCE ROBERTSON</w:t>
      </w:r>
    </w:p>
    <w:p w:rsidR="007438F2" w:rsidRDefault="007438F2" w:rsidP="007438F2">
      <w:pPr>
        <w:contextualSpacing/>
        <w:rPr>
          <w:rFonts w:ascii="Microsoft Sans Serif" w:hAnsi="Calibri"/>
          <w:szCs w:val="22"/>
        </w:rPr>
      </w:pPr>
      <w:r w:rsidRPr="008B121C">
        <w:rPr>
          <w:rFonts w:ascii="Microsoft Sans Serif" w:hAnsi="Calibri"/>
          <w:szCs w:val="22"/>
        </w:rPr>
        <w:t>PA UTILITY LAW PROJECT</w:t>
      </w:r>
      <w:r w:rsidRPr="008B121C">
        <w:rPr>
          <w:rFonts w:ascii="Microsoft Sans Serif" w:hAnsi="Calibri"/>
          <w:szCs w:val="22"/>
        </w:rPr>
        <w:cr/>
        <w:t>118 LOCUST STREET</w:t>
      </w:r>
      <w:r w:rsidRPr="008B121C">
        <w:rPr>
          <w:rFonts w:ascii="Microsoft Sans Serif" w:hAnsi="Calibri"/>
          <w:szCs w:val="22"/>
        </w:rPr>
        <w:cr/>
        <w:t>HA</w:t>
      </w:r>
      <w:r>
        <w:rPr>
          <w:rFonts w:ascii="Microsoft Sans Serif" w:hAnsi="Calibri"/>
          <w:szCs w:val="22"/>
        </w:rPr>
        <w:t>RRISBURG PA  17101</w:t>
      </w:r>
      <w:r>
        <w:rPr>
          <w:rFonts w:ascii="Microsoft Sans Serif" w:hAnsi="Calibri"/>
          <w:szCs w:val="22"/>
        </w:rPr>
        <w:cr/>
        <w:t>717-232-2719</w:t>
      </w:r>
    </w:p>
    <w:p w:rsidR="007438F2" w:rsidRPr="00B71E44" w:rsidRDefault="007438F2" w:rsidP="007438F2">
      <w:pPr>
        <w:contextualSpacing/>
        <w:rPr>
          <w:rFonts w:ascii="Microsoft Sans Serif" w:hAnsi="Calibri"/>
          <w:b/>
          <w:szCs w:val="22"/>
          <w:u w:val="single"/>
        </w:rPr>
      </w:pPr>
      <w:proofErr w:type="gramStart"/>
      <w:r>
        <w:rPr>
          <w:rFonts w:ascii="Microsoft Sans Serif" w:hAnsi="Calibri"/>
          <w:b/>
          <w:szCs w:val="22"/>
          <w:u w:val="single"/>
        </w:rPr>
        <w:t>e-serve</w:t>
      </w:r>
      <w:proofErr w:type="gramEnd"/>
    </w:p>
    <w:p w:rsidR="007438F2" w:rsidRDefault="007438F2" w:rsidP="007438F2">
      <w:pPr>
        <w:contextualSpacing/>
        <w:rPr>
          <w:rFonts w:ascii="Microsoft Sans Serif" w:hAnsi="Calibri"/>
          <w:szCs w:val="22"/>
        </w:rPr>
      </w:pPr>
    </w:p>
    <w:p w:rsidR="007438F2" w:rsidRPr="008B121C" w:rsidRDefault="007438F2" w:rsidP="007438F2">
      <w:pPr>
        <w:contextualSpacing/>
        <w:rPr>
          <w:rFonts w:ascii="Microsoft Sans Serif" w:hAnsi="Calibri"/>
          <w:szCs w:val="22"/>
        </w:rPr>
      </w:pPr>
      <w:r>
        <w:rPr>
          <w:rFonts w:ascii="Microsoft Sans Serif" w:hAnsi="Calibri"/>
          <w:szCs w:val="22"/>
        </w:rPr>
        <w:t>JAMES A MULLINS</w:t>
      </w:r>
      <w:r w:rsidRPr="008B121C">
        <w:rPr>
          <w:rFonts w:ascii="Microsoft Sans Serif" w:hAnsi="Calibri"/>
          <w:szCs w:val="22"/>
        </w:rPr>
        <w:t xml:space="preserve"> ESQUIRE</w:t>
      </w:r>
    </w:p>
    <w:p w:rsidR="007438F2" w:rsidRDefault="007438F2" w:rsidP="007438F2">
      <w:pPr>
        <w:contextualSpacing/>
        <w:rPr>
          <w:rFonts w:ascii="Microsoft Sans Serif" w:hAnsi="Calibri"/>
          <w:szCs w:val="22"/>
        </w:rPr>
      </w:pPr>
      <w:r w:rsidRPr="008B121C">
        <w:rPr>
          <w:rFonts w:ascii="Microsoft Sans Serif" w:hAnsi="Calibri"/>
          <w:szCs w:val="22"/>
        </w:rPr>
        <w:t>OFFICE OF CONSU</w:t>
      </w:r>
      <w:r>
        <w:rPr>
          <w:rFonts w:ascii="Microsoft Sans Serif" w:hAnsi="Calibri"/>
          <w:szCs w:val="22"/>
        </w:rPr>
        <w:t>MER ADVOCATE</w:t>
      </w:r>
      <w:r>
        <w:rPr>
          <w:rFonts w:ascii="Microsoft Sans Serif" w:hAnsi="Calibri"/>
          <w:szCs w:val="22"/>
        </w:rPr>
        <w:cr/>
        <w:t xml:space="preserve">555 WALNUT STREET </w:t>
      </w:r>
    </w:p>
    <w:p w:rsidR="007438F2" w:rsidRDefault="007438F2" w:rsidP="007438F2">
      <w:pPr>
        <w:contextualSpacing/>
        <w:rPr>
          <w:rFonts w:ascii="Microsoft Sans Serif" w:hAnsi="Calibri"/>
          <w:szCs w:val="22"/>
        </w:rPr>
      </w:pPr>
      <w:r>
        <w:rPr>
          <w:rFonts w:ascii="Microsoft Sans Serif" w:hAnsi="Calibri"/>
          <w:szCs w:val="22"/>
        </w:rPr>
        <w:t xml:space="preserve">FIFTH FLOOR </w:t>
      </w:r>
      <w:r w:rsidRPr="008B121C">
        <w:rPr>
          <w:rFonts w:ascii="Microsoft Sans Serif" w:hAnsi="Calibri"/>
          <w:szCs w:val="22"/>
        </w:rPr>
        <w:t>FORUM PLACE</w:t>
      </w:r>
      <w:r w:rsidRPr="008B121C">
        <w:rPr>
          <w:rFonts w:ascii="Microsoft Sans Serif" w:hAnsi="Calibri"/>
          <w:szCs w:val="22"/>
        </w:rPr>
        <w:cr/>
        <w:t>HARRISBURG PA  17101-1923</w:t>
      </w:r>
      <w:r w:rsidRPr="008B121C">
        <w:rPr>
          <w:rFonts w:ascii="Microsoft Sans Serif" w:hAnsi="Calibri"/>
          <w:szCs w:val="22"/>
        </w:rPr>
        <w:cr/>
        <w:t>717-783-5048</w:t>
      </w:r>
      <w:r w:rsidRPr="008B121C">
        <w:rPr>
          <w:rFonts w:ascii="Microsoft Sans Serif" w:hAnsi="Calibri"/>
          <w:szCs w:val="22"/>
        </w:rPr>
        <w:cr/>
      </w:r>
    </w:p>
    <w:p w:rsidR="007438F2" w:rsidRDefault="007438F2" w:rsidP="007438F2">
      <w:pPr>
        <w:contextualSpacing/>
        <w:rPr>
          <w:rFonts w:ascii="Microsoft Sans Serif" w:hAnsi="Calibri"/>
          <w:szCs w:val="22"/>
        </w:rPr>
      </w:pPr>
      <w:r w:rsidRPr="008B121C">
        <w:rPr>
          <w:rFonts w:ascii="Microsoft Sans Serif" w:hAnsi="Calibri"/>
          <w:szCs w:val="22"/>
        </w:rPr>
        <w:t>SHAUN SPARKS ESQUIRE</w:t>
      </w:r>
    </w:p>
    <w:p w:rsidR="007438F2" w:rsidRPr="008B121C" w:rsidRDefault="007438F2" w:rsidP="007438F2">
      <w:pPr>
        <w:contextualSpacing/>
        <w:rPr>
          <w:rFonts w:ascii="Microsoft Sans Serif" w:hAnsi="Calibri"/>
          <w:szCs w:val="22"/>
        </w:rPr>
      </w:pPr>
      <w:r>
        <w:rPr>
          <w:rFonts w:ascii="Microsoft Sans Serif" w:hAnsi="Calibri"/>
          <w:szCs w:val="22"/>
        </w:rPr>
        <w:t>KRYSTLE J SACAVAGE ESQUIRE</w:t>
      </w:r>
    </w:p>
    <w:p w:rsidR="007438F2" w:rsidRPr="008B121C" w:rsidRDefault="007438F2" w:rsidP="007438F2">
      <w:pPr>
        <w:contextualSpacing/>
        <w:rPr>
          <w:rFonts w:ascii="Microsoft Sans Serif" w:hAnsi="Calibri"/>
          <w:szCs w:val="22"/>
        </w:rPr>
      </w:pPr>
      <w:r w:rsidRPr="008B121C">
        <w:rPr>
          <w:rFonts w:ascii="Microsoft Sans Serif" w:hAnsi="Calibri"/>
          <w:szCs w:val="22"/>
        </w:rPr>
        <w:t>PA PUBLIC UTILITY COMMISSION</w:t>
      </w:r>
    </w:p>
    <w:p w:rsidR="007438F2" w:rsidRPr="008B121C" w:rsidRDefault="007438F2" w:rsidP="007438F2">
      <w:pPr>
        <w:contextualSpacing/>
        <w:rPr>
          <w:rFonts w:ascii="Microsoft Sans Serif" w:hAnsi="Calibri"/>
          <w:szCs w:val="22"/>
        </w:rPr>
      </w:pPr>
      <w:r w:rsidRPr="008B121C">
        <w:rPr>
          <w:rFonts w:ascii="Microsoft Sans Serif" w:hAnsi="Calibri"/>
          <w:szCs w:val="22"/>
        </w:rPr>
        <w:t>BUREAU OF INVESTIGATION AND ENFORCEMENT</w:t>
      </w:r>
    </w:p>
    <w:p w:rsidR="007438F2" w:rsidRPr="008B121C" w:rsidRDefault="007438F2" w:rsidP="007438F2">
      <w:pPr>
        <w:contextualSpacing/>
        <w:rPr>
          <w:rFonts w:ascii="Microsoft Sans Serif" w:hAnsi="Calibri"/>
          <w:szCs w:val="22"/>
        </w:rPr>
      </w:pPr>
      <w:r w:rsidRPr="008B121C">
        <w:rPr>
          <w:rFonts w:ascii="Microsoft Sans Serif" w:hAnsi="Calibri"/>
          <w:szCs w:val="22"/>
        </w:rPr>
        <w:t>P O BOX 3265</w:t>
      </w:r>
    </w:p>
    <w:p w:rsidR="007438F2" w:rsidRDefault="007438F2" w:rsidP="007438F2">
      <w:pPr>
        <w:contextualSpacing/>
        <w:rPr>
          <w:rFonts w:ascii="Microsoft Sans Serif" w:hAnsi="Calibri"/>
          <w:szCs w:val="22"/>
        </w:rPr>
      </w:pPr>
      <w:r w:rsidRPr="008B121C">
        <w:rPr>
          <w:rFonts w:ascii="Microsoft Sans Serif" w:hAnsi="Calibri"/>
          <w:szCs w:val="22"/>
        </w:rPr>
        <w:t>HARRISBURG PA 17105-3265</w:t>
      </w:r>
    </w:p>
    <w:p w:rsidR="007438F2" w:rsidRDefault="007438F2" w:rsidP="007438F2">
      <w:pPr>
        <w:contextualSpacing/>
        <w:rPr>
          <w:rFonts w:ascii="Microsoft Sans Serif" w:hAnsi="Microsoft Sans Serif"/>
          <w:caps/>
          <w:szCs w:val="22"/>
        </w:rPr>
      </w:pPr>
    </w:p>
    <w:p w:rsidR="007438F2" w:rsidRPr="008B121C" w:rsidRDefault="007438F2" w:rsidP="007438F2">
      <w:pPr>
        <w:contextualSpacing/>
        <w:rPr>
          <w:rFonts w:ascii="Microsoft Sans Serif" w:hAnsi="Microsoft Sans Serif"/>
          <w:caps/>
          <w:szCs w:val="22"/>
        </w:rPr>
      </w:pPr>
      <w:r w:rsidRPr="008B121C">
        <w:rPr>
          <w:rFonts w:ascii="Microsoft Sans Serif" w:hAnsi="Microsoft Sans Serif"/>
          <w:caps/>
          <w:szCs w:val="22"/>
        </w:rPr>
        <w:t>Kriss Brown Esquire</w:t>
      </w:r>
    </w:p>
    <w:p w:rsidR="007438F2" w:rsidRPr="008B121C" w:rsidRDefault="007438F2" w:rsidP="007438F2">
      <w:pPr>
        <w:contextualSpacing/>
        <w:rPr>
          <w:rFonts w:ascii="Microsoft Sans Serif" w:hAnsi="Microsoft Sans Serif"/>
          <w:caps/>
          <w:szCs w:val="22"/>
        </w:rPr>
      </w:pPr>
      <w:r w:rsidRPr="008B121C">
        <w:rPr>
          <w:rFonts w:ascii="Microsoft Sans Serif" w:hAnsi="Microsoft Sans Serif"/>
          <w:caps/>
          <w:szCs w:val="22"/>
        </w:rPr>
        <w:t xml:space="preserve">Law Bureau </w:t>
      </w:r>
    </w:p>
    <w:p w:rsidR="007438F2" w:rsidRPr="008B121C" w:rsidRDefault="007438F2" w:rsidP="007438F2">
      <w:pPr>
        <w:contextualSpacing/>
        <w:rPr>
          <w:rFonts w:ascii="Microsoft Sans Serif" w:hAnsi="Microsoft Sans Serif"/>
          <w:caps/>
          <w:szCs w:val="22"/>
        </w:rPr>
      </w:pPr>
      <w:r w:rsidRPr="008B121C">
        <w:rPr>
          <w:rFonts w:ascii="Microsoft Sans Serif" w:hAnsi="Microsoft Sans Serif"/>
          <w:caps/>
          <w:szCs w:val="22"/>
        </w:rPr>
        <w:t>PA Public Utility Commission</w:t>
      </w:r>
    </w:p>
    <w:p w:rsidR="007438F2" w:rsidRPr="008B121C" w:rsidRDefault="007438F2" w:rsidP="007438F2">
      <w:pPr>
        <w:contextualSpacing/>
        <w:rPr>
          <w:rFonts w:ascii="Microsoft Sans Serif" w:hAnsi="Microsoft Sans Serif"/>
          <w:caps/>
          <w:szCs w:val="22"/>
        </w:rPr>
      </w:pPr>
      <w:r>
        <w:rPr>
          <w:rFonts w:ascii="Microsoft Sans Serif" w:hAnsi="Microsoft Sans Serif"/>
          <w:caps/>
          <w:szCs w:val="22"/>
        </w:rPr>
        <w:t>400 North Street</w:t>
      </w:r>
      <w:r w:rsidRPr="008B121C">
        <w:rPr>
          <w:rFonts w:ascii="Microsoft Sans Serif" w:hAnsi="Microsoft Sans Serif"/>
          <w:caps/>
          <w:szCs w:val="22"/>
        </w:rPr>
        <w:t xml:space="preserve"> Third </w:t>
      </w:r>
      <w:proofErr w:type="gramStart"/>
      <w:r w:rsidRPr="008B121C">
        <w:rPr>
          <w:rFonts w:ascii="Microsoft Sans Serif" w:hAnsi="Microsoft Sans Serif"/>
          <w:caps/>
          <w:szCs w:val="22"/>
        </w:rPr>
        <w:t>Floor</w:t>
      </w:r>
      <w:proofErr w:type="gramEnd"/>
    </w:p>
    <w:p w:rsidR="007438F2" w:rsidRPr="008B121C" w:rsidRDefault="007438F2" w:rsidP="007438F2">
      <w:pPr>
        <w:contextualSpacing/>
        <w:rPr>
          <w:rFonts w:ascii="Microsoft Sans Serif" w:hAnsi="Microsoft Sans Serif"/>
          <w:caps/>
          <w:szCs w:val="22"/>
        </w:rPr>
      </w:pPr>
      <w:r w:rsidRPr="008B121C">
        <w:rPr>
          <w:rFonts w:ascii="Microsoft Sans Serif" w:hAnsi="Microsoft Sans Serif"/>
          <w:caps/>
          <w:szCs w:val="22"/>
        </w:rPr>
        <w:t>PO Box 3265</w:t>
      </w:r>
    </w:p>
    <w:p w:rsidR="007438F2" w:rsidRPr="00B21A82" w:rsidRDefault="007438F2" w:rsidP="007438F2">
      <w:pPr>
        <w:contextualSpacing/>
        <w:rPr>
          <w:rFonts w:ascii="Microsoft Sans Serif" w:hAnsi="Microsoft Sans Serif"/>
          <w:caps/>
          <w:szCs w:val="22"/>
        </w:rPr>
      </w:pPr>
      <w:r w:rsidRPr="008B121C">
        <w:rPr>
          <w:rFonts w:ascii="Microsoft Sans Serif" w:hAnsi="Microsoft Sans Serif"/>
          <w:caps/>
          <w:szCs w:val="22"/>
        </w:rPr>
        <w:t>Harr</w:t>
      </w:r>
      <w:r>
        <w:rPr>
          <w:rFonts w:ascii="Microsoft Sans Serif" w:hAnsi="Microsoft Sans Serif"/>
          <w:caps/>
          <w:szCs w:val="22"/>
        </w:rPr>
        <w:t>isburg</w:t>
      </w:r>
      <w:r w:rsidRPr="008B121C">
        <w:rPr>
          <w:rFonts w:ascii="Microsoft Sans Serif" w:hAnsi="Microsoft Sans Serif"/>
          <w:caps/>
          <w:szCs w:val="22"/>
        </w:rPr>
        <w:t xml:space="preserve"> PA  17105-3265</w:t>
      </w:r>
    </w:p>
    <w:p w:rsidR="007438F2" w:rsidRDefault="007438F2" w:rsidP="007438F2">
      <w:pPr>
        <w:contextualSpacing/>
        <w:rPr>
          <w:rFonts w:ascii="Microsoft Sans Serif" w:hAnsi="Calibri"/>
          <w:b/>
          <w:szCs w:val="22"/>
          <w:u w:val="single"/>
        </w:rPr>
      </w:pPr>
    </w:p>
    <w:p w:rsidR="007438F2" w:rsidRPr="008B121C" w:rsidRDefault="007438F2" w:rsidP="007438F2">
      <w:pPr>
        <w:contextualSpacing/>
        <w:rPr>
          <w:rFonts w:ascii="Microsoft Sans Serif" w:hAnsi="Calibri"/>
          <w:szCs w:val="22"/>
        </w:rPr>
      </w:pPr>
      <w:r w:rsidRPr="008B121C">
        <w:rPr>
          <w:rFonts w:ascii="Microsoft Sans Serif" w:hAnsi="Calibri"/>
          <w:szCs w:val="22"/>
        </w:rPr>
        <w:t>CRAIG R BURGRAFF ESQUIRE</w:t>
      </w:r>
      <w:r w:rsidRPr="008B121C">
        <w:rPr>
          <w:rFonts w:ascii="Microsoft Sans Serif" w:hAnsi="Calibri"/>
          <w:szCs w:val="22"/>
        </w:rPr>
        <w:cr/>
        <w:t>HAWKE MCKEON &amp; SNISCAK LL</w:t>
      </w:r>
      <w:r w:rsidRPr="008B121C">
        <w:rPr>
          <w:rFonts w:ascii="Microsoft Sans Serif" w:hAnsi="Calibri"/>
          <w:szCs w:val="22"/>
        </w:rPr>
        <w:cr/>
        <w:t>P O BOX 1778</w:t>
      </w:r>
      <w:r w:rsidRPr="008B121C">
        <w:rPr>
          <w:rFonts w:ascii="Microsoft Sans Serif" w:hAnsi="Calibri"/>
          <w:szCs w:val="22"/>
        </w:rPr>
        <w:cr/>
        <w:t>100 N TENTH STREET</w:t>
      </w:r>
      <w:r w:rsidRPr="008B121C">
        <w:rPr>
          <w:rFonts w:ascii="Microsoft Sans Serif" w:hAnsi="Calibri"/>
          <w:szCs w:val="22"/>
        </w:rPr>
        <w:cr/>
        <w:t>HA</w:t>
      </w:r>
      <w:r>
        <w:rPr>
          <w:rFonts w:ascii="Microsoft Sans Serif" w:hAnsi="Calibri"/>
          <w:szCs w:val="22"/>
        </w:rPr>
        <w:t>RRISBURG PA  17105-1778</w:t>
      </w:r>
      <w:r>
        <w:rPr>
          <w:rFonts w:ascii="Microsoft Sans Serif" w:hAnsi="Calibri"/>
          <w:szCs w:val="22"/>
        </w:rPr>
        <w:cr/>
        <w:t>717-236-1300</w:t>
      </w:r>
    </w:p>
    <w:p w:rsidR="007438F2" w:rsidRDefault="007438F2" w:rsidP="007438F2">
      <w:pPr>
        <w:contextualSpacing/>
        <w:rPr>
          <w:rFonts w:ascii="Microsoft Sans Serif" w:hAnsi="Calibri"/>
          <w:szCs w:val="22"/>
        </w:rPr>
      </w:pPr>
    </w:p>
    <w:p w:rsidR="007438F2" w:rsidRPr="007438F2" w:rsidRDefault="007438F2" w:rsidP="007438F2">
      <w:pPr>
        <w:contextualSpacing/>
        <w:rPr>
          <w:rFonts w:ascii="Microsoft Sans Serif" w:hAnsi="Calibri"/>
          <w:szCs w:val="22"/>
        </w:rPr>
      </w:pPr>
      <w:r w:rsidRPr="008B121C">
        <w:rPr>
          <w:rFonts w:ascii="Microsoft Sans Serif" w:hAnsi="Calibri"/>
          <w:szCs w:val="22"/>
        </w:rPr>
        <w:t>DAVID B MACGREGOR ESQUIRE</w:t>
      </w:r>
      <w:r w:rsidRPr="008B121C">
        <w:rPr>
          <w:rFonts w:ascii="Microsoft Sans Serif" w:hAnsi="Calibri"/>
          <w:szCs w:val="22"/>
        </w:rPr>
        <w:cr/>
        <w:t>POST &amp; SCHELL PC</w:t>
      </w:r>
      <w:r w:rsidRPr="008B121C">
        <w:rPr>
          <w:rFonts w:ascii="Microsoft Sans Serif" w:hAnsi="Calibri"/>
          <w:szCs w:val="22"/>
        </w:rPr>
        <w:cr/>
        <w:t>FOUR PENN CENTER</w:t>
      </w:r>
      <w:r w:rsidRPr="008B121C">
        <w:rPr>
          <w:rFonts w:ascii="Microsoft Sans Serif" w:hAnsi="Calibri"/>
          <w:szCs w:val="22"/>
        </w:rPr>
        <w:cr/>
        <w:t>1600 JOHN F KENNEDY BOULEVARD</w:t>
      </w:r>
      <w:r w:rsidRPr="008B121C">
        <w:rPr>
          <w:rFonts w:ascii="Microsoft Sans Serif" w:hAnsi="Calibri"/>
          <w:szCs w:val="22"/>
        </w:rPr>
        <w:cr/>
        <w:t>PHILADELPHIA PA  19103-2808</w:t>
      </w:r>
      <w:r w:rsidRPr="008B121C">
        <w:rPr>
          <w:rFonts w:ascii="Microsoft Sans Serif" w:hAnsi="Calibri"/>
          <w:szCs w:val="22"/>
        </w:rPr>
        <w:cr/>
        <w:t>215-587-1197</w:t>
      </w:r>
      <w:r w:rsidRPr="008B121C">
        <w:rPr>
          <w:rFonts w:ascii="Microsoft Sans Serif" w:hAnsi="Calibri"/>
          <w:szCs w:val="22"/>
        </w:rPr>
        <w:cr/>
      </w:r>
    </w:p>
    <w:p w:rsidR="007438F2" w:rsidRDefault="007438F2" w:rsidP="007438F2">
      <w:pPr>
        <w:contextualSpacing/>
        <w:rPr>
          <w:rFonts w:ascii="Microsoft Sans Serif" w:hAnsi="Microsoft Sans Serif"/>
          <w:caps/>
          <w:szCs w:val="22"/>
        </w:rPr>
      </w:pPr>
      <w:r>
        <w:rPr>
          <w:rFonts w:ascii="Microsoft Sans Serif" w:hAnsi="Microsoft Sans Serif"/>
          <w:caps/>
          <w:szCs w:val="22"/>
        </w:rPr>
        <w:lastRenderedPageBreak/>
        <w:t>JOSEPH L. VULLO, ESQUIRE</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BURKE VULLO REILLY &amp; ROBERTS</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1460 WYOMING AVENUE</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FORTY FORT PA 18704</w:t>
      </w:r>
    </w:p>
    <w:p w:rsidR="007438F2" w:rsidRDefault="007438F2" w:rsidP="007438F2">
      <w:pPr>
        <w:contextualSpacing/>
        <w:rPr>
          <w:rFonts w:ascii="Microsoft Sans Serif" w:hAnsi="Microsoft Sans Serif"/>
          <w:caps/>
          <w:szCs w:val="22"/>
        </w:rPr>
      </w:pPr>
    </w:p>
    <w:p w:rsidR="007438F2" w:rsidRDefault="007438F2" w:rsidP="007438F2">
      <w:pPr>
        <w:contextualSpacing/>
        <w:rPr>
          <w:rFonts w:ascii="Microsoft Sans Serif" w:hAnsi="Microsoft Sans Serif"/>
          <w:caps/>
          <w:szCs w:val="22"/>
        </w:rPr>
      </w:pPr>
      <w:bookmarkStart w:id="0" w:name="_GoBack"/>
      <w:r>
        <w:rPr>
          <w:rFonts w:ascii="Microsoft Sans Serif" w:hAnsi="Microsoft Sans Serif"/>
          <w:caps/>
          <w:szCs w:val="22"/>
        </w:rPr>
        <w:t>CARL R SHULTZ ESQUIRE</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JEFFREY j. NORTON ESQUIRE</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ECKERT SEAMANS CHERIN &amp; MELLOTT</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213 MARKET STREEET 8</w:t>
      </w:r>
      <w:r w:rsidRPr="00D5512B">
        <w:rPr>
          <w:rFonts w:ascii="Microsoft Sans Serif" w:hAnsi="Microsoft Sans Serif"/>
          <w:caps/>
          <w:szCs w:val="22"/>
          <w:vertAlign w:val="superscript"/>
        </w:rPr>
        <w:t>TH</w:t>
      </w:r>
      <w:r>
        <w:rPr>
          <w:rFonts w:ascii="Microsoft Sans Serif" w:hAnsi="Microsoft Sans Serif"/>
          <w:caps/>
          <w:szCs w:val="22"/>
        </w:rPr>
        <w:t xml:space="preserve"> FLOOR</w:t>
      </w:r>
    </w:p>
    <w:p w:rsidR="007438F2" w:rsidRDefault="007438F2" w:rsidP="007438F2">
      <w:pPr>
        <w:contextualSpacing/>
        <w:rPr>
          <w:rFonts w:ascii="Microsoft Sans Serif" w:hAnsi="Microsoft Sans Serif"/>
          <w:caps/>
          <w:szCs w:val="22"/>
        </w:rPr>
      </w:pPr>
      <w:r>
        <w:rPr>
          <w:rFonts w:ascii="Microsoft Sans Serif" w:hAnsi="Microsoft Sans Serif"/>
          <w:caps/>
          <w:szCs w:val="22"/>
        </w:rPr>
        <w:t>HARRISBURG PA 17101</w:t>
      </w:r>
    </w:p>
    <w:bookmarkEnd w:id="0"/>
    <w:p w:rsidR="007438F2" w:rsidRPr="008B121C" w:rsidRDefault="007438F2" w:rsidP="007438F2">
      <w:pPr>
        <w:contextualSpacing/>
        <w:rPr>
          <w:rFonts w:ascii="Microsoft Sans Serif" w:hAnsi="Microsoft Sans Serif"/>
          <w:caps/>
          <w:szCs w:val="22"/>
        </w:rPr>
      </w:pPr>
      <w:r>
        <w:rPr>
          <w:rFonts w:ascii="Microsoft Sans Serif" w:hAnsi="Microsoft Sans Serif"/>
          <w:caps/>
          <w:szCs w:val="22"/>
        </w:rPr>
        <w:t>717.237.6000</w:t>
      </w:r>
      <w:r w:rsidRPr="008B121C">
        <w:rPr>
          <w:rFonts w:ascii="Microsoft Sans Serif" w:hAnsi="Microsoft Sans Serif"/>
          <w:caps/>
          <w:szCs w:val="22"/>
        </w:rPr>
        <w:t xml:space="preserve">  </w:t>
      </w:r>
    </w:p>
    <w:p w:rsidR="007438F2" w:rsidRDefault="007438F2" w:rsidP="007438F2">
      <w:pPr>
        <w:contextualSpacing/>
      </w:pPr>
    </w:p>
    <w:p w:rsidR="007438F2" w:rsidRPr="00FD50E7" w:rsidRDefault="007438F2" w:rsidP="007438F2">
      <w:pPr>
        <w:contextualSpacing/>
        <w:rPr>
          <w:rFonts w:ascii="Microsoft Sans Serif" w:hAnsi="Microsoft Sans Serif" w:cs="Microsoft Sans Serif"/>
        </w:rPr>
      </w:pPr>
    </w:p>
    <w:p w:rsidR="007438F2" w:rsidRPr="002C5B5F" w:rsidRDefault="007438F2" w:rsidP="007438F2"/>
    <w:p w:rsidR="00226DCF" w:rsidRDefault="00226DCF" w:rsidP="00226DCF"/>
    <w:p w:rsidR="007438F2" w:rsidRDefault="007438F2"/>
    <w:sectPr w:rsidR="007438F2" w:rsidSect="007438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6C" w:rsidRDefault="00734B6C">
      <w:r>
        <w:separator/>
      </w:r>
    </w:p>
  </w:endnote>
  <w:endnote w:type="continuationSeparator" w:id="0">
    <w:p w:rsidR="00734B6C" w:rsidRDefault="0073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710B99">
      <w:rPr>
        <w:rStyle w:val="PageNumber"/>
        <w:noProof/>
        <w:sz w:val="23"/>
        <w:szCs w:val="23"/>
      </w:rPr>
      <w:t>14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6C" w:rsidRDefault="00734B6C">
      <w:r>
        <w:separator/>
      </w:r>
    </w:p>
  </w:footnote>
  <w:footnote w:type="continuationSeparator" w:id="0">
    <w:p w:rsidR="00734B6C" w:rsidRDefault="00734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1A71"/>
    <w:rsid w:val="0002363E"/>
    <w:rsid w:val="000253F8"/>
    <w:rsid w:val="00031CED"/>
    <w:rsid w:val="00037E8B"/>
    <w:rsid w:val="00040542"/>
    <w:rsid w:val="000447F9"/>
    <w:rsid w:val="00050489"/>
    <w:rsid w:val="00050AF1"/>
    <w:rsid w:val="00051AB5"/>
    <w:rsid w:val="00054540"/>
    <w:rsid w:val="00054A10"/>
    <w:rsid w:val="00055FCB"/>
    <w:rsid w:val="00060BB1"/>
    <w:rsid w:val="00063F87"/>
    <w:rsid w:val="00070CFA"/>
    <w:rsid w:val="00073240"/>
    <w:rsid w:val="0007482E"/>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5773"/>
    <w:rsid w:val="001270B6"/>
    <w:rsid w:val="00127D23"/>
    <w:rsid w:val="00132928"/>
    <w:rsid w:val="0013770C"/>
    <w:rsid w:val="00140883"/>
    <w:rsid w:val="00142EE0"/>
    <w:rsid w:val="001441F9"/>
    <w:rsid w:val="00153529"/>
    <w:rsid w:val="001547B2"/>
    <w:rsid w:val="00161EBF"/>
    <w:rsid w:val="0017055E"/>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42980"/>
    <w:rsid w:val="00252F51"/>
    <w:rsid w:val="0025436A"/>
    <w:rsid w:val="0026329B"/>
    <w:rsid w:val="00266583"/>
    <w:rsid w:val="0027269F"/>
    <w:rsid w:val="002760E4"/>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36F3"/>
    <w:rsid w:val="00427E91"/>
    <w:rsid w:val="004327EC"/>
    <w:rsid w:val="0044078D"/>
    <w:rsid w:val="00444026"/>
    <w:rsid w:val="00446AEA"/>
    <w:rsid w:val="004509B5"/>
    <w:rsid w:val="004677A9"/>
    <w:rsid w:val="0046782D"/>
    <w:rsid w:val="00476814"/>
    <w:rsid w:val="0048022D"/>
    <w:rsid w:val="00480DAA"/>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37145"/>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2709"/>
    <w:rsid w:val="005A36C7"/>
    <w:rsid w:val="005A3B57"/>
    <w:rsid w:val="005B49D8"/>
    <w:rsid w:val="005B6C33"/>
    <w:rsid w:val="005C4EA3"/>
    <w:rsid w:val="005C7120"/>
    <w:rsid w:val="005D0602"/>
    <w:rsid w:val="005D092D"/>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7C7"/>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0B99"/>
    <w:rsid w:val="007138CC"/>
    <w:rsid w:val="00713D64"/>
    <w:rsid w:val="00714476"/>
    <w:rsid w:val="007203E5"/>
    <w:rsid w:val="00724ABE"/>
    <w:rsid w:val="00724F23"/>
    <w:rsid w:val="00734B6C"/>
    <w:rsid w:val="00735291"/>
    <w:rsid w:val="0074212A"/>
    <w:rsid w:val="00742EDE"/>
    <w:rsid w:val="007438F2"/>
    <w:rsid w:val="00746EC7"/>
    <w:rsid w:val="00747F84"/>
    <w:rsid w:val="00752614"/>
    <w:rsid w:val="00761AAA"/>
    <w:rsid w:val="00763DA0"/>
    <w:rsid w:val="00771201"/>
    <w:rsid w:val="00774975"/>
    <w:rsid w:val="00783F05"/>
    <w:rsid w:val="00784AE9"/>
    <w:rsid w:val="007876C7"/>
    <w:rsid w:val="007945B3"/>
    <w:rsid w:val="007B135C"/>
    <w:rsid w:val="007B19DA"/>
    <w:rsid w:val="007B56EF"/>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D7DFD"/>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620F"/>
    <w:rsid w:val="00C27500"/>
    <w:rsid w:val="00C27ADF"/>
    <w:rsid w:val="00C306E8"/>
    <w:rsid w:val="00C331D8"/>
    <w:rsid w:val="00C35956"/>
    <w:rsid w:val="00C36426"/>
    <w:rsid w:val="00C407D6"/>
    <w:rsid w:val="00C46201"/>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421F"/>
    <w:rsid w:val="00DA6A23"/>
    <w:rsid w:val="00DB13BD"/>
    <w:rsid w:val="00DB1971"/>
    <w:rsid w:val="00DC14A6"/>
    <w:rsid w:val="00DC451E"/>
    <w:rsid w:val="00DC5FA1"/>
    <w:rsid w:val="00DC7C98"/>
    <w:rsid w:val="00DD0CE4"/>
    <w:rsid w:val="00DD4E8A"/>
    <w:rsid w:val="00DE3721"/>
    <w:rsid w:val="00DF2742"/>
    <w:rsid w:val="00DF448C"/>
    <w:rsid w:val="00E061D8"/>
    <w:rsid w:val="00E0770E"/>
    <w:rsid w:val="00E07EE4"/>
    <w:rsid w:val="00E07FB0"/>
    <w:rsid w:val="00E14245"/>
    <w:rsid w:val="00E15C4E"/>
    <w:rsid w:val="00E21F02"/>
    <w:rsid w:val="00E22703"/>
    <w:rsid w:val="00E24228"/>
    <w:rsid w:val="00E27B5F"/>
    <w:rsid w:val="00E43492"/>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EE4F04"/>
    <w:rsid w:val="00F00D62"/>
    <w:rsid w:val="00F0305C"/>
    <w:rsid w:val="00F1692D"/>
    <w:rsid w:val="00F23018"/>
    <w:rsid w:val="00F33096"/>
    <w:rsid w:val="00F40D25"/>
    <w:rsid w:val="00F44350"/>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lp@palegalaid.net" TargetMode="External"/><Relationship Id="rId18" Type="http://schemas.openxmlformats.org/officeDocument/2006/relationships/hyperlink" Target="mailto:jjohnson@paoca.org" TargetMode="External"/><Relationship Id="rId26" Type="http://schemas.openxmlformats.org/officeDocument/2006/relationships/hyperlink" Target="mailto:abakare@mwn.com" TargetMode="External"/><Relationship Id="rId3" Type="http://schemas.openxmlformats.org/officeDocument/2006/relationships/styles" Target="styles.xml"/><Relationship Id="rId21" Type="http://schemas.openxmlformats.org/officeDocument/2006/relationships/hyperlink" Target="mailto:dmacgretor@postschell.com" TargetMode="External"/><Relationship Id="rId7" Type="http://schemas.openxmlformats.org/officeDocument/2006/relationships/footnotes" Target="footnotes.xml"/><Relationship Id="rId12" Type="http://schemas.openxmlformats.org/officeDocument/2006/relationships/hyperlink" Target="mailto:kribrown@pa.gov" TargetMode="External"/><Relationship Id="rId17" Type="http://schemas.openxmlformats.org/officeDocument/2006/relationships/hyperlink" Target="mailto:cshultz@eckertseamans.com" TargetMode="External"/><Relationship Id="rId25" Type="http://schemas.openxmlformats.org/officeDocument/2006/relationships/hyperlink" Target="mailto:atubbs@postschell.com" TargetMode="External"/><Relationship Id="rId2" Type="http://schemas.openxmlformats.org/officeDocument/2006/relationships/numbering" Target="numbering.xml"/><Relationship Id="rId16" Type="http://schemas.openxmlformats.org/officeDocument/2006/relationships/hyperlink" Target="mailto:jnorton@eckertseamans.com" TargetMode="External"/><Relationship Id="rId20" Type="http://schemas.openxmlformats.org/officeDocument/2006/relationships/hyperlink" Target="mailto:perrussell@pplweb.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chary.fabish@sierraclub.org" TargetMode="External"/><Relationship Id="rId24" Type="http://schemas.openxmlformats.org/officeDocument/2006/relationships/hyperlink" Target="mailto:hgellerpulp@palegalaid.net" TargetMode="External"/><Relationship Id="rId5" Type="http://schemas.openxmlformats.org/officeDocument/2006/relationships/settings" Target="settings.xml"/><Relationship Id="rId15" Type="http://schemas.openxmlformats.org/officeDocument/2006/relationships/hyperlink" Target="mailto:jlvullo@aol.com" TargetMode="External"/><Relationship Id="rId23" Type="http://schemas.openxmlformats.org/officeDocument/2006/relationships/hyperlink" Target="mailto:ppolacek@mwn.com" TargetMode="External"/><Relationship Id="rId28" Type="http://schemas.openxmlformats.org/officeDocument/2006/relationships/fontTable" Target="fontTable.xml"/><Relationship Id="rId10" Type="http://schemas.openxmlformats.org/officeDocument/2006/relationships/hyperlink" Target="mailto:langeland@pennfuture.org" TargetMode="External"/><Relationship Id="rId19" Type="http://schemas.openxmlformats.org/officeDocument/2006/relationships/hyperlink" Target="mailto:jmullins@paoca.org" TargetMode="External"/><Relationship Id="rId4" Type="http://schemas.microsoft.com/office/2007/relationships/stylesWithEffects" Target="stylesWithEffects.xml"/><Relationship Id="rId9" Type="http://schemas.openxmlformats.org/officeDocument/2006/relationships/hyperlink" Target="mailto:shsparks@pa.gov" TargetMode="External"/><Relationship Id="rId14" Type="http://schemas.openxmlformats.org/officeDocument/2006/relationships/hyperlink" Target="mailto:joe_minott@cleanair.org" TargetMode="External"/><Relationship Id="rId22" Type="http://schemas.openxmlformats.org/officeDocument/2006/relationships/hyperlink" Target="mailto:crburgraff@hmslegal.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056DD-A815-4FFE-91B5-D07F33A7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2012-09-21T13:44:00Z</cp:lastPrinted>
  <dcterms:created xsi:type="dcterms:W3CDTF">2012-09-21T13:25:00Z</dcterms:created>
  <dcterms:modified xsi:type="dcterms:W3CDTF">2012-09-21T15:13:00Z</dcterms:modified>
</cp:coreProperties>
</file>