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bookmarkStart w:id="0" w:name="_GoBack"/>
      <w:bookmarkEnd w:id="0"/>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F836DC" w:rsidP="00CD5E73">
      <w:pPr>
        <w:pStyle w:val="Style"/>
        <w:rPr>
          <w:bCs/>
          <w:color w:val="000000"/>
        </w:rPr>
      </w:pPr>
      <w:r>
        <w:rPr>
          <w:bCs/>
          <w:color w:val="000000"/>
        </w:rPr>
        <w:t xml:space="preserve">Chris and Melinda </w:t>
      </w:r>
      <w:proofErr w:type="spellStart"/>
      <w:r>
        <w:rPr>
          <w:bCs/>
          <w:color w:val="000000"/>
        </w:rPr>
        <w:t>Maros</w:t>
      </w:r>
      <w:proofErr w:type="spellEnd"/>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w:t>
      </w:r>
      <w:r w:rsidR="00241AA3">
        <w:rPr>
          <w:bCs/>
          <w:color w:val="000000"/>
        </w:rPr>
        <w:t>2-</w:t>
      </w:r>
      <w:r w:rsidR="00F836DC">
        <w:rPr>
          <w:bCs/>
          <w:color w:val="000000"/>
        </w:rPr>
        <w:t>2305047</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F836DC" w:rsidP="00CD5E73">
      <w:pPr>
        <w:pStyle w:val="Style"/>
        <w:rPr>
          <w:bCs/>
          <w:color w:val="000000"/>
        </w:rPr>
      </w:pPr>
      <w:r>
        <w:rPr>
          <w:bCs/>
          <w:color w:val="000000"/>
        </w:rPr>
        <w:t xml:space="preserve">PPL Electric Utilities Corporation </w:t>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0E2769" w:rsidRDefault="00CF2962" w:rsidP="00CD0813">
      <w:pPr>
        <w:pStyle w:val="Style"/>
        <w:jc w:val="center"/>
        <w:rPr>
          <w:b/>
          <w:bCs/>
          <w:color w:val="000000"/>
          <w:u w:val="single"/>
        </w:rPr>
      </w:pPr>
      <w:r>
        <w:rPr>
          <w:b/>
          <w:bCs/>
          <w:color w:val="000000"/>
          <w:u w:val="single"/>
        </w:rPr>
        <w:t xml:space="preserve">GRANTING </w:t>
      </w:r>
      <w:r w:rsidR="00C25DFA">
        <w:rPr>
          <w:b/>
          <w:bCs/>
          <w:color w:val="000000"/>
          <w:u w:val="single"/>
        </w:rPr>
        <w:t>MOTION TO DEFER</w:t>
      </w:r>
    </w:p>
    <w:p w:rsidR="00C25DFA" w:rsidRDefault="00C25DFA" w:rsidP="00CD0813">
      <w:pPr>
        <w:pStyle w:val="Style"/>
        <w:jc w:val="center"/>
        <w:rPr>
          <w:b/>
          <w:bCs/>
          <w:color w:val="000000"/>
          <w:u w:val="single"/>
        </w:rPr>
      </w:pPr>
      <w:r>
        <w:rPr>
          <w:b/>
          <w:bCs/>
          <w:color w:val="000000"/>
          <w:u w:val="single"/>
        </w:rPr>
        <w:t>AND HOLD IN ABEYANCE</w:t>
      </w:r>
    </w:p>
    <w:p w:rsidR="00CD5E73" w:rsidRPr="001C5B9D" w:rsidRDefault="00CD5E73" w:rsidP="00CD0813">
      <w:pPr>
        <w:pStyle w:val="Style"/>
        <w:jc w:val="center"/>
        <w:rPr>
          <w:b/>
          <w:bCs/>
          <w:color w:val="000000"/>
          <w:u w:val="single"/>
        </w:rPr>
      </w:pPr>
    </w:p>
    <w:p w:rsidR="00CD5E73" w:rsidRPr="001C5B9D" w:rsidRDefault="00CD5E73" w:rsidP="00C25DFA">
      <w:pPr>
        <w:pStyle w:val="Style"/>
        <w:rPr>
          <w:bCs/>
          <w:color w:val="000000"/>
        </w:rPr>
      </w:pPr>
    </w:p>
    <w:p w:rsidR="00C25DFA" w:rsidRDefault="00C25DFA" w:rsidP="00504C7A">
      <w:pPr>
        <w:pStyle w:val="Style"/>
        <w:spacing w:line="360" w:lineRule="auto"/>
        <w:ind w:firstLine="1440"/>
        <w:rPr>
          <w:bCs/>
          <w:color w:val="000000"/>
        </w:rPr>
      </w:pPr>
      <w:r>
        <w:rPr>
          <w:bCs/>
          <w:color w:val="000000"/>
        </w:rPr>
        <w:t xml:space="preserve">On May 9, 2012, Chris and Melinda </w:t>
      </w:r>
      <w:proofErr w:type="spellStart"/>
      <w:r>
        <w:rPr>
          <w:bCs/>
          <w:color w:val="000000"/>
        </w:rPr>
        <w:t>Maros</w:t>
      </w:r>
      <w:proofErr w:type="spellEnd"/>
      <w:r>
        <w:rPr>
          <w:bCs/>
          <w:color w:val="000000"/>
        </w:rPr>
        <w:t xml:space="preserve"> </w:t>
      </w:r>
      <w:r w:rsidR="007813C5">
        <w:rPr>
          <w:bCs/>
          <w:color w:val="000000"/>
        </w:rPr>
        <w:t xml:space="preserve">(“the Complainants”) </w:t>
      </w:r>
      <w:r>
        <w:rPr>
          <w:bCs/>
          <w:color w:val="000000"/>
        </w:rPr>
        <w:t xml:space="preserve">filed with the Pennsylvania Public Utility Commission (Commission), a formal Complaint against </w:t>
      </w:r>
      <w:r w:rsidR="000E2769">
        <w:rPr>
          <w:bCs/>
          <w:color w:val="000000"/>
        </w:rPr>
        <w:t>PPL Electric Utilities Corporation (PPL</w:t>
      </w:r>
      <w:r w:rsidR="00204FDA">
        <w:rPr>
          <w:bCs/>
          <w:color w:val="000000"/>
        </w:rPr>
        <w:t xml:space="preserve"> or “the Company”</w:t>
      </w:r>
      <w:r w:rsidR="000E2769">
        <w:rPr>
          <w:bCs/>
          <w:color w:val="000000"/>
        </w:rPr>
        <w:t xml:space="preserve">), Docket Number C-2012-2305047.  In their Complaint, the </w:t>
      </w:r>
      <w:r w:rsidR="007813C5">
        <w:rPr>
          <w:bCs/>
          <w:color w:val="000000"/>
        </w:rPr>
        <w:t xml:space="preserve">Complainants </w:t>
      </w:r>
      <w:r w:rsidR="000E2769">
        <w:rPr>
          <w:bCs/>
          <w:color w:val="000000"/>
        </w:rPr>
        <w:t xml:space="preserve">averred that “PPL is threatening to seize our property to build a utility line on it.”  The </w:t>
      </w:r>
      <w:r w:rsidR="007813C5">
        <w:rPr>
          <w:bCs/>
          <w:color w:val="000000"/>
        </w:rPr>
        <w:t xml:space="preserve">Complainants </w:t>
      </w:r>
      <w:r w:rsidR="000E2769">
        <w:rPr>
          <w:bCs/>
          <w:color w:val="000000"/>
        </w:rPr>
        <w:t xml:space="preserve">attached a letter to their Complaint providing further details.  In particular, the </w:t>
      </w:r>
      <w:r w:rsidR="007813C5">
        <w:rPr>
          <w:bCs/>
          <w:color w:val="000000"/>
        </w:rPr>
        <w:t xml:space="preserve">Complainants </w:t>
      </w:r>
      <w:r w:rsidR="000E2769">
        <w:rPr>
          <w:bCs/>
          <w:color w:val="000000"/>
        </w:rPr>
        <w:t xml:space="preserve">averred </w:t>
      </w:r>
      <w:r w:rsidR="00204FDA">
        <w:rPr>
          <w:bCs/>
          <w:color w:val="000000"/>
        </w:rPr>
        <w:t xml:space="preserve">in the letter </w:t>
      </w:r>
      <w:r w:rsidR="000E2769">
        <w:rPr>
          <w:bCs/>
          <w:color w:val="000000"/>
        </w:rPr>
        <w:t>that PPL intends to seize 2.844 acres of their property, either with their permission or through the use of eminent domain, for purposes of building a 230kv transmission line.</w:t>
      </w:r>
      <w:r w:rsidR="008C1C0B">
        <w:rPr>
          <w:bCs/>
          <w:color w:val="000000"/>
        </w:rPr>
        <w:t xml:space="preserve">  The </w:t>
      </w:r>
      <w:r w:rsidR="007813C5">
        <w:rPr>
          <w:bCs/>
          <w:color w:val="000000"/>
        </w:rPr>
        <w:t xml:space="preserve">Complainants </w:t>
      </w:r>
      <w:r w:rsidR="008C1C0B">
        <w:rPr>
          <w:bCs/>
          <w:color w:val="000000"/>
        </w:rPr>
        <w:t>further stated</w:t>
      </w:r>
      <w:r w:rsidR="00587815">
        <w:rPr>
          <w:bCs/>
          <w:color w:val="000000"/>
        </w:rPr>
        <w:t>, among other things,</w:t>
      </w:r>
      <w:r w:rsidR="008C1C0B">
        <w:rPr>
          <w:bCs/>
          <w:color w:val="000000"/>
        </w:rPr>
        <w:t xml:space="preserve"> that they received a certified letter, attended a town meeting and had conversations with PPL representatives about this matter.  The </w:t>
      </w:r>
      <w:r w:rsidR="007813C5">
        <w:rPr>
          <w:bCs/>
          <w:color w:val="000000"/>
        </w:rPr>
        <w:t xml:space="preserve">Complainants </w:t>
      </w:r>
      <w:r w:rsidR="008C1C0B">
        <w:rPr>
          <w:bCs/>
          <w:color w:val="000000"/>
        </w:rPr>
        <w:t>indicated they do not want a transmission line on their property, regardless of how much they would be compensated.</w:t>
      </w:r>
      <w:r w:rsidR="00587815">
        <w:rPr>
          <w:bCs/>
          <w:color w:val="000000"/>
        </w:rPr>
        <w:t xml:space="preserve">  The </w:t>
      </w:r>
      <w:r w:rsidR="007813C5">
        <w:rPr>
          <w:bCs/>
          <w:color w:val="000000"/>
        </w:rPr>
        <w:t xml:space="preserve">Complainants </w:t>
      </w:r>
      <w:r w:rsidR="00587815">
        <w:rPr>
          <w:bCs/>
          <w:color w:val="000000"/>
        </w:rPr>
        <w:t xml:space="preserve">concluded their letter by stating “we want to keep our land as it is.  The land we purchased.  The land we rightfully own.”  The </w:t>
      </w:r>
      <w:r w:rsidR="007813C5">
        <w:rPr>
          <w:bCs/>
          <w:color w:val="000000"/>
        </w:rPr>
        <w:t xml:space="preserve">Complainants </w:t>
      </w:r>
      <w:r w:rsidR="00587815">
        <w:rPr>
          <w:bCs/>
          <w:color w:val="000000"/>
        </w:rPr>
        <w:t>also attached copies of aerial pictures of their property</w:t>
      </w:r>
      <w:r w:rsidR="007813C5" w:rsidRPr="007813C5">
        <w:rPr>
          <w:bCs/>
          <w:color w:val="000000"/>
        </w:rPr>
        <w:t xml:space="preserve"> </w:t>
      </w:r>
      <w:r w:rsidR="007813C5">
        <w:rPr>
          <w:bCs/>
          <w:color w:val="000000"/>
        </w:rPr>
        <w:t>to their formal Complaint</w:t>
      </w:r>
      <w:r w:rsidR="00587815">
        <w:rPr>
          <w:bCs/>
          <w:color w:val="000000"/>
        </w:rPr>
        <w:t>.</w:t>
      </w:r>
    </w:p>
    <w:p w:rsidR="00587815" w:rsidRDefault="00587815" w:rsidP="00504C7A">
      <w:pPr>
        <w:pStyle w:val="Style"/>
        <w:spacing w:line="360" w:lineRule="auto"/>
        <w:ind w:firstLine="1440"/>
        <w:rPr>
          <w:bCs/>
          <w:color w:val="000000"/>
        </w:rPr>
      </w:pPr>
    </w:p>
    <w:p w:rsidR="00587815" w:rsidRDefault="00587815" w:rsidP="00504C7A">
      <w:pPr>
        <w:pStyle w:val="Style"/>
        <w:spacing w:line="360" w:lineRule="auto"/>
        <w:ind w:firstLine="1440"/>
        <w:rPr>
          <w:bCs/>
          <w:color w:val="000000"/>
        </w:rPr>
      </w:pPr>
      <w:r>
        <w:rPr>
          <w:bCs/>
          <w:color w:val="000000"/>
        </w:rPr>
        <w:t xml:space="preserve">On June 6, 2012, PPL filed an Answer to the Complaint. </w:t>
      </w:r>
      <w:r w:rsidR="00F71189">
        <w:rPr>
          <w:bCs/>
          <w:color w:val="000000"/>
        </w:rPr>
        <w:t xml:space="preserve"> In its Answer, PPL stated that, after consideration of public input and careful study of the region, the Company announced on October 11, 2011, that it selected a proposed route for a new power line </w:t>
      </w:r>
      <w:r w:rsidR="007F2C7B">
        <w:rPr>
          <w:bCs/>
          <w:color w:val="000000"/>
        </w:rPr>
        <w:t xml:space="preserve">as part of a multi-year project, known as the Northeast-Pocono </w:t>
      </w:r>
      <w:proofErr w:type="gramStart"/>
      <w:r w:rsidR="007F2C7B">
        <w:rPr>
          <w:bCs/>
          <w:color w:val="000000"/>
        </w:rPr>
        <w:t>Project</w:t>
      </w:r>
      <w:r w:rsidR="007813C5">
        <w:rPr>
          <w:bCs/>
          <w:color w:val="000000"/>
        </w:rPr>
        <w:t>, that</w:t>
      </w:r>
      <w:proofErr w:type="gramEnd"/>
      <w:r w:rsidR="007813C5">
        <w:rPr>
          <w:bCs/>
          <w:color w:val="000000"/>
        </w:rPr>
        <w:t xml:space="preserve"> is related to the Complainants’ </w:t>
      </w:r>
      <w:r w:rsidR="007813C5">
        <w:rPr>
          <w:bCs/>
          <w:color w:val="000000"/>
        </w:rPr>
        <w:lastRenderedPageBreak/>
        <w:t>Complaint</w:t>
      </w:r>
      <w:r w:rsidR="007F2C7B">
        <w:rPr>
          <w:bCs/>
          <w:color w:val="000000"/>
        </w:rPr>
        <w:t>.  PPL added that the Project is sti</w:t>
      </w:r>
      <w:r w:rsidR="007813C5">
        <w:rPr>
          <w:bCs/>
          <w:color w:val="000000"/>
        </w:rPr>
        <w:t>ll in the planning stage and had</w:t>
      </w:r>
      <w:r w:rsidR="007F2C7B">
        <w:rPr>
          <w:bCs/>
          <w:color w:val="000000"/>
        </w:rPr>
        <w:t xml:space="preserve"> not been submitted to the Commission for review and approval.  PPL noted that, once the planning has been completed, it will submit a full siting application requesting Commission approval of the siting and construction of the proposed transmission line pursuant to the Commission’s regulations.  PPL averred that, to the extent the </w:t>
      </w:r>
      <w:r w:rsidR="007813C5">
        <w:rPr>
          <w:bCs/>
          <w:color w:val="000000"/>
        </w:rPr>
        <w:t xml:space="preserve">Complainants </w:t>
      </w:r>
      <w:r w:rsidR="007F2C7B">
        <w:rPr>
          <w:bCs/>
          <w:color w:val="000000"/>
        </w:rPr>
        <w:t xml:space="preserve">seek to raise issues related to the siting of the proposed line, their remedy is to participate in the Commission proceeding when PPL files its siting application.  PPL further answered the various specific averments raised by the </w:t>
      </w:r>
      <w:r w:rsidR="007813C5">
        <w:rPr>
          <w:bCs/>
          <w:color w:val="000000"/>
        </w:rPr>
        <w:t xml:space="preserve">Complainants </w:t>
      </w:r>
      <w:r w:rsidR="007F2C7B">
        <w:rPr>
          <w:bCs/>
          <w:color w:val="000000"/>
        </w:rPr>
        <w:t xml:space="preserve">in their formal Complaint and concluded that the Complaint </w:t>
      </w:r>
      <w:r w:rsidR="00204FDA">
        <w:rPr>
          <w:bCs/>
          <w:color w:val="000000"/>
        </w:rPr>
        <w:t xml:space="preserve">should </w:t>
      </w:r>
      <w:r w:rsidR="007F2C7B">
        <w:rPr>
          <w:bCs/>
          <w:color w:val="000000"/>
        </w:rPr>
        <w:t>be dismissed without prejudice.</w:t>
      </w:r>
    </w:p>
    <w:p w:rsidR="007F2C7B" w:rsidRDefault="007F2C7B" w:rsidP="00504C7A">
      <w:pPr>
        <w:pStyle w:val="Style"/>
        <w:spacing w:line="360" w:lineRule="auto"/>
        <w:ind w:firstLine="1440"/>
        <w:rPr>
          <w:bCs/>
          <w:color w:val="000000"/>
        </w:rPr>
      </w:pPr>
    </w:p>
    <w:p w:rsidR="00D40AE8" w:rsidRDefault="007F2C7B" w:rsidP="00504C7A">
      <w:pPr>
        <w:pStyle w:val="Style"/>
        <w:spacing w:line="360" w:lineRule="auto"/>
        <w:ind w:firstLine="1440"/>
        <w:rPr>
          <w:bCs/>
          <w:color w:val="000000"/>
        </w:rPr>
      </w:pPr>
      <w:r>
        <w:rPr>
          <w:bCs/>
          <w:color w:val="000000"/>
        </w:rPr>
        <w:t xml:space="preserve">Also on June 6, 2012, PPL filed a Motion to Defer and Hold in Abeyance the Complaint.  The Motion was accompanied by a Notice to Plead.  In its Motion, PPL </w:t>
      </w:r>
      <w:r w:rsidR="00225D73">
        <w:rPr>
          <w:bCs/>
          <w:color w:val="000000"/>
        </w:rPr>
        <w:t>reiterated its intention and planning for the siting and route selection of the proposed transmission line</w:t>
      </w:r>
      <w:r w:rsidR="007813C5">
        <w:rPr>
          <w:bCs/>
          <w:color w:val="000000"/>
        </w:rPr>
        <w:t xml:space="preserve"> that is related to the Complaint</w:t>
      </w:r>
      <w:r w:rsidR="00225D73">
        <w:rPr>
          <w:bCs/>
          <w:color w:val="000000"/>
        </w:rPr>
        <w:t xml:space="preserve">.  PPL added that the project is still in the planning stage and has not yet been submitted to the Commission for review and approval.  PPL stated that once the planning has been completed, it will submit a full siting application requesting Commission approval pursuant to applicable Commission regulations, including any need to exercise the power of eminent domain to acquire any rights-of-way or easements.  PPL further argued in its Motion that the </w:t>
      </w:r>
      <w:r w:rsidR="007813C5">
        <w:rPr>
          <w:bCs/>
          <w:color w:val="000000"/>
        </w:rPr>
        <w:t xml:space="preserve">Complainants’ </w:t>
      </w:r>
      <w:r w:rsidR="00225D73">
        <w:rPr>
          <w:bCs/>
          <w:color w:val="000000"/>
        </w:rPr>
        <w:t>Complaint and the forthcoming siting application should be consolidated because the</w:t>
      </w:r>
      <w:r w:rsidR="007B03F9">
        <w:rPr>
          <w:bCs/>
          <w:color w:val="000000"/>
        </w:rPr>
        <w:t>y</w:t>
      </w:r>
      <w:r w:rsidR="00225D73">
        <w:rPr>
          <w:bCs/>
          <w:color w:val="000000"/>
        </w:rPr>
        <w:t xml:space="preserve"> are interrelated and raise common issues of law and fact.  </w:t>
      </w:r>
      <w:r w:rsidR="00D40AE8">
        <w:rPr>
          <w:bCs/>
          <w:color w:val="000000"/>
        </w:rPr>
        <w:t xml:space="preserve">PPL concluded its Motion by stating that the formal Complaint should be held in abeyance pending the filing of the siting application so that the proceedings can be adjudicated in an efficient manner on a complete record with consistent results.  </w:t>
      </w:r>
    </w:p>
    <w:p w:rsidR="00D40AE8" w:rsidRDefault="00D40AE8" w:rsidP="00504C7A">
      <w:pPr>
        <w:pStyle w:val="Style"/>
        <w:spacing w:line="360" w:lineRule="auto"/>
        <w:ind w:firstLine="1440"/>
        <w:rPr>
          <w:bCs/>
          <w:color w:val="000000"/>
        </w:rPr>
      </w:pPr>
    </w:p>
    <w:p w:rsidR="007F2C7B" w:rsidRDefault="00D40AE8" w:rsidP="00504C7A">
      <w:pPr>
        <w:pStyle w:val="Style"/>
        <w:spacing w:line="360" w:lineRule="auto"/>
        <w:ind w:firstLine="1440"/>
        <w:rPr>
          <w:bCs/>
          <w:color w:val="000000"/>
        </w:rPr>
      </w:pPr>
      <w:r>
        <w:rPr>
          <w:bCs/>
          <w:color w:val="000000"/>
        </w:rPr>
        <w:t xml:space="preserve">The </w:t>
      </w:r>
      <w:r w:rsidR="007813C5">
        <w:rPr>
          <w:bCs/>
          <w:color w:val="000000"/>
        </w:rPr>
        <w:t xml:space="preserve">Complainants’ </w:t>
      </w:r>
      <w:r>
        <w:rPr>
          <w:bCs/>
          <w:color w:val="000000"/>
        </w:rPr>
        <w:t xml:space="preserve">Answer to PPL’s Motion was due no later than </w:t>
      </w:r>
      <w:r w:rsidR="003E7206">
        <w:rPr>
          <w:bCs/>
          <w:color w:val="000000"/>
        </w:rPr>
        <w:t xml:space="preserve">June 29, 2012.  </w:t>
      </w:r>
      <w:proofErr w:type="gramStart"/>
      <w:r w:rsidR="003E7206">
        <w:rPr>
          <w:bCs/>
          <w:color w:val="000000"/>
        </w:rPr>
        <w:t>52 Pa. Code § 5.61(a).</w:t>
      </w:r>
      <w:proofErr w:type="gramEnd"/>
      <w:r w:rsidR="003E7206">
        <w:rPr>
          <w:bCs/>
          <w:color w:val="000000"/>
        </w:rPr>
        <w:t xml:space="preserve">  The </w:t>
      </w:r>
      <w:r w:rsidR="007813C5">
        <w:rPr>
          <w:bCs/>
          <w:color w:val="000000"/>
        </w:rPr>
        <w:t>Complainants</w:t>
      </w:r>
      <w:r w:rsidR="003E7206">
        <w:rPr>
          <w:bCs/>
          <w:color w:val="000000"/>
        </w:rPr>
        <w:t xml:space="preserve"> did not file an Answer.</w:t>
      </w:r>
    </w:p>
    <w:p w:rsidR="00C25DFA" w:rsidRDefault="00C25DFA" w:rsidP="00504C7A">
      <w:pPr>
        <w:pStyle w:val="Style"/>
        <w:spacing w:line="360" w:lineRule="auto"/>
        <w:ind w:firstLine="1440"/>
        <w:rPr>
          <w:bCs/>
          <w:color w:val="000000"/>
        </w:rPr>
      </w:pPr>
    </w:p>
    <w:p w:rsidR="00880178" w:rsidRDefault="006570D0" w:rsidP="00A51A8A">
      <w:pPr>
        <w:pStyle w:val="Style"/>
        <w:spacing w:line="360" w:lineRule="auto"/>
        <w:ind w:firstLine="1440"/>
        <w:rPr>
          <w:color w:val="000000"/>
        </w:rPr>
      </w:pPr>
      <w:r w:rsidRPr="00880178">
        <w:rPr>
          <w:color w:val="000000"/>
        </w:rPr>
        <w:t xml:space="preserve">By Motion Judge Assignment Notice dated </w:t>
      </w:r>
      <w:r w:rsidR="00880178" w:rsidRPr="00880178">
        <w:rPr>
          <w:color w:val="000000"/>
        </w:rPr>
        <w:t xml:space="preserve">September </w:t>
      </w:r>
      <w:r w:rsidR="00AA6F33" w:rsidRPr="00880178">
        <w:rPr>
          <w:color w:val="000000"/>
        </w:rPr>
        <w:t>7</w:t>
      </w:r>
      <w:r w:rsidRPr="00880178">
        <w:rPr>
          <w:color w:val="000000"/>
        </w:rPr>
        <w:t>, 2012, the parties were informed that I was assigned as the Presiding Officer in this matter and responsible for resolving any issues which may arise during the preliminary phase of this proceeding.</w:t>
      </w:r>
    </w:p>
    <w:p w:rsidR="00880178" w:rsidRDefault="00880178" w:rsidP="00A51A8A">
      <w:pPr>
        <w:pStyle w:val="Style"/>
        <w:spacing w:line="360" w:lineRule="auto"/>
        <w:ind w:firstLine="1440"/>
        <w:rPr>
          <w:color w:val="000000"/>
        </w:rPr>
      </w:pPr>
    </w:p>
    <w:p w:rsidR="00A51A8A" w:rsidRDefault="00880178" w:rsidP="00A51A8A">
      <w:pPr>
        <w:pStyle w:val="Style"/>
        <w:spacing w:line="360" w:lineRule="auto"/>
        <w:ind w:firstLine="1440"/>
        <w:rPr>
          <w:color w:val="000000"/>
        </w:rPr>
      </w:pPr>
      <w:r>
        <w:rPr>
          <w:color w:val="000000"/>
        </w:rPr>
        <w:lastRenderedPageBreak/>
        <w:t>PPL’s Motion is procedurally ready to be ruled upon.  For the reasons discussed further below, PPL’s Motion will be granted and the formal Complaint will be held in abeyance.</w:t>
      </w:r>
      <w:r w:rsidR="006F78DF" w:rsidRPr="00880178">
        <w:rPr>
          <w:color w:val="000000"/>
        </w:rPr>
        <w:t xml:space="preserve"> </w:t>
      </w:r>
    </w:p>
    <w:p w:rsidR="00880178" w:rsidRDefault="00880178" w:rsidP="00A51A8A">
      <w:pPr>
        <w:pStyle w:val="Style"/>
        <w:spacing w:line="360" w:lineRule="auto"/>
        <w:ind w:firstLine="1440"/>
        <w:rPr>
          <w:color w:val="000000"/>
        </w:rPr>
      </w:pPr>
    </w:p>
    <w:p w:rsidR="00AB74C3" w:rsidRDefault="007B03F9" w:rsidP="00A51A8A">
      <w:pPr>
        <w:pStyle w:val="Style"/>
        <w:spacing w:line="360" w:lineRule="auto"/>
        <w:ind w:firstLine="1440"/>
        <w:rPr>
          <w:color w:val="000000"/>
        </w:rPr>
      </w:pPr>
      <w:r>
        <w:rPr>
          <w:color w:val="000000"/>
        </w:rPr>
        <w:t>Section 5.1 of t</w:t>
      </w:r>
      <w:r w:rsidR="00880178">
        <w:rPr>
          <w:color w:val="000000"/>
        </w:rPr>
        <w:t>he Commission’s Rules of Adminis</w:t>
      </w:r>
      <w:r>
        <w:rPr>
          <w:color w:val="000000"/>
        </w:rPr>
        <w:t>trative Practice and Procedure</w:t>
      </w:r>
      <w:r w:rsidR="00880178">
        <w:rPr>
          <w:color w:val="000000"/>
        </w:rPr>
        <w:t xml:space="preserve"> pr</w:t>
      </w:r>
      <w:r w:rsidR="0044786F">
        <w:rPr>
          <w:color w:val="000000"/>
        </w:rPr>
        <w:t>ovide</w:t>
      </w:r>
      <w:r>
        <w:rPr>
          <w:color w:val="000000"/>
        </w:rPr>
        <w:t>s</w:t>
      </w:r>
      <w:r w:rsidR="0044786F">
        <w:rPr>
          <w:color w:val="000000"/>
        </w:rPr>
        <w:t xml:space="preserve"> for the filing of Motions.  </w:t>
      </w:r>
      <w:proofErr w:type="gramStart"/>
      <w:r w:rsidR="0044786F">
        <w:rPr>
          <w:color w:val="000000"/>
        </w:rPr>
        <w:t>52 Pa. Code § 5.1(a).</w:t>
      </w:r>
      <w:proofErr w:type="gramEnd"/>
      <w:r w:rsidR="0044786F">
        <w:rPr>
          <w:color w:val="000000"/>
        </w:rPr>
        <w:t xml:space="preserve">  In its Motion, PPL requests that the formal Complaint be deferred and held in abeyance until the Company submits an appropriate and applicable siting application to the Commission regarding the proposed transmission line project of which the </w:t>
      </w:r>
      <w:r w:rsidR="007813C5">
        <w:rPr>
          <w:color w:val="000000"/>
        </w:rPr>
        <w:t xml:space="preserve">Complainants </w:t>
      </w:r>
      <w:r w:rsidR="0044786F">
        <w:rPr>
          <w:color w:val="000000"/>
        </w:rPr>
        <w:t xml:space="preserve">complain.  PPL argues that the </w:t>
      </w:r>
      <w:r w:rsidR="00204FDA">
        <w:rPr>
          <w:color w:val="000000"/>
        </w:rPr>
        <w:t xml:space="preserve">Complainants’ </w:t>
      </w:r>
      <w:r w:rsidR="0044786F">
        <w:rPr>
          <w:color w:val="000000"/>
        </w:rPr>
        <w:t xml:space="preserve">claims regarding the transmission line are not ripe and should be dismissed without prejudice since their remedy is to participate in the Commission </w:t>
      </w:r>
      <w:proofErr w:type="gramStart"/>
      <w:r w:rsidR="0044786F">
        <w:rPr>
          <w:color w:val="000000"/>
        </w:rPr>
        <w:t>proceeding</w:t>
      </w:r>
      <w:proofErr w:type="gramEnd"/>
      <w:r w:rsidR="0044786F">
        <w:rPr>
          <w:color w:val="000000"/>
        </w:rPr>
        <w:t xml:space="preserve"> that </w:t>
      </w:r>
      <w:r w:rsidR="007813C5">
        <w:rPr>
          <w:color w:val="000000"/>
        </w:rPr>
        <w:t xml:space="preserve">would arise </w:t>
      </w:r>
      <w:r w:rsidR="0044786F">
        <w:rPr>
          <w:color w:val="000000"/>
        </w:rPr>
        <w:t>when PPL files the siting application regarding the transmission line.</w:t>
      </w:r>
      <w:r w:rsidR="00105693">
        <w:rPr>
          <w:color w:val="000000"/>
        </w:rPr>
        <w:t xml:space="preserve">  PPL argues that, if the formal Complaint is not dismissed without prejudice, it should be held in abeyance and then consolidated with the siting application once it is filed.  Notably, PPL </w:t>
      </w:r>
      <w:r w:rsidR="00943E48">
        <w:rPr>
          <w:color w:val="000000"/>
        </w:rPr>
        <w:t xml:space="preserve">refers </w:t>
      </w:r>
      <w:r w:rsidR="00105693">
        <w:rPr>
          <w:color w:val="000000"/>
        </w:rPr>
        <w:t xml:space="preserve">in its Motion </w:t>
      </w:r>
      <w:r w:rsidR="00943E48">
        <w:rPr>
          <w:color w:val="000000"/>
        </w:rPr>
        <w:t xml:space="preserve">to the “forthcoming” </w:t>
      </w:r>
      <w:r w:rsidR="00105693">
        <w:rPr>
          <w:color w:val="000000"/>
        </w:rPr>
        <w:t>siting application</w:t>
      </w:r>
      <w:r w:rsidR="00943E48">
        <w:rPr>
          <w:color w:val="000000"/>
        </w:rPr>
        <w:t>.  As such, it is reasonably expected</w:t>
      </w:r>
      <w:r w:rsidR="00B425B2">
        <w:rPr>
          <w:color w:val="000000"/>
        </w:rPr>
        <w:t>, based on that assertion,</w:t>
      </w:r>
      <w:r w:rsidR="00943E48">
        <w:rPr>
          <w:color w:val="000000"/>
        </w:rPr>
        <w:t xml:space="preserve"> that the siting application will </w:t>
      </w:r>
      <w:r w:rsidR="00AB74C3">
        <w:rPr>
          <w:color w:val="000000"/>
        </w:rPr>
        <w:t>be filed in the near future, and not in the distant future</w:t>
      </w:r>
      <w:r w:rsidR="00204FDA">
        <w:rPr>
          <w:color w:val="000000"/>
        </w:rPr>
        <w:t>,</w:t>
      </w:r>
      <w:r w:rsidR="007813C5">
        <w:rPr>
          <w:color w:val="000000"/>
        </w:rPr>
        <w:t xml:space="preserve"> so that the Complainants</w:t>
      </w:r>
      <w:r w:rsidR="00204FDA">
        <w:rPr>
          <w:color w:val="000000"/>
        </w:rPr>
        <w:t>’ claims will be addressed without any undue delay</w:t>
      </w:r>
      <w:r w:rsidR="00AB74C3">
        <w:rPr>
          <w:color w:val="000000"/>
        </w:rPr>
        <w:t>.</w:t>
      </w:r>
    </w:p>
    <w:p w:rsidR="00F43063" w:rsidRDefault="00F43063" w:rsidP="00A51A8A">
      <w:pPr>
        <w:pStyle w:val="Style"/>
        <w:spacing w:line="360" w:lineRule="auto"/>
        <w:ind w:firstLine="1440"/>
        <w:rPr>
          <w:color w:val="000000"/>
        </w:rPr>
      </w:pPr>
    </w:p>
    <w:p w:rsidR="00B647A1" w:rsidRDefault="00F43063" w:rsidP="00204FDA">
      <w:pPr>
        <w:pStyle w:val="ParaTab1"/>
        <w:tabs>
          <w:tab w:val="left" w:pos="2070"/>
        </w:tabs>
        <w:spacing w:line="360" w:lineRule="auto"/>
        <w:rPr>
          <w:rFonts w:ascii="Times New Roman" w:hAnsi="Times New Roman"/>
        </w:rPr>
      </w:pPr>
      <w:r>
        <w:rPr>
          <w:color w:val="000000"/>
        </w:rPr>
        <w:t>PPL’s Motion will be granted because it is in the public interest and, a</w:t>
      </w:r>
      <w:r w:rsidR="0044786F">
        <w:rPr>
          <w:color w:val="000000"/>
        </w:rPr>
        <w:t xml:space="preserve">s noted above, </w:t>
      </w:r>
      <w:r>
        <w:rPr>
          <w:color w:val="000000"/>
        </w:rPr>
        <w:t>unopposed</w:t>
      </w:r>
      <w:r w:rsidR="0044786F">
        <w:rPr>
          <w:color w:val="000000"/>
        </w:rPr>
        <w:t>.</w:t>
      </w:r>
      <w:r>
        <w:rPr>
          <w:color w:val="000000"/>
        </w:rPr>
        <w:t xml:space="preserve">  </w:t>
      </w:r>
      <w:r w:rsidR="00204FDA">
        <w:rPr>
          <w:color w:val="000000"/>
        </w:rPr>
        <w:t>PPL stated that the Complain</w:t>
      </w:r>
      <w:r w:rsidR="00B425B2">
        <w:rPr>
          <w:color w:val="000000"/>
        </w:rPr>
        <w:t>an</w:t>
      </w:r>
      <w:r w:rsidR="00204FDA">
        <w:rPr>
          <w:color w:val="000000"/>
        </w:rPr>
        <w:t>ts’ case is part of a larger case that will be filed in the near future regarding the same facts because the proposed path of the planned transmission line</w:t>
      </w:r>
      <w:r w:rsidR="00B425B2">
        <w:rPr>
          <w:color w:val="000000"/>
        </w:rPr>
        <w:t>, which the Complainants aver includes their property,</w:t>
      </w:r>
      <w:r w:rsidR="00204FDA">
        <w:rPr>
          <w:color w:val="000000"/>
        </w:rPr>
        <w:t xml:space="preserve"> will be addressed in that larger case.  Addressing the Complainants’ concerns </w:t>
      </w:r>
      <w:r w:rsidR="007B03F9">
        <w:rPr>
          <w:color w:val="000000"/>
        </w:rPr>
        <w:t xml:space="preserve">when the larger case is filed </w:t>
      </w:r>
      <w:r w:rsidR="00204FDA">
        <w:rPr>
          <w:color w:val="000000"/>
        </w:rPr>
        <w:t xml:space="preserve">is more appropriate because it is common for landowners affected by the transmission line, as well as the public in general, to participate in those </w:t>
      </w:r>
      <w:r w:rsidR="00B425B2">
        <w:rPr>
          <w:color w:val="000000"/>
        </w:rPr>
        <w:t xml:space="preserve">siting application </w:t>
      </w:r>
      <w:r w:rsidR="00204FDA">
        <w:rPr>
          <w:color w:val="000000"/>
        </w:rPr>
        <w:t>proceedings.</w:t>
      </w:r>
    </w:p>
    <w:p w:rsidR="00B647A1" w:rsidRDefault="00B647A1" w:rsidP="00B647A1">
      <w:pPr>
        <w:pStyle w:val="ParaTab1"/>
        <w:tabs>
          <w:tab w:val="left" w:pos="2070"/>
        </w:tabs>
        <w:spacing w:line="360" w:lineRule="auto"/>
        <w:ind w:firstLine="0"/>
        <w:rPr>
          <w:rFonts w:ascii="Times New Roman" w:hAnsi="Times New Roman"/>
        </w:rPr>
      </w:pPr>
    </w:p>
    <w:p w:rsidR="00880178" w:rsidRPr="00B647A1" w:rsidRDefault="00B647A1" w:rsidP="00B647A1">
      <w:pPr>
        <w:pStyle w:val="ParaTab1"/>
        <w:spacing w:line="360" w:lineRule="auto"/>
        <w:ind w:firstLine="0"/>
        <w:rPr>
          <w:rFonts w:ascii="Times New Roman" w:hAnsi="Times New Roman"/>
        </w:rPr>
      </w:pPr>
      <w:r>
        <w:rPr>
          <w:rFonts w:ascii="Times New Roman" w:hAnsi="Times New Roman"/>
        </w:rPr>
        <w:tab/>
      </w:r>
      <w:r w:rsidR="007B078A">
        <w:rPr>
          <w:rFonts w:ascii="Times New Roman" w:hAnsi="Times New Roman"/>
        </w:rPr>
        <w:tab/>
      </w:r>
      <w:r w:rsidR="00880178">
        <w:rPr>
          <w:color w:val="000000"/>
        </w:rPr>
        <w:t>The two matters</w:t>
      </w:r>
      <w:r w:rsidR="0044786F">
        <w:rPr>
          <w:color w:val="000000"/>
        </w:rPr>
        <w:t>, however,</w:t>
      </w:r>
      <w:r w:rsidR="00880178">
        <w:rPr>
          <w:color w:val="000000"/>
        </w:rPr>
        <w:t xml:space="preserve"> will not be consolidated at this juncture</w:t>
      </w:r>
      <w:r>
        <w:rPr>
          <w:color w:val="000000"/>
        </w:rPr>
        <w:t xml:space="preserve"> since the siting application has not yet been filed with the Commission</w:t>
      </w:r>
      <w:r w:rsidR="00880178">
        <w:rPr>
          <w:color w:val="000000"/>
        </w:rPr>
        <w:t>.  Rather, the issue of consolidation will be addressed at the time PPL in fact files the siting application.</w:t>
      </w:r>
      <w:r w:rsidR="00204FDA">
        <w:rPr>
          <w:rStyle w:val="FootnoteReference"/>
          <w:color w:val="000000"/>
        </w:rPr>
        <w:footnoteReference w:id="1"/>
      </w:r>
      <w:r w:rsidR="00F43063">
        <w:rPr>
          <w:color w:val="000000"/>
        </w:rPr>
        <w:t xml:space="preserve">  PPL </w:t>
      </w:r>
      <w:r w:rsidR="00B425B2">
        <w:rPr>
          <w:color w:val="000000"/>
        </w:rPr>
        <w:t xml:space="preserve">will therefore be </w:t>
      </w:r>
      <w:r w:rsidR="00F43063">
        <w:rPr>
          <w:color w:val="000000"/>
        </w:rPr>
        <w:t xml:space="preserve">directed to provide a Motion to </w:t>
      </w:r>
      <w:proofErr w:type="gramStart"/>
      <w:r w:rsidR="00F43063">
        <w:rPr>
          <w:color w:val="000000"/>
        </w:rPr>
        <w:t>Consolidate</w:t>
      </w:r>
      <w:proofErr w:type="gramEnd"/>
      <w:r w:rsidR="00F43063">
        <w:rPr>
          <w:color w:val="000000"/>
        </w:rPr>
        <w:t xml:space="preserve"> at the time it files the relevant siting application to ensure that the concerns raised in the </w:t>
      </w:r>
      <w:r w:rsidR="007B078A">
        <w:rPr>
          <w:color w:val="000000"/>
        </w:rPr>
        <w:t xml:space="preserve">Complainants’ </w:t>
      </w:r>
      <w:r w:rsidR="00F43063">
        <w:rPr>
          <w:color w:val="000000"/>
        </w:rPr>
        <w:t xml:space="preserve">Complaint are heard.  If </w:t>
      </w:r>
      <w:r w:rsidR="00F43063">
        <w:rPr>
          <w:color w:val="000000"/>
        </w:rPr>
        <w:lastRenderedPageBreak/>
        <w:t xml:space="preserve">consolidation is not appropriate, however, PPL is directed to file a supplemental Answer to the </w:t>
      </w:r>
      <w:r w:rsidR="007B078A">
        <w:rPr>
          <w:color w:val="000000"/>
        </w:rPr>
        <w:t xml:space="preserve">Complainants’ </w:t>
      </w:r>
      <w:r w:rsidR="00F43063">
        <w:rPr>
          <w:color w:val="000000"/>
        </w:rPr>
        <w:t>Complaint, or</w:t>
      </w:r>
      <w:r w:rsidR="007B078A">
        <w:rPr>
          <w:color w:val="000000"/>
        </w:rPr>
        <w:t xml:space="preserve"> some other relevant pleading to ensure that due process is provided to the Complainants.  For example, if PPL ultimately determines not to place the transmission line on the Complainants’ property, then a Certificate of Satisfaction </w:t>
      </w:r>
      <w:r w:rsidR="00204FDA">
        <w:rPr>
          <w:color w:val="000000"/>
        </w:rPr>
        <w:t xml:space="preserve">or Petition for Withdrawal </w:t>
      </w:r>
      <w:r w:rsidR="007B078A">
        <w:rPr>
          <w:color w:val="000000"/>
        </w:rPr>
        <w:t>should be filed to close this docket.</w:t>
      </w:r>
      <w:r w:rsidR="00204FDA">
        <w:rPr>
          <w:color w:val="000000"/>
        </w:rPr>
        <w:t xml:space="preserve">  If any filing is not made within </w:t>
      </w:r>
      <w:r w:rsidR="007B03F9">
        <w:rPr>
          <w:color w:val="000000"/>
        </w:rPr>
        <w:t>three (3</w:t>
      </w:r>
      <w:r w:rsidR="00204FDA">
        <w:rPr>
          <w:color w:val="000000"/>
        </w:rPr>
        <w:t xml:space="preserve">) months of the date of this Order, the Company </w:t>
      </w:r>
      <w:r w:rsidR="00B425B2">
        <w:rPr>
          <w:color w:val="000000"/>
        </w:rPr>
        <w:t xml:space="preserve">will be </w:t>
      </w:r>
      <w:r w:rsidR="00204FDA">
        <w:rPr>
          <w:color w:val="000000"/>
        </w:rPr>
        <w:t>further directed to file a status report regarding the current state of the matter.</w:t>
      </w:r>
    </w:p>
    <w:p w:rsidR="00F43063" w:rsidRDefault="00F43063" w:rsidP="00A51A8A">
      <w:pPr>
        <w:pStyle w:val="Style"/>
        <w:spacing w:line="360" w:lineRule="auto"/>
        <w:ind w:firstLine="1440"/>
        <w:rPr>
          <w:color w:val="000000"/>
        </w:rPr>
      </w:pPr>
    </w:p>
    <w:p w:rsidR="00F43063" w:rsidRDefault="00F43063" w:rsidP="00A51A8A">
      <w:pPr>
        <w:pStyle w:val="Style"/>
        <w:spacing w:line="360" w:lineRule="auto"/>
        <w:ind w:firstLine="1440"/>
        <w:rPr>
          <w:color w:val="000000"/>
        </w:rPr>
      </w:pPr>
      <w:r>
        <w:rPr>
          <w:color w:val="000000"/>
        </w:rPr>
        <w:t xml:space="preserve">In conclusion, PPL’s Motion to Defer and Hold in Abeyance the formal Complaint filed by the </w:t>
      </w:r>
      <w:r w:rsidR="007B078A">
        <w:rPr>
          <w:color w:val="000000"/>
        </w:rPr>
        <w:t xml:space="preserve">Complainants </w:t>
      </w:r>
      <w:r>
        <w:rPr>
          <w:color w:val="000000"/>
        </w:rPr>
        <w:t>will be granted</w:t>
      </w:r>
      <w:r w:rsidR="007B078A" w:rsidRPr="007B078A">
        <w:rPr>
          <w:color w:val="000000"/>
        </w:rPr>
        <w:t xml:space="preserve"> </w:t>
      </w:r>
      <w:r w:rsidR="007B078A">
        <w:rPr>
          <w:color w:val="000000"/>
        </w:rPr>
        <w:t>because it is in the public interest and unopposed</w:t>
      </w:r>
      <w:r>
        <w:rPr>
          <w:color w:val="000000"/>
        </w:rPr>
        <w:t>.</w:t>
      </w:r>
      <w:r w:rsidR="007B078A">
        <w:rPr>
          <w:color w:val="000000"/>
        </w:rPr>
        <w:t xml:space="preserve">  PPL is directed to file either a Motion to Consolidate the Complaint with the siting application once it is filed, or some other relevant pleading</w:t>
      </w:r>
      <w:r w:rsidR="00204FDA">
        <w:rPr>
          <w:color w:val="000000"/>
        </w:rPr>
        <w:t xml:space="preserve"> to ensure the Complainants’ due process rights are protected</w:t>
      </w:r>
      <w:r w:rsidR="007B078A">
        <w:rPr>
          <w:color w:val="000000"/>
        </w:rPr>
        <w:t>.</w:t>
      </w:r>
    </w:p>
    <w:p w:rsidR="00880178" w:rsidRDefault="00880178" w:rsidP="00A51A8A">
      <w:pPr>
        <w:pStyle w:val="Style"/>
        <w:spacing w:line="360" w:lineRule="auto"/>
        <w:ind w:firstLine="1440"/>
        <w:rPr>
          <w:color w:val="000000"/>
        </w:rPr>
      </w:pPr>
    </w:p>
    <w:p w:rsidR="00A51A8A" w:rsidRPr="00F43063" w:rsidRDefault="00A0071E" w:rsidP="00DC59A1">
      <w:pPr>
        <w:spacing w:line="360" w:lineRule="auto"/>
        <w:jc w:val="center"/>
        <w:rPr>
          <w:rFonts w:ascii="Times New Roman" w:hAnsi="Times New Roman" w:cs="Times New Roman"/>
          <w:sz w:val="24"/>
          <w:szCs w:val="24"/>
        </w:rPr>
      </w:pPr>
      <w:r w:rsidRPr="00F43063">
        <w:rPr>
          <w:rFonts w:ascii="Times New Roman" w:hAnsi="Times New Roman" w:cs="Times New Roman"/>
          <w:sz w:val="24"/>
          <w:szCs w:val="24"/>
          <w:u w:val="single"/>
        </w:rPr>
        <w:t>O</w:t>
      </w:r>
      <w:r w:rsidR="00A51A8A" w:rsidRPr="00F43063">
        <w:rPr>
          <w:rFonts w:ascii="Times New Roman" w:hAnsi="Times New Roman" w:cs="Times New Roman"/>
          <w:sz w:val="24"/>
          <w:szCs w:val="24"/>
          <w:u w:val="single"/>
        </w:rPr>
        <w:t>RDER</w:t>
      </w:r>
    </w:p>
    <w:p w:rsidR="00DD43F4" w:rsidRPr="00F43063" w:rsidRDefault="00DD43F4" w:rsidP="003C3DBA">
      <w:pPr>
        <w:spacing w:line="360" w:lineRule="auto"/>
        <w:ind w:firstLine="720"/>
        <w:rPr>
          <w:rFonts w:ascii="Times New Roman" w:hAnsi="Times New Roman" w:cs="Times New Roman"/>
          <w:sz w:val="24"/>
          <w:szCs w:val="24"/>
        </w:rPr>
      </w:pPr>
    </w:p>
    <w:p w:rsidR="00A51A8A" w:rsidRPr="00F43063" w:rsidRDefault="00A51A8A" w:rsidP="003C3DBA">
      <w:pPr>
        <w:spacing w:line="360" w:lineRule="auto"/>
        <w:ind w:firstLine="720"/>
        <w:rPr>
          <w:rFonts w:ascii="Times New Roman" w:hAnsi="Times New Roman" w:cs="Times New Roman"/>
          <w:sz w:val="24"/>
          <w:szCs w:val="24"/>
        </w:rPr>
      </w:pPr>
      <w:r w:rsidRPr="00F43063">
        <w:rPr>
          <w:rFonts w:ascii="Times New Roman" w:hAnsi="Times New Roman" w:cs="Times New Roman"/>
          <w:sz w:val="24"/>
          <w:szCs w:val="24"/>
        </w:rPr>
        <w:t>THEREFORE,</w:t>
      </w:r>
    </w:p>
    <w:p w:rsidR="00A51A8A" w:rsidRPr="00F43063" w:rsidRDefault="00A51A8A" w:rsidP="00DC59A1">
      <w:pPr>
        <w:spacing w:line="360" w:lineRule="auto"/>
        <w:rPr>
          <w:rFonts w:ascii="Times New Roman" w:hAnsi="Times New Roman" w:cs="Times New Roman"/>
          <w:sz w:val="24"/>
          <w:szCs w:val="24"/>
        </w:rPr>
      </w:pPr>
    </w:p>
    <w:p w:rsidR="00A51A8A" w:rsidRPr="00F43063" w:rsidRDefault="00A51A8A" w:rsidP="003C3DBA">
      <w:pPr>
        <w:spacing w:line="360" w:lineRule="auto"/>
        <w:ind w:firstLine="720"/>
        <w:rPr>
          <w:rFonts w:ascii="Times New Roman" w:hAnsi="Times New Roman" w:cs="Times New Roman"/>
          <w:sz w:val="24"/>
          <w:szCs w:val="24"/>
        </w:rPr>
      </w:pPr>
      <w:r w:rsidRPr="00F43063">
        <w:rPr>
          <w:rFonts w:ascii="Times New Roman" w:hAnsi="Times New Roman" w:cs="Times New Roman"/>
          <w:sz w:val="24"/>
          <w:szCs w:val="24"/>
        </w:rPr>
        <w:t>IT IS ORDERED:</w:t>
      </w:r>
    </w:p>
    <w:p w:rsidR="00A51A8A" w:rsidRPr="00F43063" w:rsidRDefault="00A51A8A" w:rsidP="00DC59A1">
      <w:pPr>
        <w:spacing w:line="360" w:lineRule="auto"/>
        <w:rPr>
          <w:rFonts w:ascii="Times New Roman" w:hAnsi="Times New Roman" w:cs="Times New Roman"/>
          <w:sz w:val="24"/>
          <w:szCs w:val="24"/>
        </w:rPr>
      </w:pPr>
    </w:p>
    <w:p w:rsidR="00121ECD" w:rsidRPr="00F43063" w:rsidRDefault="00121ECD" w:rsidP="00DC59A1">
      <w:pPr>
        <w:pStyle w:val="Style"/>
        <w:tabs>
          <w:tab w:val="left" w:pos="1505"/>
          <w:tab w:val="left" w:pos="2203"/>
        </w:tabs>
        <w:spacing w:line="360" w:lineRule="auto"/>
        <w:ind w:firstLine="1440"/>
        <w:rPr>
          <w:color w:val="000000"/>
        </w:rPr>
      </w:pPr>
      <w:r w:rsidRPr="00F43063">
        <w:rPr>
          <w:color w:val="000000"/>
        </w:rPr>
        <w:t>1.</w:t>
      </w:r>
      <w:r w:rsidR="008E0C32" w:rsidRPr="00F43063">
        <w:rPr>
          <w:color w:val="000000"/>
        </w:rPr>
        <w:tab/>
        <w:t xml:space="preserve">That the </w:t>
      </w:r>
      <w:r w:rsidR="00F43063">
        <w:rPr>
          <w:color w:val="000000"/>
        </w:rPr>
        <w:t xml:space="preserve">Motion of PPL Electric Utilities Corporation dated June 6, 2012 </w:t>
      </w:r>
      <w:r w:rsidR="00676D5E" w:rsidRPr="00F43063">
        <w:rPr>
          <w:color w:val="000000"/>
        </w:rPr>
        <w:t>at Docket Number C-2012-</w:t>
      </w:r>
      <w:r w:rsidR="00F43063">
        <w:rPr>
          <w:color w:val="000000"/>
        </w:rPr>
        <w:t xml:space="preserve">2305047 is </w:t>
      </w:r>
      <w:r w:rsidR="006E4790" w:rsidRPr="00F43063">
        <w:rPr>
          <w:color w:val="000000"/>
        </w:rPr>
        <w:t>granted</w:t>
      </w:r>
      <w:r w:rsidRPr="00F43063">
        <w:rPr>
          <w:color w:val="000000"/>
        </w:rPr>
        <w:t>.</w:t>
      </w:r>
    </w:p>
    <w:p w:rsidR="00121ECD" w:rsidRPr="00F43063" w:rsidRDefault="00121ECD" w:rsidP="00DC59A1">
      <w:pPr>
        <w:pStyle w:val="Style"/>
        <w:tabs>
          <w:tab w:val="left" w:pos="1505"/>
          <w:tab w:val="left" w:pos="2203"/>
        </w:tabs>
        <w:spacing w:line="360" w:lineRule="auto"/>
        <w:ind w:firstLine="1440"/>
        <w:rPr>
          <w:color w:val="000000"/>
        </w:rPr>
      </w:pPr>
    </w:p>
    <w:p w:rsidR="00F43063" w:rsidRDefault="00121ECD" w:rsidP="006E4790">
      <w:pPr>
        <w:pStyle w:val="Style"/>
        <w:tabs>
          <w:tab w:val="left" w:pos="1505"/>
          <w:tab w:val="left" w:pos="2225"/>
        </w:tabs>
        <w:spacing w:line="360" w:lineRule="auto"/>
        <w:ind w:firstLine="1440"/>
        <w:rPr>
          <w:color w:val="000000"/>
        </w:rPr>
      </w:pPr>
      <w:r w:rsidRPr="00F43063">
        <w:rPr>
          <w:color w:val="000000"/>
        </w:rPr>
        <w:t>2.</w:t>
      </w:r>
      <w:r w:rsidRPr="00F43063">
        <w:rPr>
          <w:color w:val="000000"/>
        </w:rPr>
        <w:tab/>
      </w:r>
      <w:r w:rsidR="00FD0CF1" w:rsidRPr="00F43063">
        <w:rPr>
          <w:color w:val="000000"/>
        </w:rPr>
        <w:t xml:space="preserve">That </w:t>
      </w:r>
      <w:r w:rsidR="00B425B2">
        <w:rPr>
          <w:color w:val="000000"/>
        </w:rPr>
        <w:t xml:space="preserve">the </w:t>
      </w:r>
      <w:r w:rsidR="00F43063">
        <w:rPr>
          <w:color w:val="000000"/>
        </w:rPr>
        <w:t xml:space="preserve">formal Complaint filed by Chris and Melinda </w:t>
      </w:r>
      <w:proofErr w:type="spellStart"/>
      <w:r w:rsidR="00F43063">
        <w:rPr>
          <w:color w:val="000000"/>
        </w:rPr>
        <w:t>Maros</w:t>
      </w:r>
      <w:proofErr w:type="spellEnd"/>
      <w:r w:rsidR="00F43063">
        <w:rPr>
          <w:color w:val="000000"/>
        </w:rPr>
        <w:t xml:space="preserve"> against PPL Electric Utilities Corporation dated May 9, 2012 </w:t>
      </w:r>
      <w:r w:rsidR="00F43063" w:rsidRPr="00F43063">
        <w:rPr>
          <w:color w:val="000000"/>
        </w:rPr>
        <w:t>at Docket Number C-2012-</w:t>
      </w:r>
      <w:r w:rsidR="00F43063">
        <w:rPr>
          <w:color w:val="000000"/>
        </w:rPr>
        <w:t>2305047 is hereby held in abeyance.</w:t>
      </w:r>
    </w:p>
    <w:p w:rsidR="00F43063" w:rsidRDefault="00F43063" w:rsidP="006E4790">
      <w:pPr>
        <w:pStyle w:val="Style"/>
        <w:tabs>
          <w:tab w:val="left" w:pos="1505"/>
          <w:tab w:val="left" w:pos="2225"/>
        </w:tabs>
        <w:spacing w:line="360" w:lineRule="auto"/>
        <w:ind w:firstLine="1440"/>
        <w:rPr>
          <w:color w:val="000000"/>
        </w:rPr>
      </w:pPr>
    </w:p>
    <w:p w:rsidR="00204FDA" w:rsidRDefault="00D1448E" w:rsidP="006E4790">
      <w:pPr>
        <w:pStyle w:val="Style"/>
        <w:tabs>
          <w:tab w:val="left" w:pos="1505"/>
          <w:tab w:val="left" w:pos="2225"/>
        </w:tabs>
        <w:spacing w:line="360" w:lineRule="auto"/>
        <w:ind w:firstLine="1440"/>
        <w:rPr>
          <w:color w:val="000000"/>
        </w:rPr>
      </w:pPr>
      <w:r w:rsidRPr="00F43063">
        <w:rPr>
          <w:color w:val="000000"/>
        </w:rPr>
        <w:t>3.</w:t>
      </w:r>
      <w:r w:rsidRPr="00F43063">
        <w:rPr>
          <w:color w:val="000000"/>
        </w:rPr>
        <w:tab/>
      </w:r>
      <w:r w:rsidR="00121ECD" w:rsidRPr="00F43063">
        <w:rPr>
          <w:color w:val="000000"/>
        </w:rPr>
        <w:t xml:space="preserve">That </w:t>
      </w:r>
      <w:r w:rsidR="00BA5E3E">
        <w:rPr>
          <w:color w:val="000000"/>
        </w:rPr>
        <w:t xml:space="preserve">PPL Electric Utilities Corporation is directed to file a Motion to Consolidate the formal Complaint filed by Chris and Melinda </w:t>
      </w:r>
      <w:proofErr w:type="spellStart"/>
      <w:r w:rsidR="00BA5E3E">
        <w:rPr>
          <w:color w:val="000000"/>
        </w:rPr>
        <w:t>Maros</w:t>
      </w:r>
      <w:proofErr w:type="spellEnd"/>
      <w:r w:rsidR="00BA5E3E">
        <w:rPr>
          <w:color w:val="000000"/>
        </w:rPr>
        <w:t xml:space="preserve"> with the applicable siting </w:t>
      </w:r>
      <w:r w:rsidR="00BA5E3E">
        <w:rPr>
          <w:color w:val="000000"/>
        </w:rPr>
        <w:lastRenderedPageBreak/>
        <w:t xml:space="preserve">application that is the subject of the </w:t>
      </w:r>
      <w:proofErr w:type="spellStart"/>
      <w:r w:rsidR="00BA5E3E">
        <w:rPr>
          <w:color w:val="000000"/>
        </w:rPr>
        <w:t>Maros</w:t>
      </w:r>
      <w:proofErr w:type="spellEnd"/>
      <w:r w:rsidR="00BA5E3E">
        <w:rPr>
          <w:color w:val="000000"/>
        </w:rPr>
        <w:t xml:space="preserve"> Complaint at the time the siting application is filed with the Public Utility Commission, or some other appropriate pleading addressing the matters raised in the </w:t>
      </w:r>
      <w:proofErr w:type="spellStart"/>
      <w:r w:rsidR="00BA5E3E">
        <w:rPr>
          <w:color w:val="000000"/>
        </w:rPr>
        <w:t>Maros</w:t>
      </w:r>
      <w:proofErr w:type="spellEnd"/>
      <w:r w:rsidR="00BA5E3E">
        <w:rPr>
          <w:color w:val="000000"/>
        </w:rPr>
        <w:t xml:space="preserve"> Complaint</w:t>
      </w:r>
      <w:r w:rsidR="00204FDA">
        <w:rPr>
          <w:color w:val="000000"/>
        </w:rPr>
        <w:t>.</w:t>
      </w:r>
    </w:p>
    <w:p w:rsidR="00204FDA" w:rsidRDefault="00204FDA" w:rsidP="006E4790">
      <w:pPr>
        <w:pStyle w:val="Style"/>
        <w:tabs>
          <w:tab w:val="left" w:pos="1505"/>
          <w:tab w:val="left" w:pos="2225"/>
        </w:tabs>
        <w:spacing w:line="360" w:lineRule="auto"/>
        <w:ind w:firstLine="1440"/>
        <w:rPr>
          <w:color w:val="000000"/>
        </w:rPr>
      </w:pPr>
    </w:p>
    <w:p w:rsidR="00B878DF" w:rsidRDefault="00204FDA" w:rsidP="006E4790">
      <w:pPr>
        <w:pStyle w:val="Style"/>
        <w:tabs>
          <w:tab w:val="left" w:pos="1505"/>
          <w:tab w:val="left" w:pos="2225"/>
        </w:tabs>
        <w:spacing w:line="360" w:lineRule="auto"/>
        <w:ind w:firstLine="1440"/>
        <w:rPr>
          <w:color w:val="000000"/>
        </w:rPr>
      </w:pPr>
      <w:r>
        <w:rPr>
          <w:color w:val="000000"/>
        </w:rPr>
        <w:t>4</w:t>
      </w:r>
      <w:r w:rsidR="0050346B" w:rsidRPr="00F43063">
        <w:rPr>
          <w:color w:val="000000"/>
        </w:rPr>
        <w:t>.</w:t>
      </w:r>
      <w:r>
        <w:rPr>
          <w:color w:val="000000"/>
        </w:rPr>
        <w:tab/>
        <w:t xml:space="preserve">That, if a Motion to Consolidate or some other appropriate pleading is not filed within </w:t>
      </w:r>
      <w:r w:rsidR="007B03F9">
        <w:rPr>
          <w:color w:val="000000"/>
        </w:rPr>
        <w:t>three</w:t>
      </w:r>
      <w:r>
        <w:rPr>
          <w:color w:val="000000"/>
        </w:rPr>
        <w:t xml:space="preserve"> (</w:t>
      </w:r>
      <w:r w:rsidR="007B03F9">
        <w:rPr>
          <w:color w:val="000000"/>
        </w:rPr>
        <w:t>3)</w:t>
      </w:r>
      <w:r>
        <w:rPr>
          <w:color w:val="000000"/>
        </w:rPr>
        <w:t xml:space="preserve"> months of the date of this Order addressing the matters raised in the </w:t>
      </w:r>
      <w:proofErr w:type="spellStart"/>
      <w:r>
        <w:rPr>
          <w:color w:val="000000"/>
        </w:rPr>
        <w:t>Maros</w:t>
      </w:r>
      <w:proofErr w:type="spellEnd"/>
      <w:r>
        <w:rPr>
          <w:color w:val="000000"/>
        </w:rPr>
        <w:t xml:space="preserve"> Complaint, PPL Electric Utilities Corporation is directed to file a status report providing an update regarding the current state of the matter.</w:t>
      </w:r>
    </w:p>
    <w:p w:rsidR="00204FDA" w:rsidRPr="00F43063" w:rsidRDefault="00204FDA" w:rsidP="006E4790">
      <w:pPr>
        <w:pStyle w:val="Style"/>
        <w:tabs>
          <w:tab w:val="left" w:pos="1505"/>
          <w:tab w:val="left" w:pos="2225"/>
        </w:tabs>
        <w:spacing w:line="360" w:lineRule="auto"/>
        <w:ind w:firstLine="1440"/>
        <w:rPr>
          <w:color w:val="000000"/>
        </w:rPr>
      </w:pPr>
    </w:p>
    <w:p w:rsidR="00121ECD" w:rsidRPr="00F43063"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C82F2A">
        <w:rPr>
          <w:color w:val="000000"/>
          <w:u w:val="single"/>
        </w:rPr>
        <w:t xml:space="preserve">September </w:t>
      </w:r>
      <w:r w:rsidR="00F43063">
        <w:rPr>
          <w:color w:val="000000"/>
          <w:u w:val="single"/>
        </w:rPr>
        <w:t>2</w:t>
      </w:r>
      <w:r w:rsidR="00B425B2">
        <w:rPr>
          <w:color w:val="000000"/>
          <w:u w:val="single"/>
        </w:rPr>
        <w:t>7</w:t>
      </w:r>
      <w:r w:rsidR="001825A6">
        <w:rPr>
          <w:color w:val="000000"/>
          <w:u w:val="single"/>
        </w:rPr>
        <w:t>, 2012</w:t>
      </w:r>
      <w:r w:rsidRPr="00DC59A1">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185AE0" w:rsidRPr="002A5419" w:rsidRDefault="00121ECD" w:rsidP="002A5419">
      <w:pPr>
        <w:pStyle w:val="Style"/>
        <w:tabs>
          <w:tab w:val="left" w:pos="1570"/>
          <w:tab w:val="left" w:pos="2290"/>
        </w:tabs>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sectPr w:rsidR="00185AE0" w:rsidRPr="002A5419" w:rsidSect="009241C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DD2" w:rsidRDefault="00051DD2" w:rsidP="009241C7">
      <w:pPr>
        <w:spacing w:after="0" w:line="240" w:lineRule="auto"/>
      </w:pPr>
      <w:r>
        <w:separator/>
      </w:r>
    </w:p>
  </w:endnote>
  <w:endnote w:type="continuationSeparator" w:id="0">
    <w:p w:rsidR="00051DD2" w:rsidRDefault="00051DD2"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1A7502">
          <w:rPr>
            <w:noProof/>
          </w:rPr>
          <w:t>5</w:t>
        </w:r>
        <w:r>
          <w:rPr>
            <w:noProof/>
          </w:rPr>
          <w:fldChar w:fldCharType="end"/>
        </w:r>
      </w:p>
    </w:sdtContent>
  </w:sdt>
  <w:p w:rsidR="009241C7" w:rsidRDefault="0092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DD2" w:rsidRDefault="00051DD2" w:rsidP="009241C7">
      <w:pPr>
        <w:spacing w:after="0" w:line="240" w:lineRule="auto"/>
      </w:pPr>
      <w:r>
        <w:separator/>
      </w:r>
    </w:p>
  </w:footnote>
  <w:footnote w:type="continuationSeparator" w:id="0">
    <w:p w:rsidR="00051DD2" w:rsidRDefault="00051DD2" w:rsidP="009241C7">
      <w:pPr>
        <w:spacing w:after="0" w:line="240" w:lineRule="auto"/>
      </w:pPr>
      <w:r>
        <w:continuationSeparator/>
      </w:r>
    </w:p>
  </w:footnote>
  <w:footnote w:id="1">
    <w:p w:rsidR="00204FDA" w:rsidRDefault="00204FDA" w:rsidP="00204FDA">
      <w:pPr>
        <w:pStyle w:val="ParaTab1"/>
        <w:tabs>
          <w:tab w:val="left" w:pos="2070"/>
        </w:tabs>
        <w:ind w:firstLine="0"/>
      </w:pPr>
      <w:r>
        <w:rPr>
          <w:rStyle w:val="FootnoteReference"/>
        </w:rPr>
        <w:footnoteRef/>
      </w:r>
      <w:r>
        <w:t xml:space="preserve"> </w:t>
      </w:r>
      <w:r w:rsidRPr="00204FDA">
        <w:rPr>
          <w:rFonts w:asciiTheme="minorHAnsi" w:hAnsiTheme="minorHAnsi" w:cstheme="minorHAnsi"/>
          <w:sz w:val="20"/>
          <w:szCs w:val="20"/>
        </w:rPr>
        <w:t>I note that Section 5.81 of the Commission’s rules governs consolidation of proceedings.  This Section provides:  “</w:t>
      </w:r>
      <w:r w:rsidRPr="00204FDA">
        <w:rPr>
          <w:rFonts w:asciiTheme="minorHAnsi" w:hAnsiTheme="minorHAnsi" w:cstheme="minorHAnsi"/>
          <w:b/>
          <w:sz w:val="20"/>
          <w:szCs w:val="20"/>
        </w:rPr>
        <w:t xml:space="preserve">§ 5.81. </w:t>
      </w:r>
      <w:proofErr w:type="gramStart"/>
      <w:r w:rsidRPr="00204FDA">
        <w:rPr>
          <w:rFonts w:asciiTheme="minorHAnsi" w:hAnsiTheme="minorHAnsi" w:cstheme="minorHAnsi"/>
          <w:b/>
          <w:sz w:val="20"/>
          <w:szCs w:val="20"/>
        </w:rPr>
        <w:t>Consolidation.</w:t>
      </w:r>
      <w:proofErr w:type="gramEnd"/>
      <w:r w:rsidRPr="00204FDA">
        <w:rPr>
          <w:rFonts w:asciiTheme="minorHAnsi" w:hAnsiTheme="minorHAnsi" w:cstheme="minorHAnsi"/>
          <w:b/>
          <w:sz w:val="20"/>
          <w:szCs w:val="20"/>
        </w:rPr>
        <w:t xml:space="preserve">  </w:t>
      </w:r>
      <w:r w:rsidRPr="00204FDA">
        <w:rPr>
          <w:rFonts w:asciiTheme="minorHAnsi" w:hAnsiTheme="minorHAnsi" w:cstheme="minorHAnsi"/>
          <w:sz w:val="20"/>
          <w:szCs w:val="20"/>
        </w:rPr>
        <w:t xml:space="preserve">The Commission or presiding officer, with or without motion, may order proceedings involving a common question of law or fact to be consolidated.  The Commission or presiding officer may make orders concerning the conduct of the proceeding as may avoid unnecessary costs or delay.”  </w:t>
      </w:r>
      <w:proofErr w:type="gramStart"/>
      <w:r w:rsidRPr="00204FDA">
        <w:rPr>
          <w:rFonts w:asciiTheme="minorHAnsi" w:hAnsiTheme="minorHAnsi" w:cstheme="minorHAnsi"/>
          <w:sz w:val="20"/>
          <w:szCs w:val="20"/>
        </w:rPr>
        <w:t>52 Pa. Code § 5.81.</w:t>
      </w:r>
      <w:proofErr w:type="gramEnd"/>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569B"/>
    <w:rsid w:val="00026E9F"/>
    <w:rsid w:val="00031A08"/>
    <w:rsid w:val="00036AD2"/>
    <w:rsid w:val="00051DD2"/>
    <w:rsid w:val="00067EAE"/>
    <w:rsid w:val="00070E64"/>
    <w:rsid w:val="00080A87"/>
    <w:rsid w:val="000925C3"/>
    <w:rsid w:val="00097754"/>
    <w:rsid w:val="000A0FCE"/>
    <w:rsid w:val="000A7468"/>
    <w:rsid w:val="000A7EDD"/>
    <w:rsid w:val="000B2F56"/>
    <w:rsid w:val="000B330B"/>
    <w:rsid w:val="000C07AF"/>
    <w:rsid w:val="000C6E20"/>
    <w:rsid w:val="000C7852"/>
    <w:rsid w:val="000D3A59"/>
    <w:rsid w:val="000E2769"/>
    <w:rsid w:val="000F1AF4"/>
    <w:rsid w:val="000F52EE"/>
    <w:rsid w:val="000F5849"/>
    <w:rsid w:val="00105693"/>
    <w:rsid w:val="00121ECD"/>
    <w:rsid w:val="001418FB"/>
    <w:rsid w:val="00143553"/>
    <w:rsid w:val="00144527"/>
    <w:rsid w:val="00151D18"/>
    <w:rsid w:val="00155ABB"/>
    <w:rsid w:val="00157035"/>
    <w:rsid w:val="00171EF9"/>
    <w:rsid w:val="00177B9F"/>
    <w:rsid w:val="001825A6"/>
    <w:rsid w:val="00185AE0"/>
    <w:rsid w:val="00185F9A"/>
    <w:rsid w:val="00197FD4"/>
    <w:rsid w:val="001A7502"/>
    <w:rsid w:val="001B0D2F"/>
    <w:rsid w:val="001B44AA"/>
    <w:rsid w:val="001C5B81"/>
    <w:rsid w:val="001C5B9D"/>
    <w:rsid w:val="001D0B73"/>
    <w:rsid w:val="00204FDA"/>
    <w:rsid w:val="00216A23"/>
    <w:rsid w:val="00225D73"/>
    <w:rsid w:val="00241AA3"/>
    <w:rsid w:val="00252879"/>
    <w:rsid w:val="002703BD"/>
    <w:rsid w:val="002732C9"/>
    <w:rsid w:val="002969C7"/>
    <w:rsid w:val="002A5419"/>
    <w:rsid w:val="002A5C06"/>
    <w:rsid w:val="002A7B0E"/>
    <w:rsid w:val="002B06A4"/>
    <w:rsid w:val="002B36A7"/>
    <w:rsid w:val="002B38ED"/>
    <w:rsid w:val="002E15E5"/>
    <w:rsid w:val="002E7579"/>
    <w:rsid w:val="002F75A1"/>
    <w:rsid w:val="00320B58"/>
    <w:rsid w:val="00321DB3"/>
    <w:rsid w:val="00324E46"/>
    <w:rsid w:val="00332C07"/>
    <w:rsid w:val="00335756"/>
    <w:rsid w:val="00341407"/>
    <w:rsid w:val="003577FC"/>
    <w:rsid w:val="00361D92"/>
    <w:rsid w:val="00373EC0"/>
    <w:rsid w:val="00374213"/>
    <w:rsid w:val="003760CE"/>
    <w:rsid w:val="00383321"/>
    <w:rsid w:val="003865E7"/>
    <w:rsid w:val="003878DA"/>
    <w:rsid w:val="00390550"/>
    <w:rsid w:val="00391958"/>
    <w:rsid w:val="003A4339"/>
    <w:rsid w:val="003A64B0"/>
    <w:rsid w:val="003C07C4"/>
    <w:rsid w:val="003C34A5"/>
    <w:rsid w:val="003C3DBA"/>
    <w:rsid w:val="003C6E57"/>
    <w:rsid w:val="003D0F80"/>
    <w:rsid w:val="003E7206"/>
    <w:rsid w:val="003F41CE"/>
    <w:rsid w:val="00411C20"/>
    <w:rsid w:val="00413898"/>
    <w:rsid w:val="00417A04"/>
    <w:rsid w:val="004338B6"/>
    <w:rsid w:val="00436B52"/>
    <w:rsid w:val="00440C40"/>
    <w:rsid w:val="004472FC"/>
    <w:rsid w:val="0044786F"/>
    <w:rsid w:val="00460CAB"/>
    <w:rsid w:val="00466028"/>
    <w:rsid w:val="004A74FD"/>
    <w:rsid w:val="004B45AA"/>
    <w:rsid w:val="004D43DA"/>
    <w:rsid w:val="004E5031"/>
    <w:rsid w:val="004F3B9B"/>
    <w:rsid w:val="004F5E09"/>
    <w:rsid w:val="0050346B"/>
    <w:rsid w:val="005038C6"/>
    <w:rsid w:val="00504C7A"/>
    <w:rsid w:val="00527568"/>
    <w:rsid w:val="005302D9"/>
    <w:rsid w:val="0055000D"/>
    <w:rsid w:val="00550613"/>
    <w:rsid w:val="005506B3"/>
    <w:rsid w:val="005641CB"/>
    <w:rsid w:val="005715D4"/>
    <w:rsid w:val="00587815"/>
    <w:rsid w:val="005A445B"/>
    <w:rsid w:val="005B259A"/>
    <w:rsid w:val="005B33EB"/>
    <w:rsid w:val="005B3745"/>
    <w:rsid w:val="005C22FA"/>
    <w:rsid w:val="005C398C"/>
    <w:rsid w:val="005D1C1B"/>
    <w:rsid w:val="005E43CA"/>
    <w:rsid w:val="005F265E"/>
    <w:rsid w:val="006022AC"/>
    <w:rsid w:val="00610EA6"/>
    <w:rsid w:val="00627265"/>
    <w:rsid w:val="006279C0"/>
    <w:rsid w:val="00637D1F"/>
    <w:rsid w:val="00644A61"/>
    <w:rsid w:val="006540A4"/>
    <w:rsid w:val="00656517"/>
    <w:rsid w:val="006570D0"/>
    <w:rsid w:val="0066185C"/>
    <w:rsid w:val="00666588"/>
    <w:rsid w:val="00672780"/>
    <w:rsid w:val="00676D5E"/>
    <w:rsid w:val="006A7D99"/>
    <w:rsid w:val="006B1873"/>
    <w:rsid w:val="006B57E3"/>
    <w:rsid w:val="006D1AE4"/>
    <w:rsid w:val="006D2789"/>
    <w:rsid w:val="006E15D0"/>
    <w:rsid w:val="006E4790"/>
    <w:rsid w:val="006E5776"/>
    <w:rsid w:val="006F78DF"/>
    <w:rsid w:val="00702030"/>
    <w:rsid w:val="00704BAA"/>
    <w:rsid w:val="00706238"/>
    <w:rsid w:val="00735033"/>
    <w:rsid w:val="007519F2"/>
    <w:rsid w:val="00757894"/>
    <w:rsid w:val="00760AE4"/>
    <w:rsid w:val="0076798D"/>
    <w:rsid w:val="007813C5"/>
    <w:rsid w:val="007A6551"/>
    <w:rsid w:val="007B03F9"/>
    <w:rsid w:val="007B078A"/>
    <w:rsid w:val="007C023F"/>
    <w:rsid w:val="007D7473"/>
    <w:rsid w:val="007E6EAC"/>
    <w:rsid w:val="007F2C7B"/>
    <w:rsid w:val="007F70FE"/>
    <w:rsid w:val="008204B2"/>
    <w:rsid w:val="00823051"/>
    <w:rsid w:val="008243A1"/>
    <w:rsid w:val="008618CF"/>
    <w:rsid w:val="00862E32"/>
    <w:rsid w:val="00871B44"/>
    <w:rsid w:val="0087468B"/>
    <w:rsid w:val="00880178"/>
    <w:rsid w:val="00894054"/>
    <w:rsid w:val="008A6A5F"/>
    <w:rsid w:val="008C1C0B"/>
    <w:rsid w:val="008D65DF"/>
    <w:rsid w:val="008E0C32"/>
    <w:rsid w:val="008E2235"/>
    <w:rsid w:val="008E4B8E"/>
    <w:rsid w:val="008E5A17"/>
    <w:rsid w:val="00900D0C"/>
    <w:rsid w:val="009013AF"/>
    <w:rsid w:val="00902293"/>
    <w:rsid w:val="00913901"/>
    <w:rsid w:val="00914372"/>
    <w:rsid w:val="00914680"/>
    <w:rsid w:val="009153F3"/>
    <w:rsid w:val="0092084E"/>
    <w:rsid w:val="00922130"/>
    <w:rsid w:val="009241C7"/>
    <w:rsid w:val="00936EA7"/>
    <w:rsid w:val="009438B9"/>
    <w:rsid w:val="00943E48"/>
    <w:rsid w:val="00947B3D"/>
    <w:rsid w:val="009544CA"/>
    <w:rsid w:val="00956926"/>
    <w:rsid w:val="0097179D"/>
    <w:rsid w:val="0097226B"/>
    <w:rsid w:val="009A11DE"/>
    <w:rsid w:val="009B4ECD"/>
    <w:rsid w:val="009C1951"/>
    <w:rsid w:val="009D337A"/>
    <w:rsid w:val="009D63A9"/>
    <w:rsid w:val="009E0FD4"/>
    <w:rsid w:val="009E2C00"/>
    <w:rsid w:val="009E3C78"/>
    <w:rsid w:val="009E5425"/>
    <w:rsid w:val="00A0071E"/>
    <w:rsid w:val="00A02A30"/>
    <w:rsid w:val="00A03EB3"/>
    <w:rsid w:val="00A103FC"/>
    <w:rsid w:val="00A23850"/>
    <w:rsid w:val="00A31751"/>
    <w:rsid w:val="00A3225F"/>
    <w:rsid w:val="00A33925"/>
    <w:rsid w:val="00A41B4F"/>
    <w:rsid w:val="00A42FB6"/>
    <w:rsid w:val="00A43A3F"/>
    <w:rsid w:val="00A44703"/>
    <w:rsid w:val="00A51A8A"/>
    <w:rsid w:val="00A57E0D"/>
    <w:rsid w:val="00A62C31"/>
    <w:rsid w:val="00A6692A"/>
    <w:rsid w:val="00A909CE"/>
    <w:rsid w:val="00A96136"/>
    <w:rsid w:val="00AA6F33"/>
    <w:rsid w:val="00AB2EF7"/>
    <w:rsid w:val="00AB74C3"/>
    <w:rsid w:val="00AC6282"/>
    <w:rsid w:val="00AF2EC8"/>
    <w:rsid w:val="00B2002A"/>
    <w:rsid w:val="00B214C6"/>
    <w:rsid w:val="00B24692"/>
    <w:rsid w:val="00B412AE"/>
    <w:rsid w:val="00B425B2"/>
    <w:rsid w:val="00B60940"/>
    <w:rsid w:val="00B647A1"/>
    <w:rsid w:val="00B84180"/>
    <w:rsid w:val="00B8482E"/>
    <w:rsid w:val="00B852BA"/>
    <w:rsid w:val="00B878DF"/>
    <w:rsid w:val="00B95C81"/>
    <w:rsid w:val="00BA4B6F"/>
    <w:rsid w:val="00BA5E3E"/>
    <w:rsid w:val="00BB286F"/>
    <w:rsid w:val="00BE693A"/>
    <w:rsid w:val="00BF222A"/>
    <w:rsid w:val="00BF47BB"/>
    <w:rsid w:val="00BF6172"/>
    <w:rsid w:val="00C007E5"/>
    <w:rsid w:val="00C0615D"/>
    <w:rsid w:val="00C11FBB"/>
    <w:rsid w:val="00C127AF"/>
    <w:rsid w:val="00C2123B"/>
    <w:rsid w:val="00C23053"/>
    <w:rsid w:val="00C25DFA"/>
    <w:rsid w:val="00C336CB"/>
    <w:rsid w:val="00C45896"/>
    <w:rsid w:val="00C45BBD"/>
    <w:rsid w:val="00C461D3"/>
    <w:rsid w:val="00C510B1"/>
    <w:rsid w:val="00C62C9E"/>
    <w:rsid w:val="00C63F25"/>
    <w:rsid w:val="00C661D3"/>
    <w:rsid w:val="00C82F2A"/>
    <w:rsid w:val="00C90B33"/>
    <w:rsid w:val="00C961DB"/>
    <w:rsid w:val="00CA2392"/>
    <w:rsid w:val="00CB304C"/>
    <w:rsid w:val="00CB63F9"/>
    <w:rsid w:val="00CC7B50"/>
    <w:rsid w:val="00CD0813"/>
    <w:rsid w:val="00CD5E73"/>
    <w:rsid w:val="00CE56B7"/>
    <w:rsid w:val="00CF17D8"/>
    <w:rsid w:val="00CF2962"/>
    <w:rsid w:val="00D0316A"/>
    <w:rsid w:val="00D11ED2"/>
    <w:rsid w:val="00D1448E"/>
    <w:rsid w:val="00D15554"/>
    <w:rsid w:val="00D40AE8"/>
    <w:rsid w:val="00D435BC"/>
    <w:rsid w:val="00D43B1B"/>
    <w:rsid w:val="00D532DF"/>
    <w:rsid w:val="00D653F1"/>
    <w:rsid w:val="00D9074C"/>
    <w:rsid w:val="00D90D1F"/>
    <w:rsid w:val="00DA6131"/>
    <w:rsid w:val="00DB1465"/>
    <w:rsid w:val="00DC59A1"/>
    <w:rsid w:val="00DD030A"/>
    <w:rsid w:val="00DD413F"/>
    <w:rsid w:val="00DD43F4"/>
    <w:rsid w:val="00DD7A34"/>
    <w:rsid w:val="00DE1729"/>
    <w:rsid w:val="00DE3BD1"/>
    <w:rsid w:val="00E0070F"/>
    <w:rsid w:val="00E01A59"/>
    <w:rsid w:val="00E22B07"/>
    <w:rsid w:val="00E24D25"/>
    <w:rsid w:val="00E3286A"/>
    <w:rsid w:val="00E409C5"/>
    <w:rsid w:val="00E40FEF"/>
    <w:rsid w:val="00E428C8"/>
    <w:rsid w:val="00E51623"/>
    <w:rsid w:val="00E51726"/>
    <w:rsid w:val="00E57717"/>
    <w:rsid w:val="00E639EA"/>
    <w:rsid w:val="00E65902"/>
    <w:rsid w:val="00E74076"/>
    <w:rsid w:val="00E8607E"/>
    <w:rsid w:val="00E912FC"/>
    <w:rsid w:val="00E93D5C"/>
    <w:rsid w:val="00EB1907"/>
    <w:rsid w:val="00EB1CAD"/>
    <w:rsid w:val="00EB6F7D"/>
    <w:rsid w:val="00EC0A52"/>
    <w:rsid w:val="00EC2A28"/>
    <w:rsid w:val="00ED339B"/>
    <w:rsid w:val="00ED38B6"/>
    <w:rsid w:val="00EE5BDF"/>
    <w:rsid w:val="00F11A68"/>
    <w:rsid w:val="00F1326B"/>
    <w:rsid w:val="00F43063"/>
    <w:rsid w:val="00F50FA7"/>
    <w:rsid w:val="00F547C9"/>
    <w:rsid w:val="00F71189"/>
    <w:rsid w:val="00F71F53"/>
    <w:rsid w:val="00F81ECC"/>
    <w:rsid w:val="00F836DC"/>
    <w:rsid w:val="00F95140"/>
    <w:rsid w:val="00FA2199"/>
    <w:rsid w:val="00FB6D35"/>
    <w:rsid w:val="00FC53F6"/>
    <w:rsid w:val="00FD0CF1"/>
    <w:rsid w:val="00FD13D9"/>
    <w:rsid w:val="00FD71E2"/>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A8A43-3E6F-43DB-9656-627A4136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2012-09-14T15:37:00Z</cp:lastPrinted>
  <dcterms:created xsi:type="dcterms:W3CDTF">2012-09-27T17:47:00Z</dcterms:created>
  <dcterms:modified xsi:type="dcterms:W3CDTF">2012-09-27T17:47:00Z</dcterms:modified>
</cp:coreProperties>
</file>