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6E6" w:rsidRDefault="00D356E6" w:rsidP="00D356E6">
      <w:pPr>
        <w:spacing w:line="240" w:lineRule="auto"/>
        <w:rPr>
          <w:b/>
        </w:rPr>
      </w:pPr>
      <w:r>
        <w:rPr>
          <w:b/>
        </w:rPr>
        <w:t>BEFORE THE</w:t>
      </w:r>
    </w:p>
    <w:p w:rsidR="00D356E6" w:rsidRDefault="00D356E6" w:rsidP="00D356E6">
      <w:pPr>
        <w:spacing w:line="240" w:lineRule="auto"/>
        <w:rPr>
          <w:b/>
        </w:rPr>
      </w:pPr>
      <w:r>
        <w:rPr>
          <w:b/>
        </w:rPr>
        <w:t>PENNSYLVANIA PUBLIC UTILITY COMMISSION</w:t>
      </w:r>
    </w:p>
    <w:p w:rsidR="00D356E6" w:rsidRDefault="00D356E6" w:rsidP="00D356E6">
      <w:pPr>
        <w:spacing w:line="240" w:lineRule="auto"/>
        <w:rPr>
          <w:b/>
        </w:rPr>
      </w:pPr>
    </w:p>
    <w:p w:rsidR="00D356E6" w:rsidRDefault="00D356E6" w:rsidP="00D356E6">
      <w:pPr>
        <w:spacing w:line="240" w:lineRule="auto"/>
        <w:jc w:val="left"/>
      </w:pPr>
    </w:p>
    <w:p w:rsidR="00D356E6" w:rsidRDefault="00D356E6" w:rsidP="00D356E6">
      <w:pPr>
        <w:spacing w:line="240" w:lineRule="auto"/>
        <w:jc w:val="left"/>
      </w:pPr>
      <w:r>
        <w:t>Gregory Harris</w:t>
      </w:r>
      <w:r>
        <w:tab/>
      </w:r>
      <w:r>
        <w:tab/>
      </w:r>
      <w:r>
        <w:tab/>
      </w:r>
      <w:bookmarkStart w:id="0" w:name="_GoBack"/>
      <w:bookmarkEnd w:id="0"/>
      <w:r>
        <w:tab/>
        <w:t>:</w:t>
      </w:r>
    </w:p>
    <w:p w:rsidR="00D356E6" w:rsidRDefault="00D356E6" w:rsidP="00D356E6">
      <w:pPr>
        <w:spacing w:line="240" w:lineRule="auto"/>
        <w:jc w:val="left"/>
      </w:pPr>
      <w:r>
        <w:tab/>
      </w:r>
      <w:r>
        <w:tab/>
      </w:r>
      <w:r>
        <w:tab/>
      </w:r>
      <w:r>
        <w:tab/>
      </w:r>
      <w:r>
        <w:tab/>
      </w:r>
      <w:r>
        <w:tab/>
        <w:t>:</w:t>
      </w:r>
    </w:p>
    <w:p w:rsidR="00D356E6" w:rsidRDefault="00D356E6" w:rsidP="00D356E6">
      <w:pPr>
        <w:spacing w:line="240" w:lineRule="auto"/>
        <w:jc w:val="left"/>
      </w:pPr>
      <w:r>
        <w:tab/>
        <w:t>v.</w:t>
      </w:r>
      <w:r>
        <w:tab/>
      </w:r>
      <w:r>
        <w:tab/>
      </w:r>
      <w:r>
        <w:tab/>
      </w:r>
      <w:r>
        <w:tab/>
      </w:r>
      <w:r>
        <w:tab/>
        <w:t>:</w:t>
      </w:r>
      <w:r>
        <w:tab/>
      </w:r>
      <w:r>
        <w:tab/>
      </w:r>
      <w:r>
        <w:tab/>
      </w:r>
      <w:r>
        <w:tab/>
        <w:t>C-2012-2287515</w:t>
      </w:r>
    </w:p>
    <w:p w:rsidR="00D356E6" w:rsidRDefault="00D356E6" w:rsidP="00D356E6">
      <w:pPr>
        <w:spacing w:line="240" w:lineRule="auto"/>
        <w:jc w:val="left"/>
      </w:pPr>
      <w:r>
        <w:tab/>
      </w:r>
      <w:r>
        <w:tab/>
      </w:r>
      <w:r>
        <w:tab/>
      </w:r>
      <w:r>
        <w:tab/>
      </w:r>
      <w:r>
        <w:tab/>
      </w:r>
      <w:r>
        <w:tab/>
        <w:t>:</w:t>
      </w:r>
    </w:p>
    <w:p w:rsidR="00D356E6" w:rsidRDefault="00D356E6" w:rsidP="00D356E6">
      <w:pPr>
        <w:spacing w:line="240" w:lineRule="auto"/>
        <w:jc w:val="left"/>
      </w:pPr>
      <w:r>
        <w:t>PPL Electric Utilities Corporation</w:t>
      </w:r>
      <w:r>
        <w:tab/>
      </w:r>
      <w:r>
        <w:tab/>
        <w:t>:</w:t>
      </w:r>
    </w:p>
    <w:p w:rsidR="00D356E6" w:rsidRDefault="00D356E6" w:rsidP="00D356E6">
      <w:pPr>
        <w:spacing w:line="240" w:lineRule="auto"/>
        <w:jc w:val="left"/>
      </w:pPr>
    </w:p>
    <w:p w:rsidR="00D356E6" w:rsidRDefault="00D356E6" w:rsidP="00D356E6">
      <w:pPr>
        <w:spacing w:line="240" w:lineRule="auto"/>
        <w:jc w:val="left"/>
      </w:pPr>
    </w:p>
    <w:p w:rsidR="00D356E6" w:rsidRDefault="00D356E6" w:rsidP="00D356E6">
      <w:pPr>
        <w:spacing w:line="240" w:lineRule="auto"/>
        <w:jc w:val="left"/>
      </w:pPr>
    </w:p>
    <w:p w:rsidR="00D356E6" w:rsidRDefault="00D356E6" w:rsidP="00D356E6">
      <w:pPr>
        <w:spacing w:line="240" w:lineRule="auto"/>
        <w:rPr>
          <w:b/>
        </w:rPr>
      </w:pPr>
      <w:r>
        <w:rPr>
          <w:b/>
        </w:rPr>
        <w:t>ORDER SUSPENDING PROCEDURAL SCHEDULE</w:t>
      </w:r>
    </w:p>
    <w:p w:rsidR="00D356E6" w:rsidRDefault="00D356E6" w:rsidP="00D356E6">
      <w:pPr>
        <w:spacing w:line="240" w:lineRule="auto"/>
        <w:rPr>
          <w:b/>
        </w:rPr>
      </w:pPr>
      <w:r>
        <w:rPr>
          <w:b/>
        </w:rPr>
        <w:t>Fourth Prehearing Order</w:t>
      </w:r>
    </w:p>
    <w:p w:rsidR="00D356E6" w:rsidRPr="00DE4280" w:rsidRDefault="00D356E6" w:rsidP="00D356E6">
      <w:pPr>
        <w:spacing w:line="240" w:lineRule="auto"/>
        <w:rPr>
          <w:b/>
        </w:rPr>
      </w:pPr>
    </w:p>
    <w:p w:rsidR="00D356E6" w:rsidRDefault="00D356E6" w:rsidP="00D356E6">
      <w:pPr>
        <w:spacing w:line="240" w:lineRule="auto"/>
        <w:jc w:val="left"/>
      </w:pPr>
    </w:p>
    <w:p w:rsidR="00D356E6" w:rsidRDefault="00D356E6" w:rsidP="00D356E6">
      <w:pPr>
        <w:jc w:val="left"/>
      </w:pPr>
      <w:r>
        <w:tab/>
      </w:r>
      <w:r>
        <w:tab/>
        <w:t>On February 7, 2012, Gregory Harris (Complainant) filed a formal Complaint against PPL Electric Utilities Corporation (PPL or Respondent or Company) alleging that PPL has offered an inadequate amount of money for an additional 25 feet of property compared to the land purchased from a former PPL employee neighbor, and that the electromagnetic fields emanating from the transmission line on Complainant's property is the cause of his colon cancer.  He alleges that PPL's plan will place his family's health at risk.</w:t>
      </w:r>
    </w:p>
    <w:p w:rsidR="00D356E6" w:rsidRDefault="00D356E6" w:rsidP="00D356E6">
      <w:pPr>
        <w:jc w:val="left"/>
      </w:pPr>
    </w:p>
    <w:p w:rsidR="00D356E6" w:rsidRDefault="00D356E6" w:rsidP="00D356E6">
      <w:pPr>
        <w:jc w:val="left"/>
      </w:pPr>
      <w:r>
        <w:tab/>
      </w:r>
      <w:r>
        <w:tab/>
        <w:t xml:space="preserve">On February 29, 2012, Respondent filed its Answer admitting that it had an easement over Complainant's property which contained one three-conductor 69 kV transmission circuit supported by two wood poles and one lattice tower.   The Answer admitted further that the planned upgrade had been the subject of two Commission proceedings:  </w:t>
      </w:r>
      <w:r>
        <w:rPr>
          <w:i/>
        </w:rPr>
        <w:t xml:space="preserve">Letter of Notification of PPL Electric Utilities Corporation, Filed Pursuant to 52 Pa. Code Chapter 47 Subchapter G, With Respect to the </w:t>
      </w:r>
      <w:proofErr w:type="spellStart"/>
      <w:r>
        <w:rPr>
          <w:i/>
        </w:rPr>
        <w:t>Copperstone</w:t>
      </w:r>
      <w:proofErr w:type="spellEnd"/>
      <w:r>
        <w:rPr>
          <w:i/>
        </w:rPr>
        <w:t xml:space="preserve"> – Harrisburg #1 and #2 138/69 kV Transmission Line in South Hanover and Lower Paxton Townships, Dauphin County, Pennsylvania (Letter of Notification or LON) </w:t>
      </w:r>
      <w:r w:rsidRPr="00A11FAD">
        <w:t>at Docket No.</w:t>
      </w:r>
      <w:r>
        <w:t xml:space="preserve"> A-2010-2149604 (Order entered July 21, 2010), and the siting of a substation related to the LON, </w:t>
      </w:r>
      <w:r>
        <w:rPr>
          <w:i/>
        </w:rPr>
        <w:t xml:space="preserve">Petition of PPL Electric Utilities for a Finding that a building to shelter Control Equipment at the </w:t>
      </w:r>
      <w:proofErr w:type="spellStart"/>
      <w:r>
        <w:rPr>
          <w:i/>
        </w:rPr>
        <w:t>Copperstone</w:t>
      </w:r>
      <w:proofErr w:type="spellEnd"/>
      <w:r>
        <w:rPr>
          <w:i/>
        </w:rPr>
        <w:t xml:space="preserve"> 230-69 kV Substation to be constructed in South Hanover Township, Dauphin County, Pennsylvania is reasonably necessary for the convenience or welfare of the public,</w:t>
      </w:r>
      <w:r>
        <w:t xml:space="preserve"> Docket No. P-2010-2159610 (Order entered July 30, 2010).  </w:t>
      </w:r>
    </w:p>
    <w:p w:rsidR="00D356E6" w:rsidRDefault="00D356E6" w:rsidP="00D356E6">
      <w:pPr>
        <w:jc w:val="left"/>
      </w:pPr>
    </w:p>
    <w:p w:rsidR="00D356E6" w:rsidRDefault="00D356E6" w:rsidP="00D356E6">
      <w:pPr>
        <w:jc w:val="left"/>
      </w:pPr>
      <w:r>
        <w:lastRenderedPageBreak/>
        <w:tab/>
      </w:r>
      <w:r>
        <w:tab/>
        <w:t xml:space="preserve">The Answer acknowledged that the new transmission line would cross the Complainant's property and that the existing transmission line would remain on the Complainant's property.  The Complainant was served with the appropriate notices and neither proceeding was protested by the Complainant or anyone else.  The Company negotiated for an additional 25 feet of property for the right-of-way, and when its offer was rejected, the utility was required to use shorter spans between the poles, thus resulting in two additional poles on Complainant's property.  The neighbor who was referenced in the Complaint was offered more money because the size of the right-of-way needed was more than double the size needed from Complainant; it was new right-of-way; and, it was closer to the neighbor's house.  The Company denies that any significant impact on the value of the land has resulted from its actions.  </w:t>
      </w:r>
    </w:p>
    <w:p w:rsidR="00D356E6" w:rsidRDefault="00D356E6" w:rsidP="00D356E6">
      <w:pPr>
        <w:jc w:val="left"/>
      </w:pPr>
    </w:p>
    <w:p w:rsidR="00D356E6" w:rsidRDefault="00D356E6" w:rsidP="00D356E6">
      <w:pPr>
        <w:jc w:val="left"/>
      </w:pPr>
      <w:r>
        <w:tab/>
      </w:r>
      <w:r>
        <w:tab/>
        <w:t xml:space="preserve">Finally, the Company denies that its facilities caused or contributed to the Complainant's cancer and that there is no reliable scientific basis to conclude that exposure to EMFs from electric power lines causes or contributes to adverse health effects in people. </w:t>
      </w:r>
    </w:p>
    <w:p w:rsidR="00D356E6" w:rsidRDefault="00D356E6" w:rsidP="00D356E6">
      <w:pPr>
        <w:jc w:val="left"/>
      </w:pPr>
    </w:p>
    <w:p w:rsidR="00D356E6" w:rsidRDefault="00D356E6" w:rsidP="00D356E6">
      <w:pPr>
        <w:jc w:val="left"/>
      </w:pPr>
      <w:r>
        <w:tab/>
      </w:r>
      <w:r>
        <w:tab/>
        <w:t xml:space="preserve">By Hearing Notice issued April 11, 2012, an initial hearing was scheduled for Tuesday, May 15, 2012 and the matter was assigned to me.  I issued a Prehearing Order on April 11, 2012, which set forth some of the procedural requirements for a formal proceeding before the Commission.  </w:t>
      </w:r>
    </w:p>
    <w:p w:rsidR="00D356E6" w:rsidRDefault="00D356E6" w:rsidP="00D356E6">
      <w:pPr>
        <w:jc w:val="left"/>
      </w:pPr>
    </w:p>
    <w:p w:rsidR="00D356E6" w:rsidRDefault="00D356E6" w:rsidP="00D356E6">
      <w:pPr>
        <w:jc w:val="left"/>
      </w:pPr>
      <w:r>
        <w:tab/>
      </w:r>
      <w:r>
        <w:tab/>
        <w:t xml:space="preserve">On April 19, 2012, Respondent filed a Request for Relief, seeking conversion of the formal hearing to a prehearing conference.  The request was granted, and by notice issued April 24, 2012, the hearing was rescheduled as a prehearing conference to be held on Tuesday, May 22, 2012.  </w:t>
      </w:r>
    </w:p>
    <w:p w:rsidR="00D356E6" w:rsidRDefault="00D356E6" w:rsidP="00D356E6">
      <w:pPr>
        <w:jc w:val="left"/>
      </w:pPr>
    </w:p>
    <w:p w:rsidR="00D356E6" w:rsidRDefault="00D356E6" w:rsidP="00D356E6">
      <w:pPr>
        <w:jc w:val="left"/>
      </w:pPr>
      <w:r>
        <w:tab/>
      </w:r>
      <w:r>
        <w:tab/>
        <w:t xml:space="preserve">The prehearing conference was held as scheduled.  Complainant and his wife, Barb Harris, appeared on his behalf, and PPL was represented by John H. Isom, Esq., and Jessica Rogers, Esq.  The parties agreed upon a schedule which was adopted by Scheduling Order issued </w:t>
      </w:r>
    </w:p>
    <w:p w:rsidR="00D356E6" w:rsidRDefault="00D356E6" w:rsidP="00D356E6">
      <w:pPr>
        <w:jc w:val="left"/>
      </w:pPr>
      <w:r>
        <w:t xml:space="preserve">May 22, 2012, </w:t>
      </w:r>
      <w:r w:rsidR="004A6709">
        <w:t>and</w:t>
      </w:r>
      <w:r>
        <w:t xml:space="preserve"> included a July 5, 2012, site view at Complainant's property.</w:t>
      </w:r>
    </w:p>
    <w:p w:rsidR="00D356E6" w:rsidRDefault="00D356E6" w:rsidP="00D356E6">
      <w:pPr>
        <w:jc w:val="left"/>
      </w:pPr>
    </w:p>
    <w:p w:rsidR="00D356E6" w:rsidRDefault="00D356E6" w:rsidP="00D356E6">
      <w:pPr>
        <w:jc w:val="left"/>
      </w:pPr>
      <w:r>
        <w:lastRenderedPageBreak/>
        <w:tab/>
      </w:r>
      <w:r>
        <w:tab/>
        <w:t>Prior to July 5, 2012, Complainant asked that the site view be postponed because the field in question had not been mowed.  The litigation schedule was suspended pending the parties' further negotiations.</w:t>
      </w:r>
    </w:p>
    <w:p w:rsidR="00D356E6" w:rsidRDefault="00D356E6" w:rsidP="00D356E6">
      <w:pPr>
        <w:jc w:val="left"/>
      </w:pPr>
    </w:p>
    <w:p w:rsidR="00D356E6" w:rsidRDefault="00D356E6" w:rsidP="00D356E6">
      <w:pPr>
        <w:jc w:val="left"/>
      </w:pPr>
      <w:r>
        <w:tab/>
      </w:r>
      <w:r>
        <w:tab/>
        <w:t>On September 10, 2012, counsel for the Respondent notified me by email that the parties had been unable to reach an amicable resolution and agreed that the litigation schedule should be reinstated.  The original schedule was no longer feasible and was revised in the Second Scheduling Order issued September 11, 2012.</w:t>
      </w:r>
    </w:p>
    <w:p w:rsidR="00D356E6" w:rsidRDefault="00D356E6" w:rsidP="00D356E6">
      <w:pPr>
        <w:jc w:val="left"/>
      </w:pPr>
    </w:p>
    <w:p w:rsidR="00D356E6" w:rsidRDefault="00D356E6" w:rsidP="00D356E6">
      <w:pPr>
        <w:jc w:val="left"/>
      </w:pPr>
      <w:r>
        <w:tab/>
      </w:r>
      <w:r>
        <w:tab/>
        <w:t>On October 4, 2012, Company counsel contacted me and requested suspension of the procedural schedule to permit the preparation and filing of a certificate of satisfaction.  As counsel indicated that the Complainant agreed, there is no opposition to this request, and it is granted.</w:t>
      </w:r>
    </w:p>
    <w:p w:rsidR="00D356E6" w:rsidRDefault="00D356E6" w:rsidP="00D356E6">
      <w:pPr>
        <w:jc w:val="left"/>
      </w:pPr>
    </w:p>
    <w:p w:rsidR="00D356E6" w:rsidRDefault="00D356E6" w:rsidP="00D356E6">
      <w:pPr>
        <w:jc w:val="left"/>
      </w:pPr>
      <w:r>
        <w:tab/>
      </w:r>
      <w:r>
        <w:tab/>
        <w:t>THEREFORE,</w:t>
      </w:r>
    </w:p>
    <w:p w:rsidR="00D356E6" w:rsidRDefault="00D356E6" w:rsidP="00D356E6">
      <w:pPr>
        <w:jc w:val="left"/>
      </w:pPr>
    </w:p>
    <w:p w:rsidR="00D356E6" w:rsidRDefault="00D356E6" w:rsidP="00D356E6">
      <w:pPr>
        <w:jc w:val="left"/>
      </w:pPr>
      <w:r>
        <w:tab/>
      </w:r>
      <w:r>
        <w:tab/>
        <w:t>IT IS ORDERED:</w:t>
      </w:r>
    </w:p>
    <w:p w:rsidR="00D356E6" w:rsidRPr="008E738F" w:rsidRDefault="00D356E6" w:rsidP="00D356E6">
      <w:pPr>
        <w:jc w:val="left"/>
      </w:pPr>
    </w:p>
    <w:p w:rsidR="00D356E6" w:rsidRDefault="00D356E6" w:rsidP="00D356E6">
      <w:pPr>
        <w:jc w:val="left"/>
      </w:pPr>
      <w:r>
        <w:rPr>
          <w:b/>
        </w:rPr>
        <w:tab/>
      </w:r>
      <w:r>
        <w:rPr>
          <w:b/>
        </w:rPr>
        <w:tab/>
      </w:r>
      <w:r w:rsidRPr="00931E8A">
        <w:t>1.</w:t>
      </w:r>
      <w:r>
        <w:tab/>
        <w:t>That the litigation schedule adopted in the Order of September 11, 2012, is suspended.</w:t>
      </w:r>
    </w:p>
    <w:p w:rsidR="00D356E6" w:rsidRDefault="00D356E6" w:rsidP="00D356E6">
      <w:pPr>
        <w:jc w:val="left"/>
      </w:pPr>
    </w:p>
    <w:p w:rsidR="00D356E6" w:rsidRDefault="00D356E6" w:rsidP="00D356E6">
      <w:pPr>
        <w:jc w:val="left"/>
      </w:pPr>
      <w:r>
        <w:tab/>
      </w:r>
      <w:r>
        <w:tab/>
        <w:t>2.</w:t>
      </w:r>
      <w:r>
        <w:tab/>
        <w:t>That a new litigation schedule will be imposed if a certificate of satisfaction is not filed with the Secretary and served on me within thirty days of the date of this Order.</w:t>
      </w:r>
    </w:p>
    <w:p w:rsidR="00D356E6" w:rsidRDefault="00D356E6" w:rsidP="00D356E6">
      <w:pPr>
        <w:jc w:val="left"/>
      </w:pPr>
      <w:r>
        <w:tab/>
      </w:r>
      <w:r>
        <w:tab/>
      </w:r>
    </w:p>
    <w:p w:rsidR="00D356E6" w:rsidRDefault="00D356E6" w:rsidP="00D356E6">
      <w:pPr>
        <w:contextualSpacing/>
        <w:jc w:val="left"/>
      </w:pPr>
    </w:p>
    <w:p w:rsidR="00D356E6" w:rsidRDefault="00D356E6" w:rsidP="00D356E6">
      <w:pPr>
        <w:spacing w:line="240" w:lineRule="auto"/>
        <w:contextualSpacing/>
        <w:jc w:val="left"/>
      </w:pPr>
      <w:r>
        <w:t>Dated:</w:t>
      </w:r>
      <w:r>
        <w:tab/>
      </w:r>
      <w:r w:rsidRPr="00D356E6">
        <w:rPr>
          <w:u w:val="single"/>
        </w:rPr>
        <w:t>Octob</w:t>
      </w:r>
      <w:r>
        <w:rPr>
          <w:u w:val="single"/>
        </w:rPr>
        <w:t>er 4, 2012</w:t>
      </w:r>
      <w:r>
        <w:tab/>
      </w:r>
      <w:r>
        <w:tab/>
      </w:r>
      <w:r>
        <w:tab/>
      </w:r>
      <w:r>
        <w:tab/>
      </w:r>
      <w:r>
        <w:tab/>
        <w:t>_____________________________</w:t>
      </w:r>
    </w:p>
    <w:p w:rsidR="00D356E6" w:rsidRDefault="00D356E6" w:rsidP="00D356E6">
      <w:pPr>
        <w:spacing w:line="240" w:lineRule="auto"/>
        <w:contextualSpacing/>
        <w:jc w:val="left"/>
      </w:pPr>
      <w:r>
        <w:tab/>
      </w:r>
      <w:r>
        <w:tab/>
      </w:r>
      <w:r>
        <w:tab/>
      </w:r>
      <w:r>
        <w:tab/>
      </w:r>
      <w:r>
        <w:tab/>
      </w:r>
      <w:r>
        <w:tab/>
      </w:r>
      <w:r>
        <w:tab/>
      </w:r>
      <w:r>
        <w:tab/>
        <w:t>Susan D. Colwell</w:t>
      </w:r>
    </w:p>
    <w:p w:rsidR="00D356E6" w:rsidRPr="00654B54" w:rsidRDefault="00D356E6" w:rsidP="00D356E6">
      <w:pPr>
        <w:spacing w:line="240" w:lineRule="auto"/>
        <w:contextualSpacing/>
        <w:jc w:val="left"/>
      </w:pPr>
      <w:r>
        <w:tab/>
      </w:r>
      <w:r>
        <w:tab/>
      </w:r>
      <w:r>
        <w:tab/>
      </w:r>
      <w:r>
        <w:tab/>
      </w:r>
      <w:r>
        <w:tab/>
      </w:r>
      <w:r>
        <w:tab/>
      </w:r>
      <w:r>
        <w:tab/>
      </w:r>
      <w:r>
        <w:tab/>
        <w:t>Administrative Law Judge</w:t>
      </w:r>
    </w:p>
    <w:sectPr w:rsidR="00D356E6" w:rsidRPr="00654B54" w:rsidSect="00D356E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517" w:rsidRDefault="00047517" w:rsidP="00D356E6">
      <w:pPr>
        <w:spacing w:line="240" w:lineRule="auto"/>
      </w:pPr>
      <w:r>
        <w:separator/>
      </w:r>
    </w:p>
  </w:endnote>
  <w:endnote w:type="continuationSeparator" w:id="0">
    <w:p w:rsidR="00047517" w:rsidRDefault="00047517" w:rsidP="00D35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286764"/>
      <w:docPartObj>
        <w:docPartGallery w:val="Page Numbers (Bottom of Page)"/>
        <w:docPartUnique/>
      </w:docPartObj>
    </w:sdtPr>
    <w:sdtEndPr>
      <w:rPr>
        <w:noProof/>
      </w:rPr>
    </w:sdtEndPr>
    <w:sdtContent>
      <w:p w:rsidR="00D356E6" w:rsidRDefault="00D356E6">
        <w:pPr>
          <w:pStyle w:val="Footer"/>
        </w:pPr>
        <w:r>
          <w:fldChar w:fldCharType="begin"/>
        </w:r>
        <w:r>
          <w:instrText xml:space="preserve"> PAGE   \* MERGEFORMAT </w:instrText>
        </w:r>
        <w:r>
          <w:fldChar w:fldCharType="separate"/>
        </w:r>
        <w:r w:rsidR="00593E00">
          <w:rPr>
            <w:noProof/>
          </w:rPr>
          <w:t>3</w:t>
        </w:r>
        <w:r>
          <w:rPr>
            <w:noProof/>
          </w:rPr>
          <w:fldChar w:fldCharType="end"/>
        </w:r>
      </w:p>
    </w:sdtContent>
  </w:sdt>
  <w:p w:rsidR="00D356E6" w:rsidRDefault="00D35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517" w:rsidRDefault="00047517" w:rsidP="00D356E6">
      <w:pPr>
        <w:spacing w:line="240" w:lineRule="auto"/>
      </w:pPr>
      <w:r>
        <w:separator/>
      </w:r>
    </w:p>
  </w:footnote>
  <w:footnote w:type="continuationSeparator" w:id="0">
    <w:p w:rsidR="00047517" w:rsidRDefault="00047517" w:rsidP="00D356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E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517"/>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6709"/>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E00"/>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0A0"/>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1920"/>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56E6"/>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6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6E6"/>
    <w:rPr>
      <w:color w:val="0000FF"/>
      <w:u w:val="single"/>
    </w:rPr>
  </w:style>
  <w:style w:type="paragraph" w:styleId="Header">
    <w:name w:val="header"/>
    <w:basedOn w:val="Normal"/>
    <w:link w:val="HeaderChar"/>
    <w:uiPriority w:val="99"/>
    <w:unhideWhenUsed/>
    <w:rsid w:val="00D356E6"/>
    <w:pPr>
      <w:tabs>
        <w:tab w:val="center" w:pos="4680"/>
        <w:tab w:val="right" w:pos="9360"/>
      </w:tabs>
      <w:spacing w:line="240" w:lineRule="auto"/>
    </w:pPr>
  </w:style>
  <w:style w:type="character" w:customStyle="1" w:styleId="HeaderChar">
    <w:name w:val="Header Char"/>
    <w:basedOn w:val="DefaultParagraphFont"/>
    <w:link w:val="Header"/>
    <w:uiPriority w:val="99"/>
    <w:rsid w:val="00D356E6"/>
  </w:style>
  <w:style w:type="paragraph" w:styleId="Footer">
    <w:name w:val="footer"/>
    <w:basedOn w:val="Normal"/>
    <w:link w:val="FooterChar"/>
    <w:uiPriority w:val="99"/>
    <w:unhideWhenUsed/>
    <w:rsid w:val="00D356E6"/>
    <w:pPr>
      <w:tabs>
        <w:tab w:val="center" w:pos="4680"/>
        <w:tab w:val="right" w:pos="9360"/>
      </w:tabs>
      <w:spacing w:line="240" w:lineRule="auto"/>
    </w:pPr>
  </w:style>
  <w:style w:type="character" w:customStyle="1" w:styleId="FooterChar">
    <w:name w:val="Footer Char"/>
    <w:basedOn w:val="DefaultParagraphFont"/>
    <w:link w:val="Footer"/>
    <w:uiPriority w:val="99"/>
    <w:rsid w:val="00D356E6"/>
  </w:style>
  <w:style w:type="paragraph" w:styleId="BalloonText">
    <w:name w:val="Balloon Text"/>
    <w:basedOn w:val="Normal"/>
    <w:link w:val="BalloonTextChar"/>
    <w:uiPriority w:val="99"/>
    <w:semiHidden/>
    <w:unhideWhenUsed/>
    <w:rsid w:val="004A67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6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6E6"/>
    <w:rPr>
      <w:color w:val="0000FF"/>
      <w:u w:val="single"/>
    </w:rPr>
  </w:style>
  <w:style w:type="paragraph" w:styleId="Header">
    <w:name w:val="header"/>
    <w:basedOn w:val="Normal"/>
    <w:link w:val="HeaderChar"/>
    <w:uiPriority w:val="99"/>
    <w:unhideWhenUsed/>
    <w:rsid w:val="00D356E6"/>
    <w:pPr>
      <w:tabs>
        <w:tab w:val="center" w:pos="4680"/>
        <w:tab w:val="right" w:pos="9360"/>
      </w:tabs>
      <w:spacing w:line="240" w:lineRule="auto"/>
    </w:pPr>
  </w:style>
  <w:style w:type="character" w:customStyle="1" w:styleId="HeaderChar">
    <w:name w:val="Header Char"/>
    <w:basedOn w:val="DefaultParagraphFont"/>
    <w:link w:val="Header"/>
    <w:uiPriority w:val="99"/>
    <w:rsid w:val="00D356E6"/>
  </w:style>
  <w:style w:type="paragraph" w:styleId="Footer">
    <w:name w:val="footer"/>
    <w:basedOn w:val="Normal"/>
    <w:link w:val="FooterChar"/>
    <w:uiPriority w:val="99"/>
    <w:unhideWhenUsed/>
    <w:rsid w:val="00D356E6"/>
    <w:pPr>
      <w:tabs>
        <w:tab w:val="center" w:pos="4680"/>
        <w:tab w:val="right" w:pos="9360"/>
      </w:tabs>
      <w:spacing w:line="240" w:lineRule="auto"/>
    </w:pPr>
  </w:style>
  <w:style w:type="character" w:customStyle="1" w:styleId="FooterChar">
    <w:name w:val="Footer Char"/>
    <w:basedOn w:val="DefaultParagraphFont"/>
    <w:link w:val="Footer"/>
    <w:uiPriority w:val="99"/>
    <w:rsid w:val="00D356E6"/>
  </w:style>
  <w:style w:type="paragraph" w:styleId="BalloonText">
    <w:name w:val="Balloon Text"/>
    <w:basedOn w:val="Normal"/>
    <w:link w:val="BalloonTextChar"/>
    <w:uiPriority w:val="99"/>
    <w:semiHidden/>
    <w:unhideWhenUsed/>
    <w:rsid w:val="004A67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2012-10-04T13:28:00Z</cp:lastPrinted>
  <dcterms:created xsi:type="dcterms:W3CDTF">2012-10-04T15:08:00Z</dcterms:created>
  <dcterms:modified xsi:type="dcterms:W3CDTF">2012-10-04T15:08:00Z</dcterms:modified>
</cp:coreProperties>
</file>