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FD" w:rsidRDefault="009F33FD" w:rsidP="009415A6">
      <w:pPr>
        <w:tabs>
          <w:tab w:val="left" w:pos="0"/>
        </w:tabs>
        <w:spacing w:after="0" w:line="240" w:lineRule="auto"/>
        <w:jc w:val="center"/>
        <w:rPr>
          <w:b/>
        </w:rPr>
      </w:pPr>
      <w:r>
        <w:rPr>
          <w:b/>
        </w:rPr>
        <w:t>BEFORE THE</w:t>
      </w:r>
    </w:p>
    <w:p w:rsidR="009415A6" w:rsidRDefault="009415A6" w:rsidP="009415A6">
      <w:pPr>
        <w:tabs>
          <w:tab w:val="left" w:pos="0"/>
        </w:tabs>
        <w:spacing w:after="0" w:line="240" w:lineRule="auto"/>
        <w:jc w:val="center"/>
        <w:rPr>
          <w:b/>
        </w:rPr>
      </w:pPr>
      <w:r>
        <w:rPr>
          <w:b/>
        </w:rPr>
        <w:t>PENNSYLVANIA PUBLIC UTILITY COMMISSION</w:t>
      </w:r>
    </w:p>
    <w:p w:rsidR="009415A6" w:rsidRDefault="009415A6" w:rsidP="009415A6">
      <w:pPr>
        <w:tabs>
          <w:tab w:val="left" w:pos="0"/>
        </w:tabs>
        <w:spacing w:after="0" w:line="240" w:lineRule="auto"/>
        <w:jc w:val="both"/>
        <w:rPr>
          <w:b/>
        </w:rPr>
      </w:pPr>
    </w:p>
    <w:p w:rsidR="009415A6" w:rsidRDefault="009415A6" w:rsidP="009415A6">
      <w:pPr>
        <w:tabs>
          <w:tab w:val="left" w:pos="0"/>
        </w:tabs>
        <w:spacing w:after="0" w:line="240" w:lineRule="auto"/>
        <w:jc w:val="both"/>
        <w:rPr>
          <w:b/>
        </w:rPr>
      </w:pPr>
    </w:p>
    <w:p w:rsidR="009415A6" w:rsidRDefault="009415A6" w:rsidP="009415A6">
      <w:pPr>
        <w:tabs>
          <w:tab w:val="left" w:pos="0"/>
        </w:tabs>
        <w:spacing w:after="0" w:line="240" w:lineRule="auto"/>
        <w:jc w:val="both"/>
        <w:rPr>
          <w:b/>
        </w:rPr>
      </w:pPr>
    </w:p>
    <w:p w:rsidR="009415A6" w:rsidRDefault="009415A6" w:rsidP="009415A6">
      <w:pPr>
        <w:tabs>
          <w:tab w:val="left" w:pos="0"/>
        </w:tabs>
        <w:spacing w:after="0" w:line="240" w:lineRule="auto"/>
        <w:jc w:val="both"/>
        <w:rPr>
          <w:b/>
        </w:rPr>
      </w:pPr>
      <w:r>
        <w:t>Ken Eernisse</w:t>
      </w:r>
      <w:r>
        <w:tab/>
      </w:r>
      <w:r>
        <w:tab/>
      </w:r>
      <w:r>
        <w:tab/>
      </w:r>
      <w:r>
        <w:tab/>
      </w:r>
      <w:r>
        <w:tab/>
      </w:r>
      <w:r>
        <w:tab/>
      </w:r>
      <w:r w:rsidRPr="00560DC5">
        <w:t>:</w:t>
      </w:r>
      <w:bookmarkStart w:id="0" w:name="_GoBack"/>
      <w:bookmarkEnd w:id="0"/>
    </w:p>
    <w:p w:rsidR="009415A6" w:rsidRPr="00560DC5" w:rsidRDefault="009415A6" w:rsidP="009415A6">
      <w:pPr>
        <w:tabs>
          <w:tab w:val="left" w:pos="0"/>
        </w:tabs>
        <w:spacing w:after="0" w:line="240" w:lineRule="auto"/>
        <w:jc w:val="both"/>
      </w:pPr>
      <w:r>
        <w:rPr>
          <w:b/>
        </w:rPr>
        <w:tab/>
      </w:r>
      <w:r>
        <w:rPr>
          <w:b/>
        </w:rPr>
        <w:tab/>
      </w:r>
      <w:r>
        <w:rPr>
          <w:b/>
        </w:rPr>
        <w:tab/>
      </w:r>
      <w:r>
        <w:rPr>
          <w:b/>
        </w:rPr>
        <w:tab/>
      </w:r>
      <w:r>
        <w:rPr>
          <w:b/>
        </w:rPr>
        <w:tab/>
      </w:r>
      <w:r>
        <w:rPr>
          <w:b/>
        </w:rPr>
        <w:tab/>
      </w:r>
      <w:r>
        <w:rPr>
          <w:b/>
        </w:rPr>
        <w:tab/>
      </w:r>
      <w:r w:rsidRPr="00560DC5">
        <w:t>:</w:t>
      </w:r>
    </w:p>
    <w:p w:rsidR="009415A6" w:rsidRDefault="009415A6" w:rsidP="009415A6">
      <w:pPr>
        <w:tabs>
          <w:tab w:val="left" w:pos="0"/>
        </w:tabs>
        <w:spacing w:after="0" w:line="240" w:lineRule="auto"/>
        <w:jc w:val="both"/>
      </w:pPr>
      <w:r>
        <w:tab/>
        <w:t>v.</w:t>
      </w:r>
      <w:r>
        <w:tab/>
      </w:r>
      <w:r>
        <w:tab/>
      </w:r>
      <w:r>
        <w:tab/>
      </w:r>
      <w:r>
        <w:tab/>
      </w:r>
      <w:r>
        <w:tab/>
      </w:r>
      <w:r>
        <w:tab/>
      </w:r>
      <w:r w:rsidRPr="00560DC5">
        <w:t>:</w:t>
      </w:r>
      <w:r>
        <w:rPr>
          <w:b/>
        </w:rPr>
        <w:tab/>
      </w:r>
      <w:r>
        <w:rPr>
          <w:b/>
        </w:rPr>
        <w:tab/>
      </w:r>
      <w:r>
        <w:t>C-2012-2287023</w:t>
      </w:r>
    </w:p>
    <w:p w:rsidR="009415A6" w:rsidRPr="00560DC5" w:rsidRDefault="009415A6" w:rsidP="009415A6">
      <w:pPr>
        <w:tabs>
          <w:tab w:val="left" w:pos="0"/>
        </w:tabs>
        <w:spacing w:after="0" w:line="240" w:lineRule="auto"/>
        <w:jc w:val="both"/>
      </w:pPr>
      <w:r>
        <w:tab/>
      </w:r>
      <w:r>
        <w:tab/>
      </w:r>
      <w:r>
        <w:tab/>
      </w:r>
      <w:r>
        <w:tab/>
      </w:r>
      <w:r>
        <w:tab/>
      </w:r>
      <w:r>
        <w:tab/>
      </w:r>
      <w:r>
        <w:tab/>
      </w:r>
      <w:r w:rsidRPr="00560DC5">
        <w:t>:</w:t>
      </w:r>
    </w:p>
    <w:p w:rsidR="009415A6" w:rsidRDefault="009415A6" w:rsidP="009415A6">
      <w:pPr>
        <w:tabs>
          <w:tab w:val="left" w:pos="0"/>
        </w:tabs>
        <w:spacing w:after="0" w:line="240" w:lineRule="auto"/>
        <w:jc w:val="both"/>
      </w:pPr>
      <w:r>
        <w:t>Verizon Pennsylvania Inc.</w:t>
      </w:r>
      <w:r>
        <w:tab/>
      </w:r>
      <w:r>
        <w:tab/>
      </w:r>
      <w:r>
        <w:tab/>
      </w:r>
      <w:r>
        <w:tab/>
      </w:r>
      <w:r w:rsidRPr="00560DC5">
        <w:t>:</w:t>
      </w:r>
    </w:p>
    <w:p w:rsidR="009415A6" w:rsidRDefault="009415A6" w:rsidP="009415A6">
      <w:pPr>
        <w:tabs>
          <w:tab w:val="left" w:pos="0"/>
        </w:tabs>
        <w:spacing w:after="0" w:line="240" w:lineRule="auto"/>
        <w:jc w:val="both"/>
      </w:pPr>
    </w:p>
    <w:p w:rsidR="009415A6" w:rsidRDefault="009415A6" w:rsidP="009415A6">
      <w:pPr>
        <w:tabs>
          <w:tab w:val="left" w:pos="0"/>
        </w:tabs>
        <w:spacing w:after="0" w:line="240" w:lineRule="auto"/>
        <w:jc w:val="both"/>
        <w:rPr>
          <w:b/>
        </w:rPr>
      </w:pPr>
    </w:p>
    <w:p w:rsidR="009415A6" w:rsidRDefault="009415A6" w:rsidP="009415A6">
      <w:pPr>
        <w:tabs>
          <w:tab w:val="left" w:pos="0"/>
        </w:tabs>
        <w:spacing w:line="233" w:lineRule="auto"/>
        <w:jc w:val="both"/>
        <w:rPr>
          <w:b/>
        </w:rPr>
      </w:pPr>
    </w:p>
    <w:p w:rsidR="00792796" w:rsidRPr="004E6550" w:rsidRDefault="006C67FF" w:rsidP="00E51511">
      <w:pPr>
        <w:spacing w:after="0" w:line="240" w:lineRule="auto"/>
        <w:jc w:val="center"/>
        <w:rPr>
          <w:b/>
          <w:u w:val="single"/>
        </w:rPr>
      </w:pPr>
      <w:r w:rsidRPr="004E6550">
        <w:rPr>
          <w:b/>
          <w:u w:val="single"/>
        </w:rPr>
        <w:t>INITIAL DECISION</w:t>
      </w:r>
    </w:p>
    <w:p w:rsidR="004E6550" w:rsidRDefault="004E6550" w:rsidP="00E51511">
      <w:pPr>
        <w:spacing w:after="0" w:line="240" w:lineRule="auto"/>
        <w:jc w:val="center"/>
      </w:pPr>
    </w:p>
    <w:p w:rsidR="009F33FD" w:rsidRDefault="009F33FD" w:rsidP="00E51511">
      <w:pPr>
        <w:spacing w:after="0" w:line="240" w:lineRule="auto"/>
        <w:jc w:val="center"/>
      </w:pPr>
    </w:p>
    <w:p w:rsidR="006C67FF" w:rsidRDefault="006C67FF" w:rsidP="00E51511">
      <w:pPr>
        <w:spacing w:after="0" w:line="240" w:lineRule="auto"/>
        <w:jc w:val="center"/>
      </w:pPr>
      <w:r>
        <w:t>Before</w:t>
      </w:r>
    </w:p>
    <w:p w:rsidR="006C67FF" w:rsidRDefault="006C67FF" w:rsidP="00E51511">
      <w:pPr>
        <w:spacing w:after="0" w:line="240" w:lineRule="auto"/>
        <w:jc w:val="center"/>
      </w:pPr>
      <w:r>
        <w:t>Mary D. Long</w:t>
      </w:r>
    </w:p>
    <w:p w:rsidR="006C67FF" w:rsidRDefault="006C67FF" w:rsidP="00E51511">
      <w:pPr>
        <w:spacing w:after="0" w:line="240" w:lineRule="auto"/>
        <w:jc w:val="center"/>
      </w:pPr>
      <w:r>
        <w:t>Administrative Law Judge</w:t>
      </w:r>
    </w:p>
    <w:p w:rsidR="006C67FF" w:rsidRDefault="006C67FF" w:rsidP="00E51511">
      <w:pPr>
        <w:spacing w:after="0"/>
      </w:pPr>
    </w:p>
    <w:p w:rsidR="00D12378" w:rsidRDefault="00D12378" w:rsidP="00E51511">
      <w:pPr>
        <w:spacing w:after="0"/>
        <w:jc w:val="center"/>
        <w:rPr>
          <w:u w:val="single"/>
        </w:rPr>
      </w:pPr>
      <w:r w:rsidRPr="00D12378">
        <w:rPr>
          <w:u w:val="single"/>
        </w:rPr>
        <w:t>INTRODUCTION</w:t>
      </w:r>
    </w:p>
    <w:p w:rsidR="009F33FD" w:rsidRPr="00D12378" w:rsidRDefault="009F33FD" w:rsidP="00E51511">
      <w:pPr>
        <w:spacing w:after="0"/>
        <w:jc w:val="center"/>
        <w:rPr>
          <w:u w:val="single"/>
        </w:rPr>
      </w:pPr>
    </w:p>
    <w:p w:rsidR="009F33FD" w:rsidRDefault="006C67FF" w:rsidP="00E51511">
      <w:pPr>
        <w:spacing w:after="0"/>
      </w:pPr>
      <w:r>
        <w:tab/>
      </w:r>
      <w:r w:rsidR="009F33FD">
        <w:tab/>
      </w:r>
      <w:r w:rsidR="00832245">
        <w:t>The Complainant alleges that Verizon Pennsylvania</w:t>
      </w:r>
      <w:r w:rsidR="00D12378">
        <w:t xml:space="preserve"> Inc. (Verizon)</w:t>
      </w:r>
      <w:r w:rsidR="00832245">
        <w:t xml:space="preserve"> failed to render reasonably continuous service and failed to respond to outage reports with</w:t>
      </w:r>
      <w:r w:rsidR="00115A09">
        <w:t>in</w:t>
      </w:r>
      <w:r w:rsidR="00832245">
        <w:t xml:space="preserve"> the time required by the Commission’s regulations. </w:t>
      </w:r>
      <w:r w:rsidR="00115A09">
        <w:t xml:space="preserve"> </w:t>
      </w:r>
      <w:r w:rsidR="00E02DF6">
        <w:t xml:space="preserve">The Complainant credibly testified that he suffered numerous outages within the last two years which constitute a </w:t>
      </w:r>
      <w:r w:rsidR="00D12378">
        <w:t xml:space="preserve">significant </w:t>
      </w:r>
      <w:r w:rsidR="00E02DF6">
        <w:t>failure by Verizon to maintain adequate facilities.  Moreover, Verizon routinely failed to respond to outage reports in a timely</w:t>
      </w:r>
      <w:r w:rsidR="00D12378">
        <w:t xml:space="preserve"> manner which on one occasion p</w:t>
      </w:r>
      <w:r w:rsidR="00E02DF6">
        <w:t>ut a sick child at risk.  Therefore a</w:t>
      </w:r>
      <w:r w:rsidR="00D12378">
        <w:t>ssessment of a</w:t>
      </w:r>
      <w:r w:rsidR="00E02DF6">
        <w:t xml:space="preserve"> civil penalty is appropriate.</w:t>
      </w:r>
    </w:p>
    <w:p w:rsidR="006C67FF" w:rsidRDefault="00832245" w:rsidP="00E51511">
      <w:pPr>
        <w:spacing w:after="0"/>
      </w:pPr>
      <w:r>
        <w:t xml:space="preserve"> </w:t>
      </w:r>
    </w:p>
    <w:p w:rsidR="006C67FF" w:rsidRDefault="006C67FF" w:rsidP="00E51511">
      <w:pPr>
        <w:spacing w:after="0"/>
        <w:jc w:val="center"/>
        <w:rPr>
          <w:u w:val="single"/>
        </w:rPr>
      </w:pPr>
      <w:r w:rsidRPr="00A3235B">
        <w:rPr>
          <w:u w:val="single"/>
        </w:rPr>
        <w:t>HISTORY OF PROCEEDINGS</w:t>
      </w:r>
    </w:p>
    <w:p w:rsidR="009F33FD" w:rsidRPr="00A3235B" w:rsidRDefault="009F33FD" w:rsidP="00E51511">
      <w:pPr>
        <w:spacing w:after="0"/>
        <w:jc w:val="center"/>
        <w:rPr>
          <w:u w:val="single"/>
        </w:rPr>
      </w:pPr>
    </w:p>
    <w:p w:rsidR="006C67FF" w:rsidRDefault="006C67FF" w:rsidP="00E51511">
      <w:pPr>
        <w:spacing w:after="0"/>
      </w:pPr>
      <w:r>
        <w:tab/>
      </w:r>
      <w:r w:rsidR="009F33FD">
        <w:tab/>
      </w:r>
      <w:r>
        <w:t>O</w:t>
      </w:r>
      <w:r w:rsidR="00E5071D">
        <w:t>n February 2, 2012, Ken Eernisse</w:t>
      </w:r>
      <w:r w:rsidR="00D12378">
        <w:t xml:space="preserve"> (Complainant)</w:t>
      </w:r>
      <w:r>
        <w:t xml:space="preserve"> filed a formal complai</w:t>
      </w:r>
      <w:r w:rsidR="00B6235C">
        <w:t>nt against Verizon Pennsylvania</w:t>
      </w:r>
      <w:r>
        <w:t xml:space="preserve"> Inc. (Verizon).  In his complaint he alleged that his telephone service was unreliable</w:t>
      </w:r>
      <w:r w:rsidR="00D12378">
        <w:t>,</w:t>
      </w:r>
      <w:r>
        <w:t xml:space="preserve"> that Verizon failed to make the necessary repairs to the telephone lines serving his residence and that Verizon had violated Commission regulations by failing to respond to service calls in a timely manner.  Verizon filed an answer to the complaint on </w:t>
      </w:r>
      <w:r>
        <w:lastRenderedPageBreak/>
        <w:t>February 29, 2012, denying that the telephone service provided to the Complainant was unreliable</w:t>
      </w:r>
      <w:r w:rsidR="00D12378">
        <w:t>, that i</w:t>
      </w:r>
      <w:r w:rsidR="00B6235C">
        <w:t>t</w:t>
      </w:r>
      <w:r w:rsidR="00D12378">
        <w:t>s response to the Complainant’s outage reports was unreasonable</w:t>
      </w:r>
      <w:r>
        <w:t xml:space="preserve"> or that it was otherwise in violation of the Commission’s regulations.  </w:t>
      </w:r>
    </w:p>
    <w:p w:rsidR="009F33FD" w:rsidRDefault="009F33FD" w:rsidP="00E51511">
      <w:pPr>
        <w:spacing w:after="0"/>
      </w:pPr>
    </w:p>
    <w:p w:rsidR="006C67FF" w:rsidRDefault="006C67FF" w:rsidP="00E51511">
      <w:pPr>
        <w:spacing w:after="0"/>
        <w:ind w:firstLine="1440"/>
      </w:pPr>
      <w:r>
        <w:t>By order dated March 2, 2012, the parties were directed to the Commission’s Mediation Unit in order to attempt a resolution of the dispute.  No resolution was achieved.  Accordingly, by hearing notice dated May 18, 2012, the matter was set for a telephonic hearing on Thursday, June 21, 2012 and assigned to me.  I issued my customary prehearing order on May</w:t>
      </w:r>
      <w:r w:rsidR="000711F9">
        <w:t> </w:t>
      </w:r>
      <w:r>
        <w:t>21, 2012.</w:t>
      </w:r>
    </w:p>
    <w:p w:rsidR="009F33FD" w:rsidRDefault="009F33FD" w:rsidP="00E51511">
      <w:pPr>
        <w:spacing w:after="0"/>
        <w:ind w:firstLine="1440"/>
      </w:pPr>
    </w:p>
    <w:p w:rsidR="006C67FF" w:rsidRDefault="00CF7264" w:rsidP="00E51511">
      <w:pPr>
        <w:spacing w:after="0"/>
        <w:ind w:firstLine="1440"/>
      </w:pPr>
      <w:r>
        <w:t xml:space="preserve">The hearing convened as scheduled.  The Complainant appeared on his own behalf and testified.  He offered three exhibits which were admitted into evidence.  </w:t>
      </w:r>
      <w:r w:rsidR="00987321">
        <w:t>Verizon was represented by William E. Lehman, Esquire.  Verizon offered the testimony of two witnesses and one exhibit which was admitted into evidence.  The hearing generated a transcript of 76 pages.  No briefs were filed and by order dated July 16, 2012</w:t>
      </w:r>
      <w:r w:rsidR="007524D6">
        <w:t>,</w:t>
      </w:r>
      <w:r w:rsidR="00987321">
        <w:t xml:space="preserve"> the record was closed.</w:t>
      </w:r>
    </w:p>
    <w:p w:rsidR="009F33FD" w:rsidRDefault="009F33FD" w:rsidP="00E51511">
      <w:pPr>
        <w:spacing w:after="0"/>
        <w:ind w:firstLine="1440"/>
      </w:pPr>
    </w:p>
    <w:p w:rsidR="00987321" w:rsidRDefault="00987321" w:rsidP="00E51511">
      <w:pPr>
        <w:spacing w:after="0"/>
        <w:ind w:firstLine="1440"/>
      </w:pPr>
      <w:r>
        <w:t>After consideration of these materials, I make the following:</w:t>
      </w:r>
    </w:p>
    <w:p w:rsidR="009F33FD" w:rsidRDefault="009F33FD" w:rsidP="00E51511">
      <w:pPr>
        <w:spacing w:after="0"/>
        <w:ind w:firstLine="720"/>
      </w:pPr>
    </w:p>
    <w:p w:rsidR="00987321" w:rsidRDefault="00987321" w:rsidP="00E51511">
      <w:pPr>
        <w:spacing w:after="0"/>
        <w:jc w:val="center"/>
        <w:rPr>
          <w:u w:val="single"/>
        </w:rPr>
      </w:pPr>
      <w:r w:rsidRPr="008332A6">
        <w:rPr>
          <w:u w:val="single"/>
        </w:rPr>
        <w:t>FINDINGS OF FACT</w:t>
      </w:r>
    </w:p>
    <w:p w:rsidR="009F33FD" w:rsidRPr="008332A6" w:rsidRDefault="009F33FD" w:rsidP="00E51511">
      <w:pPr>
        <w:spacing w:after="0"/>
        <w:jc w:val="center"/>
        <w:rPr>
          <w:u w:val="single"/>
        </w:rPr>
      </w:pPr>
    </w:p>
    <w:p w:rsidR="00987321" w:rsidRDefault="00987321" w:rsidP="00E51511">
      <w:pPr>
        <w:pStyle w:val="ListParagraph"/>
      </w:pPr>
      <w:r>
        <w:t xml:space="preserve">The Complainant, Ken Eernisse, resides at 2812 </w:t>
      </w:r>
      <w:r w:rsidR="00D12378">
        <w:t>Swede Hill Road, Russell, Penns</w:t>
      </w:r>
      <w:r>
        <w:t>y</w:t>
      </w:r>
      <w:r w:rsidR="00D12378">
        <w:t>l</w:t>
      </w:r>
      <w:r>
        <w:t>vania and receives residential telephone serv</w:t>
      </w:r>
      <w:r w:rsidR="007524D6">
        <w:t>ice from Verizon Pennsylvania</w:t>
      </w:r>
      <w:r>
        <w:t xml:space="preserve"> Inc. (Verizon) at that address. (N.T. 7)  </w:t>
      </w:r>
    </w:p>
    <w:p w:rsidR="009F33FD" w:rsidRDefault="009F33FD" w:rsidP="007524D6">
      <w:pPr>
        <w:spacing w:after="0"/>
        <w:ind w:left="1440"/>
      </w:pPr>
    </w:p>
    <w:p w:rsidR="009F33FD" w:rsidRDefault="00987321" w:rsidP="007524D6">
      <w:pPr>
        <w:pStyle w:val="ListParagraph"/>
      </w:pPr>
      <w:r>
        <w:t xml:space="preserve"> </w:t>
      </w:r>
      <w:r w:rsidR="00514731">
        <w:t xml:space="preserve">The Complainant moved into his residence in 1992 and has had problems with his telephone service from that time.  He filed </w:t>
      </w:r>
      <w:r w:rsidR="00D12378">
        <w:t>a</w:t>
      </w:r>
      <w:r w:rsidR="00514731">
        <w:t xml:space="preserve"> complaint with the Commission in 2004 and did not have problems for six months or so. (N.T. 8)</w:t>
      </w:r>
    </w:p>
    <w:p w:rsidR="009F33FD" w:rsidRDefault="009F33FD" w:rsidP="007524D6">
      <w:pPr>
        <w:spacing w:after="0"/>
        <w:ind w:left="1440"/>
      </w:pPr>
    </w:p>
    <w:p w:rsidR="008332A6" w:rsidRDefault="008332A6" w:rsidP="007524D6">
      <w:pPr>
        <w:pStyle w:val="ListParagraph"/>
      </w:pPr>
      <w:r>
        <w:t>The Complainant’s residence is served by copper lines. (N.T. 46)</w:t>
      </w:r>
    </w:p>
    <w:p w:rsidR="009F33FD" w:rsidRDefault="009F33FD" w:rsidP="007524D6">
      <w:pPr>
        <w:spacing w:after="0"/>
        <w:ind w:left="720"/>
      </w:pPr>
    </w:p>
    <w:p w:rsidR="009F33FD" w:rsidRDefault="009F33FD" w:rsidP="007524D6">
      <w:pPr>
        <w:spacing w:after="0"/>
        <w:ind w:left="1440"/>
      </w:pPr>
    </w:p>
    <w:p w:rsidR="00937F71" w:rsidRDefault="00937F71" w:rsidP="007524D6">
      <w:pPr>
        <w:pStyle w:val="ListParagraph"/>
      </w:pPr>
      <w:r>
        <w:lastRenderedPageBreak/>
        <w:t>When a customer calls Verizon with a service complaint, he is given a commitment time.  That is the time the system determines that Verizon can respond to the customer’s situation. (N.T. 24)</w:t>
      </w:r>
    </w:p>
    <w:p w:rsidR="009F33FD" w:rsidRDefault="009F33FD" w:rsidP="007524D6">
      <w:pPr>
        <w:spacing w:after="0"/>
        <w:ind w:left="1440"/>
      </w:pPr>
    </w:p>
    <w:p w:rsidR="008332A6" w:rsidRDefault="008332A6" w:rsidP="007524D6">
      <w:pPr>
        <w:pStyle w:val="ListParagraph"/>
      </w:pPr>
      <w:r>
        <w:t>The restoration time is when a technician either makes a repair or determines that there is nothing wrong with Verizon’s facilities. (N.T. 48)</w:t>
      </w:r>
    </w:p>
    <w:p w:rsidR="009F33FD" w:rsidRDefault="009F33FD" w:rsidP="007524D6">
      <w:pPr>
        <w:spacing w:after="0"/>
        <w:ind w:left="1440"/>
      </w:pPr>
    </w:p>
    <w:p w:rsidR="00514731" w:rsidRDefault="00514731" w:rsidP="007524D6">
      <w:pPr>
        <w:pStyle w:val="ListParagraph"/>
      </w:pPr>
      <w:r>
        <w:t>Typically, whenever it rains the Complainant loses his dial tone for a day or two</w:t>
      </w:r>
      <w:r w:rsidR="00D12378">
        <w:t xml:space="preserve"> because the lines are wet</w:t>
      </w:r>
      <w:r>
        <w:t xml:space="preserve">.  However, when he calls Verizon, it </w:t>
      </w:r>
      <w:r w:rsidR="00D12378">
        <w:t>takes</w:t>
      </w:r>
      <w:r>
        <w:t xml:space="preserve"> between three and five days for a technician to come and fix the problem. </w:t>
      </w:r>
      <w:r w:rsidR="00115A09">
        <w:t xml:space="preserve"> </w:t>
      </w:r>
      <w:r>
        <w:t xml:space="preserve">By then the lines </w:t>
      </w:r>
      <w:r w:rsidR="00D12378">
        <w:t>have</w:t>
      </w:r>
      <w:r>
        <w:t xml:space="preserve"> dried out. </w:t>
      </w:r>
      <w:r w:rsidR="005D313D">
        <w:t>(N.T. 8-9</w:t>
      </w:r>
      <w:r w:rsidR="00DB550C">
        <w:t>, 15</w:t>
      </w:r>
      <w:r w:rsidR="005D313D">
        <w:t>)</w:t>
      </w:r>
    </w:p>
    <w:p w:rsidR="009F33FD" w:rsidRDefault="009F33FD" w:rsidP="007524D6">
      <w:pPr>
        <w:spacing w:after="0"/>
        <w:ind w:left="1440"/>
      </w:pPr>
    </w:p>
    <w:p w:rsidR="008332A6" w:rsidRDefault="008332A6" w:rsidP="007524D6">
      <w:pPr>
        <w:pStyle w:val="ListParagraph"/>
      </w:pPr>
      <w:r>
        <w:t>The Complain</w:t>
      </w:r>
      <w:r w:rsidR="005B6094">
        <w:t>an</w:t>
      </w:r>
      <w:r>
        <w:t>t called Verizon to report a service outage two times in the fall of 2009.</w:t>
      </w:r>
    </w:p>
    <w:p w:rsidR="009F33FD" w:rsidRDefault="009F33FD" w:rsidP="007524D6">
      <w:pPr>
        <w:spacing w:after="0"/>
        <w:ind w:left="1440"/>
      </w:pPr>
    </w:p>
    <w:p w:rsidR="00514731" w:rsidRDefault="00514731" w:rsidP="007524D6">
      <w:pPr>
        <w:pStyle w:val="ListParagraph"/>
      </w:pPr>
      <w:r>
        <w:t>On Frida</w:t>
      </w:r>
      <w:r w:rsidR="00D964B9">
        <w:t>y, October 9, 2009 at 6:37 a.m.</w:t>
      </w:r>
      <w:r>
        <w:t xml:space="preserve"> the Complainant called Verizon to complain that</w:t>
      </w:r>
      <w:r w:rsidR="00321C25">
        <w:t xml:space="preserve"> he had no dial tone</w:t>
      </w:r>
      <w:r>
        <w:t xml:space="preserve">.  Verizon made a commitment for Tuesday, October 13, 2009 by 7:00 </w:t>
      </w:r>
      <w:r w:rsidR="00166FCB">
        <w:t>p.m.</w:t>
      </w:r>
      <w:r w:rsidR="007524D6">
        <w:t xml:space="preserve"> </w:t>
      </w:r>
      <w:r w:rsidR="00166FCB">
        <w:t xml:space="preserve"> </w:t>
      </w:r>
      <w:r w:rsidR="00937F71">
        <w:t xml:space="preserve">The Complainant was told to check his Customer Premise Equipment (CPE), which verified that he had no dial tone on his telephone units. </w:t>
      </w:r>
      <w:r w:rsidR="007524D6">
        <w:t xml:space="preserve"> </w:t>
      </w:r>
      <w:r>
        <w:t xml:space="preserve">Service was restored on Saturday, October 10, 2009 at 3:00 </w:t>
      </w:r>
      <w:r w:rsidR="00166FCB">
        <w:t>p.m.</w:t>
      </w:r>
      <w:r>
        <w:t xml:space="preserve">  The</w:t>
      </w:r>
      <w:r w:rsidR="003800C1">
        <w:t xml:space="preserve"> trouble report indicates that the</w:t>
      </w:r>
      <w:r>
        <w:t xml:space="preserve"> </w:t>
      </w:r>
      <w:r w:rsidR="003800C1">
        <w:t>technician found</w:t>
      </w:r>
      <w:r>
        <w:t xml:space="preserve"> no defect in Verizon’s facilities</w:t>
      </w:r>
      <w:r w:rsidR="003800C1">
        <w:t xml:space="preserve"> at that time</w:t>
      </w:r>
      <w:r>
        <w:t>.</w:t>
      </w:r>
      <w:r w:rsidR="007524D6">
        <w:t xml:space="preserve"> </w:t>
      </w:r>
      <w:r>
        <w:t xml:space="preserve"> (</w:t>
      </w:r>
      <w:r w:rsidR="00937F71">
        <w:t>N.T. 24-25</w:t>
      </w:r>
      <w:r w:rsidR="00F11742">
        <w:t>, 48</w:t>
      </w:r>
      <w:r w:rsidR="00937F71">
        <w:t xml:space="preserve">; </w:t>
      </w:r>
      <w:r>
        <w:t>Verizon Ex. 1, Tab A)</w:t>
      </w:r>
    </w:p>
    <w:p w:rsidR="009F33FD" w:rsidRDefault="009F33FD" w:rsidP="007524D6">
      <w:pPr>
        <w:spacing w:after="0"/>
        <w:ind w:left="1440"/>
      </w:pPr>
    </w:p>
    <w:p w:rsidR="00514731" w:rsidRDefault="00514731" w:rsidP="007524D6">
      <w:pPr>
        <w:pStyle w:val="ListParagraph"/>
      </w:pPr>
      <w:r>
        <w:t>On Thursday, October 15, 2009 at 3:58 p.m. the Complainant called Verizon to complain</w:t>
      </w:r>
      <w:r w:rsidR="005D313D">
        <w:t xml:space="preserve"> that there was humming</w:t>
      </w:r>
      <w:r w:rsidR="00937F71">
        <w:t xml:space="preserve"> and static</w:t>
      </w:r>
      <w:r w:rsidR="005D313D">
        <w:t xml:space="preserve"> on the line.  Verizon made a commitment for Monday, October 19, 2009 by 7:00 p.m.  On October 19, 2009 at 12:30 p.m. the technician </w:t>
      </w:r>
      <w:r w:rsidR="00D31C87">
        <w:t>recorded</w:t>
      </w:r>
      <w:r w:rsidR="005D313D">
        <w:t xml:space="preserve"> no problems on Verizon’s facilities. (</w:t>
      </w:r>
      <w:r w:rsidR="00937F71">
        <w:t xml:space="preserve">N.T. 27; </w:t>
      </w:r>
      <w:r w:rsidR="005D313D">
        <w:t>Verizon Ex. 1, Tab B)</w:t>
      </w:r>
    </w:p>
    <w:p w:rsidR="009F33FD" w:rsidRDefault="009F33FD" w:rsidP="007524D6">
      <w:pPr>
        <w:spacing w:after="0"/>
        <w:ind w:left="1440"/>
      </w:pPr>
    </w:p>
    <w:p w:rsidR="005D313D" w:rsidRDefault="005D313D" w:rsidP="007524D6">
      <w:pPr>
        <w:pStyle w:val="ListParagraph"/>
      </w:pPr>
      <w:r>
        <w:t>By the end of 2010, this recurring problem became worse and the Complainant began to call Verizon more frequently. (N.T. 8-9)</w:t>
      </w:r>
    </w:p>
    <w:p w:rsidR="009F33FD" w:rsidRDefault="009F33FD" w:rsidP="007524D6">
      <w:pPr>
        <w:spacing w:after="0"/>
        <w:ind w:left="720"/>
      </w:pPr>
    </w:p>
    <w:p w:rsidR="005D313D" w:rsidRDefault="00321C25" w:rsidP="007524D6">
      <w:pPr>
        <w:pStyle w:val="ListParagraph"/>
      </w:pPr>
      <w:r>
        <w:lastRenderedPageBreak/>
        <w:t xml:space="preserve">On Thursday, October 28, 2010 at 1:36 p.m. the Complainant called Verizon to complain that he had no dial tone.  Verizon made a commitment for Friday, October 29, 2010 by 7:00 </w:t>
      </w:r>
      <w:r w:rsidR="00166FCB">
        <w:t xml:space="preserve">p.m. </w:t>
      </w:r>
      <w:r w:rsidR="007524D6">
        <w:t xml:space="preserve"> </w:t>
      </w:r>
      <w:r>
        <w:t>On October 29, 2010</w:t>
      </w:r>
      <w:r w:rsidR="00EC2333">
        <w:t>,</w:t>
      </w:r>
      <w:r>
        <w:t xml:space="preserve"> at 1:00 p.m. the technic</w:t>
      </w:r>
      <w:r w:rsidR="00EC2333">
        <w:t>i</w:t>
      </w:r>
      <w:r>
        <w:t>a</w:t>
      </w:r>
      <w:r w:rsidR="00EC2333">
        <w:t>n</w:t>
      </w:r>
      <w:r>
        <w:t xml:space="preserve"> </w:t>
      </w:r>
      <w:r w:rsidR="00EC2333">
        <w:t>recorded</w:t>
      </w:r>
      <w:r>
        <w:t xml:space="preserve"> no problems with Verizon’s facilities and noted that there was no access to the inside of the house. (</w:t>
      </w:r>
      <w:r w:rsidR="00F11742">
        <w:t xml:space="preserve">N.T. 48-49; </w:t>
      </w:r>
      <w:r>
        <w:t>Verizon Ex. 1 at Tab C)</w:t>
      </w:r>
    </w:p>
    <w:p w:rsidR="009F33FD" w:rsidRDefault="009F33FD" w:rsidP="007524D6">
      <w:pPr>
        <w:spacing w:after="0"/>
        <w:ind w:left="720"/>
      </w:pPr>
    </w:p>
    <w:p w:rsidR="00AD35E8" w:rsidRDefault="00AD35E8" w:rsidP="007524D6">
      <w:pPr>
        <w:pStyle w:val="ListParagraph"/>
      </w:pPr>
      <w:r>
        <w:t>On Tuesday, November 16, 2010 at 6:19 p.m. the Complainant called Verizon to complain that he had no dial tone and that there was a loud hum on the line.  Verizon gave a commitment for November 18, 2010 at 7:00 p.m.  On November 17, 2010 at</w:t>
      </w:r>
      <w:r w:rsidR="00603C05">
        <w:t xml:space="preserve"> 12:31 p.m. a technic</w:t>
      </w:r>
      <w:r w:rsidR="00A7692E">
        <w:t>i</w:t>
      </w:r>
      <w:r w:rsidR="00603C05">
        <w:t xml:space="preserve">an </w:t>
      </w:r>
      <w:r w:rsidR="00EC2333">
        <w:t xml:space="preserve">recorded </w:t>
      </w:r>
      <w:r w:rsidR="00603C05">
        <w:t>that the aerial could not be fixed because there was a tree on the line.</w:t>
      </w:r>
      <w:r w:rsidR="00A7692E">
        <w:t xml:space="preserve"> Although the trees were not cleared from the lines until several weeks later, telephone service was restored by bypassing the </w:t>
      </w:r>
      <w:r w:rsidR="00EC2333">
        <w:t>Complainant’s service</w:t>
      </w:r>
      <w:r w:rsidR="00A7692E">
        <w:t xml:space="preserve"> to a temporary line. (N.T. 49, 56</w:t>
      </w:r>
      <w:r w:rsidR="00834BB9">
        <w:t>, 63</w:t>
      </w:r>
      <w:r w:rsidR="00A7692E">
        <w:t>; Complainant Ex. 2, Photo 2/4)</w:t>
      </w:r>
    </w:p>
    <w:p w:rsidR="009F33FD" w:rsidRDefault="009F33FD" w:rsidP="007524D6">
      <w:pPr>
        <w:spacing w:after="0"/>
        <w:ind w:left="720"/>
      </w:pPr>
    </w:p>
    <w:p w:rsidR="00807BED" w:rsidRDefault="00807BED" w:rsidP="007524D6">
      <w:pPr>
        <w:pStyle w:val="ListParagraph"/>
      </w:pPr>
      <w:r>
        <w:t>Verizon does not have any policy or rules for how long bypass lines can be used to provide service.  The bypass lines used to provide service to the Complainant were probably installed around November of 2010, but the witness did not know when they had been removed. (N.T. 63)</w:t>
      </w:r>
    </w:p>
    <w:p w:rsidR="009F33FD" w:rsidRDefault="009F33FD" w:rsidP="007524D6">
      <w:pPr>
        <w:spacing w:after="0"/>
        <w:ind w:left="720"/>
      </w:pPr>
    </w:p>
    <w:p w:rsidR="00AF5E42" w:rsidRDefault="00807BED" w:rsidP="007524D6">
      <w:pPr>
        <w:pStyle w:val="ListParagraph"/>
      </w:pPr>
      <w:r>
        <w:t>T</w:t>
      </w:r>
      <w:r w:rsidR="00AF5E42">
        <w:t>he Complainant complained six times in 2011 that he was without telephone service.</w:t>
      </w:r>
    </w:p>
    <w:p w:rsidR="009F33FD" w:rsidRDefault="009F33FD" w:rsidP="007524D6">
      <w:pPr>
        <w:spacing w:after="0"/>
        <w:ind w:left="720"/>
      </w:pPr>
    </w:p>
    <w:p w:rsidR="00AF5E42" w:rsidRDefault="00AF5E42" w:rsidP="007524D6">
      <w:pPr>
        <w:pStyle w:val="ListParagraph"/>
      </w:pPr>
      <w:r>
        <w:t xml:space="preserve">On Sunday, January 2, 2011, the Complainant called Verizon to report that he had no dial tone.  Verizon gave a commitment for Wednesday, January 5, 2011 at 7:00 </w:t>
      </w:r>
      <w:r w:rsidR="00166FCB">
        <w:t>p.m.</w:t>
      </w:r>
      <w:r>
        <w:t xml:space="preserve">  A technician </w:t>
      </w:r>
      <w:r w:rsidR="00EC2333">
        <w:t xml:space="preserve">recorded that he </w:t>
      </w:r>
      <w:r>
        <w:t>repaired an aerial cable and service was restored on Wednesday, January 5, 2011 at 12:00 p.m. (Complainant Ex. 1; Verizon Ex. 1, Tab E; N.T. 50)</w:t>
      </w:r>
    </w:p>
    <w:p w:rsidR="009F33FD" w:rsidRDefault="009F33FD" w:rsidP="007524D6">
      <w:pPr>
        <w:spacing w:after="0"/>
        <w:ind w:left="1440"/>
      </w:pPr>
    </w:p>
    <w:p w:rsidR="00E812AE" w:rsidRDefault="00E812AE" w:rsidP="007524D6">
      <w:pPr>
        <w:pStyle w:val="ListParagraph"/>
      </w:pPr>
      <w:r>
        <w:t xml:space="preserve">On Monday, June 6, 2011 at 11:59 a.m. the Complainant called Verizon to report that he had no dial tone.  Verizon gave a commitment of June 8, 2011 by 7:00 p.m.  The report was closed </w:t>
      </w:r>
      <w:r w:rsidR="00EC2333">
        <w:t xml:space="preserve">automatically </w:t>
      </w:r>
      <w:r>
        <w:t xml:space="preserve">the same day when </w:t>
      </w:r>
      <w:r w:rsidR="00EC2333">
        <w:t>a</w:t>
      </w:r>
      <w:r>
        <w:t xml:space="preserve"> scrubber </w:t>
      </w:r>
      <w:r w:rsidR="00EC2333">
        <w:t>test indicated</w:t>
      </w:r>
      <w:r>
        <w:t xml:space="preserve"> there was no trouble </w:t>
      </w:r>
      <w:r>
        <w:lastRenderedPageBreak/>
        <w:t xml:space="preserve">with the line.  This trouble report was closed </w:t>
      </w:r>
      <w:r w:rsidR="00EC2333">
        <w:t>solely</w:t>
      </w:r>
      <w:r>
        <w:t xml:space="preserve"> based upon the remote scrubber test. (Verizon Ex. 1, Tab F; N.T. </w:t>
      </w:r>
      <w:r w:rsidR="0096102F">
        <w:t xml:space="preserve">37, </w:t>
      </w:r>
      <w:r>
        <w:t>50)</w:t>
      </w:r>
    </w:p>
    <w:p w:rsidR="009F33FD" w:rsidRDefault="009F33FD" w:rsidP="007524D6">
      <w:pPr>
        <w:spacing w:after="0"/>
        <w:ind w:left="720"/>
      </w:pPr>
    </w:p>
    <w:p w:rsidR="00E812AE" w:rsidRDefault="00E812AE" w:rsidP="007524D6">
      <w:pPr>
        <w:pStyle w:val="ListParagraph"/>
      </w:pPr>
      <w:r>
        <w:t xml:space="preserve">On Wednesday, June 8, 2011 at 7:56 p.m. the Complainant again called Verizon to </w:t>
      </w:r>
      <w:r w:rsidR="009F35F6">
        <w:t>inquire why no technician had arrived as scheduled that day</w:t>
      </w:r>
      <w:r>
        <w:t>.  At that time he was unaware that Verizon had closed the trouble ticket on June 6, 2011</w:t>
      </w:r>
      <w:r w:rsidR="00EC2333">
        <w:t xml:space="preserve"> because he still had no service</w:t>
      </w:r>
      <w:r>
        <w:t xml:space="preserve">. </w:t>
      </w:r>
      <w:r w:rsidR="007524D6">
        <w:t xml:space="preserve"> </w:t>
      </w:r>
      <w:r>
        <w:t>He had been expecting a technician to visit and investigate his lack of phone service and was home all day on June 8, 2011.</w:t>
      </w:r>
      <w:r w:rsidR="00E750DD">
        <w:t xml:space="preserve">  </w:t>
      </w:r>
      <w:r w:rsidR="008332A6" w:rsidRPr="008332A6">
        <w:t xml:space="preserve">Verizon did not contact him for the purpose of cancelling the service appointment on June 8, 2011.  </w:t>
      </w:r>
      <w:r w:rsidR="00E750DD">
        <w:t>Verizon gave a</w:t>
      </w:r>
      <w:r w:rsidR="008332A6">
        <w:t xml:space="preserve"> new</w:t>
      </w:r>
      <w:r w:rsidR="00EC2333">
        <w:t xml:space="preserve"> commitment of June</w:t>
      </w:r>
      <w:r w:rsidR="00E750DD">
        <w:t xml:space="preserve"> 13, 2011 at 7:00</w:t>
      </w:r>
      <w:r w:rsidR="00D86C2E">
        <w:t> </w:t>
      </w:r>
      <w:r w:rsidR="00166FCB">
        <w:t>p.m.</w:t>
      </w:r>
      <w:r w:rsidR="00E750DD">
        <w:t xml:space="preserve">  Verizon restored service on </w:t>
      </w:r>
      <w:r w:rsidR="00C92F35">
        <w:t xml:space="preserve">Monday, </w:t>
      </w:r>
      <w:r w:rsidR="00E750DD">
        <w:t>June 13, 2011 at 3:30 p.m.  The</w:t>
      </w:r>
      <w:r w:rsidR="00EC2333">
        <w:t xml:space="preserve"> trouble report indicates the</w:t>
      </w:r>
      <w:r w:rsidR="00E750DD">
        <w:t xml:space="preserve"> technician identified the reason for the outage as a problem with Verizon’s “D</w:t>
      </w:r>
      <w:r w:rsidR="009F33FD">
        <w:noBreakHyphen/>
      </w:r>
      <w:r w:rsidR="00E750DD">
        <w:t xml:space="preserve">slam” or “DSL” unit.  The technician transferred service to another port </w:t>
      </w:r>
      <w:r w:rsidR="00EC2333">
        <w:t>in the D-</w:t>
      </w:r>
      <w:r w:rsidR="00E750DD">
        <w:t>slam unit.  (Complaina</w:t>
      </w:r>
      <w:r w:rsidR="00957B48">
        <w:t>nt Ex. 1; Verizon Ex. 1, Table G</w:t>
      </w:r>
      <w:r w:rsidR="00E750DD">
        <w:t>; N.T. 10-11, 50)</w:t>
      </w:r>
      <w:r w:rsidR="00957B48">
        <w:t>.</w:t>
      </w:r>
    </w:p>
    <w:p w:rsidR="009F33FD" w:rsidRDefault="009F33FD" w:rsidP="007524D6">
      <w:pPr>
        <w:spacing w:after="0"/>
        <w:ind w:left="720"/>
      </w:pPr>
    </w:p>
    <w:p w:rsidR="00957B48" w:rsidRDefault="00957B48" w:rsidP="007524D6">
      <w:pPr>
        <w:pStyle w:val="ListParagraph"/>
      </w:pPr>
      <w:r>
        <w:t xml:space="preserve">Nine days later, on Wednesday June 22, 2011, the Complainant again had no dial tone and he called Verizon at 4:55 p.m. to report the problem. Verizon gave a commitment of Friday, June 24, 2011 at 7:00 p.m. </w:t>
      </w:r>
      <w:r w:rsidR="00115A09">
        <w:t xml:space="preserve"> </w:t>
      </w:r>
      <w:r w:rsidR="00C27BB6">
        <w:t>The Complainant waited a</w:t>
      </w:r>
      <w:r w:rsidR="00234D97">
        <w:t>t</w:t>
      </w:r>
      <w:r w:rsidR="00C27BB6">
        <w:t xml:space="preserve"> his home all day on June 24, 2011, and no technician arrived to investigate the outage.  He called again on June</w:t>
      </w:r>
      <w:r w:rsidR="003361A6">
        <w:t> </w:t>
      </w:r>
      <w:r w:rsidR="00C27BB6">
        <w:t>25, 2011 and was given a new commitment of June 27, 2011.  The Complainant waited again at home, but no technician arrived to inv</w:t>
      </w:r>
      <w:r w:rsidR="00234D97">
        <w:t>estigate the outage.  A technician</w:t>
      </w:r>
      <w:r w:rsidR="00C27BB6">
        <w:t xml:space="preserve"> arrived on Tuesday, June 28, 2011 and a splicer went out to fix the cable.  The Verizon trouble report notes that service was restored on June 28, 2011 at 5:30 p.m., but the Complainant stated that he still did not have telephone service. (N.T. 11-12, 51; Complainant Ex. 1; Verizon Ex. 1, Tab H)</w:t>
      </w:r>
    </w:p>
    <w:p w:rsidR="009F33FD" w:rsidRDefault="009F33FD" w:rsidP="007524D6">
      <w:pPr>
        <w:spacing w:after="0"/>
        <w:ind w:left="720"/>
      </w:pPr>
    </w:p>
    <w:p w:rsidR="00807BED" w:rsidRDefault="00C27BB6" w:rsidP="007524D6">
      <w:pPr>
        <w:pStyle w:val="ListParagraph"/>
      </w:pPr>
      <w:r>
        <w:t>The next day the Complainant’s child had a life-threatening medical emergency and he had no telephone service to call for help.  After using a neighbor’s telephone, he called Verizon on Wednesday, June 29, 2011 at 5:57 p.m. and reported that he had no telephone service and needed to have it restored due to the emergent medical situation with his son.  Verizon initially gave him a commitment of Thursday, July 7, 2011, but revised the commitment to June 30, 2011 at 11:59 a.m.  No technician came to restore service until June 30, 2011</w:t>
      </w:r>
      <w:r w:rsidR="00850D4B">
        <w:t xml:space="preserve"> when service was restored at 4:00 p.m.  The technician noted that the aerial can’t be </w:t>
      </w:r>
      <w:r w:rsidR="00850D4B">
        <w:lastRenderedPageBreak/>
        <w:t>permanently fixed, so the Complainant’s number was again placed on a bypass cable in order to restore service. (N.T. 12</w:t>
      </w:r>
      <w:r w:rsidR="00480448">
        <w:t>, 52</w:t>
      </w:r>
      <w:r w:rsidR="00850D4B">
        <w:t>; Complainant Ex. 1; Verizon Ex. 1, Tab I)</w:t>
      </w:r>
      <w:r w:rsidR="00807BED" w:rsidRPr="00807BED">
        <w:t xml:space="preserve"> </w:t>
      </w:r>
    </w:p>
    <w:p w:rsidR="009F33FD" w:rsidRDefault="009F33FD" w:rsidP="007524D6">
      <w:pPr>
        <w:spacing w:after="0"/>
        <w:ind w:left="720"/>
      </w:pPr>
    </w:p>
    <w:p w:rsidR="00807BED" w:rsidRDefault="00807BED" w:rsidP="007524D6">
      <w:pPr>
        <w:pStyle w:val="ListParagraph"/>
      </w:pPr>
      <w:r>
        <w:t>Sometime during the mid to late summer 2011, Verizon replaced the D</w:t>
      </w:r>
      <w:r w:rsidR="009F33FD">
        <w:noBreakHyphen/>
      </w:r>
      <w:r>
        <w:t>slam that served the Complainant’s residence which took care of the problems caused by some of the ports falling out. (N.T. 51)</w:t>
      </w:r>
    </w:p>
    <w:p w:rsidR="009F33FD" w:rsidRDefault="009F33FD" w:rsidP="007524D6">
      <w:pPr>
        <w:spacing w:after="0"/>
        <w:ind w:left="720"/>
      </w:pPr>
    </w:p>
    <w:p w:rsidR="00480448" w:rsidRDefault="00000BDE" w:rsidP="007524D6">
      <w:pPr>
        <w:pStyle w:val="ListParagraph"/>
      </w:pPr>
      <w:r>
        <w:t>On</w:t>
      </w:r>
      <w:r w:rsidR="00480448">
        <w:t xml:space="preserve"> Tuesday, November 29, 2011 at 11:07 </w:t>
      </w:r>
      <w:r w:rsidR="00BB5F30">
        <w:t xml:space="preserve">a.m. </w:t>
      </w:r>
      <w:r w:rsidR="00480448">
        <w:t xml:space="preserve">the Complainant called Verizon and reported that he had no dial tone.  The Complainant was given a commitment of Thursday, December 8, 2011 by 7:00 </w:t>
      </w:r>
      <w:r w:rsidR="00166FCB">
        <w:t>p.m.</w:t>
      </w:r>
      <w:r w:rsidR="00480448">
        <w:t xml:space="preserve">  Service was restored on Thursday, December 3, 2011 at 10:00 </w:t>
      </w:r>
      <w:r w:rsidR="00166FCB">
        <w:t xml:space="preserve">a.m. </w:t>
      </w:r>
      <w:r w:rsidR="00115A09">
        <w:t xml:space="preserve"> </w:t>
      </w:r>
      <w:r w:rsidR="00480448">
        <w:t>Verizon determined that there was no trouble with its facilities. (Verizon Ex. 1, Tab J, N.T. 53</w:t>
      </w:r>
      <w:r w:rsidR="007524D6">
        <w:t>)</w:t>
      </w:r>
    </w:p>
    <w:p w:rsidR="009F33FD" w:rsidRDefault="009F33FD" w:rsidP="007524D6">
      <w:pPr>
        <w:spacing w:after="0"/>
        <w:ind w:left="720"/>
      </w:pPr>
    </w:p>
    <w:p w:rsidR="00DB550C" w:rsidRDefault="00DB550C" w:rsidP="007524D6">
      <w:pPr>
        <w:pStyle w:val="ListParagraph"/>
      </w:pPr>
      <w:r>
        <w:t xml:space="preserve">A Verizon technician told the Complainant that the telephone lines that served his home had stretched and would no </w:t>
      </w:r>
      <w:r w:rsidR="00667BD2">
        <w:t>longer provide a water tight</w:t>
      </w:r>
      <w:r>
        <w:t xml:space="preserve"> seal. (N.T. 12)</w:t>
      </w:r>
    </w:p>
    <w:p w:rsidR="009F33FD" w:rsidRDefault="009F33FD" w:rsidP="007524D6">
      <w:pPr>
        <w:spacing w:after="0"/>
        <w:ind w:left="720"/>
      </w:pPr>
    </w:p>
    <w:p w:rsidR="00834BB9" w:rsidRDefault="00834BB9" w:rsidP="007524D6">
      <w:pPr>
        <w:pStyle w:val="ListParagraph"/>
      </w:pPr>
      <w:r>
        <w:t>The bypass lines were of the same copper that is used in the main lines and are similarly reliable. (N.T. 62)</w:t>
      </w:r>
    </w:p>
    <w:p w:rsidR="009F33FD" w:rsidRDefault="009F33FD" w:rsidP="007524D6">
      <w:pPr>
        <w:spacing w:after="0"/>
        <w:ind w:left="720"/>
      </w:pPr>
    </w:p>
    <w:p w:rsidR="00937F71" w:rsidRDefault="00937F71" w:rsidP="007524D6">
      <w:pPr>
        <w:pStyle w:val="ListParagraph"/>
      </w:pPr>
      <w:r>
        <w:t xml:space="preserve">The Complainant does not have cell phone reception at his home and must drive down the road to get reception to call Verizon. </w:t>
      </w:r>
      <w:r w:rsidR="007524D6">
        <w:t xml:space="preserve"> </w:t>
      </w:r>
      <w:r>
        <w:t>Alternatively, he will use his telephone at work to call in service outages. (N.T. 15)</w:t>
      </w:r>
    </w:p>
    <w:p w:rsidR="009F33FD" w:rsidRDefault="009F33FD" w:rsidP="007524D6">
      <w:pPr>
        <w:spacing w:after="0"/>
        <w:ind w:left="1440"/>
      </w:pPr>
    </w:p>
    <w:p w:rsidR="00FA223A" w:rsidRDefault="00FA223A" w:rsidP="007524D6">
      <w:pPr>
        <w:pStyle w:val="ListParagraph"/>
      </w:pPr>
      <w:r>
        <w:t>The Complainant’s testimony was credible.</w:t>
      </w:r>
    </w:p>
    <w:p w:rsidR="009F33FD" w:rsidRDefault="009F33FD" w:rsidP="007524D6">
      <w:pPr>
        <w:spacing w:after="0"/>
        <w:ind w:left="720"/>
      </w:pPr>
    </w:p>
    <w:p w:rsidR="00987321" w:rsidRDefault="005F548C" w:rsidP="007524D6">
      <w:pPr>
        <w:spacing w:after="0"/>
        <w:jc w:val="center"/>
        <w:rPr>
          <w:u w:val="single"/>
        </w:rPr>
      </w:pPr>
      <w:r w:rsidRPr="00EE15F5">
        <w:rPr>
          <w:u w:val="single"/>
        </w:rPr>
        <w:t>DISCUSSION</w:t>
      </w:r>
    </w:p>
    <w:p w:rsidR="009F33FD" w:rsidRPr="00EE15F5" w:rsidRDefault="009F33FD" w:rsidP="009F33FD">
      <w:pPr>
        <w:spacing w:after="0"/>
        <w:jc w:val="center"/>
        <w:rPr>
          <w:u w:val="single"/>
        </w:rPr>
      </w:pPr>
    </w:p>
    <w:p w:rsidR="00700A37" w:rsidRDefault="00700A37" w:rsidP="009F33FD">
      <w:pPr>
        <w:spacing w:after="0"/>
        <w:ind w:firstLine="1440"/>
        <w:rPr>
          <w:szCs w:val="24"/>
        </w:rPr>
      </w:pPr>
      <w:r w:rsidRPr="00035CC2">
        <w:rPr>
          <w:szCs w:val="24"/>
        </w:rPr>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Pr="00035CC2">
        <w:rPr>
          <w:szCs w:val="24"/>
        </w:rPr>
        <w:lastRenderedPageBreak/>
        <w:t>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9F33FD" w:rsidRPr="00035CC2" w:rsidRDefault="009F33FD" w:rsidP="009F33FD">
      <w:pPr>
        <w:spacing w:after="0"/>
        <w:ind w:firstLine="1440"/>
        <w:rPr>
          <w:szCs w:val="24"/>
        </w:rPr>
      </w:pPr>
    </w:p>
    <w:p w:rsidR="00700A37" w:rsidRDefault="00700A37" w:rsidP="009F33FD">
      <w:pPr>
        <w:spacing w:after="0"/>
        <w:ind w:firstLine="1440"/>
        <w:rPr>
          <w:szCs w:val="24"/>
        </w:rPr>
      </w:pPr>
      <w:r w:rsidRPr="00035CC2">
        <w:rPr>
          <w:szCs w:val="24"/>
        </w:rPr>
        <w:t xml:space="preserve">In this matter, the Complainant is the party seeking affirmative relief from the Commission; therefore, he has the burden of proof.  This means that he has the duty to establish a fact by a preponderance of the evidence, and must show that </w:t>
      </w:r>
      <w:r>
        <w:rPr>
          <w:szCs w:val="24"/>
        </w:rPr>
        <w:t xml:space="preserve">Verizon </w:t>
      </w:r>
      <w:r w:rsidRPr="00035CC2">
        <w:rPr>
          <w:szCs w:val="24"/>
        </w:rPr>
        <w:t>has violated the Public Utility Code or Commission regulations</w:t>
      </w:r>
      <w:r w:rsidR="00B26DD4">
        <w:rPr>
          <w:szCs w:val="24"/>
        </w:rPr>
        <w:t>,</w:t>
      </w:r>
      <w:r w:rsidR="00B26DD4">
        <w:rPr>
          <w:rStyle w:val="FootnoteReference"/>
        </w:rPr>
        <w:footnoteReference w:id="3"/>
      </w:r>
      <w:r w:rsidR="00B26DD4">
        <w:t xml:space="preserve"> and</w:t>
      </w:r>
      <w:r w:rsidR="00B26DD4" w:rsidRPr="00B26DD4">
        <w:t xml:space="preserve"> </w:t>
      </w:r>
      <w:r w:rsidR="00B26DD4" w:rsidRPr="00C24DC1">
        <w:t>must show the utility is responsible or accountable for the pr</w:t>
      </w:r>
      <w:r w:rsidR="00B26DD4">
        <w:t xml:space="preserve">oblem described in </w:t>
      </w:r>
      <w:r w:rsidR="007137C1">
        <w:t>his</w:t>
      </w:r>
      <w:r w:rsidR="00B26DD4">
        <w:t xml:space="preserve"> complaint</w:t>
      </w:r>
      <w:r w:rsidR="00B26DD4" w:rsidRPr="00C24DC1">
        <w:t>.</w:t>
      </w:r>
      <w:r w:rsidRPr="00035CC2">
        <w:rPr>
          <w:rStyle w:val="FootnoteReference"/>
          <w:szCs w:val="24"/>
        </w:rPr>
        <w:footnoteReference w:id="4"/>
      </w:r>
      <w:r w:rsidRPr="00035CC2">
        <w:rPr>
          <w:szCs w:val="24"/>
        </w:rPr>
        <w:t xml:space="preserve"> </w:t>
      </w:r>
    </w:p>
    <w:p w:rsidR="009F33FD" w:rsidRDefault="009F33FD" w:rsidP="009F33FD">
      <w:pPr>
        <w:spacing w:after="0"/>
        <w:ind w:firstLine="1440"/>
        <w:rPr>
          <w:szCs w:val="24"/>
        </w:rPr>
      </w:pPr>
    </w:p>
    <w:p w:rsidR="00C11E76" w:rsidRDefault="00BA0D1B" w:rsidP="009F33FD">
      <w:pPr>
        <w:spacing w:after="0"/>
        <w:ind w:firstLine="1440"/>
      </w:pPr>
      <w:r>
        <w:rPr>
          <w:szCs w:val="24"/>
        </w:rPr>
        <w:t xml:space="preserve">Specifically, </w:t>
      </w:r>
      <w:r w:rsidR="009E3A40">
        <w:t xml:space="preserve">the Complainant contends that </w:t>
      </w:r>
      <w:r w:rsidR="00166FCB">
        <w:t>Verizon has</w:t>
      </w:r>
      <w:r>
        <w:t xml:space="preserve"> violated Section 1501 of the Public Utility Code</w:t>
      </w:r>
      <w:r>
        <w:rPr>
          <w:rStyle w:val="FootnoteReference"/>
        </w:rPr>
        <w:footnoteReference w:id="5"/>
      </w:r>
      <w:r>
        <w:t xml:space="preserve"> because it failed to properly maintain the telephone lines serving his residence</w:t>
      </w:r>
      <w:r w:rsidR="006B4D1A">
        <w:t xml:space="preserve"> which caused him to suffer numerous service outages during the last 24 months</w:t>
      </w:r>
      <w:r>
        <w:t xml:space="preserve">.  He also contends that Verizon failed to comply with Section </w:t>
      </w:r>
      <w:r w:rsidR="006436A0">
        <w:t>63.57 of the Commission’s regulations because it did not respond to and resolve his outage complaints in a timely manner.</w:t>
      </w:r>
      <w:r>
        <w:t xml:space="preserve"> </w:t>
      </w:r>
      <w:r w:rsidR="006B4D1A">
        <w:t xml:space="preserve"> In his view, Verizon should pay a civil penalty of $1,000 per day per violation of the Code.  Verizon argues that it is only required to render reasonable service, not perfect service.</w:t>
      </w:r>
      <w:r w:rsidR="006A30B7">
        <w:t xml:space="preserve">  Moreover, Verizon contends that Section 63.57 of the Public Utility Code does not require it to repair telephone service within 24 hours, but only that it </w:t>
      </w:r>
      <w:r w:rsidR="00166FCB">
        <w:t>takes</w:t>
      </w:r>
      <w:r w:rsidR="006A30B7">
        <w:t xml:space="preserve"> some action. </w:t>
      </w:r>
      <w:r w:rsidR="00CD4023">
        <w:t xml:space="preserve"> </w:t>
      </w:r>
      <w:r w:rsidR="006A30B7">
        <w:t>Accordingly, Verizon says that no civil penalty is necessary.</w:t>
      </w:r>
    </w:p>
    <w:p w:rsidR="009F33FD" w:rsidRDefault="009F33FD" w:rsidP="009F33FD">
      <w:pPr>
        <w:spacing w:after="0"/>
        <w:ind w:firstLine="1440"/>
      </w:pPr>
    </w:p>
    <w:p w:rsidR="006A30B7" w:rsidRDefault="006A30B7" w:rsidP="009F33FD">
      <w:pPr>
        <w:spacing w:after="0"/>
        <w:ind w:firstLine="1440"/>
        <w:rPr>
          <w:rFonts w:cs="Times New Roman"/>
        </w:rPr>
      </w:pPr>
      <w:r>
        <w:t xml:space="preserve">Viewed in totality, it is clear that Verizon’s efforts in regard to the Complainant’s telephone service fall far short of “reasonable service” by any definition of that term. </w:t>
      </w:r>
      <w:r w:rsidR="00CD4023">
        <w:t xml:space="preserve"> </w:t>
      </w:r>
      <w:r>
        <w:t xml:space="preserve">Ten reported outages, some of which lasted for several days, </w:t>
      </w:r>
      <w:r w:rsidR="00650B40">
        <w:t xml:space="preserve">is not reasonable, particularly given the lack of alternative communication services, such as cellular coverage at the Complainant’s </w:t>
      </w:r>
      <w:r w:rsidR="00650B40">
        <w:lastRenderedPageBreak/>
        <w:t>residence.</w:t>
      </w:r>
      <w:r w:rsidR="00157936">
        <w:rPr>
          <w:rStyle w:val="FootnoteReference"/>
        </w:rPr>
        <w:footnoteReference w:id="6"/>
      </w:r>
      <w:r w:rsidR="00650B40">
        <w:t xml:space="preserve">  </w:t>
      </w:r>
      <w:r w:rsidR="00650B40">
        <w:rPr>
          <w:rFonts w:cs="Times New Roman"/>
        </w:rPr>
        <w:t>A</w:t>
      </w:r>
      <w:r w:rsidR="00650B40" w:rsidRPr="00B40636">
        <w:rPr>
          <w:rFonts w:cs="Times New Roman"/>
        </w:rPr>
        <w:t>ccess to basic local telephone service is a serious matter.  Both state and federal legislative and regulatory efforts for decades have sought to ensure that as many Americans as possible have access to basic local telephone service for a variety of reasons, including, but not limited to, access to emergency services.</w:t>
      </w:r>
      <w:r w:rsidR="00023DD3">
        <w:rPr>
          <w:rStyle w:val="FootnoteReference"/>
          <w:rFonts w:cs="Times New Roman"/>
        </w:rPr>
        <w:footnoteReference w:id="7"/>
      </w:r>
      <w:r w:rsidR="00650B40" w:rsidRPr="00B40636">
        <w:rPr>
          <w:rFonts w:cs="Times New Roman"/>
        </w:rPr>
        <w:t xml:space="preserve">  </w:t>
      </w:r>
      <w:r w:rsidR="00C11E76">
        <w:rPr>
          <w:rFonts w:cs="Times New Roman"/>
        </w:rPr>
        <w:t>As explained more fully below, Verizon’s lack of timely response and failure to adequately</w:t>
      </w:r>
      <w:r w:rsidR="00023DD3">
        <w:rPr>
          <w:rFonts w:cs="Times New Roman"/>
        </w:rPr>
        <w:t xml:space="preserve"> maintain,</w:t>
      </w:r>
      <w:r w:rsidR="00C11E76">
        <w:rPr>
          <w:rFonts w:cs="Times New Roman"/>
        </w:rPr>
        <w:t xml:space="preserve"> repair</w:t>
      </w:r>
      <w:r w:rsidR="00023DD3">
        <w:rPr>
          <w:rFonts w:cs="Times New Roman"/>
        </w:rPr>
        <w:t xml:space="preserve"> or replace</w:t>
      </w:r>
      <w:r w:rsidR="00C11E76">
        <w:rPr>
          <w:rFonts w:cs="Times New Roman"/>
        </w:rPr>
        <w:t xml:space="preserve"> its facilities to prevent outages merit the imposition of a civil penalty.</w:t>
      </w:r>
    </w:p>
    <w:p w:rsidR="009F33FD" w:rsidRDefault="009F33FD" w:rsidP="009F33FD">
      <w:pPr>
        <w:spacing w:after="0"/>
        <w:ind w:firstLine="1440"/>
        <w:rPr>
          <w:rFonts w:cs="Times New Roman"/>
        </w:rPr>
      </w:pPr>
    </w:p>
    <w:p w:rsidR="00C11E76" w:rsidRDefault="00C11E76" w:rsidP="009F33FD">
      <w:pPr>
        <w:spacing w:after="0"/>
        <w:rPr>
          <w:rFonts w:cs="Times New Roman"/>
          <w:u w:val="single"/>
        </w:rPr>
      </w:pPr>
      <w:r w:rsidRPr="00C11E76">
        <w:rPr>
          <w:rFonts w:cs="Times New Roman"/>
          <w:u w:val="single"/>
        </w:rPr>
        <w:t>Applicable Regulatory Standards</w:t>
      </w:r>
    </w:p>
    <w:p w:rsidR="00C11E76" w:rsidRPr="00C11E76" w:rsidRDefault="00C11E76" w:rsidP="009F33FD">
      <w:pPr>
        <w:spacing w:after="0"/>
        <w:rPr>
          <w:u w:val="single"/>
        </w:rPr>
      </w:pPr>
    </w:p>
    <w:p w:rsidR="00093980" w:rsidRDefault="00093980" w:rsidP="007524D6">
      <w:pPr>
        <w:spacing w:after="0"/>
        <w:ind w:firstLine="1440"/>
      </w:pPr>
      <w:r>
        <w:t xml:space="preserve">Section 1501 of the Public Utility Code requires regulated utilities to maintain their facilities </w:t>
      </w:r>
      <w:r w:rsidR="00023DD3">
        <w:t>to enable utilities</w:t>
      </w:r>
      <w:r>
        <w:t xml:space="preserve"> to render reasonably continuous service:</w:t>
      </w:r>
    </w:p>
    <w:p w:rsidR="00CD4023" w:rsidRDefault="00CD4023" w:rsidP="009F33FD">
      <w:pPr>
        <w:spacing w:after="0" w:line="240" w:lineRule="auto"/>
        <w:ind w:left="1440" w:right="1440" w:firstLine="720"/>
      </w:pPr>
    </w:p>
    <w:p w:rsidR="00093980" w:rsidRDefault="00093980" w:rsidP="009F33FD">
      <w:pPr>
        <w:spacing w:after="0" w:line="240" w:lineRule="auto"/>
        <w:ind w:left="1440" w:right="1440" w:firstLine="720"/>
      </w:pPr>
      <w: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w:t>
      </w:r>
      <w:r w:rsidR="000674D5">
        <w:t xml:space="preserve"> convenience, and safety of its patrons, employees, and the public.</w:t>
      </w:r>
    </w:p>
    <w:p w:rsidR="000674D5" w:rsidRDefault="000674D5" w:rsidP="009F33FD">
      <w:pPr>
        <w:spacing w:after="0"/>
      </w:pPr>
    </w:p>
    <w:p w:rsidR="000674D5" w:rsidRDefault="000674D5" w:rsidP="009F33FD">
      <w:pPr>
        <w:spacing w:after="0"/>
      </w:pPr>
      <w:r>
        <w:t>A telephone utility’s obligation to render reasonable and continuous service is further defined by the Commission’s regulations in Chapter 63.  Specifically, Section 63.24(a) requires:</w:t>
      </w:r>
    </w:p>
    <w:p w:rsidR="000674D5" w:rsidRDefault="000674D5" w:rsidP="009F33FD">
      <w:pPr>
        <w:spacing w:after="0"/>
      </w:pPr>
    </w:p>
    <w:p w:rsidR="000674D5" w:rsidRDefault="000674D5" w:rsidP="009F33FD">
      <w:pPr>
        <w:spacing w:after="0" w:line="240" w:lineRule="auto"/>
        <w:ind w:left="1440" w:right="1440"/>
      </w:pPr>
      <w:r>
        <w:t>Each public utility shall endeavor to maintain its entire system in such condition as to make it possible to furnish continuous service, and shall take reasonable measures to prevent interruptions of service and to restore service with a minimum delay if interruptions occur.</w:t>
      </w:r>
    </w:p>
    <w:p w:rsidR="000674D5" w:rsidRDefault="000674D5" w:rsidP="009F33FD">
      <w:pPr>
        <w:spacing w:after="0"/>
      </w:pPr>
    </w:p>
    <w:p w:rsidR="000674D5" w:rsidRDefault="00CD4023" w:rsidP="009F33FD">
      <w:pPr>
        <w:spacing w:after="0"/>
      </w:pPr>
      <w:r>
        <w:t>When a customer reports an</w:t>
      </w:r>
      <w:r w:rsidR="000674D5">
        <w:t xml:space="preserve"> outage to a telephone utility, the Commission’s regulations also require the utility to respond within a certain period of time</w:t>
      </w:r>
      <w:r w:rsidR="0012108E">
        <w:t xml:space="preserve"> and to honor repair commitments</w:t>
      </w:r>
      <w:r w:rsidR="000674D5">
        <w:t>:</w:t>
      </w:r>
    </w:p>
    <w:p w:rsidR="000674D5" w:rsidRDefault="000674D5" w:rsidP="009F33FD">
      <w:pPr>
        <w:spacing w:after="0"/>
      </w:pPr>
    </w:p>
    <w:p w:rsidR="000674D5" w:rsidRDefault="000674D5" w:rsidP="009F33FD">
      <w:pPr>
        <w:spacing w:after="0" w:line="240" w:lineRule="auto"/>
        <w:ind w:left="1440" w:right="1350"/>
      </w:pPr>
      <w:r>
        <w:lastRenderedPageBreak/>
        <w:tab/>
        <w:t>(a)</w:t>
      </w:r>
      <w:r>
        <w:tab/>
        <w:t>A public utility shall respond to and take substantial action to clear out-of-service trouble of an emergency nature whenever the outage occurs, within 3 hours of the reported outage consistent with the needs of customers and personal safety of utility personnel.</w:t>
      </w:r>
    </w:p>
    <w:p w:rsidR="009F33FD" w:rsidRDefault="009F33FD" w:rsidP="009F33FD">
      <w:pPr>
        <w:spacing w:after="0" w:line="240" w:lineRule="auto"/>
        <w:ind w:left="1440" w:right="1350"/>
      </w:pPr>
    </w:p>
    <w:p w:rsidR="000674D5" w:rsidRDefault="000674D5" w:rsidP="009F33FD">
      <w:pPr>
        <w:spacing w:after="0" w:line="240" w:lineRule="auto"/>
        <w:ind w:left="1440" w:right="1350"/>
      </w:pPr>
      <w:r>
        <w:tab/>
        <w:t>(b)</w:t>
      </w:r>
      <w:r>
        <w:tab/>
        <w:t>A public utility shall respond to and take substantial action to clear other out-of-service trouble, not requiring unusual repair, within 24 hours of the report, except for isolated weekend outages affecting fewer than 15 customers in an exchange or where the customer agrees to another arrangement.</w:t>
      </w:r>
    </w:p>
    <w:p w:rsidR="00334C7C" w:rsidRDefault="00334C7C" w:rsidP="009F33FD">
      <w:pPr>
        <w:spacing w:after="0" w:line="240" w:lineRule="auto"/>
        <w:ind w:left="1440" w:right="1350"/>
      </w:pPr>
    </w:p>
    <w:p w:rsidR="000674D5" w:rsidRDefault="000674D5" w:rsidP="009F33FD">
      <w:pPr>
        <w:spacing w:after="0" w:line="240" w:lineRule="auto"/>
        <w:ind w:left="1440" w:right="1350"/>
      </w:pPr>
      <w:r>
        <w:tab/>
        <w:t xml:space="preserve">(c) </w:t>
      </w:r>
      <w:r>
        <w:tab/>
        <w:t>A public utility</w:t>
      </w:r>
      <w:r w:rsidR="00FA3C5F">
        <w:t xml:space="preserve"> shall kee</w:t>
      </w:r>
      <w:r>
        <w:t>p commitments made to its customers an</w:t>
      </w:r>
      <w:r w:rsidR="00396D28">
        <w:t>d</w:t>
      </w:r>
      <w:r>
        <w:t xml:space="preserve"> applicants, unless timely notice of unavoidable changes is given to the cus</w:t>
      </w:r>
      <w:r w:rsidR="00CA2621">
        <w:t>tomer or applicant or a reasona</w:t>
      </w:r>
      <w:r>
        <w:t>b</w:t>
      </w:r>
      <w:r w:rsidR="00CA2621">
        <w:t>l</w:t>
      </w:r>
      <w:r>
        <w:t>e attempt is made to convey the notice.</w:t>
      </w:r>
      <w:r w:rsidR="00396D28">
        <w:rPr>
          <w:rStyle w:val="FootnoteReference"/>
        </w:rPr>
        <w:footnoteReference w:id="8"/>
      </w:r>
    </w:p>
    <w:p w:rsidR="00B26DD4" w:rsidRDefault="00B26DD4" w:rsidP="009F33FD">
      <w:pPr>
        <w:spacing w:after="0"/>
      </w:pPr>
    </w:p>
    <w:p w:rsidR="001268C7" w:rsidRDefault="005F4601" w:rsidP="009F33FD">
      <w:pPr>
        <w:spacing w:after="0"/>
      </w:pPr>
      <w:r>
        <w:t xml:space="preserve">The Commission’s regulations do not define what it means to “take substantial action.”  </w:t>
      </w:r>
      <w:r w:rsidR="00264C4C">
        <w:t>However, t</w:t>
      </w:r>
      <w:r>
        <w:t xml:space="preserve">he Commission </w:t>
      </w:r>
      <w:r w:rsidR="00264C4C">
        <w:t xml:space="preserve">has </w:t>
      </w:r>
      <w:r>
        <w:t xml:space="preserve">held in </w:t>
      </w:r>
      <w:r w:rsidR="001C450F">
        <w:t xml:space="preserve">decisions, that although the regulation does not require the utility </w:t>
      </w:r>
      <w:r w:rsidR="00CD4023">
        <w:t xml:space="preserve">to </w:t>
      </w:r>
      <w:r w:rsidR="001C450F">
        <w:t xml:space="preserve">have telephone service </w:t>
      </w:r>
      <w:r w:rsidR="00A75CA5">
        <w:t>repair</w:t>
      </w:r>
      <w:r w:rsidR="00A93895">
        <w:t>s</w:t>
      </w:r>
      <w:r w:rsidR="00A75CA5">
        <w:t xml:space="preserve"> completed</w:t>
      </w:r>
      <w:r w:rsidR="001C450F">
        <w:t xml:space="preserve"> within 3 hours of an emergency outage report or 24 hours of a non-emergency outage report, the utility is required to at least dispatch a technician and begin to make repairs within that period of time.</w:t>
      </w:r>
      <w:r w:rsidR="001C450F">
        <w:rPr>
          <w:rStyle w:val="FootnoteReference"/>
        </w:rPr>
        <w:footnoteReference w:id="9"/>
      </w:r>
    </w:p>
    <w:p w:rsidR="00334C7C" w:rsidRDefault="00334C7C" w:rsidP="009F33FD">
      <w:pPr>
        <w:spacing w:after="0"/>
      </w:pPr>
    </w:p>
    <w:p w:rsidR="00D17680" w:rsidRPr="00B40636" w:rsidRDefault="00D17680" w:rsidP="009F33FD">
      <w:pPr>
        <w:spacing w:after="0"/>
        <w:ind w:firstLine="1440"/>
        <w:rPr>
          <w:rFonts w:cs="Times New Roman"/>
        </w:rPr>
      </w:pPr>
      <w:r w:rsidRPr="00B40636">
        <w:rPr>
          <w:rFonts w:cs="Times New Roman"/>
          <w:snapToGrid w:val="0"/>
        </w:rPr>
        <w:t>Section 3301 of the Public Utility Code provides that if any public utility fails to comply with any Commission regulation it shall forfeit and pay to the Commonwealth a sum not exceeding $1,000.00</w:t>
      </w:r>
      <w:r w:rsidR="0012108E">
        <w:rPr>
          <w:rFonts w:cs="Times New Roman"/>
          <w:snapToGrid w:val="0"/>
        </w:rPr>
        <w:t xml:space="preserve"> per day of violation</w:t>
      </w:r>
      <w:r>
        <w:rPr>
          <w:rFonts w:cs="Times New Roman"/>
          <w:snapToGrid w:val="0"/>
        </w:rPr>
        <w:t>.</w:t>
      </w:r>
      <w:r>
        <w:rPr>
          <w:rStyle w:val="FootnoteReference"/>
          <w:rFonts w:cs="Times New Roman"/>
          <w:snapToGrid w:val="0"/>
        </w:rPr>
        <w:footnoteReference w:id="10"/>
      </w:r>
      <w:r>
        <w:rPr>
          <w:rFonts w:cs="Times New Roman"/>
          <w:snapToGrid w:val="0"/>
        </w:rPr>
        <w:t xml:space="preserve">  To implement this section, t</w:t>
      </w:r>
      <w:r w:rsidRPr="00B40636">
        <w:rPr>
          <w:rFonts w:cs="Times New Roman"/>
          <w:snapToGrid w:val="0"/>
        </w:rPr>
        <w:t>he Commission has adopted certain standards that must be applied when imposing a civil penalty for violations of Commission directives and regulations.</w:t>
      </w:r>
      <w:r>
        <w:rPr>
          <w:rStyle w:val="FootnoteReference"/>
          <w:rFonts w:cs="Times New Roman"/>
          <w:snapToGrid w:val="0"/>
        </w:rPr>
        <w:footnoteReference w:id="11"/>
      </w:r>
      <w:r w:rsidRPr="00B40636">
        <w:rPr>
          <w:rFonts w:cs="Times New Roman"/>
          <w:snapToGrid w:val="0"/>
        </w:rPr>
        <w:t xml:space="preserve">  </w:t>
      </w:r>
      <w:r w:rsidRPr="00B40636">
        <w:rPr>
          <w:rFonts w:cs="Times New Roman"/>
        </w:rPr>
        <w:t>Section 69.1201(a) of the Commission’s regulations states:</w:t>
      </w:r>
    </w:p>
    <w:p w:rsidR="004E58F6" w:rsidRDefault="004E58F6" w:rsidP="009F33FD">
      <w:pPr>
        <w:spacing w:after="0" w:line="240" w:lineRule="auto"/>
        <w:ind w:left="1440" w:right="1440"/>
        <w:rPr>
          <w:rFonts w:cs="Times New Roman"/>
        </w:rPr>
      </w:pPr>
    </w:p>
    <w:p w:rsidR="00D17680" w:rsidRPr="00B40636" w:rsidRDefault="00D17680" w:rsidP="009F33FD">
      <w:pPr>
        <w:spacing w:after="0" w:line="240" w:lineRule="auto"/>
        <w:ind w:left="1440" w:right="1440"/>
        <w:rPr>
          <w:rFonts w:cs="Times New Roman"/>
        </w:rPr>
      </w:pPr>
      <w:r w:rsidRPr="00B40636">
        <w:rPr>
          <w:rFonts w:cs="Times New Roman"/>
        </w:rPr>
        <w:lastRenderedPageBreak/>
        <w:t>The Commission will consider specific factors</w:t>
      </w:r>
      <w:r w:rsidR="00115A09">
        <w:rPr>
          <w:rFonts w:cs="Times New Roman"/>
        </w:rPr>
        <w:t xml:space="preserve"> and standards</w:t>
      </w:r>
      <w:r w:rsidRPr="00B40636">
        <w:rPr>
          <w:rFonts w:cs="Times New Roman"/>
        </w:rPr>
        <w:t xml:space="preserve">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sidR="0012108E">
        <w:rPr>
          <w:rStyle w:val="FootnoteReference"/>
          <w:rFonts w:cs="Times New Roman"/>
        </w:rPr>
        <w:footnoteReference w:id="12"/>
      </w:r>
      <w:r w:rsidRPr="00B40636">
        <w:rPr>
          <w:rFonts w:cs="Times New Roman"/>
        </w:rPr>
        <w:t xml:space="preserve">  </w:t>
      </w:r>
    </w:p>
    <w:p w:rsidR="00D17680" w:rsidRPr="00B40636" w:rsidRDefault="00D17680" w:rsidP="009F33FD">
      <w:pPr>
        <w:spacing w:after="0"/>
        <w:ind w:left="1440" w:right="1440"/>
        <w:rPr>
          <w:rFonts w:cs="Times New Roman"/>
        </w:rPr>
      </w:pPr>
    </w:p>
    <w:p w:rsidR="00D17680" w:rsidRPr="00B40636" w:rsidRDefault="00D17680" w:rsidP="009F33FD">
      <w:pPr>
        <w:spacing w:after="0"/>
        <w:outlineLvl w:val="0"/>
        <w:rPr>
          <w:rFonts w:cs="Times New Roman"/>
        </w:rPr>
      </w:pPr>
      <w:r>
        <w:rPr>
          <w:rFonts w:cs="Times New Roman"/>
        </w:rPr>
        <w:t xml:space="preserve">These </w:t>
      </w:r>
      <w:r w:rsidRPr="00B40636">
        <w:rPr>
          <w:rFonts w:cs="Times New Roman"/>
        </w:rPr>
        <w:t>factors and standards to be considered</w:t>
      </w:r>
      <w:r>
        <w:rPr>
          <w:rFonts w:cs="Times New Roman"/>
        </w:rPr>
        <w:t xml:space="preserve"> are enumerated in subsection (c)</w:t>
      </w:r>
      <w:r w:rsidRPr="00B40636">
        <w:rPr>
          <w:rFonts w:cs="Times New Roman"/>
        </w:rPr>
        <w:t>:</w:t>
      </w:r>
    </w:p>
    <w:p w:rsidR="00EF0254" w:rsidRDefault="00EF0254"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(1)</w:t>
      </w:r>
      <w:r w:rsidRPr="00B40636">
        <w:rPr>
          <w:rFonts w:cs="Times New Roman"/>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34C7C" w:rsidRPr="00B40636" w:rsidRDefault="00334C7C"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(2)</w:t>
      </w:r>
      <w:r w:rsidRPr="00B40636">
        <w:rPr>
          <w:rFonts w:cs="Times New Roman"/>
        </w:rPr>
        <w:tab/>
        <w:t>Whether the resulting consequences of the conduct at issue were of a serious nature.  When consequences of a serious nature are involved, such as personal injury or property damage, the consequences may warrant a higher penalty.</w:t>
      </w:r>
    </w:p>
    <w:p w:rsidR="00334C7C" w:rsidRPr="00B40636" w:rsidRDefault="00334C7C"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(3)</w:t>
      </w:r>
      <w:r w:rsidRPr="00B40636">
        <w:rPr>
          <w:rFonts w:cs="Times New Roman"/>
        </w:rPr>
        <w:tab/>
        <w:t>Whether the conduct at issue was deemed intentional or negligent.  This factor may only be considered in evaluating litigated cases.  When conduct has been deemed intentional, the conduct may result in a higher penalty.</w:t>
      </w:r>
    </w:p>
    <w:p w:rsidR="00334C7C" w:rsidRPr="00B40636" w:rsidRDefault="00334C7C" w:rsidP="009F33FD">
      <w:pPr>
        <w:spacing w:after="0" w:line="240" w:lineRule="auto"/>
        <w:ind w:left="1440" w:right="1440"/>
        <w:rPr>
          <w:rFonts w:cs="Times New Roman"/>
        </w:rPr>
      </w:pPr>
    </w:p>
    <w:p w:rsidR="00D17680" w:rsidRPr="00B40636" w:rsidRDefault="00D17680" w:rsidP="009F33FD">
      <w:pPr>
        <w:spacing w:after="0" w:line="240" w:lineRule="auto"/>
        <w:ind w:left="1440" w:right="1440"/>
        <w:rPr>
          <w:rFonts w:cs="Times New Roman"/>
        </w:rPr>
      </w:pPr>
      <w:r w:rsidRPr="00B40636">
        <w:rPr>
          <w:rFonts w:cs="Times New Roman"/>
        </w:rPr>
        <w:t>(4)</w:t>
      </w:r>
      <w:r w:rsidRPr="00B40636">
        <w:rPr>
          <w:rFonts w:cs="Times New Roman"/>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D17680" w:rsidRPr="00B40636" w:rsidRDefault="00D17680"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(5)</w:t>
      </w:r>
      <w:r w:rsidRPr="00B40636">
        <w:rPr>
          <w:rFonts w:cs="Times New Roman"/>
        </w:rPr>
        <w:tab/>
        <w:t>The number of customers affected and the duration of the violation.</w:t>
      </w:r>
    </w:p>
    <w:p w:rsidR="00334C7C" w:rsidRPr="00B40636" w:rsidRDefault="00334C7C"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(6)</w:t>
      </w:r>
      <w:r w:rsidRPr="00B40636">
        <w:rPr>
          <w:rFonts w:cs="Times New Roman"/>
        </w:rPr>
        <w:tab/>
        <w:t>The compliance history of the regulated entity which committed the violation.  An isolated incident from an otherwise compliant utility may result in a lower penalty, whereas frequent, recurrent violations by a utility may result in a higher penalty.</w:t>
      </w:r>
    </w:p>
    <w:p w:rsidR="00334C7C" w:rsidRPr="00B40636" w:rsidRDefault="00334C7C"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(7)</w:t>
      </w:r>
      <w:r w:rsidRPr="00B40636">
        <w:rPr>
          <w:rFonts w:cs="Times New Roman"/>
        </w:rPr>
        <w:tab/>
        <w:t xml:space="preserve">Whether the regulated entity cooperated with the Commission’s investigation.  Facts establishing bad faith, active </w:t>
      </w:r>
      <w:r w:rsidRPr="00B40636">
        <w:rPr>
          <w:rFonts w:cs="Times New Roman"/>
        </w:rPr>
        <w:lastRenderedPageBreak/>
        <w:t>concealment of violations or attempts to interfere with Commission investigations may result in a higher penalty.</w:t>
      </w:r>
    </w:p>
    <w:p w:rsidR="00EF0254" w:rsidRPr="00B40636" w:rsidRDefault="00EF0254"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(8)</w:t>
      </w:r>
      <w:r w:rsidRPr="00B40636">
        <w:rPr>
          <w:rFonts w:cs="Times New Roman"/>
        </w:rPr>
        <w:tab/>
        <w:t>The amount of the civil penalty or fine necessary to deter future violations.  The size of the utility may be considered to determine an appropriate penalty amount.</w:t>
      </w:r>
    </w:p>
    <w:p w:rsidR="00EF0254" w:rsidRPr="00B40636" w:rsidRDefault="00EF0254" w:rsidP="009F33FD">
      <w:pPr>
        <w:spacing w:after="0" w:line="240" w:lineRule="auto"/>
        <w:ind w:left="1440" w:right="1440"/>
        <w:rPr>
          <w:rFonts w:cs="Times New Roman"/>
        </w:rPr>
      </w:pPr>
    </w:p>
    <w:p w:rsidR="00D17680" w:rsidRDefault="00D17680" w:rsidP="009F33FD">
      <w:pPr>
        <w:spacing w:after="0" w:line="240" w:lineRule="auto"/>
        <w:ind w:left="1440" w:right="1440"/>
        <w:rPr>
          <w:rFonts w:cs="Times New Roman"/>
        </w:rPr>
      </w:pPr>
      <w:r w:rsidRPr="00B40636">
        <w:rPr>
          <w:rFonts w:cs="Times New Roman"/>
        </w:rPr>
        <w:t>(9)</w:t>
      </w:r>
      <w:r w:rsidRPr="00B40636">
        <w:rPr>
          <w:rFonts w:cs="Times New Roman"/>
        </w:rPr>
        <w:tab/>
        <w:t>Past Commission decision in similar situations.</w:t>
      </w:r>
    </w:p>
    <w:p w:rsidR="00334C7C" w:rsidRPr="00B40636" w:rsidRDefault="00334C7C" w:rsidP="009F33FD">
      <w:pPr>
        <w:spacing w:after="0" w:line="240" w:lineRule="auto"/>
        <w:ind w:left="1440" w:right="1440"/>
        <w:rPr>
          <w:rFonts w:cs="Times New Roman"/>
        </w:rPr>
      </w:pPr>
    </w:p>
    <w:p w:rsidR="000674D5" w:rsidRDefault="00D17680" w:rsidP="007524D6">
      <w:pPr>
        <w:spacing w:after="0"/>
        <w:ind w:left="1440" w:right="1440"/>
        <w:rPr>
          <w:rFonts w:cs="Times New Roman"/>
        </w:rPr>
      </w:pPr>
      <w:r>
        <w:rPr>
          <w:rFonts w:cs="Times New Roman"/>
        </w:rPr>
        <w:t>(10)</w:t>
      </w:r>
      <w:r>
        <w:rPr>
          <w:rFonts w:cs="Times New Roman"/>
        </w:rPr>
        <w:tab/>
        <w:t>Other relevant factors.</w:t>
      </w:r>
      <w:r>
        <w:rPr>
          <w:rStyle w:val="FootnoteReference"/>
          <w:rFonts w:cs="Times New Roman"/>
        </w:rPr>
        <w:footnoteReference w:id="13"/>
      </w:r>
    </w:p>
    <w:p w:rsidR="00334C7C" w:rsidRDefault="00334C7C" w:rsidP="007524D6">
      <w:pPr>
        <w:spacing w:after="0"/>
        <w:ind w:left="1440" w:right="1440"/>
        <w:rPr>
          <w:rFonts w:cs="Times New Roman"/>
        </w:rPr>
      </w:pPr>
    </w:p>
    <w:p w:rsidR="00982B21" w:rsidRDefault="00982B21" w:rsidP="007524D6">
      <w:pPr>
        <w:spacing w:after="0"/>
        <w:ind w:right="1440"/>
        <w:rPr>
          <w:rFonts w:cs="Times New Roman"/>
        </w:rPr>
      </w:pPr>
      <w:r>
        <w:rPr>
          <w:rFonts w:cs="Times New Roman"/>
        </w:rPr>
        <w:t>With these principles in mind, each of the outages</w:t>
      </w:r>
      <w:r w:rsidR="009B2710">
        <w:rPr>
          <w:rFonts w:cs="Times New Roman"/>
        </w:rPr>
        <w:t xml:space="preserve"> </w:t>
      </w:r>
      <w:r w:rsidR="00B90203">
        <w:rPr>
          <w:rFonts w:cs="Times New Roman"/>
        </w:rPr>
        <w:t xml:space="preserve">is </w:t>
      </w:r>
      <w:r w:rsidR="009B2710">
        <w:rPr>
          <w:rFonts w:cs="Times New Roman"/>
        </w:rPr>
        <w:t>considered below.</w:t>
      </w:r>
    </w:p>
    <w:p w:rsidR="00334C7C" w:rsidRDefault="00334C7C" w:rsidP="007524D6">
      <w:pPr>
        <w:spacing w:after="0"/>
        <w:ind w:right="1440"/>
        <w:rPr>
          <w:rFonts w:cs="Times New Roman"/>
        </w:rPr>
      </w:pPr>
    </w:p>
    <w:p w:rsidR="00AE5C67" w:rsidRDefault="00AE5C67" w:rsidP="007524D6">
      <w:pPr>
        <w:spacing w:after="0"/>
        <w:ind w:right="1440"/>
        <w:rPr>
          <w:rFonts w:cs="Times New Roman"/>
          <w:u w:val="single"/>
        </w:rPr>
      </w:pPr>
      <w:r w:rsidRPr="00AE5C67">
        <w:rPr>
          <w:rFonts w:cs="Times New Roman"/>
          <w:u w:val="single"/>
        </w:rPr>
        <w:t>Fall 2009 Outages</w:t>
      </w:r>
    </w:p>
    <w:p w:rsidR="00334C7C" w:rsidRDefault="00334C7C" w:rsidP="007524D6">
      <w:pPr>
        <w:spacing w:after="0"/>
        <w:ind w:right="1440"/>
        <w:rPr>
          <w:rFonts w:cs="Times New Roman"/>
          <w:u w:val="single"/>
        </w:rPr>
      </w:pPr>
    </w:p>
    <w:p w:rsidR="00AE5C67" w:rsidRDefault="00AE5C67" w:rsidP="007524D6">
      <w:pPr>
        <w:spacing w:after="0"/>
        <w:ind w:firstLine="1440"/>
      </w:pPr>
      <w:r>
        <w:t>The Complain</w:t>
      </w:r>
      <w:r w:rsidR="00EF0254">
        <w:t>an</w:t>
      </w:r>
      <w:r>
        <w:t xml:space="preserve">t called Verizon to report a service outage two times in the fall of 2009. </w:t>
      </w:r>
      <w:r w:rsidR="00EF0254">
        <w:t xml:space="preserve"> </w:t>
      </w:r>
      <w:r>
        <w:t>The first outage was reported on Friday, October 9, 2009 at 6:37 a.m.</w:t>
      </w:r>
      <w:r w:rsidR="00EF0254">
        <w:t xml:space="preserve">  T</w:t>
      </w:r>
      <w:r>
        <w:t xml:space="preserve">he Complainant called Verizon to complain that he had no dial tone.  Verizon made a commitment for Tuesday, October 13, 2009 by 7:00 </w:t>
      </w:r>
      <w:r w:rsidR="00166FCB">
        <w:t xml:space="preserve">p.m. </w:t>
      </w:r>
      <w:r w:rsidR="00EF0254">
        <w:t xml:space="preserve"> </w:t>
      </w:r>
      <w:r>
        <w:t xml:space="preserve">The Complainant was told to check his Customer Premise Equipment (CPE), which verified that he had no dial tone on his telephone units. </w:t>
      </w:r>
      <w:r w:rsidR="00EF0254">
        <w:t xml:space="preserve"> </w:t>
      </w:r>
      <w:r>
        <w:t xml:space="preserve">Service was restored on Saturday, October 10, 2009 at 3:00 </w:t>
      </w:r>
      <w:r w:rsidR="00166FCB">
        <w:t>p.m.</w:t>
      </w:r>
      <w:r>
        <w:t xml:space="preserve">  At the time the technician checked the lines, the technician did not find any defect in Verizon’s facilities.</w:t>
      </w:r>
      <w:r>
        <w:rPr>
          <w:rStyle w:val="FootnoteReference"/>
        </w:rPr>
        <w:footnoteReference w:id="14"/>
      </w:r>
      <w:r>
        <w:t xml:space="preserve"> </w:t>
      </w:r>
    </w:p>
    <w:p w:rsidR="00334C7C" w:rsidRDefault="00334C7C" w:rsidP="009F33FD">
      <w:pPr>
        <w:spacing w:after="0"/>
        <w:ind w:firstLine="1440"/>
      </w:pPr>
    </w:p>
    <w:p w:rsidR="00AE5C67" w:rsidRDefault="00545584" w:rsidP="009F33FD">
      <w:pPr>
        <w:spacing w:after="0"/>
        <w:ind w:firstLine="1440"/>
      </w:pPr>
      <w:r>
        <w:t>Less than a week later, o</w:t>
      </w:r>
      <w:r w:rsidR="00AE5C67">
        <w:t>n Thursday, October 15, 2009 at 3:58 p.m. the Complainant called Verizon to complain that there was humming and static on the line.  Verizon made a commitment for Monday, October 19, 2009 by 7:00 p.m.  On October 19, 2009 at 12:30</w:t>
      </w:r>
      <w:r w:rsidR="00900A28">
        <w:t> </w:t>
      </w:r>
      <w:r w:rsidR="00AE5C67">
        <w:t xml:space="preserve">p.m. the technician </w:t>
      </w:r>
      <w:r w:rsidR="00E90F08">
        <w:t xml:space="preserve">found </w:t>
      </w:r>
      <w:r w:rsidR="00AE5C67">
        <w:t>no problems on Verizon’s facilities.</w:t>
      </w:r>
      <w:r w:rsidR="00AE5C67">
        <w:rPr>
          <w:rStyle w:val="FootnoteReference"/>
        </w:rPr>
        <w:footnoteReference w:id="15"/>
      </w:r>
      <w:r w:rsidR="00AE5C67">
        <w:t xml:space="preserve"> </w:t>
      </w:r>
    </w:p>
    <w:p w:rsidR="00334C7C" w:rsidRDefault="00334C7C" w:rsidP="009F33FD">
      <w:pPr>
        <w:spacing w:after="0"/>
        <w:ind w:firstLine="1440"/>
      </w:pPr>
    </w:p>
    <w:p w:rsidR="005A345C" w:rsidRDefault="005A345C" w:rsidP="009F33FD">
      <w:pPr>
        <w:spacing w:after="0"/>
        <w:ind w:firstLine="1440"/>
      </w:pPr>
      <w:r>
        <w:t>In both of these instances, Verizon failed to dispatch a technician within 24 hours of the customer outage report, which violat</w:t>
      </w:r>
      <w:r w:rsidR="00115A09">
        <w:t>e</w:t>
      </w:r>
      <w:r>
        <w:t xml:space="preserve">s Section 62.57(b) of the Commission’s regulations.  Although Verizon found no defect in its facilities by the time the technician did check the lines, </w:t>
      </w:r>
      <w:r>
        <w:lastRenderedPageBreak/>
        <w:t>the Complainant testified that he lost telephone service when it rained and the lines got wet.  When the lines dried, service was restored.  Verizon did not dispute this testimony.  I find the Complainant’s testimony credible on this point.  Nor did Verizon present any evidence that the loss of service was due to the Complainant’s equipment.  Indeed, the customer trouble report for October 9, 2009 indicates that the Complainant checked his equipment in accordance with the instructions of Verizon and still had no dial tone.  Therefore the fact that the Verizon technician did not find a problem in Verizon’s lines at the time he examined them, does not mean that they were in proper working order at the time the Complainant called with the trouble report.  I am persuaded by the Complainant’s testimony that he lost service every time the lines were wet</w:t>
      </w:r>
      <w:r w:rsidR="006C25BA">
        <w:t>.</w:t>
      </w:r>
      <w:r w:rsidR="006C25BA">
        <w:rPr>
          <w:rStyle w:val="FootnoteReference"/>
        </w:rPr>
        <w:footnoteReference w:id="16"/>
      </w:r>
      <w:r>
        <w:t xml:space="preserve"> </w:t>
      </w:r>
      <w:r w:rsidR="008E4D59">
        <w:t xml:space="preserve"> It is also persuasive that </w:t>
      </w:r>
      <w:r>
        <w:t>there were two trouble report</w:t>
      </w:r>
      <w:r w:rsidR="008E4D59">
        <w:t xml:space="preserve">s within a short period of time. </w:t>
      </w:r>
      <w:r w:rsidR="008F2D1C">
        <w:t xml:space="preserve"> </w:t>
      </w:r>
      <w:r w:rsidR="008E4D59">
        <w:t>Therefore</w:t>
      </w:r>
      <w:r w:rsidR="000B5C86">
        <w:t>,</w:t>
      </w:r>
      <w:r>
        <w:t xml:space="preserve"> it is more likely than not that Verizon’s facilities caused the Complainant’s inadequate telephone service.</w:t>
      </w:r>
    </w:p>
    <w:p w:rsidR="00334C7C" w:rsidRDefault="00334C7C" w:rsidP="009F33FD">
      <w:pPr>
        <w:spacing w:after="0"/>
        <w:ind w:firstLine="1440"/>
      </w:pPr>
    </w:p>
    <w:p w:rsidR="00334C7C" w:rsidRDefault="00AF220E" w:rsidP="009F33FD">
      <w:pPr>
        <w:spacing w:after="0"/>
        <w:ind w:firstLine="1440"/>
      </w:pPr>
      <w:r>
        <w:t>Having concluded that Verizon failed to respond within 24 hours as required by Section 63.57(b) and failed to provide reasonably continuous service in violation of Section 63.24, a civil penalty is appropriate.  A failure to provide reasonably continuous telephone service is a serious matter</w:t>
      </w:r>
      <w:r w:rsidR="002E7ED0">
        <w:t xml:space="preserve"> and weigh</w:t>
      </w:r>
      <w:r w:rsidR="00115A09">
        <w:t>s</w:t>
      </w:r>
      <w:r w:rsidR="002E7ED0">
        <w:t xml:space="preserve"> in favor of a higher penalty</w:t>
      </w:r>
      <w:r>
        <w:t>.</w:t>
      </w:r>
      <w:r w:rsidR="002E7ED0">
        <w:t xml:space="preserve"> </w:t>
      </w:r>
      <w:r w:rsidR="004C4351">
        <w:t>These outages were a day or more in duration, which weighs in favor of a higher penalty.</w:t>
      </w:r>
      <w:r w:rsidR="002E7ED0">
        <w:t xml:space="preserve"> Similar</w:t>
      </w:r>
      <w:r w:rsidR="000B5C86">
        <w:t>ly</w:t>
      </w:r>
      <w:r w:rsidR="002E7ED0">
        <w:t xml:space="preserve"> deterrence of future violations is always an important consideration as well, especially when considered in the context of the other outages reported by the Complainant.</w:t>
      </w:r>
      <w:r w:rsidR="000B5C86">
        <w:t xml:space="preserve">  A substantial penalty not only sends a signal to Verizon to ensure that in the future it puts plans in place to avoid future violations of the Public Utility Code, but it sends a signal to other utilities as well that a failure to maintain adequate facilities will have consequences.</w:t>
      </w:r>
      <w:r>
        <w:t xml:space="preserve"> </w:t>
      </w:r>
    </w:p>
    <w:p w:rsidR="000B5C86" w:rsidRDefault="00AF220E" w:rsidP="009F33FD">
      <w:pPr>
        <w:spacing w:after="0"/>
        <w:ind w:firstLine="1440"/>
      </w:pPr>
      <w:r>
        <w:t xml:space="preserve"> </w:t>
      </w:r>
    </w:p>
    <w:p w:rsidR="00334C7C" w:rsidRDefault="00AF220E" w:rsidP="009F33FD">
      <w:pPr>
        <w:spacing w:after="0"/>
        <w:ind w:firstLine="1440"/>
      </w:pPr>
      <w:r>
        <w:t xml:space="preserve">However, neither of these outages had especially serious consequences, nor is there any evidence that there were numerous customers affected. </w:t>
      </w:r>
      <w:r w:rsidR="005B6094">
        <w:t xml:space="preserve"> </w:t>
      </w:r>
      <w:r>
        <w:t>There is no evidence in the record which suggests that the</w:t>
      </w:r>
      <w:r w:rsidR="004D76BC">
        <w:t xml:space="preserve"> outages</w:t>
      </w:r>
      <w:r>
        <w:t xml:space="preserve"> were the result of intentional misconduct on the part of Verizon.  Indeed, the Complainant did not specifically mention these outages at the hearing or in </w:t>
      </w:r>
      <w:r>
        <w:lastRenderedPageBreak/>
        <w:t xml:space="preserve">his complaint. </w:t>
      </w:r>
      <w:r w:rsidR="008F2D1C">
        <w:t xml:space="preserve"> </w:t>
      </w:r>
      <w:r>
        <w:t xml:space="preserve">Rather, they were reported by Verizon </w:t>
      </w:r>
      <w:r w:rsidR="002E7ED0">
        <w:t>in the presentation of its case</w:t>
      </w:r>
      <w:r w:rsidR="004D76BC">
        <w:t xml:space="preserve">, which is to </w:t>
      </w:r>
      <w:r w:rsidR="0028164D">
        <w:t>its</w:t>
      </w:r>
      <w:r w:rsidR="004D76BC">
        <w:t xml:space="preserve"> credit</w:t>
      </w:r>
      <w:r w:rsidR="002E7ED0">
        <w:t xml:space="preserve">.  These </w:t>
      </w:r>
      <w:r w:rsidR="002E7ED0" w:rsidRPr="002E7ED0">
        <w:t xml:space="preserve">factors </w:t>
      </w:r>
      <w:r w:rsidR="002E7ED0">
        <w:t>mitigate toward</w:t>
      </w:r>
      <w:r w:rsidR="002E7ED0" w:rsidRPr="002E7ED0">
        <w:t xml:space="preserve"> a </w:t>
      </w:r>
      <w:r w:rsidRPr="002E7ED0">
        <w:t>lower</w:t>
      </w:r>
      <w:r>
        <w:t xml:space="preserve"> penalty.</w:t>
      </w:r>
      <w:r w:rsidR="002E7ED0">
        <w:t xml:space="preserve"> </w:t>
      </w:r>
    </w:p>
    <w:p w:rsidR="002E7ED0" w:rsidRDefault="002E7ED0" w:rsidP="009F33FD">
      <w:pPr>
        <w:spacing w:after="0"/>
        <w:ind w:firstLine="1440"/>
      </w:pPr>
      <w:r>
        <w:t xml:space="preserve"> </w:t>
      </w:r>
    </w:p>
    <w:p w:rsidR="00334C7C" w:rsidRDefault="002E7ED0" w:rsidP="009F33FD">
      <w:pPr>
        <w:spacing w:after="0"/>
        <w:ind w:firstLine="1440"/>
      </w:pPr>
      <w:r>
        <w:t>Other factors which may be considered such as efforts of the utility to modify internal practices, Verizon’s compliance history, past Commission decisions, and compliance with a Commission investigation are not appropriate considerations for this particular violation.</w:t>
      </w:r>
      <w:r w:rsidR="004C4351">
        <w:t xml:space="preserve">  There is not sufficient evidence in the record to weigh these factors in assessing an appropriate penalty.</w:t>
      </w:r>
    </w:p>
    <w:p w:rsidR="00AF220E" w:rsidRDefault="002E7ED0" w:rsidP="009F33FD">
      <w:pPr>
        <w:spacing w:after="0"/>
        <w:ind w:firstLine="1440"/>
      </w:pPr>
      <w:r>
        <w:t xml:space="preserve">  </w:t>
      </w:r>
    </w:p>
    <w:p w:rsidR="002E7ED0" w:rsidRDefault="002E7ED0" w:rsidP="009F33FD">
      <w:pPr>
        <w:spacing w:after="0"/>
        <w:ind w:firstLine="1440"/>
      </w:pPr>
      <w:r>
        <w:t>Considering the facts of the violation and the circumstances of the violation, I find that a civil penalty in the amount of $50.00 for violating Section 63.57(b) is appropriate for the October 9, 2009 outage.</w:t>
      </w:r>
      <w:r w:rsidR="004D76BC">
        <w:t xml:space="preserve"> </w:t>
      </w:r>
      <w:r w:rsidR="008F2D1C">
        <w:t xml:space="preserve"> </w:t>
      </w:r>
      <w:r w:rsidR="004D76BC">
        <w:t>A higher daily penalty is appropriate for the October 15 outage since it occurred so soon after the October 9 outages.  There is no evidence that Verizon did anything to prevent a recurrence of the situation.</w:t>
      </w:r>
      <w:r>
        <w:t xml:space="preserve">  A civil penalty of $</w:t>
      </w:r>
      <w:r w:rsidR="004D76BC">
        <w:t>300</w:t>
      </w:r>
      <w:r>
        <w:t xml:space="preserve"> for three days of failing to provide service in violation of Section 63.24 and an additional $</w:t>
      </w:r>
      <w:r w:rsidR="004D76BC">
        <w:t>300</w:t>
      </w:r>
      <w:r>
        <w:t xml:space="preserve"> for three days of violation of Section 63.57(b) for the October 15, 2009 outage is also appropriate.</w:t>
      </w:r>
      <w:r w:rsidRPr="002E7ED0">
        <w:rPr>
          <w:rStyle w:val="FootnoteReference"/>
        </w:rPr>
        <w:t xml:space="preserve"> </w:t>
      </w:r>
      <w:r>
        <w:rPr>
          <w:rStyle w:val="FootnoteReference"/>
        </w:rPr>
        <w:footnoteReference w:id="17"/>
      </w:r>
    </w:p>
    <w:p w:rsidR="00334C7C" w:rsidRDefault="00334C7C" w:rsidP="009F33FD">
      <w:pPr>
        <w:spacing w:after="0"/>
        <w:ind w:firstLine="1440"/>
      </w:pPr>
    </w:p>
    <w:p w:rsidR="00275560" w:rsidRDefault="00275560" w:rsidP="009F33FD">
      <w:pPr>
        <w:spacing w:after="0"/>
        <w:rPr>
          <w:u w:val="single"/>
        </w:rPr>
      </w:pPr>
      <w:r w:rsidRPr="00275560">
        <w:rPr>
          <w:u w:val="single"/>
        </w:rPr>
        <w:t>Fall 2010 Outages</w:t>
      </w:r>
    </w:p>
    <w:p w:rsidR="00334C7C" w:rsidRPr="00275560" w:rsidRDefault="00334C7C" w:rsidP="009F33FD">
      <w:pPr>
        <w:spacing w:after="0"/>
        <w:rPr>
          <w:u w:val="single"/>
        </w:rPr>
      </w:pPr>
    </w:p>
    <w:p w:rsidR="007B6921" w:rsidRDefault="00742742" w:rsidP="009F33FD">
      <w:pPr>
        <w:spacing w:after="0"/>
        <w:ind w:firstLine="1440"/>
      </w:pPr>
      <w:r>
        <w:t xml:space="preserve">The Complainant reported two more outages in the fall of 2010.  </w:t>
      </w:r>
      <w:r w:rsidR="00AE5C67">
        <w:t xml:space="preserve">On Thursday, October 28, 2010 at 1:36 p.m. the Complainant called Verizon to complain that he had no dial tone.  Verizon made a commitment for Friday, October 29, 2010 by 7:00 </w:t>
      </w:r>
      <w:r w:rsidR="00166FCB">
        <w:t xml:space="preserve">p.m. </w:t>
      </w:r>
      <w:r w:rsidR="008F2D1C">
        <w:t xml:space="preserve"> </w:t>
      </w:r>
      <w:r w:rsidR="00AE5C67">
        <w:t>On October 29, 2010 at 1:00 p.m. the technic</w:t>
      </w:r>
      <w:r w:rsidR="004059DF">
        <w:t>i</w:t>
      </w:r>
      <w:r w:rsidR="00AE5C67">
        <w:t>a</w:t>
      </w:r>
      <w:r>
        <w:t>n</w:t>
      </w:r>
      <w:r w:rsidR="00AE5C67">
        <w:t xml:space="preserve"> found no problems with Verizon’s facilities and noted that there was no access to the inside of the house.</w:t>
      </w:r>
      <w:r w:rsidR="00643A93">
        <w:rPr>
          <w:rStyle w:val="FootnoteReference"/>
        </w:rPr>
        <w:footnoteReference w:id="18"/>
      </w:r>
      <w:r w:rsidR="00AE5C67">
        <w:t xml:space="preserve"> </w:t>
      </w:r>
      <w:r>
        <w:t xml:space="preserve">The second complaint occurred on </w:t>
      </w:r>
      <w:r w:rsidR="00AE5C67">
        <w:t xml:space="preserve">Tuesday, November 16, 2010 at 6:19 </w:t>
      </w:r>
      <w:r w:rsidR="00166FCB">
        <w:t xml:space="preserve">p.m. </w:t>
      </w:r>
      <w:r w:rsidR="008C4076">
        <w:t xml:space="preserve"> </w:t>
      </w:r>
      <w:r w:rsidR="004059DF">
        <w:t>T</w:t>
      </w:r>
      <w:r w:rsidR="00AE5C67">
        <w:t>he Complainant called Verizon to complain that he had no dial tone and that there was a loud hum on the line.  Verizon gave a commitment for November</w:t>
      </w:r>
      <w:r w:rsidR="00154A63">
        <w:t> </w:t>
      </w:r>
      <w:r w:rsidR="00AE5C67">
        <w:t xml:space="preserve">18, 2010 at 7:00 p.m.  On November 17, 2010 at 12:31 p.m. a technician concluded that the aerial could not be fixed because there was a tree on the line. Although the trees were not </w:t>
      </w:r>
      <w:r w:rsidR="00AE5C67">
        <w:lastRenderedPageBreak/>
        <w:t>cleared from the lines until several weeks later, telephone service was restored by bypassing the line to a temporary line.</w:t>
      </w:r>
      <w:r w:rsidR="00FE7765">
        <w:rPr>
          <w:rStyle w:val="FootnoteReference"/>
        </w:rPr>
        <w:footnoteReference w:id="19"/>
      </w:r>
      <w:r w:rsidR="00AE5C67">
        <w:t xml:space="preserve"> </w:t>
      </w:r>
    </w:p>
    <w:p w:rsidR="00334C7C" w:rsidRDefault="00334C7C" w:rsidP="009F33FD">
      <w:pPr>
        <w:spacing w:after="0"/>
        <w:ind w:firstLine="1440"/>
      </w:pPr>
    </w:p>
    <w:p w:rsidR="00362EBE" w:rsidRDefault="00362EBE" w:rsidP="009F33FD">
      <w:pPr>
        <w:spacing w:after="0"/>
        <w:ind w:firstLine="1440"/>
      </w:pPr>
      <w:r>
        <w:t xml:space="preserve">No civil penalty will be assessed for these two outages.  Verizon took substantial measures to address the reports by sending out a technician within 24 hours of the trouble report. For the October 28, 2010 outage, the technician at least attempted to investigate the Complainant’s telephone equipment, and service was restored within a reasonable period of time from the trouble report.  Therefore, these circumstances do not amount to a </w:t>
      </w:r>
      <w:r w:rsidR="0025355B">
        <w:t xml:space="preserve">sufficient </w:t>
      </w:r>
      <w:r>
        <w:t>violation of the Commission’s regulations</w:t>
      </w:r>
      <w:r w:rsidR="0025355B">
        <w:t xml:space="preserve"> to merit a civil penalty</w:t>
      </w:r>
      <w:r>
        <w:t>.  Similarly the November 16, 2010 outage was due to trees having fallen on Verizon’s telephone lines.  There is no evidence in the record that Verizon knew or should have known that vegetation in the vicinity of its lines could cause a loss of service to its customers.  It promptly bypassed the Complainant’s telephone number to another line and restored service within a reasonable amount of time.</w:t>
      </w:r>
    </w:p>
    <w:p w:rsidR="00334C7C" w:rsidRDefault="00334C7C" w:rsidP="009F33FD">
      <w:pPr>
        <w:spacing w:after="0"/>
        <w:ind w:firstLine="1440"/>
      </w:pPr>
    </w:p>
    <w:p w:rsidR="005F3FDE" w:rsidRDefault="005F3FDE" w:rsidP="009F33FD">
      <w:pPr>
        <w:spacing w:after="0"/>
        <w:rPr>
          <w:u w:val="single"/>
        </w:rPr>
      </w:pPr>
      <w:r w:rsidRPr="004D4511">
        <w:rPr>
          <w:u w:val="single"/>
        </w:rPr>
        <w:t>2011 Outages</w:t>
      </w:r>
    </w:p>
    <w:p w:rsidR="00334C7C" w:rsidRPr="004D4511" w:rsidRDefault="00334C7C" w:rsidP="009F33FD">
      <w:pPr>
        <w:spacing w:after="0"/>
        <w:rPr>
          <w:u w:val="single"/>
        </w:rPr>
      </w:pPr>
    </w:p>
    <w:p w:rsidR="00FF7E3D" w:rsidRDefault="004D69C0" w:rsidP="009F33FD">
      <w:pPr>
        <w:spacing w:after="0"/>
      </w:pPr>
      <w:r>
        <w:tab/>
      </w:r>
      <w:r w:rsidR="00FF7E3D">
        <w:tab/>
      </w:r>
      <w:r>
        <w:t xml:space="preserve">The Complainant suffered from a substantial number of outages in 2011, which merit </w:t>
      </w:r>
      <w:r w:rsidR="0025355B">
        <w:t>successively more substantial civil penalties.  There is no evidence that Verizon made any effort to improve the reliability of the Complainant’s telephone service in spite of numerous outage reports in a short period of time.</w:t>
      </w:r>
      <w:r>
        <w:t xml:space="preserve">  </w:t>
      </w:r>
    </w:p>
    <w:p w:rsidR="00334C7C" w:rsidRDefault="00334C7C" w:rsidP="009F33FD">
      <w:pPr>
        <w:spacing w:after="0"/>
      </w:pPr>
    </w:p>
    <w:p w:rsidR="004D4511" w:rsidRDefault="008132E2" w:rsidP="009F33FD">
      <w:pPr>
        <w:spacing w:after="0"/>
        <w:ind w:firstLine="1440"/>
      </w:pPr>
      <w:r>
        <w:t xml:space="preserve">A </w:t>
      </w:r>
      <w:r w:rsidR="00E671FF" w:rsidRPr="008132E2">
        <w:t xml:space="preserve">scant </w:t>
      </w:r>
      <w:r w:rsidRPr="008132E2">
        <w:t>three</w:t>
      </w:r>
      <w:r w:rsidR="00E671FF" w:rsidRPr="008132E2">
        <w:t xml:space="preserve"> months after the </w:t>
      </w:r>
      <w:r w:rsidRPr="008132E2">
        <w:t>October 28</w:t>
      </w:r>
      <w:r w:rsidR="00E671FF" w:rsidRPr="008132E2">
        <w:t xml:space="preserve">, 2010 </w:t>
      </w:r>
      <w:r>
        <w:t>trouble report</w:t>
      </w:r>
      <w:r w:rsidR="00E671FF">
        <w:t>, the Complainant again called to report that he had no dial tone on Sunday, January 2, 2011</w:t>
      </w:r>
      <w:r w:rsidR="004D4511">
        <w:t xml:space="preserve"> at 12:42 p.m.</w:t>
      </w:r>
      <w:r w:rsidR="00ED65C2" w:rsidRPr="00ED65C2">
        <w:t xml:space="preserve"> </w:t>
      </w:r>
      <w:r w:rsidR="008F2D1C">
        <w:t xml:space="preserve"> </w:t>
      </w:r>
      <w:r w:rsidR="00ED65C2">
        <w:t xml:space="preserve">Verizon gave a commitment for Wednesday, January 5, 2011 at 7:00 </w:t>
      </w:r>
      <w:r w:rsidR="00166FCB">
        <w:t>p.m.</w:t>
      </w:r>
      <w:r w:rsidR="00ED65C2">
        <w:t xml:space="preserve">  A technician was dispatched </w:t>
      </w:r>
      <w:r w:rsidR="004D4511">
        <w:t xml:space="preserve">three days following the trouble report </w:t>
      </w:r>
      <w:r w:rsidR="00ED65C2">
        <w:t>and he repaired an aerial cable.  Service was restored on Wednesday, January 5, 2011 at 12:00 p.m.</w:t>
      </w:r>
      <w:r w:rsidR="004D4511">
        <w:rPr>
          <w:rStyle w:val="FootnoteReference"/>
        </w:rPr>
        <w:footnoteReference w:id="20"/>
      </w:r>
      <w:r w:rsidR="00ED65C2">
        <w:t xml:space="preserve"> </w:t>
      </w:r>
      <w:r w:rsidR="008F2D1C">
        <w:t xml:space="preserve"> </w:t>
      </w:r>
      <w:r w:rsidR="00EF7FF5">
        <w:t>Not only did Verizon fail to provide reasonably continuous service, but it also failed to take substantial action to resolve the outage within 24 hours.</w:t>
      </w:r>
    </w:p>
    <w:p w:rsidR="00EF7FF5" w:rsidRDefault="008132E2" w:rsidP="009F33FD">
      <w:pPr>
        <w:spacing w:after="0"/>
      </w:pPr>
      <w:r>
        <w:lastRenderedPageBreak/>
        <w:tab/>
      </w:r>
      <w:r w:rsidR="008F2D1C">
        <w:tab/>
      </w:r>
      <w:r>
        <w:t xml:space="preserve">As explained above, a failure to provide telephone service is a serious matter,   particularly when there is a history of service outages to one residence and there is no evidence that the outages were caused by the customer’s wiring or equipment. </w:t>
      </w:r>
      <w:r w:rsidR="00115A09">
        <w:t xml:space="preserve"> </w:t>
      </w:r>
      <w:r>
        <w:t>Given the history of outages, Verizon should have known that the telephone lines which serve the Complainant’s residence required more proactive attention and simply responding to outage reports was not sufficient.</w:t>
      </w:r>
      <w:r w:rsidR="00EF7FF5">
        <w:t xml:space="preserve">  With the exception of the November 2010 outage caused by trees falling on the telephone lines, the Complainant had suffered four outages in a little over a year, several of which lasted for several days</w:t>
      </w:r>
      <w:r w:rsidR="003F19BA">
        <w:t>, which is clearly unacceptable and far from reasonable service</w:t>
      </w:r>
      <w:r w:rsidR="00EF7FF5">
        <w:t xml:space="preserve">. There is no evidence that Verizon did anything during that period of time to either improve response time to service outages or performed any facility improvements to help prevent future outages. </w:t>
      </w:r>
      <w:r w:rsidR="007B2051">
        <w:t xml:space="preserve"> </w:t>
      </w:r>
      <w:r w:rsidR="003F19BA">
        <w:t>There is no evidence that Verizon undertook any investigation to determine the Complainant’s outages were caused by anything other than Verizon’s equipment.</w:t>
      </w:r>
      <w:r w:rsidR="00EF7FF5">
        <w:t xml:space="preserve"> </w:t>
      </w:r>
      <w:r w:rsidR="007B2051">
        <w:t xml:space="preserve"> </w:t>
      </w:r>
      <w:r w:rsidR="00EF7FF5">
        <w:t xml:space="preserve">These factors all indicate that a higher civil penalty in is order.  </w:t>
      </w:r>
      <w:r w:rsidR="003F19BA">
        <w:t>Accordingly, I w</w:t>
      </w:r>
      <w:r w:rsidR="00637816">
        <w:t>ill assess a civil penalty of $2</w:t>
      </w:r>
      <w:r w:rsidR="003F19BA">
        <w:t>00 for each day of violation of Se</w:t>
      </w:r>
      <w:r w:rsidR="00637816">
        <w:t>ction 63.24 and an additional $2</w:t>
      </w:r>
      <w:r w:rsidR="003F19BA">
        <w:t>00 for each day of violation of Sec</w:t>
      </w:r>
      <w:r w:rsidR="00637816">
        <w:t>tion 63.57(b), for a total of $1,2</w:t>
      </w:r>
      <w:r w:rsidR="003F19BA">
        <w:t>00 for the January 2, 2011 outage.</w:t>
      </w:r>
    </w:p>
    <w:p w:rsidR="00334C7C" w:rsidRDefault="00334C7C" w:rsidP="009F33FD">
      <w:pPr>
        <w:spacing w:after="0"/>
      </w:pPr>
    </w:p>
    <w:p w:rsidR="00484853" w:rsidRDefault="003F19BA" w:rsidP="009F33FD">
      <w:pPr>
        <w:spacing w:after="0"/>
        <w:ind w:firstLine="1440"/>
      </w:pPr>
      <w:r>
        <w:t>Th</w:t>
      </w:r>
      <w:r w:rsidR="0016629C">
        <w:t>e most egregious outage situation occurred in June of 2011, when the Complainant effectivel</w:t>
      </w:r>
      <w:r w:rsidR="005F2F9C">
        <w:t>y had no telephone service for 1</w:t>
      </w:r>
      <w:r w:rsidR="00476BFF">
        <w:t>5</w:t>
      </w:r>
      <w:r w:rsidR="0016629C">
        <w:t xml:space="preserve"> days.  During this period of time the Complainant’s child was seriously ill and needed emergency medical attention.  The Complainant had </w:t>
      </w:r>
      <w:r w:rsidR="00166FCB">
        <w:t>neither telephone service nor</w:t>
      </w:r>
      <w:r w:rsidR="00E16749">
        <w:t xml:space="preserve"> d</w:t>
      </w:r>
      <w:r w:rsidR="007B2051">
        <w:t>id</w:t>
      </w:r>
      <w:r w:rsidR="00E16749">
        <w:t xml:space="preserve"> he have cellular telephone reception </w:t>
      </w:r>
      <w:r w:rsidR="0016629C">
        <w:t xml:space="preserve">and was unable to call for emergency help from his home.  These facts </w:t>
      </w:r>
      <w:r w:rsidR="005F2F9C">
        <w:t xml:space="preserve">amount to very serious violations of the Commission’s regulations and </w:t>
      </w:r>
      <w:r w:rsidR="0016629C">
        <w:t>merit a significant civil penalty.</w:t>
      </w:r>
    </w:p>
    <w:p w:rsidR="00334C7C" w:rsidRDefault="00334C7C" w:rsidP="009F33FD">
      <w:pPr>
        <w:spacing w:after="0"/>
        <w:ind w:firstLine="1440"/>
      </w:pPr>
    </w:p>
    <w:p w:rsidR="00ED65C2" w:rsidRDefault="00484853" w:rsidP="009F33FD">
      <w:pPr>
        <w:spacing w:after="0"/>
        <w:ind w:firstLine="1440"/>
      </w:pPr>
      <w:r>
        <w:t>The trouble began o</w:t>
      </w:r>
      <w:r w:rsidR="00ED65C2">
        <w:t>n Monday, June 6, 2011</w:t>
      </w:r>
      <w:r>
        <w:t xml:space="preserve">. </w:t>
      </w:r>
      <w:r w:rsidR="007B2051">
        <w:t xml:space="preserve"> </w:t>
      </w:r>
      <w:r>
        <w:t>A</w:t>
      </w:r>
      <w:r w:rsidR="00ED65C2">
        <w:t>t 11:59 a.m. the Complainant called Verizon to report that he had no dial tone.  Verizon gave a commitment of June 8, 2011 by 7:00 p.m.  The report was closed</w:t>
      </w:r>
      <w:r>
        <w:t xml:space="preserve"> by Verizon’s system</w:t>
      </w:r>
      <w:r w:rsidR="00ED65C2">
        <w:t xml:space="preserve"> the same day when the scrubber found there was no trouble with the line.  This trouble report was closed automatically based </w:t>
      </w:r>
      <w:r w:rsidR="00DB2E2C">
        <w:t xml:space="preserve">solely </w:t>
      </w:r>
      <w:r w:rsidR="00ED65C2">
        <w:t xml:space="preserve">upon the remote scrubber test. </w:t>
      </w:r>
      <w:r>
        <w:rPr>
          <w:rStyle w:val="FootnoteReference"/>
        </w:rPr>
        <w:footnoteReference w:id="21"/>
      </w:r>
      <w:r>
        <w:t xml:space="preserve">  The Complainant was not notified that the repair appointment had been cancelled.</w:t>
      </w:r>
    </w:p>
    <w:p w:rsidR="00334C7C" w:rsidRDefault="00334C7C" w:rsidP="009F33FD">
      <w:pPr>
        <w:spacing w:after="0"/>
        <w:ind w:firstLine="1440"/>
      </w:pPr>
    </w:p>
    <w:p w:rsidR="00484853" w:rsidRDefault="00ED65C2" w:rsidP="009F33FD">
      <w:pPr>
        <w:spacing w:after="0"/>
        <w:ind w:firstLine="1440"/>
      </w:pPr>
      <w:r>
        <w:lastRenderedPageBreak/>
        <w:t xml:space="preserve">On Wednesday, June 8, 2011 at 7:56 p.m. the Complainant again called Verizon to inquire why no technician had arrived as scheduled that day.  At that time he was unaware that Verizon had closed the trouble ticket on June 6, 2011. </w:t>
      </w:r>
      <w:r w:rsidR="007B2051">
        <w:t xml:space="preserve"> </w:t>
      </w:r>
      <w:r>
        <w:t>He had been expecting a technician to visit and investigate his lack of phone service and was home all day on June 8, 2011.  Veriz</w:t>
      </w:r>
      <w:r w:rsidR="00DB2E2C">
        <w:t>on gave a new commitment of June</w:t>
      </w:r>
      <w:r>
        <w:t xml:space="preserve"> 13, 2011 at 7:00 </w:t>
      </w:r>
      <w:r w:rsidR="00166FCB">
        <w:t>p.m.</w:t>
      </w:r>
      <w:r>
        <w:t xml:space="preserve">  Verizon restored service on Monday, June 13, 2011 at 3:30 p.m.  The technician identified the reason for the outage as a problem with Verizon’s “D slam” or “DSL” unit.  The technician transferred service to another port in the</w:t>
      </w:r>
      <w:r w:rsidR="00484853">
        <w:t xml:space="preserve"> same</w:t>
      </w:r>
      <w:r>
        <w:t xml:space="preserve"> D</w:t>
      </w:r>
      <w:r w:rsidR="00DB2E2C">
        <w:t>-</w:t>
      </w:r>
      <w:r>
        <w:t>slam unit.</w:t>
      </w:r>
      <w:r w:rsidR="00484853">
        <w:rPr>
          <w:rStyle w:val="FootnoteReference"/>
        </w:rPr>
        <w:footnoteReference w:id="22"/>
      </w:r>
      <w:r>
        <w:t xml:space="preserve"> </w:t>
      </w:r>
    </w:p>
    <w:p w:rsidR="00334C7C" w:rsidRDefault="00334C7C" w:rsidP="009F33FD">
      <w:pPr>
        <w:spacing w:after="0"/>
        <w:ind w:firstLine="1440"/>
      </w:pPr>
    </w:p>
    <w:p w:rsidR="00863EDB" w:rsidRDefault="00CA42CB" w:rsidP="009F33FD">
      <w:pPr>
        <w:spacing w:after="0"/>
        <w:ind w:firstLine="1440"/>
      </w:pPr>
      <w:r>
        <w:t>This repair proved ineffective.  N</w:t>
      </w:r>
      <w:r w:rsidR="00ED65C2">
        <w:t xml:space="preserve">ine days later, on Wednesday June 22, 2011, the Complainant again had no dial tone and he called Verizon at 4:55 p.m. to report the problem. Verizon gave a commitment of Friday, June 24, 2011 at 7:00 p.m. </w:t>
      </w:r>
      <w:r w:rsidR="007B2051">
        <w:t xml:space="preserve"> </w:t>
      </w:r>
      <w:r w:rsidR="00ED65C2">
        <w:t xml:space="preserve">The Complainant </w:t>
      </w:r>
      <w:r w:rsidR="00484853">
        <w:t xml:space="preserve">again </w:t>
      </w:r>
      <w:r w:rsidR="00ED65C2">
        <w:t>waited a</w:t>
      </w:r>
      <w:r>
        <w:t>t</w:t>
      </w:r>
      <w:r w:rsidR="00ED65C2">
        <w:t xml:space="preserve"> his home all day on June 24, 2011, and no technician arrived to investigate the outage.  He called again on June 25, 2011 and was given a new commitment of June 27, 2011.  The Complainant waited at home</w:t>
      </w:r>
      <w:r w:rsidR="00484853">
        <w:t xml:space="preserve"> a second time</w:t>
      </w:r>
      <w:r w:rsidR="00ED65C2">
        <w:t>, but</w:t>
      </w:r>
      <w:r w:rsidR="00190EC0">
        <w:t xml:space="preserve"> again</w:t>
      </w:r>
      <w:r w:rsidR="00ED65C2">
        <w:t xml:space="preserve"> no technician arrived to investigate the outage.  A technic</w:t>
      </w:r>
      <w:r w:rsidR="00190EC0">
        <w:t>i</w:t>
      </w:r>
      <w:r w:rsidR="00ED65C2">
        <w:t>a</w:t>
      </w:r>
      <w:r w:rsidR="00484853">
        <w:t xml:space="preserve">n was finally dispatched on </w:t>
      </w:r>
      <w:r w:rsidR="00ED65C2">
        <w:t>Tuesday, June 28, 2011</w:t>
      </w:r>
      <w:r w:rsidR="00811F52">
        <w:t>,</w:t>
      </w:r>
      <w:r w:rsidR="00ED65C2">
        <w:t xml:space="preserve"> and a splicer went out to fix the cable.  The Verizon trouble report notes that service was restored on June 28, 2011 at 5:30</w:t>
      </w:r>
      <w:r w:rsidR="008B606C">
        <w:t> </w:t>
      </w:r>
      <w:r w:rsidR="00ED65C2">
        <w:t>p.m., but the Complainant stated that he still d</w:t>
      </w:r>
      <w:r w:rsidR="00811F52">
        <w:t>id not have telephone service.</w:t>
      </w:r>
      <w:r w:rsidR="00811F52">
        <w:rPr>
          <w:rStyle w:val="FootnoteReference"/>
        </w:rPr>
        <w:footnoteReference w:id="23"/>
      </w:r>
      <w:r w:rsidR="00583320">
        <w:t xml:space="preserve">  The Complain</w:t>
      </w:r>
      <w:r w:rsidR="00190EC0">
        <w:t>an</w:t>
      </w:r>
      <w:r w:rsidR="00583320">
        <w:t xml:space="preserve">t’s testimony is credible and I attribute more weight to his testimony than </w:t>
      </w:r>
      <w:r w:rsidR="00190EC0">
        <w:t xml:space="preserve">to </w:t>
      </w:r>
      <w:r w:rsidR="00583320">
        <w:t>the information provided on Verizon’s trouble report.</w:t>
      </w:r>
      <w:r w:rsidR="00583320">
        <w:rPr>
          <w:rStyle w:val="FootnoteReference"/>
        </w:rPr>
        <w:footnoteReference w:id="24"/>
      </w:r>
    </w:p>
    <w:p w:rsidR="00334C7C" w:rsidRDefault="00334C7C" w:rsidP="009F33FD">
      <w:pPr>
        <w:spacing w:after="0"/>
        <w:ind w:firstLine="1440"/>
      </w:pPr>
    </w:p>
    <w:p w:rsidR="000A276F" w:rsidRDefault="00ED65C2" w:rsidP="009F33FD">
      <w:pPr>
        <w:spacing w:after="0"/>
        <w:ind w:firstLine="1440"/>
      </w:pPr>
      <w:r>
        <w:t xml:space="preserve">The next day the Complainant’s child had a life-threatening medical emergency and </w:t>
      </w:r>
      <w:r w:rsidR="00711E70">
        <w:t>the Complainant</w:t>
      </w:r>
      <w:r>
        <w:t xml:space="preserve"> had no telephone service</w:t>
      </w:r>
      <w:r w:rsidR="00711E70">
        <w:t xml:space="preserve"> at his home</w:t>
      </w:r>
      <w:r>
        <w:t xml:space="preserve"> to call for help.</w:t>
      </w:r>
      <w:r w:rsidR="00C65938">
        <w:rPr>
          <w:rStyle w:val="FootnoteReference"/>
        </w:rPr>
        <w:footnoteReference w:id="25"/>
      </w:r>
      <w:r>
        <w:t xml:space="preserve">  After using a neighbor’s telephone, he called Verizon on Wednesday, June 29, 2011 at 5:57 p.m. and reported that he had no telephone service and needed to have it restored due to the emergent medical situation with his son.  Verizon initially gave him a commitment of Thursday, July 7, 2011, but </w:t>
      </w:r>
      <w:r>
        <w:lastRenderedPageBreak/>
        <w:t xml:space="preserve">revised the commitment to June 30, 2011 at 11:59 a.m.  </w:t>
      </w:r>
      <w:r w:rsidR="00711E70">
        <w:t>In spite of the emergency situation n</w:t>
      </w:r>
      <w:r>
        <w:t>o technician came to restore service until June 30, 2011 when se</w:t>
      </w:r>
      <w:r w:rsidR="00FE3F47">
        <w:t xml:space="preserve">rvice was restored at 4:00 </w:t>
      </w:r>
      <w:r w:rsidR="00166FCB">
        <w:t xml:space="preserve">p.m. </w:t>
      </w:r>
      <w:r>
        <w:t xml:space="preserve">The technician noted that the aerial </w:t>
      </w:r>
      <w:r w:rsidR="00711E70">
        <w:t>could not</w:t>
      </w:r>
      <w:r>
        <w:t xml:space="preserve"> be permanently fixed, so the Complainant’s number was again placed on a bypass cable in order to restore service.</w:t>
      </w:r>
      <w:r w:rsidR="00F43DD4">
        <w:rPr>
          <w:rStyle w:val="FootnoteReference"/>
        </w:rPr>
        <w:footnoteReference w:id="26"/>
      </w:r>
    </w:p>
    <w:p w:rsidR="00334C7C" w:rsidRDefault="00334C7C" w:rsidP="009F33FD">
      <w:pPr>
        <w:spacing w:after="0"/>
        <w:ind w:firstLine="1440"/>
      </w:pPr>
    </w:p>
    <w:p w:rsidR="00334C7C" w:rsidRDefault="000A276F" w:rsidP="009F33FD">
      <w:pPr>
        <w:spacing w:after="0"/>
        <w:ind w:firstLine="1440"/>
      </w:pPr>
      <w:r>
        <w:t xml:space="preserve">In sum, the Complainant had no telephone service from </w:t>
      </w:r>
      <w:r w:rsidR="000E1CB6">
        <w:t>June 6, 201</w:t>
      </w:r>
      <w:r w:rsidR="00115A09">
        <w:t>1</w:t>
      </w:r>
      <w:r w:rsidR="000E1CB6">
        <w:t xml:space="preserve"> until June 13, 2011</w:t>
      </w:r>
      <w:r>
        <w:t>, and no service from June 22, 20</w:t>
      </w:r>
      <w:r w:rsidR="000E1CB6">
        <w:t>11 until June 30, 2011</w:t>
      </w:r>
      <w:r>
        <w:t xml:space="preserve">, a period of </w:t>
      </w:r>
      <w:r w:rsidR="00FE3F47">
        <w:t>1</w:t>
      </w:r>
      <w:r w:rsidR="00892770">
        <w:t>5</w:t>
      </w:r>
      <w:r>
        <w:t xml:space="preserve"> days. </w:t>
      </w:r>
      <w:r w:rsidR="0084636D">
        <w:t xml:space="preserve"> Although Verizon’s records indicate that its system performed</w:t>
      </w:r>
      <w:r w:rsidR="000E1CB6">
        <w:t xml:space="preserve"> a scrubber test on June 6, 2011</w:t>
      </w:r>
      <w:r w:rsidR="0084636D">
        <w:t>, the Complainant contends that he remained without service.  The fact that he stayed home from work on June 8, 201</w:t>
      </w:r>
      <w:r w:rsidR="000E1CB6">
        <w:t>1 awaiting a repair technician supports his claim.  Verizon’s records do not indicate that there was any follow-up to the scrubber test, and given the history of service at this site, a momentary line test was obviously not sufficient to verify that Verizon’s facilities were operating properly.</w:t>
      </w:r>
      <w:r>
        <w:t xml:space="preserve"> </w:t>
      </w:r>
      <w:r w:rsidR="00C850D9">
        <w:t xml:space="preserve"> </w:t>
      </w:r>
      <w:r>
        <w:t xml:space="preserve">Verizon eventually replaced the D-slam unit which was the likely cause of at least some of the outages.  The witness for Verizon could not say specifically when the D-slam was replaced, nor were any records introduced into evidence which provided that information.  </w:t>
      </w:r>
      <w:r w:rsidR="00ED65C2">
        <w:t xml:space="preserve"> </w:t>
      </w:r>
      <w:r w:rsidR="003777AF">
        <w:t>However, Verizon’s failure to take decisive action when it was clearly aware of serial problems with the Complainant’s telephone service is inexcusable</w:t>
      </w:r>
      <w:r w:rsidR="00DC1656">
        <w:t xml:space="preserve"> and is a clear violation of Section 63.24 of the Commission’s regulations</w:t>
      </w:r>
      <w:r w:rsidR="003777AF">
        <w:t>.</w:t>
      </w:r>
      <w:r w:rsidR="00DC1656">
        <w:t xml:space="preserve"> </w:t>
      </w:r>
    </w:p>
    <w:p w:rsidR="00DC1656" w:rsidRDefault="00DC1656" w:rsidP="009F33FD">
      <w:pPr>
        <w:spacing w:after="0"/>
        <w:ind w:firstLine="1440"/>
      </w:pPr>
      <w:r>
        <w:t xml:space="preserve"> </w:t>
      </w:r>
    </w:p>
    <w:p w:rsidR="006D7912" w:rsidRDefault="00DC1656" w:rsidP="009F33FD">
      <w:pPr>
        <w:spacing w:after="0"/>
        <w:ind w:firstLine="1440"/>
      </w:pPr>
      <w:r>
        <w:t>Moreover, Verizon did not take substantial measures to respond to the Complainant’s trouble reports within 24 hours on June 6, 2011, June 8, 2011, or on June 22, 2011, in violation of Section 63.57(b) of the Commission’</w:t>
      </w:r>
      <w:r w:rsidR="0084636D">
        <w:t xml:space="preserve">s </w:t>
      </w:r>
      <w:r>
        <w:t>regulations.</w:t>
      </w:r>
      <w:r w:rsidR="006D7912">
        <w:t xml:space="preserve">  Verizon also violated Section 63.57(c) by failing to meet commitments made when the trouble reports were initiated on June 6, 2011 and June 22, 2011.</w:t>
      </w:r>
    </w:p>
    <w:p w:rsidR="00334C7C" w:rsidRDefault="00334C7C" w:rsidP="009F33FD">
      <w:pPr>
        <w:spacing w:after="0"/>
        <w:ind w:firstLine="1440"/>
      </w:pPr>
    </w:p>
    <w:p w:rsidR="000E1CB6" w:rsidRDefault="000E1CB6" w:rsidP="009F33FD">
      <w:pPr>
        <w:spacing w:after="0"/>
        <w:ind w:firstLine="1440"/>
      </w:pPr>
      <w:r>
        <w:t xml:space="preserve">Although Verizon’s witness testified that when the scrubber test was performed on June 6, 2011, the Complainant should have received an automated telephone call to verify that his telephone service had been restored, the Complainant testified that he was not at home on June 6, 2011 and no message was on his answering machine. </w:t>
      </w:r>
      <w:r w:rsidR="00115A09">
        <w:t xml:space="preserve"> </w:t>
      </w:r>
      <w:r>
        <w:t xml:space="preserve">He was not even aware that the </w:t>
      </w:r>
      <w:r>
        <w:lastRenderedPageBreak/>
        <w:t xml:space="preserve">scrubber test had been performed until he called on June 8, 2011, to inquire why no technician had arrived for his scheduled appointment. </w:t>
      </w:r>
      <w:r w:rsidR="00115A09">
        <w:t xml:space="preserve"> </w:t>
      </w:r>
      <w:r>
        <w:t xml:space="preserve">There is no indication in Verizon’s trouble report record that any call was made by Verizon’s system. </w:t>
      </w:r>
      <w:r w:rsidR="00C850D9">
        <w:t xml:space="preserve"> </w:t>
      </w:r>
      <w:r>
        <w:t>Therefore, more weight is given to the Complainant’s credible testimony that he received no automated telephone call that service had been restored on June 6, 2011 tha</w:t>
      </w:r>
      <w:r w:rsidR="006D7912">
        <w:t>n</w:t>
      </w:r>
      <w:r>
        <w:t xml:space="preserve"> to Verizon’s evidence that its automated system typically makes such a test call. </w:t>
      </w:r>
      <w:r w:rsidR="00D24D74">
        <w:t>As discussed above, the efficacy of the scrubber test is questionable since the Complainant remained without service and by itself is not substantial action to clear this trouble report</w:t>
      </w:r>
      <w:r>
        <w:t xml:space="preserve"> </w:t>
      </w:r>
      <w:r w:rsidR="006D7912">
        <w:t>within the meaning of Section 63.57(b)</w:t>
      </w:r>
      <w:r w:rsidR="00FE3F47">
        <w:t xml:space="preserve">. </w:t>
      </w:r>
      <w:r w:rsidR="00C850D9">
        <w:t xml:space="preserve"> </w:t>
      </w:r>
      <w:r w:rsidR="00FE3F47">
        <w:t>N</w:t>
      </w:r>
      <w:r w:rsidR="00227600">
        <w:t>or is it sufficient to meet the commitment made when the original trouble ticket was initiated in violation of Section 63.57(c)</w:t>
      </w:r>
      <w:r w:rsidR="006D7912">
        <w:t>.</w:t>
      </w:r>
    </w:p>
    <w:p w:rsidR="00334C7C" w:rsidRDefault="00334C7C" w:rsidP="009F33FD">
      <w:pPr>
        <w:spacing w:after="0"/>
        <w:ind w:firstLine="1440"/>
      </w:pPr>
    </w:p>
    <w:p w:rsidR="00ED65C2" w:rsidRDefault="00DC1656" w:rsidP="009F33FD">
      <w:pPr>
        <w:spacing w:after="0"/>
        <w:ind w:firstLine="1440"/>
      </w:pPr>
      <w:r>
        <w:t xml:space="preserve">More troubling, Verizon failed to take substantial measures to resolve the Complainant’s June 29, 2011 emergency trouble report within three hours as required by Section 63.57(a).  Verizon also failed to keep the commitment that it did make by failing to </w:t>
      </w:r>
      <w:r w:rsidR="004A347D">
        <w:t>resolve the outage</w:t>
      </w:r>
      <w:r>
        <w:t xml:space="preserve"> by 11:59 a.m. on June 30, 2011.</w:t>
      </w:r>
      <w:r w:rsidR="004A347D">
        <w:t xml:space="preserve">  Verizon’s records indicate that the technician did not make repairs until 4:00 p.m. on June 30, 2011.</w:t>
      </w:r>
      <w:r w:rsidR="00A8633E">
        <w:t xml:space="preserve">  This constitutes a violation of Section 63.57(c).  There is no evidence in the record that Verizon notified the Complainant of any extenuating circumstances or unusual repair requirements that would have mitigated its failure to meet the commitment.</w:t>
      </w:r>
    </w:p>
    <w:p w:rsidR="00334C7C" w:rsidRDefault="00334C7C" w:rsidP="009F33FD">
      <w:pPr>
        <w:spacing w:after="0"/>
        <w:ind w:firstLine="1440"/>
      </w:pPr>
    </w:p>
    <w:p w:rsidR="00D150EB" w:rsidRDefault="00D150EB" w:rsidP="009F33FD">
      <w:pPr>
        <w:spacing w:after="0"/>
        <w:ind w:firstLine="1440"/>
      </w:pPr>
      <w:r>
        <w:t>A substantial civil penalty is appropriate for these violations.</w:t>
      </w:r>
      <w:r>
        <w:rPr>
          <w:rStyle w:val="FootnoteReference"/>
        </w:rPr>
        <w:footnoteReference w:id="27"/>
      </w:r>
      <w:r>
        <w:t xml:space="preserve"> </w:t>
      </w:r>
      <w:r w:rsidR="00387CF1">
        <w:t xml:space="preserve"> </w:t>
      </w:r>
      <w:r>
        <w:t xml:space="preserve">Given the history of outages at the Complainant’s service address, Verizon completely failed to render reasonable and continuous service.  Verizon knew or should have known that the condition of the lines that served the Complainant’s residence required more substantial attention given the number of trouble reports in 2009, 2010 and 2011. </w:t>
      </w:r>
      <w:r w:rsidR="00387CF1">
        <w:t xml:space="preserve"> </w:t>
      </w:r>
      <w:r>
        <w:t>Verizon was also aware that the lines were stretched and no longer water tight.</w:t>
      </w:r>
      <w:r>
        <w:rPr>
          <w:rStyle w:val="FootnoteReference"/>
        </w:rPr>
        <w:footnoteReference w:id="28"/>
      </w:r>
      <w:r>
        <w:t xml:space="preserve"> </w:t>
      </w:r>
      <w:r w:rsidR="009A5519">
        <w:t xml:space="preserve"> </w:t>
      </w:r>
      <w:r>
        <w:t xml:space="preserve">There is no evidence that Verizon made any effort to inspect and repair its facilities, but instead waited until an outage was reported and often only made temporary repairs.  </w:t>
      </w:r>
      <w:r w:rsidR="00E666C6">
        <w:t xml:space="preserve">The area where the Complainant lives is a remote area with limited cellular service, which makes landline telephone service that much more critical.  </w:t>
      </w:r>
      <w:r>
        <w:t xml:space="preserve">The result of Verizon’s failure </w:t>
      </w:r>
      <w:r>
        <w:lastRenderedPageBreak/>
        <w:t>to maintain its facilities was that the Complainant did not have telephone service to call for emergency help for his son, which makes this failure very serious with a serious consequence, which merits a higher penalty pursuant to the Commission’s guidelines.</w:t>
      </w:r>
      <w:r>
        <w:rPr>
          <w:rStyle w:val="FootnoteReference"/>
        </w:rPr>
        <w:footnoteReference w:id="29"/>
      </w:r>
      <w:r>
        <w:t xml:space="preserve"> </w:t>
      </w:r>
      <w:r w:rsidR="00C27354">
        <w:t xml:space="preserve"> </w:t>
      </w:r>
      <w:r>
        <w:t xml:space="preserve">Although there is no evidence that Verizon intentionally chose not to inspect and repair its facilities in order to enhance the reliability of the Complainant’s telephone service, its conduct is at least negligent since it knew or should have known that the lines deserved increased technical </w:t>
      </w:r>
      <w:r w:rsidR="000A4D83">
        <w:t>att</w:t>
      </w:r>
      <w:r>
        <w:t>ention given the number of outages and the lack of evidence that the Complainant’s equipment or facilities played any role in the outages.</w:t>
      </w:r>
      <w:r>
        <w:rPr>
          <w:rStyle w:val="FootnoteReference"/>
        </w:rPr>
        <w:footnoteReference w:id="30"/>
      </w:r>
      <w:r w:rsidR="006979F6">
        <w:t xml:space="preserve">  Similarly, there is no evidence that Verizon undertook any efforts to make internal c</w:t>
      </w:r>
      <w:r w:rsidR="00B800F1">
        <w:t>hanges to correct conduct.  The</w:t>
      </w:r>
      <w:r w:rsidR="006979F6">
        <w:t>s</w:t>
      </w:r>
      <w:r w:rsidR="00B800F1">
        <w:t>e</w:t>
      </w:r>
      <w:r w:rsidR="006979F6">
        <w:t xml:space="preserve"> violations are clearly not an isolated incident since the Complainant suffered repeated outages and repeated failures by Verizon to take substantial action within 24 hours.</w:t>
      </w:r>
      <w:r w:rsidR="006979F6">
        <w:rPr>
          <w:rStyle w:val="FootnoteReference"/>
        </w:rPr>
        <w:footnoteReference w:id="31"/>
      </w:r>
      <w:r w:rsidR="00B800F1">
        <w:t xml:space="preserve">  Moreover, a substantial penalty is necessary in order to deter future misconduct by Verizon.</w:t>
      </w:r>
      <w:r w:rsidR="00B800F1">
        <w:rPr>
          <w:rStyle w:val="FootnoteReference"/>
        </w:rPr>
        <w:footnoteReference w:id="32"/>
      </w:r>
      <w:r w:rsidR="00B800F1">
        <w:t xml:space="preserve">  These factors all indicate that a higher penalty is appropriate.</w:t>
      </w:r>
    </w:p>
    <w:p w:rsidR="00334C7C" w:rsidRDefault="00334C7C" w:rsidP="009F33FD">
      <w:pPr>
        <w:spacing w:after="0"/>
        <w:ind w:firstLine="1440"/>
      </w:pPr>
    </w:p>
    <w:p w:rsidR="00716A09" w:rsidRDefault="00B800F1" w:rsidP="009F33FD">
      <w:pPr>
        <w:spacing w:after="0"/>
        <w:ind w:firstLine="1440"/>
      </w:pPr>
      <w:r>
        <w:t>However, some factors in Section 69.1201(c) suggest that a lower penalty is appropriate or are not relevant to the analysis of the facts and violation</w:t>
      </w:r>
      <w:r w:rsidR="00C27354">
        <w:t>s presented here.  There are no</w:t>
      </w:r>
      <w:r>
        <w:t xml:space="preserve"> complaints by other customers for the same outages before me, so it is not possible to conclude that a number of customers were impacted by these violations.</w:t>
      </w:r>
      <w:r w:rsidR="00393354">
        <w:t xml:space="preserve">  There is also no evidence concerning cooperation with a Commission investigation of these outages.</w:t>
      </w:r>
      <w:r>
        <w:t xml:space="preserve"> </w:t>
      </w:r>
      <w:r w:rsidR="00716A09">
        <w:rPr>
          <w:rStyle w:val="FootnoteReference"/>
        </w:rPr>
        <w:footnoteReference w:id="33"/>
      </w:r>
      <w:r w:rsidR="00716A09">
        <w:t xml:space="preserve"> </w:t>
      </w:r>
      <w:r>
        <w:t xml:space="preserve"> </w:t>
      </w:r>
    </w:p>
    <w:p w:rsidR="00334C7C" w:rsidRDefault="00334C7C" w:rsidP="009F33FD">
      <w:pPr>
        <w:spacing w:after="0"/>
        <w:ind w:firstLine="1440"/>
      </w:pPr>
    </w:p>
    <w:p w:rsidR="00F63FF8" w:rsidRDefault="00E47F1D" w:rsidP="009F33FD">
      <w:pPr>
        <w:spacing w:after="0"/>
        <w:ind w:firstLine="1440"/>
      </w:pPr>
      <w:r>
        <w:t>After considering these factors, a civil penalty</w:t>
      </w:r>
      <w:r w:rsidR="00F9457E">
        <w:t xml:space="preserve"> is warranted in the amount of</w:t>
      </w:r>
      <w:r>
        <w:t xml:space="preserve"> </w:t>
      </w:r>
      <w:r w:rsidR="00F9457E">
        <w:t>$500 for each day of violation of Section 63.57(b) from June 22, 2011 through June 28, 2011; $200 for each violation of Section 63.57(c) on June 24, 2011 and June 27, 2011</w:t>
      </w:r>
      <w:r w:rsidR="00166FCB">
        <w:t>; and</w:t>
      </w:r>
      <w:r w:rsidR="00F9457E">
        <w:t xml:space="preserve"> $1,000 for each violation of Section 63.57(a) and 63.57(c) on June 29, 2011.  Additionally, a penalty of $750 </w:t>
      </w:r>
      <w:r w:rsidR="00D73E68">
        <w:t xml:space="preserve">is </w:t>
      </w:r>
      <w:r w:rsidR="00D73E68">
        <w:lastRenderedPageBreak/>
        <w:t xml:space="preserve">appropriate </w:t>
      </w:r>
      <w:r w:rsidR="00F9457E">
        <w:t xml:space="preserve">for each day of violation of Section 63.24 from June 6 through June 30, 2011, except for June 29, 2011, for which $1,000 is appropriate. </w:t>
      </w:r>
    </w:p>
    <w:p w:rsidR="00334C7C" w:rsidRDefault="00334C7C" w:rsidP="009F33FD">
      <w:pPr>
        <w:spacing w:after="0"/>
        <w:ind w:firstLine="1440"/>
      </w:pPr>
    </w:p>
    <w:p w:rsidR="004D69C0" w:rsidRDefault="00ED65C2" w:rsidP="00334C7C">
      <w:pPr>
        <w:spacing w:after="0"/>
        <w:ind w:firstLine="1440"/>
      </w:pPr>
      <w:r>
        <w:t xml:space="preserve">Finally, on Tuesday, November 29, 2011 at 11:07 a.m. the Complainant called Verizon and reported that he had no dial tone.  The Complainant was given a commitment of Thursday, December 8, 2011 by 7:00 </w:t>
      </w:r>
      <w:r w:rsidR="00166FCB">
        <w:t>p.m.</w:t>
      </w:r>
      <w:r>
        <w:t xml:space="preserve">  Service was restored on Thursday, December 3, 2011 at 10:00 </w:t>
      </w:r>
      <w:r w:rsidR="00166FCB">
        <w:t xml:space="preserve">a.m. </w:t>
      </w:r>
      <w:r w:rsidR="00C27354">
        <w:t xml:space="preserve"> </w:t>
      </w:r>
      <w:r w:rsidR="00F63FF8">
        <w:t>At the time the Verizon technician investigated the outage, he did not identify any trouble</w:t>
      </w:r>
      <w:r>
        <w:t xml:space="preserve"> with </w:t>
      </w:r>
      <w:r w:rsidR="00F63FF8">
        <w:t xml:space="preserve">Verizon’s </w:t>
      </w:r>
      <w:r>
        <w:t>facilities.</w:t>
      </w:r>
      <w:r w:rsidR="00F63FF8">
        <w:rPr>
          <w:rStyle w:val="FootnoteReference"/>
        </w:rPr>
        <w:footnoteReference w:id="34"/>
      </w:r>
      <w:r w:rsidR="00F63FF8">
        <w:t xml:space="preserve">  </w:t>
      </w:r>
      <w:r w:rsidR="00ED043F">
        <w:t xml:space="preserve">There is no evidence that there was an investigation of the Complainant’s equipment or facilities.  The facts are consistent with the Complainant’s testimony that he would lose service when it rained, but when the lines dried out service was restored.  The Verizon technician did not investigate the outage until two days after the outage was reported.  For many of the same reasons analyzed above, a civil penalty for this outage is also appropriate.  This outage had less serious consequences than the outages five months before, but the replacement of the D-slam was insufficient to render telephone service to the Complainant reasonably continuous.  There is no evidence that Verizon made any other repairs or investigation of its facilities after replacement of the D-slam box. </w:t>
      </w:r>
      <w:r w:rsidR="00C27354">
        <w:t xml:space="preserve"> </w:t>
      </w:r>
      <w:r w:rsidR="00ED043F">
        <w:t xml:space="preserve">Rather, Verizon responded in the same way as it had responded in the past:  it took no substantial action to restore service within 24 hours, nor did it undertake more than a cursory investigation of the reliability of its facilities.  Therefore a civil penalty of </w:t>
      </w:r>
      <w:r w:rsidR="007728FA">
        <w:t>$700</w:t>
      </w:r>
      <w:r w:rsidR="002E1D7B">
        <w:t xml:space="preserve"> is appropriate for the violation of Section 63.57(b) and $</w:t>
      </w:r>
      <w:r w:rsidR="007728FA">
        <w:t>1,000</w:t>
      </w:r>
      <w:r w:rsidR="002E1D7B">
        <w:t xml:space="preserve"> for violation of Section 63.24.</w:t>
      </w:r>
    </w:p>
    <w:p w:rsidR="00334C7C" w:rsidRDefault="00334C7C" w:rsidP="00334C7C">
      <w:pPr>
        <w:spacing w:after="0"/>
        <w:ind w:firstLine="1440"/>
      </w:pPr>
    </w:p>
    <w:p w:rsidR="00DD43A8" w:rsidRDefault="00C92746" w:rsidP="00DD43A8">
      <w:pPr>
        <w:spacing w:after="0"/>
        <w:ind w:firstLine="1440"/>
      </w:pPr>
      <w:r>
        <w:t xml:space="preserve">In conclusion, the complaint of Ken Eernisse is sustained except for the claims related to the two </w:t>
      </w:r>
      <w:r w:rsidR="007728FA">
        <w:t>outages on October 29, 2010, or November 16, 2010.</w:t>
      </w:r>
      <w:r>
        <w:t xml:space="preserve">  </w:t>
      </w:r>
      <w:r w:rsidR="00166FCB">
        <w:t xml:space="preserve">Verizon has clearly violated Section 1501 of the Public Utility </w:t>
      </w:r>
      <w:r w:rsidR="00667BD2">
        <w:t xml:space="preserve">Code </w:t>
      </w:r>
      <w:r w:rsidR="00166FCB">
        <w:t xml:space="preserve">and the Commission’s regulations on multiple </w:t>
      </w:r>
    </w:p>
    <w:p w:rsidR="00DD43A8" w:rsidRDefault="00166FCB" w:rsidP="00DD43A8">
      <w:pPr>
        <w:spacing w:after="0"/>
      </w:pPr>
      <w:r>
        <w:t xml:space="preserve">occasions.  </w:t>
      </w:r>
      <w:r w:rsidR="00C92746">
        <w:t xml:space="preserve">Pursuant to Section 3301 of the Public Utility Code civil penalties totaling </w:t>
      </w:r>
      <w:r w:rsidR="007728FA">
        <w:t xml:space="preserve">$23,400 </w:t>
      </w:r>
    </w:p>
    <w:p w:rsidR="00393354" w:rsidRDefault="00C92746" w:rsidP="00DD43A8">
      <w:pPr>
        <w:spacing w:line="276" w:lineRule="auto"/>
      </w:pPr>
      <w:r>
        <w:t xml:space="preserve">are appropriate as </w:t>
      </w:r>
      <w:r w:rsidR="00393354">
        <w:t>summarized in the table below</w:t>
      </w:r>
      <w:r>
        <w:t>.</w:t>
      </w:r>
      <w:r w:rsidR="007728FA" w:rsidRPr="007728FA">
        <w:rPr>
          <w:rStyle w:val="FootnoteReference"/>
        </w:rPr>
        <w:t xml:space="preserve"> </w:t>
      </w:r>
      <w:r w:rsidR="007728FA">
        <w:rPr>
          <w:rStyle w:val="FootnoteReference"/>
        </w:rPr>
        <w:footnoteReference w:id="35"/>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080"/>
        <w:gridCol w:w="3780"/>
        <w:gridCol w:w="1080"/>
        <w:gridCol w:w="990"/>
        <w:gridCol w:w="990"/>
      </w:tblGrid>
      <w:tr w:rsidR="00393354" w:rsidRPr="00450A1A" w:rsidTr="00080911">
        <w:trPr>
          <w:trHeight w:val="600"/>
        </w:trPr>
        <w:tc>
          <w:tcPr>
            <w:tcW w:w="1455"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lastRenderedPageBreak/>
              <w:t>Date</w:t>
            </w:r>
          </w:p>
        </w:tc>
        <w:tc>
          <w:tcPr>
            <w:tcW w:w="1080"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Violation</w:t>
            </w:r>
          </w:p>
        </w:tc>
        <w:tc>
          <w:tcPr>
            <w:tcW w:w="378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Pr>
                <w:rFonts w:eastAsia="Times New Roman" w:cs="Calibri"/>
                <w:color w:val="000000"/>
                <w:sz w:val="22"/>
              </w:rPr>
              <w:t>P</w:t>
            </w:r>
            <w:r w:rsidRPr="007C5F30">
              <w:rPr>
                <w:rFonts w:eastAsia="Times New Roman" w:cs="Calibri"/>
                <w:color w:val="000000"/>
                <w:sz w:val="22"/>
              </w:rPr>
              <w:t>enalty amount</w:t>
            </w:r>
          </w:p>
        </w:tc>
        <w:tc>
          <w:tcPr>
            <w:tcW w:w="990" w:type="dxa"/>
            <w:tcBorders>
              <w:top w:val="double" w:sz="4" w:space="0" w:color="auto"/>
              <w:left w:val="double" w:sz="4" w:space="0" w:color="auto"/>
              <w:bottom w:val="triple" w:sz="4" w:space="0" w:color="auto"/>
              <w:right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Pr>
                <w:rFonts w:eastAsia="Times New Roman" w:cs="Calibri"/>
                <w:color w:val="000000"/>
                <w:sz w:val="22"/>
              </w:rPr>
              <w:t>N</w:t>
            </w:r>
            <w:r w:rsidRPr="007C5F30">
              <w:rPr>
                <w:rFonts w:eastAsia="Times New Roman" w:cs="Calibri"/>
                <w:color w:val="000000"/>
                <w:sz w:val="22"/>
              </w:rPr>
              <w:t>umber of days</w:t>
            </w:r>
          </w:p>
        </w:tc>
        <w:tc>
          <w:tcPr>
            <w:tcW w:w="990" w:type="dxa"/>
            <w:tcBorders>
              <w:top w:val="double" w:sz="4" w:space="0" w:color="auto"/>
              <w:left w:val="double" w:sz="4" w:space="0" w:color="auto"/>
              <w:bottom w:val="triple" w:sz="4" w:space="0" w:color="auto"/>
              <w:righ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Pr>
                <w:rFonts w:eastAsia="Times New Roman" w:cs="Calibri"/>
                <w:color w:val="000000"/>
                <w:sz w:val="22"/>
              </w:rPr>
              <w:t>T</w:t>
            </w:r>
            <w:r w:rsidRPr="007C5F30">
              <w:rPr>
                <w:rFonts w:eastAsia="Times New Roman" w:cs="Calibri"/>
                <w:color w:val="000000"/>
                <w:sz w:val="22"/>
              </w:rPr>
              <w:t>otal</w:t>
            </w:r>
          </w:p>
        </w:tc>
      </w:tr>
      <w:tr w:rsidR="00393354" w:rsidRPr="00450A1A" w:rsidTr="00080911">
        <w:trPr>
          <w:trHeight w:val="600"/>
        </w:trPr>
        <w:tc>
          <w:tcPr>
            <w:tcW w:w="1455" w:type="dxa"/>
            <w:tcBorders>
              <w:top w:val="triple" w:sz="4" w:space="0" w:color="auto"/>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10/9/2009</w:t>
            </w:r>
          </w:p>
        </w:tc>
        <w:tc>
          <w:tcPr>
            <w:tcW w:w="1080" w:type="dxa"/>
            <w:tcBorders>
              <w:top w:val="trip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tcBorders>
              <w:top w:val="trip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tcBorders>
              <w:top w:val="trip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50</w:t>
            </w:r>
          </w:p>
        </w:tc>
        <w:tc>
          <w:tcPr>
            <w:tcW w:w="990" w:type="dxa"/>
            <w:tcBorders>
              <w:top w:val="trip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top w:val="triple" w:sz="4" w:space="0" w:color="auto"/>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50</w:t>
            </w:r>
          </w:p>
        </w:tc>
      </w:tr>
      <w:tr w:rsidR="00393354" w:rsidRPr="00450A1A" w:rsidTr="00080911">
        <w:trPr>
          <w:trHeight w:val="9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10/15/2009 - 10/19/2009</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63.24</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maintain reasonable continuous service</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300</w:t>
            </w:r>
          </w:p>
        </w:tc>
      </w:tr>
      <w:tr w:rsidR="00393354" w:rsidRPr="00450A1A" w:rsidTr="00080911">
        <w:trPr>
          <w:trHeight w:val="9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1/2/2011- 1/5/2011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63.24</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maintain reasonable continuous service</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200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600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200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600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6/6/2011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63.57(c)</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meet commitment</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6/6/2011-6/13/2011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7</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2,100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6/22/2011- 6/28/2011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500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6</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3,000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6/24/2011; 6/27/2011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63.57(c)</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meet commitment</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200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2</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400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6/29/2011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63.57(a)</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3 hours</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63.57(c)</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meet commitment</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r>
      <w:tr w:rsidR="00393354" w:rsidRPr="00450A1A" w:rsidTr="00080911">
        <w:trPr>
          <w:trHeight w:val="600"/>
        </w:trPr>
        <w:tc>
          <w:tcPr>
            <w:tcW w:w="1455" w:type="dxa"/>
            <w:tcBorders>
              <w:left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63.24</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maintain continuous service</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r>
      <w:tr w:rsidR="00393354" w:rsidRPr="00450A1A" w:rsidTr="00080911">
        <w:trPr>
          <w:trHeight w:val="1200"/>
        </w:trPr>
        <w:tc>
          <w:tcPr>
            <w:tcW w:w="1455" w:type="dxa"/>
            <w:tcBorders>
              <w:left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6/6/2011-6/13/2011; 6/22/2011-6/30/2011</w:t>
            </w:r>
          </w:p>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(excluding 6/29/2011)</w:t>
            </w:r>
          </w:p>
        </w:tc>
        <w:tc>
          <w:tcPr>
            <w:tcW w:w="1080" w:type="dxa"/>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63.24</w:t>
            </w:r>
          </w:p>
        </w:tc>
        <w:tc>
          <w:tcPr>
            <w:tcW w:w="3780" w:type="dxa"/>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maintain continuous service</w:t>
            </w:r>
          </w:p>
        </w:tc>
        <w:tc>
          <w:tcPr>
            <w:tcW w:w="108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750</w:t>
            </w:r>
          </w:p>
        </w:tc>
        <w:tc>
          <w:tcPr>
            <w:tcW w:w="990" w:type="dxa"/>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r>
              <w:rPr>
                <w:rFonts w:eastAsia="Times New Roman" w:cs="Calibri"/>
                <w:color w:val="000000"/>
                <w:sz w:val="22"/>
              </w:rPr>
              <w:t>5</w:t>
            </w:r>
          </w:p>
        </w:tc>
        <w:tc>
          <w:tcPr>
            <w:tcW w:w="990" w:type="dxa"/>
            <w:tcBorders>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Pr>
                <w:rFonts w:eastAsia="Times New Roman" w:cs="Calibri"/>
                <w:color w:val="000000"/>
                <w:sz w:val="22"/>
              </w:rPr>
              <w:t>11,250</w:t>
            </w:r>
          </w:p>
        </w:tc>
      </w:tr>
      <w:tr w:rsidR="00393354" w:rsidRPr="00450A1A" w:rsidTr="00080911">
        <w:trPr>
          <w:trHeight w:val="600"/>
        </w:trPr>
        <w:tc>
          <w:tcPr>
            <w:tcW w:w="1455" w:type="dxa"/>
            <w:tcBorders>
              <w:left w:val="double" w:sz="4" w:space="0" w:color="auto"/>
              <w:bottom w:val="sing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11/29/2011</w:t>
            </w:r>
          </w:p>
        </w:tc>
        <w:tc>
          <w:tcPr>
            <w:tcW w:w="1080" w:type="dxa"/>
            <w:tcBorders>
              <w:bottom w:val="sing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63.57(b)</w:t>
            </w:r>
          </w:p>
        </w:tc>
        <w:tc>
          <w:tcPr>
            <w:tcW w:w="3780" w:type="dxa"/>
            <w:tcBorders>
              <w:bottom w:val="sing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take substantial action in 24 hours</w:t>
            </w:r>
          </w:p>
        </w:tc>
        <w:tc>
          <w:tcPr>
            <w:tcW w:w="1080" w:type="dxa"/>
            <w:tcBorders>
              <w:bottom w:val="sing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700</w:t>
            </w:r>
          </w:p>
        </w:tc>
        <w:tc>
          <w:tcPr>
            <w:tcW w:w="990" w:type="dxa"/>
            <w:tcBorders>
              <w:bottom w:val="sing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bottom w:val="single" w:sz="4" w:space="0" w:color="auto"/>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700</w:t>
            </w:r>
          </w:p>
        </w:tc>
      </w:tr>
      <w:tr w:rsidR="00393354" w:rsidRPr="00450A1A" w:rsidTr="00080911">
        <w:trPr>
          <w:trHeight w:val="600"/>
        </w:trPr>
        <w:tc>
          <w:tcPr>
            <w:tcW w:w="1455" w:type="dxa"/>
            <w:tcBorders>
              <w:left w:val="double" w:sz="4" w:space="0" w:color="auto"/>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tcBorders>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63.24</w:t>
            </w:r>
          </w:p>
        </w:tc>
        <w:tc>
          <w:tcPr>
            <w:tcW w:w="3780" w:type="dxa"/>
            <w:tcBorders>
              <w:bottom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r w:rsidRPr="007C5F30">
              <w:rPr>
                <w:rFonts w:eastAsia="Times New Roman" w:cs="Calibri"/>
                <w:color w:val="000000"/>
                <w:sz w:val="22"/>
              </w:rPr>
              <w:t>failure to maintain continuous service</w:t>
            </w:r>
          </w:p>
        </w:tc>
        <w:tc>
          <w:tcPr>
            <w:tcW w:w="1080" w:type="dxa"/>
            <w:tcBorders>
              <w:bottom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c>
          <w:tcPr>
            <w:tcW w:w="990" w:type="dxa"/>
            <w:tcBorders>
              <w:bottom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w:t>
            </w:r>
          </w:p>
        </w:tc>
        <w:tc>
          <w:tcPr>
            <w:tcW w:w="990" w:type="dxa"/>
            <w:tcBorders>
              <w:bottom w:val="double" w:sz="4" w:space="0" w:color="auto"/>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color w:val="000000"/>
                <w:sz w:val="22"/>
              </w:rPr>
            </w:pPr>
            <w:r w:rsidRPr="007C5F30">
              <w:rPr>
                <w:rFonts w:eastAsia="Times New Roman" w:cs="Calibri"/>
                <w:color w:val="000000"/>
                <w:sz w:val="22"/>
              </w:rPr>
              <w:t>1,000</w:t>
            </w:r>
          </w:p>
        </w:tc>
      </w:tr>
      <w:tr w:rsidR="00393354" w:rsidRPr="00450A1A" w:rsidTr="00080911">
        <w:trPr>
          <w:trHeight w:val="300"/>
        </w:trPr>
        <w:tc>
          <w:tcPr>
            <w:tcW w:w="1455" w:type="dxa"/>
            <w:tcBorders>
              <w:top w:val="double" w:sz="4" w:space="0" w:color="auto"/>
              <w:left w:val="double" w:sz="4" w:space="0" w:color="auto"/>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tcBorders>
              <w:top w:val="double" w:sz="4" w:space="0" w:color="auto"/>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3780" w:type="dxa"/>
            <w:tcBorders>
              <w:top w:val="double" w:sz="4" w:space="0" w:color="auto"/>
              <w:bottom w:val="double" w:sz="4" w:space="0" w:color="auto"/>
            </w:tcBorders>
            <w:shd w:val="clear" w:color="auto" w:fill="auto"/>
            <w:vAlign w:val="bottom"/>
            <w:hideMark/>
          </w:tcPr>
          <w:p w:rsidR="00393354" w:rsidRPr="007C5F30" w:rsidRDefault="00393354" w:rsidP="00080911">
            <w:pPr>
              <w:spacing w:after="0" w:line="240" w:lineRule="auto"/>
              <w:rPr>
                <w:rFonts w:eastAsia="Times New Roman" w:cs="Calibri"/>
                <w:color w:val="000000"/>
                <w:sz w:val="22"/>
              </w:rPr>
            </w:pPr>
          </w:p>
        </w:tc>
        <w:tc>
          <w:tcPr>
            <w:tcW w:w="1080" w:type="dxa"/>
            <w:tcBorders>
              <w:top w:val="double" w:sz="4" w:space="0" w:color="auto"/>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b/>
                <w:color w:val="000000"/>
                <w:sz w:val="22"/>
              </w:rPr>
            </w:pPr>
            <w:r w:rsidRPr="007C5F30">
              <w:rPr>
                <w:rFonts w:eastAsia="Times New Roman" w:cs="Calibri"/>
                <w:b/>
                <w:color w:val="000000"/>
                <w:sz w:val="22"/>
              </w:rPr>
              <w:t>TOTAL</w:t>
            </w:r>
          </w:p>
        </w:tc>
        <w:tc>
          <w:tcPr>
            <w:tcW w:w="990" w:type="dxa"/>
            <w:tcBorders>
              <w:top w:val="double" w:sz="4" w:space="0" w:color="auto"/>
              <w:bottom w:val="double" w:sz="4" w:space="0" w:color="auto"/>
            </w:tcBorders>
            <w:shd w:val="clear" w:color="auto" w:fill="auto"/>
            <w:noWrap/>
            <w:vAlign w:val="bottom"/>
            <w:hideMark/>
          </w:tcPr>
          <w:p w:rsidR="00393354" w:rsidRPr="007C5F30" w:rsidRDefault="00393354" w:rsidP="00080911">
            <w:pPr>
              <w:spacing w:after="0" w:line="240" w:lineRule="auto"/>
              <w:rPr>
                <w:rFonts w:eastAsia="Times New Roman" w:cs="Calibri"/>
                <w:color w:val="000000"/>
                <w:sz w:val="22"/>
              </w:rPr>
            </w:pPr>
          </w:p>
        </w:tc>
        <w:tc>
          <w:tcPr>
            <w:tcW w:w="990" w:type="dxa"/>
            <w:tcBorders>
              <w:top w:val="double" w:sz="4" w:space="0" w:color="auto"/>
              <w:bottom w:val="double" w:sz="4" w:space="0" w:color="auto"/>
              <w:right w:val="double" w:sz="4" w:space="0" w:color="auto"/>
            </w:tcBorders>
            <w:shd w:val="clear" w:color="auto" w:fill="auto"/>
            <w:noWrap/>
            <w:vAlign w:val="bottom"/>
            <w:hideMark/>
          </w:tcPr>
          <w:p w:rsidR="00393354" w:rsidRPr="007C5F30" w:rsidRDefault="00393354" w:rsidP="00080911">
            <w:pPr>
              <w:spacing w:after="0" w:line="240" w:lineRule="auto"/>
              <w:jc w:val="right"/>
              <w:rPr>
                <w:rFonts w:eastAsia="Times New Roman" w:cs="Calibri"/>
                <w:b/>
                <w:color w:val="000000"/>
                <w:sz w:val="22"/>
              </w:rPr>
            </w:pPr>
            <w:r>
              <w:rPr>
                <w:rFonts w:eastAsia="Times New Roman" w:cs="Calibri"/>
                <w:b/>
                <w:color w:val="000000"/>
                <w:sz w:val="22"/>
              </w:rPr>
              <w:t>23,400</w:t>
            </w:r>
          </w:p>
        </w:tc>
      </w:tr>
    </w:tbl>
    <w:p w:rsidR="00DD43A8" w:rsidRDefault="00DD43A8" w:rsidP="00CF65A6">
      <w:pPr>
        <w:spacing w:after="0"/>
        <w:jc w:val="center"/>
        <w:rPr>
          <w:u w:val="single"/>
        </w:rPr>
      </w:pPr>
    </w:p>
    <w:p w:rsidR="00C92746" w:rsidRDefault="00C92746" w:rsidP="00CF65A6">
      <w:pPr>
        <w:spacing w:after="0"/>
        <w:jc w:val="center"/>
        <w:rPr>
          <w:u w:val="single"/>
        </w:rPr>
      </w:pPr>
      <w:r w:rsidRPr="0036393F">
        <w:rPr>
          <w:u w:val="single"/>
        </w:rPr>
        <w:lastRenderedPageBreak/>
        <w:t>CONCLUSIONS OF LAW</w:t>
      </w:r>
    </w:p>
    <w:p w:rsidR="00334C7C" w:rsidRPr="0036393F" w:rsidRDefault="00334C7C" w:rsidP="00CF65A6">
      <w:pPr>
        <w:spacing w:after="0"/>
        <w:jc w:val="center"/>
        <w:rPr>
          <w:u w:val="single"/>
        </w:rPr>
      </w:pPr>
    </w:p>
    <w:p w:rsidR="00C92746" w:rsidRDefault="00C92746" w:rsidP="00CF65A6">
      <w:pPr>
        <w:pStyle w:val="ListParagraph"/>
        <w:numPr>
          <w:ilvl w:val="0"/>
          <w:numId w:val="16"/>
        </w:numPr>
        <w:ind w:left="0" w:firstLine="1440"/>
      </w:pPr>
      <w:r>
        <w:t>The Commission has jurisdiction over the parties and subject matter in this complaint.</w:t>
      </w:r>
    </w:p>
    <w:p w:rsidR="00334C7C" w:rsidRDefault="00334C7C" w:rsidP="00CF65A6">
      <w:pPr>
        <w:spacing w:after="0"/>
        <w:ind w:firstLine="1440"/>
      </w:pPr>
    </w:p>
    <w:p w:rsidR="00334C7C" w:rsidRDefault="00C92746" w:rsidP="00CF65A6">
      <w:pPr>
        <w:pStyle w:val="ListParagraph"/>
        <w:numPr>
          <w:ilvl w:val="0"/>
          <w:numId w:val="16"/>
        </w:numPr>
        <w:ind w:left="0" w:firstLine="1440"/>
      </w:pPr>
      <w:r w:rsidRPr="00C92746">
        <w:t>Section 332(a) of the Public Utility Code provides that the party seeking relief from the Commission has the burden of proof.  66 Pa. C.S. § 332(a).</w:t>
      </w:r>
    </w:p>
    <w:p w:rsidR="00334C7C" w:rsidRDefault="00334C7C" w:rsidP="00CF65A6">
      <w:pPr>
        <w:spacing w:after="0"/>
        <w:ind w:firstLine="1440"/>
      </w:pPr>
    </w:p>
    <w:p w:rsidR="003438F7" w:rsidRDefault="00C92746" w:rsidP="00CF65A6">
      <w:pPr>
        <w:pStyle w:val="ListParagraph"/>
        <w:numPr>
          <w:ilvl w:val="0"/>
          <w:numId w:val="16"/>
        </w:numPr>
        <w:ind w:left="0" w:firstLine="1440"/>
      </w:pPr>
      <w:r>
        <w:t xml:space="preserve">Verizon failed to </w:t>
      </w:r>
      <w:r w:rsidRPr="00C92746">
        <w:t>respond to and take substantial action to clea</w:t>
      </w:r>
      <w:r w:rsidR="003438F7">
        <w:t>r other out-of-service trouble of an emergency nature whenever the outage occurs, within three hours of the reported outage.  52 Pa. Code § 63.57(a).</w:t>
      </w:r>
    </w:p>
    <w:p w:rsidR="00334C7C" w:rsidRDefault="00334C7C" w:rsidP="00CF65A6">
      <w:pPr>
        <w:spacing w:after="0"/>
        <w:ind w:firstLine="1440"/>
      </w:pPr>
    </w:p>
    <w:p w:rsidR="00C92746" w:rsidRDefault="003438F7" w:rsidP="00CF65A6">
      <w:pPr>
        <w:pStyle w:val="ListParagraph"/>
        <w:numPr>
          <w:ilvl w:val="0"/>
          <w:numId w:val="16"/>
        </w:numPr>
        <w:ind w:left="0" w:firstLine="1440"/>
      </w:pPr>
      <w:r>
        <w:t xml:space="preserve"> </w:t>
      </w:r>
      <w:r w:rsidR="00C92746">
        <w:t xml:space="preserve">Verizon failed to </w:t>
      </w:r>
      <w:r w:rsidR="00C92746" w:rsidRPr="00C92746">
        <w:t>respond to and take substantial action to clear other out-of-service trouble, not requiring unusual repair, within 24 hours of the report, except for isolated weekend outages affecting fewer than 15 customers in an exchange or where the customer agrees to another arrangement.  52 Pa. Code § 63.57(b).</w:t>
      </w:r>
    </w:p>
    <w:p w:rsidR="00334C7C" w:rsidRDefault="00334C7C" w:rsidP="00CF65A6">
      <w:pPr>
        <w:spacing w:after="0"/>
        <w:ind w:firstLine="1440"/>
      </w:pPr>
    </w:p>
    <w:p w:rsidR="003438F7" w:rsidRDefault="003438F7" w:rsidP="00CF65A6">
      <w:pPr>
        <w:pStyle w:val="ListParagraph"/>
        <w:numPr>
          <w:ilvl w:val="0"/>
          <w:numId w:val="16"/>
        </w:numPr>
        <w:ind w:left="0" w:firstLine="1440"/>
      </w:pPr>
      <w:r>
        <w:t>Verizon failed to keep commitments made to its customers.  52 Pa. Code §</w:t>
      </w:r>
      <w:r w:rsidR="00C41FE1">
        <w:t> </w:t>
      </w:r>
      <w:r>
        <w:t>67.57(c).</w:t>
      </w:r>
    </w:p>
    <w:p w:rsidR="00334C7C" w:rsidRDefault="00334C7C" w:rsidP="00CF65A6">
      <w:pPr>
        <w:spacing w:after="0"/>
        <w:ind w:firstLine="1440"/>
      </w:pPr>
    </w:p>
    <w:p w:rsidR="00C92746" w:rsidRDefault="003438F7" w:rsidP="00CF65A6">
      <w:pPr>
        <w:pStyle w:val="ListParagraph"/>
        <w:numPr>
          <w:ilvl w:val="0"/>
          <w:numId w:val="16"/>
        </w:numPr>
        <w:ind w:left="0" w:firstLine="1440"/>
      </w:pPr>
      <w:r>
        <w:t>Verizon failed</w:t>
      </w:r>
      <w:r w:rsidR="00C92746" w:rsidRPr="00C92746">
        <w:t xml:space="preserve"> to maintain its entire system in such condition as to make it possible to furnish continuous service, and </w:t>
      </w:r>
      <w:r w:rsidR="000A4D83">
        <w:t>failed to</w:t>
      </w:r>
      <w:r w:rsidR="00C92746" w:rsidRPr="00C92746">
        <w:t xml:space="preserve"> take reasonable measures to prevent interruptions of service and to restore service within a minimum delay if interruptions occur.  </w:t>
      </w:r>
      <w:r>
        <w:t xml:space="preserve">66 Pa. C.S. § 1501; </w:t>
      </w:r>
      <w:r w:rsidR="00C92746" w:rsidRPr="00C92746">
        <w:t xml:space="preserve">52 Pa. Code § 63.24(a). </w:t>
      </w:r>
    </w:p>
    <w:p w:rsidR="00334C7C" w:rsidRDefault="00334C7C" w:rsidP="00CF65A6">
      <w:pPr>
        <w:spacing w:after="0"/>
        <w:ind w:firstLine="1440"/>
      </w:pPr>
    </w:p>
    <w:p w:rsidR="005E71F9" w:rsidRPr="007524D6" w:rsidRDefault="00C92746" w:rsidP="00CF65A6">
      <w:pPr>
        <w:pStyle w:val="ListParagraph"/>
        <w:numPr>
          <w:ilvl w:val="0"/>
          <w:numId w:val="16"/>
        </w:numPr>
        <w:ind w:left="0" w:firstLine="1440"/>
        <w:rPr>
          <w:u w:val="single"/>
        </w:rPr>
      </w:pPr>
      <w:r w:rsidRPr="007524D6">
        <w:rPr>
          <w:snapToGrid w:val="0"/>
        </w:rPr>
        <w:t>Section 3301(a) and (b) of the Public Utility Code authorizes the Commission to impose a maximum civil penalty of $1,000.00 per day for violations of the statute, regulations and orders.</w:t>
      </w:r>
      <w:r w:rsidR="009436D4" w:rsidRPr="007524D6">
        <w:rPr>
          <w:snapToGrid w:val="0"/>
        </w:rPr>
        <w:t xml:space="preserve">  66 Pa. C.S. § 3301(a) and (b)</w:t>
      </w:r>
      <w:r w:rsidR="00667BD2">
        <w:rPr>
          <w:snapToGrid w:val="0"/>
        </w:rPr>
        <w:t>.</w:t>
      </w:r>
    </w:p>
    <w:p w:rsidR="00334C7C" w:rsidRPr="00334C7C" w:rsidRDefault="00334C7C" w:rsidP="007524D6">
      <w:pPr>
        <w:ind w:left="720"/>
      </w:pPr>
    </w:p>
    <w:p w:rsidR="00CF65A6" w:rsidRDefault="00CF65A6">
      <w:pPr>
        <w:spacing w:line="276" w:lineRule="auto"/>
        <w:rPr>
          <w:u w:val="single"/>
        </w:rPr>
      </w:pPr>
      <w:r>
        <w:rPr>
          <w:u w:val="single"/>
        </w:rPr>
        <w:br w:type="page"/>
      </w:r>
    </w:p>
    <w:p w:rsidR="004E30F8" w:rsidRPr="005E71F9" w:rsidRDefault="004E30F8" w:rsidP="00334C7C">
      <w:pPr>
        <w:spacing w:after="0"/>
        <w:jc w:val="center"/>
        <w:rPr>
          <w:u w:val="single"/>
        </w:rPr>
      </w:pPr>
      <w:r w:rsidRPr="005E71F9">
        <w:rPr>
          <w:u w:val="single"/>
        </w:rPr>
        <w:lastRenderedPageBreak/>
        <w:t>ORDER</w:t>
      </w:r>
    </w:p>
    <w:p w:rsidR="004E30F8" w:rsidRDefault="004E30F8" w:rsidP="00334C7C">
      <w:pPr>
        <w:spacing w:after="0"/>
        <w:ind w:firstLine="1440"/>
      </w:pPr>
    </w:p>
    <w:p w:rsidR="004E30F8" w:rsidRDefault="004E30F8" w:rsidP="009F33FD">
      <w:pPr>
        <w:spacing w:after="0"/>
      </w:pPr>
      <w:r>
        <w:tab/>
      </w:r>
      <w:r>
        <w:tab/>
        <w:t>THEREFORE,</w:t>
      </w:r>
    </w:p>
    <w:p w:rsidR="00334C7C" w:rsidRDefault="00334C7C" w:rsidP="009F33FD">
      <w:pPr>
        <w:spacing w:after="0"/>
      </w:pPr>
    </w:p>
    <w:p w:rsidR="004E30F8" w:rsidRDefault="004E30F8" w:rsidP="009F33FD">
      <w:pPr>
        <w:spacing w:after="0"/>
      </w:pPr>
      <w:r>
        <w:tab/>
      </w:r>
      <w:r>
        <w:tab/>
        <w:t>IT IS ORDERED:</w:t>
      </w:r>
    </w:p>
    <w:p w:rsidR="00334C7C" w:rsidRDefault="00334C7C" w:rsidP="009F33FD">
      <w:pPr>
        <w:spacing w:after="0"/>
      </w:pPr>
    </w:p>
    <w:p w:rsidR="004E30F8" w:rsidRDefault="003A1D9E" w:rsidP="005B6094">
      <w:pPr>
        <w:pStyle w:val="ListParagraph"/>
        <w:numPr>
          <w:ilvl w:val="0"/>
          <w:numId w:val="18"/>
        </w:numPr>
        <w:ind w:left="90" w:firstLine="1350"/>
      </w:pPr>
      <w:r>
        <w:t>That the formal co</w:t>
      </w:r>
      <w:r w:rsidR="004E30F8">
        <w:t xml:space="preserve">mplaint filed by </w:t>
      </w:r>
      <w:r>
        <w:t>Ken Eernisse against Verizon Pennsylvania</w:t>
      </w:r>
      <w:r w:rsidR="00667BD2">
        <w:t xml:space="preserve"> Inc.</w:t>
      </w:r>
      <w:r>
        <w:t xml:space="preserve"> at Docket No. C-20</w:t>
      </w:r>
      <w:r w:rsidR="005E71F9">
        <w:t>12-2287023</w:t>
      </w:r>
      <w:r w:rsidR="004E30F8">
        <w:t xml:space="preserve"> is denied </w:t>
      </w:r>
      <w:r w:rsidR="00DD43A8">
        <w:t>as to the outages on October 28, 2010 and November 16, 2010</w:t>
      </w:r>
      <w:r>
        <w:t>.</w:t>
      </w:r>
      <w:r w:rsidR="00DD43A8">
        <w:t xml:space="preserve">  The complaint is sustained in all other respects.</w:t>
      </w:r>
      <w:r>
        <w:t xml:space="preserve"> </w:t>
      </w:r>
    </w:p>
    <w:p w:rsidR="00F9160D" w:rsidRDefault="00F9160D" w:rsidP="005B6094">
      <w:pPr>
        <w:spacing w:after="0"/>
        <w:ind w:left="1440"/>
      </w:pPr>
    </w:p>
    <w:p w:rsidR="00F9160D" w:rsidRDefault="007524D6" w:rsidP="005B6094">
      <w:pPr>
        <w:pStyle w:val="ListParagraph"/>
        <w:numPr>
          <w:ilvl w:val="0"/>
          <w:numId w:val="18"/>
        </w:numPr>
        <w:ind w:left="0" w:firstLine="1440"/>
      </w:pPr>
      <w:r>
        <w:t>That Verizon Pennsylvania</w:t>
      </w:r>
      <w:r w:rsidR="00F9160D">
        <w:t xml:space="preserve"> Inc. shall pay a civil penalty </w:t>
      </w:r>
      <w:r w:rsidR="004A6FBC">
        <w:t xml:space="preserve">as set forth in the Appendix </w:t>
      </w:r>
      <w:r w:rsidR="00F9160D">
        <w:t>in the amount of $23,400 for the violations of the Public Utility Code and the Commission’s</w:t>
      </w:r>
      <w:r w:rsidR="00396D28">
        <w:t xml:space="preserve"> regulations</w:t>
      </w:r>
      <w:r w:rsidR="00F9160D">
        <w:t xml:space="preserve"> by certified check or money order, within twenty (20) days after service of the Commission’s Order, forwarded and payable to:</w:t>
      </w:r>
    </w:p>
    <w:p w:rsidR="003053F7" w:rsidRDefault="003053F7" w:rsidP="009F33FD">
      <w:pPr>
        <w:spacing w:after="0" w:line="240" w:lineRule="auto"/>
        <w:jc w:val="center"/>
      </w:pPr>
    </w:p>
    <w:p w:rsidR="004E30F8" w:rsidRDefault="004E30F8" w:rsidP="003053F7">
      <w:pPr>
        <w:spacing w:after="0" w:line="240" w:lineRule="auto"/>
        <w:ind w:left="2160" w:firstLine="720"/>
      </w:pPr>
      <w:r>
        <w:t>Pennsylvania Public Utility Commission</w:t>
      </w:r>
    </w:p>
    <w:p w:rsidR="004E30F8" w:rsidRDefault="004E30F8" w:rsidP="003053F7">
      <w:pPr>
        <w:spacing w:after="0" w:line="240" w:lineRule="auto"/>
        <w:ind w:left="2160" w:firstLine="720"/>
      </w:pPr>
      <w:r>
        <w:t>P.O. Box 3265</w:t>
      </w:r>
    </w:p>
    <w:p w:rsidR="004E30F8" w:rsidRDefault="004E30F8" w:rsidP="003053F7">
      <w:pPr>
        <w:spacing w:after="0" w:line="240" w:lineRule="auto"/>
        <w:ind w:left="2160" w:firstLine="720"/>
      </w:pPr>
      <w:r>
        <w:t>Harrisburg, PA  17105-3265</w:t>
      </w:r>
    </w:p>
    <w:p w:rsidR="004E30F8" w:rsidRDefault="004E30F8" w:rsidP="00C41FE1">
      <w:pPr>
        <w:spacing w:after="0" w:line="240" w:lineRule="auto"/>
      </w:pPr>
    </w:p>
    <w:p w:rsidR="00C41FE1" w:rsidRDefault="00C41FE1" w:rsidP="00C41FE1">
      <w:pPr>
        <w:spacing w:after="0" w:line="240" w:lineRule="auto"/>
      </w:pPr>
    </w:p>
    <w:p w:rsidR="004E30F8" w:rsidRDefault="003A1D9E" w:rsidP="000E1B89">
      <w:pPr>
        <w:spacing w:after="0"/>
        <w:ind w:firstLine="1440"/>
      </w:pPr>
      <w:r>
        <w:t>3</w:t>
      </w:r>
      <w:r w:rsidR="004E30F8">
        <w:t>.</w:t>
      </w:r>
      <w:r w:rsidR="004E30F8">
        <w:tab/>
        <w:t xml:space="preserve">That </w:t>
      </w:r>
      <w:r w:rsidR="007524D6">
        <w:t>Verizon Pennsylvania</w:t>
      </w:r>
      <w:r>
        <w:t xml:space="preserve"> Inc.</w:t>
      </w:r>
      <w:r w:rsidR="004E30F8">
        <w:t xml:space="preserve"> shall cease and desist from further violations of the Public Utility Commission’s regulations.</w:t>
      </w:r>
    </w:p>
    <w:p w:rsidR="00F9160D" w:rsidRDefault="00F9160D" w:rsidP="009F33FD">
      <w:pPr>
        <w:spacing w:after="0"/>
        <w:ind w:firstLine="720"/>
      </w:pPr>
    </w:p>
    <w:p w:rsidR="004E30F8" w:rsidRDefault="003A1D9E" w:rsidP="00894B04">
      <w:pPr>
        <w:spacing w:after="0"/>
        <w:ind w:firstLine="1440"/>
      </w:pPr>
      <w:r>
        <w:t>4.</w:t>
      </w:r>
      <w:r w:rsidR="004E30F8">
        <w:tab/>
        <w:t>That the record at Docket No. C-</w:t>
      </w:r>
      <w:r>
        <w:t>2012-2287023</w:t>
      </w:r>
      <w:r w:rsidR="004E30F8">
        <w:t xml:space="preserve"> </w:t>
      </w:r>
      <w:r w:rsidR="00166FCB">
        <w:t>is</w:t>
      </w:r>
      <w:r w:rsidR="004E30F8">
        <w:t xml:space="preserve"> marked closed.</w:t>
      </w:r>
    </w:p>
    <w:p w:rsidR="00EE2CB9" w:rsidRDefault="00EE2CB9" w:rsidP="009F33FD">
      <w:pPr>
        <w:spacing w:after="0" w:line="276" w:lineRule="auto"/>
      </w:pPr>
    </w:p>
    <w:p w:rsidR="006B2EE6" w:rsidRDefault="006B2EE6" w:rsidP="009F33FD">
      <w:pPr>
        <w:spacing w:after="0" w:line="276" w:lineRule="auto"/>
      </w:pPr>
    </w:p>
    <w:p w:rsidR="00EE2CB9" w:rsidRDefault="00EE2CB9" w:rsidP="00EE2CB9">
      <w:pPr>
        <w:tabs>
          <w:tab w:val="left" w:pos="0"/>
        </w:tabs>
        <w:spacing w:after="0" w:line="240" w:lineRule="auto"/>
        <w:jc w:val="both"/>
      </w:pPr>
    </w:p>
    <w:p w:rsidR="00EE2CB9" w:rsidRPr="00A03D6F" w:rsidRDefault="00EE2CB9" w:rsidP="00EE2CB9">
      <w:pPr>
        <w:tabs>
          <w:tab w:val="left" w:pos="0"/>
        </w:tabs>
        <w:spacing w:after="0" w:line="240" w:lineRule="auto"/>
        <w:jc w:val="both"/>
      </w:pPr>
      <w:r w:rsidRPr="00A03D6F">
        <w:t xml:space="preserve">Date:  </w:t>
      </w:r>
      <w:r>
        <w:rPr>
          <w:u w:val="single"/>
        </w:rPr>
        <w:t xml:space="preserve">October </w:t>
      </w:r>
      <w:r w:rsidR="00667BD2">
        <w:rPr>
          <w:u w:val="single"/>
        </w:rPr>
        <w:t>2</w:t>
      </w:r>
      <w:r>
        <w:rPr>
          <w:u w:val="single"/>
        </w:rPr>
        <w:t>, 2012</w:t>
      </w:r>
      <w:r w:rsidRPr="00A03D6F">
        <w:tab/>
      </w:r>
      <w:r w:rsidRPr="00A03D6F">
        <w:tab/>
      </w:r>
      <w:r>
        <w:tab/>
      </w:r>
      <w:r w:rsidRPr="00A03D6F">
        <w:tab/>
        <w:t>_______________________________</w:t>
      </w:r>
    </w:p>
    <w:p w:rsidR="00EE2CB9" w:rsidRPr="00A03D6F" w:rsidRDefault="00EE2CB9" w:rsidP="00EE2CB9">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r>
      <w:r>
        <w:t>Mary D. Long</w:t>
      </w:r>
    </w:p>
    <w:p w:rsidR="00EE2CB9" w:rsidRPr="00A03D6F" w:rsidRDefault="00EE2CB9" w:rsidP="00EE2CB9">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t>Administrative Law Judge</w:t>
      </w:r>
    </w:p>
    <w:sectPr w:rsidR="00EE2CB9" w:rsidRPr="00A03D6F" w:rsidSect="005F548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21" w:rsidRDefault="00035E21" w:rsidP="005F548C">
      <w:pPr>
        <w:spacing w:after="0" w:line="240" w:lineRule="auto"/>
      </w:pPr>
      <w:r>
        <w:separator/>
      </w:r>
    </w:p>
  </w:endnote>
  <w:endnote w:type="continuationSeparator" w:id="0">
    <w:p w:rsidR="00035E21" w:rsidRDefault="00035E21" w:rsidP="005F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587600"/>
      <w:docPartObj>
        <w:docPartGallery w:val="Page Numbers (Bottom of Page)"/>
        <w:docPartUnique/>
      </w:docPartObj>
    </w:sdtPr>
    <w:sdtEndPr>
      <w:rPr>
        <w:noProof/>
        <w:sz w:val="22"/>
      </w:rPr>
    </w:sdtEndPr>
    <w:sdtContent>
      <w:p w:rsidR="005F548C" w:rsidRPr="009F33FD" w:rsidRDefault="005F548C">
        <w:pPr>
          <w:pStyle w:val="Footer"/>
          <w:jc w:val="center"/>
          <w:rPr>
            <w:sz w:val="22"/>
          </w:rPr>
        </w:pPr>
        <w:r w:rsidRPr="00EB6309">
          <w:rPr>
            <w:sz w:val="20"/>
            <w:szCs w:val="20"/>
          </w:rPr>
          <w:fldChar w:fldCharType="begin"/>
        </w:r>
        <w:r w:rsidRPr="00EB6309">
          <w:rPr>
            <w:sz w:val="20"/>
            <w:szCs w:val="20"/>
          </w:rPr>
          <w:instrText xml:space="preserve"> PAGE   \* MERGEFORMAT </w:instrText>
        </w:r>
        <w:r w:rsidRPr="00EB6309">
          <w:rPr>
            <w:sz w:val="20"/>
            <w:szCs w:val="20"/>
          </w:rPr>
          <w:fldChar w:fldCharType="separate"/>
        </w:r>
        <w:r w:rsidR="00EB6309">
          <w:rPr>
            <w:noProof/>
            <w:sz w:val="20"/>
            <w:szCs w:val="20"/>
          </w:rPr>
          <w:t>23</w:t>
        </w:r>
        <w:r w:rsidRPr="00EB630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21" w:rsidRDefault="00035E21" w:rsidP="005F548C">
      <w:pPr>
        <w:spacing w:after="0" w:line="240" w:lineRule="auto"/>
      </w:pPr>
      <w:r>
        <w:separator/>
      </w:r>
    </w:p>
  </w:footnote>
  <w:footnote w:type="continuationSeparator" w:id="0">
    <w:p w:rsidR="00035E21" w:rsidRDefault="00035E21" w:rsidP="005F548C">
      <w:pPr>
        <w:spacing w:after="0" w:line="240" w:lineRule="auto"/>
      </w:pPr>
      <w:r>
        <w:continuationSeparator/>
      </w:r>
    </w:p>
  </w:footnote>
  <w:footnote w:id="1">
    <w:p w:rsidR="00700A37" w:rsidRPr="009F33FD" w:rsidRDefault="00700A37" w:rsidP="000E1B89">
      <w:pPr>
        <w:pStyle w:val="FootnoteText"/>
      </w:pPr>
      <w:r w:rsidRPr="009F33FD">
        <w:rPr>
          <w:rStyle w:val="FootnoteReference"/>
        </w:rPr>
        <w:footnoteRef/>
      </w:r>
      <w:r w:rsidRPr="009F33FD">
        <w:t xml:space="preserve"> </w:t>
      </w:r>
      <w:r w:rsidRPr="009F33FD">
        <w:tab/>
        <w:t>66 Pa. C.S. § 701.</w:t>
      </w:r>
    </w:p>
    <w:p w:rsidR="00700A37" w:rsidRPr="009F33FD" w:rsidRDefault="00700A37" w:rsidP="000E1B89">
      <w:pPr>
        <w:pStyle w:val="FootnoteText"/>
      </w:pPr>
    </w:p>
  </w:footnote>
  <w:footnote w:id="2">
    <w:p w:rsidR="00700A37" w:rsidRPr="009F33FD" w:rsidRDefault="00700A37" w:rsidP="000E1B89">
      <w:pPr>
        <w:pStyle w:val="FootnoteText"/>
      </w:pPr>
      <w:r w:rsidRPr="009F33FD">
        <w:rPr>
          <w:rStyle w:val="FootnoteReference"/>
        </w:rPr>
        <w:footnoteRef/>
      </w:r>
      <w:r w:rsidRPr="009F33FD">
        <w:t xml:space="preserve"> </w:t>
      </w:r>
      <w:r w:rsidRPr="009F33FD">
        <w:tab/>
        <w:t>66 Pa. C.S. § 332(a).</w:t>
      </w:r>
    </w:p>
    <w:p w:rsidR="00700A37" w:rsidRPr="009F33FD" w:rsidRDefault="00700A37" w:rsidP="000E1B89">
      <w:pPr>
        <w:pStyle w:val="FootnoteText"/>
      </w:pPr>
    </w:p>
  </w:footnote>
  <w:footnote w:id="3">
    <w:p w:rsidR="00B26DD4" w:rsidRDefault="00B26DD4" w:rsidP="000E1B89">
      <w:pPr>
        <w:pStyle w:val="FootnoteText"/>
      </w:pPr>
      <w:r w:rsidRPr="009F33FD">
        <w:rPr>
          <w:rStyle w:val="FootnoteReference"/>
        </w:rPr>
        <w:footnoteRef/>
      </w:r>
      <w:r w:rsidRPr="009F33FD">
        <w:t xml:space="preserve"> </w:t>
      </w:r>
      <w:r w:rsidRPr="009F33FD">
        <w:tab/>
      </w:r>
      <w:r w:rsidRPr="00115A09">
        <w:rPr>
          <w:i/>
        </w:rPr>
        <w:t>Feinstein v. Philadelphia Suburban Water Company</w:t>
      </w:r>
      <w:r w:rsidRPr="009F33FD">
        <w:t xml:space="preserve">, 50 Pa. P.U.C. 300 (1976). </w:t>
      </w:r>
    </w:p>
    <w:p w:rsidR="009F33FD" w:rsidRPr="009F33FD" w:rsidRDefault="009F33FD" w:rsidP="000E1B89">
      <w:pPr>
        <w:pStyle w:val="FootnoteText"/>
      </w:pPr>
    </w:p>
  </w:footnote>
  <w:footnote w:id="4">
    <w:p w:rsidR="00700A37" w:rsidRPr="009F33FD" w:rsidRDefault="00700A37" w:rsidP="000E1B89">
      <w:pPr>
        <w:pStyle w:val="FootnoteText"/>
      </w:pPr>
      <w:r w:rsidRPr="009F33FD">
        <w:rPr>
          <w:rStyle w:val="FootnoteReference"/>
        </w:rPr>
        <w:footnoteRef/>
      </w:r>
      <w:r w:rsidRPr="009F33FD">
        <w:t xml:space="preserve"> </w:t>
      </w:r>
      <w:r w:rsidRPr="009F33FD">
        <w:tab/>
      </w:r>
      <w:r w:rsidRPr="00115A09">
        <w:rPr>
          <w:i/>
        </w:rPr>
        <w:t>Se-Ling Hosiery, Inc. v. Margulies</w:t>
      </w:r>
      <w:r w:rsidRPr="009F33FD">
        <w:t xml:space="preserve">, 364 Pa. 45, 70 A.2d 854 (1950); </w:t>
      </w:r>
      <w:r w:rsidRPr="00115A09">
        <w:rPr>
          <w:i/>
        </w:rPr>
        <w:t>Feinstein v. Philadelphia Suburban Water Company</w:t>
      </w:r>
      <w:r w:rsidRPr="009F33FD">
        <w:t>, 50 PA PUC 300 (1976).</w:t>
      </w:r>
    </w:p>
    <w:p w:rsidR="00700A37" w:rsidRPr="009F33FD" w:rsidRDefault="00700A37" w:rsidP="000E1B89">
      <w:pPr>
        <w:pStyle w:val="FootnoteText"/>
      </w:pPr>
    </w:p>
  </w:footnote>
  <w:footnote w:id="5">
    <w:p w:rsidR="00BA0D1B" w:rsidRPr="009F33FD" w:rsidRDefault="00BA0D1B" w:rsidP="000E1B89">
      <w:pPr>
        <w:pStyle w:val="FootnoteText"/>
      </w:pPr>
      <w:r w:rsidRPr="009F33FD">
        <w:rPr>
          <w:rStyle w:val="FootnoteReference"/>
        </w:rPr>
        <w:footnoteRef/>
      </w:r>
      <w:r w:rsidRPr="009F33FD">
        <w:t xml:space="preserve">  </w:t>
      </w:r>
      <w:r w:rsidRPr="009F33FD">
        <w:tab/>
        <w:t>66 Pa. C.S. § 1501.</w:t>
      </w:r>
    </w:p>
    <w:p w:rsidR="00BA0D1B" w:rsidRPr="009F33FD" w:rsidRDefault="00BA0D1B" w:rsidP="000E1B89">
      <w:pPr>
        <w:pStyle w:val="FootnoteText"/>
      </w:pPr>
    </w:p>
  </w:footnote>
  <w:footnote w:id="6">
    <w:p w:rsidR="00157936" w:rsidRPr="009F33FD" w:rsidRDefault="00157936" w:rsidP="000E1B89">
      <w:pPr>
        <w:pStyle w:val="FootnoteText"/>
      </w:pPr>
      <w:r w:rsidRPr="009F33FD">
        <w:rPr>
          <w:rStyle w:val="FootnoteReference"/>
        </w:rPr>
        <w:footnoteRef/>
      </w:r>
      <w:r w:rsidRPr="009F33FD">
        <w:t xml:space="preserve"> </w:t>
      </w:r>
      <w:r w:rsidRPr="009F33FD">
        <w:tab/>
        <w:t xml:space="preserve">The Complainant must drive up the road for one half mile from his house before he is able to get cell phone coverage.  N.T. </w:t>
      </w:r>
      <w:r w:rsidR="00023DD3" w:rsidRPr="009F33FD">
        <w:t>15.</w:t>
      </w:r>
    </w:p>
    <w:p w:rsidR="009F33FD" w:rsidRPr="009F33FD" w:rsidRDefault="009F33FD" w:rsidP="000E1B89">
      <w:pPr>
        <w:pStyle w:val="FootnoteText"/>
      </w:pPr>
    </w:p>
  </w:footnote>
  <w:footnote w:id="7">
    <w:p w:rsidR="00023DD3" w:rsidRPr="009F33FD" w:rsidRDefault="00023DD3" w:rsidP="000E1B89">
      <w:pPr>
        <w:pStyle w:val="FootnoteText"/>
      </w:pPr>
      <w:r w:rsidRPr="009F33FD">
        <w:rPr>
          <w:rStyle w:val="FootnoteReference"/>
        </w:rPr>
        <w:footnoteRef/>
      </w:r>
      <w:r w:rsidRPr="009F33FD">
        <w:t xml:space="preserve"> </w:t>
      </w:r>
      <w:r w:rsidRPr="009F33FD">
        <w:tab/>
      </w:r>
      <w:r w:rsidRPr="009F33FD">
        <w:rPr>
          <w:i/>
        </w:rPr>
        <w:t>See Wolfe v. Verizon Pennsylvania Inc.</w:t>
      </w:r>
      <w:r w:rsidRPr="009F33FD">
        <w:t xml:space="preserve">, PUC Docket No. C-2011-2266224 (Initial Decision </w:t>
      </w:r>
      <w:r w:rsidR="00CD4023">
        <w:t xml:space="preserve">dated </w:t>
      </w:r>
      <w:r w:rsidRPr="009F33FD">
        <w:t>April 16, 2012).</w:t>
      </w:r>
    </w:p>
  </w:footnote>
  <w:footnote w:id="8">
    <w:p w:rsidR="00396D28" w:rsidRDefault="00396D28">
      <w:pPr>
        <w:pStyle w:val="FootnoteText"/>
        <w:rPr>
          <w:snapToGrid w:val="0"/>
        </w:rPr>
      </w:pPr>
      <w:r>
        <w:rPr>
          <w:rStyle w:val="FootnoteReference"/>
        </w:rPr>
        <w:footnoteRef/>
      </w:r>
      <w:r>
        <w:t xml:space="preserve"> </w:t>
      </w:r>
      <w:r>
        <w:tab/>
        <w:t xml:space="preserve">52 Pa. </w:t>
      </w:r>
      <w:r w:rsidR="008C4076">
        <w:t>Code §</w:t>
      </w:r>
      <w:r>
        <w:rPr>
          <w:snapToGrid w:val="0"/>
        </w:rPr>
        <w:t xml:space="preserve"> 63.57.</w:t>
      </w:r>
    </w:p>
    <w:p w:rsidR="00396D28" w:rsidRDefault="00396D28">
      <w:pPr>
        <w:pStyle w:val="FootnoteText"/>
      </w:pPr>
    </w:p>
  </w:footnote>
  <w:footnote w:id="9">
    <w:p w:rsidR="001C450F" w:rsidRPr="00334C7C" w:rsidRDefault="001C450F" w:rsidP="000E1B89">
      <w:pPr>
        <w:pStyle w:val="FootnoteText"/>
      </w:pPr>
      <w:r w:rsidRPr="00334C7C">
        <w:rPr>
          <w:rStyle w:val="FootnoteReference"/>
        </w:rPr>
        <w:footnoteRef/>
      </w:r>
      <w:r w:rsidRPr="00334C7C">
        <w:t xml:space="preserve">  </w:t>
      </w:r>
      <w:r w:rsidRPr="00334C7C">
        <w:tab/>
      </w:r>
      <w:r w:rsidRPr="00334C7C">
        <w:rPr>
          <w:i/>
        </w:rPr>
        <w:t>Miller v. Verizon Pennsylvania, Inc</w:t>
      </w:r>
      <w:r w:rsidR="00A93895">
        <w:rPr>
          <w:i/>
        </w:rPr>
        <w:t xml:space="preserve">., </w:t>
      </w:r>
      <w:r w:rsidRPr="00334C7C">
        <w:t xml:space="preserve">PUC Docket No. C-20066923 (Order entered November 12, 2008); </w:t>
      </w:r>
      <w:r w:rsidRPr="00334C7C">
        <w:rPr>
          <w:i/>
        </w:rPr>
        <w:t>Wolfe v. Verizon North, LLC</w:t>
      </w:r>
      <w:r w:rsidRPr="00334C7C">
        <w:t>, PUC Docket No C-2011</w:t>
      </w:r>
      <w:r w:rsidR="004E58F6">
        <w:t>-</w:t>
      </w:r>
      <w:r w:rsidRPr="00334C7C">
        <w:t>2266224</w:t>
      </w:r>
      <w:r w:rsidR="004E58F6">
        <w:t xml:space="preserve"> </w:t>
      </w:r>
      <w:r w:rsidRPr="00334C7C">
        <w:t xml:space="preserve">(Initial Decision </w:t>
      </w:r>
      <w:r w:rsidR="004E58F6">
        <w:t xml:space="preserve">dated </w:t>
      </w:r>
      <w:r w:rsidRPr="00334C7C">
        <w:t xml:space="preserve">April 16, 2012).  The exception is where there is an isolated weekend outage affecting fewer than 15 people.  </w:t>
      </w:r>
      <w:r w:rsidRPr="00334C7C">
        <w:rPr>
          <w:i/>
        </w:rPr>
        <w:t>Lerch v. Verizon Pennsylvania, Inc.</w:t>
      </w:r>
      <w:r w:rsidRPr="00334C7C">
        <w:t>, PUC Docket No. C-20077297 (Order entered September 11, 2008).</w:t>
      </w:r>
    </w:p>
    <w:p w:rsidR="00334C7C" w:rsidRPr="00334C7C" w:rsidRDefault="00334C7C" w:rsidP="000E1B89">
      <w:pPr>
        <w:pStyle w:val="FootnoteText"/>
      </w:pPr>
    </w:p>
  </w:footnote>
  <w:footnote w:id="10">
    <w:p w:rsidR="00D17680" w:rsidRPr="00334C7C" w:rsidRDefault="00D17680" w:rsidP="000E1B89">
      <w:pPr>
        <w:pStyle w:val="FootnoteText"/>
        <w:rPr>
          <w:snapToGrid w:val="0"/>
        </w:rPr>
      </w:pPr>
      <w:r w:rsidRPr="00334C7C">
        <w:rPr>
          <w:rStyle w:val="FootnoteReference"/>
        </w:rPr>
        <w:footnoteRef/>
      </w:r>
      <w:r w:rsidRPr="00334C7C">
        <w:t xml:space="preserve"> </w:t>
      </w:r>
      <w:r w:rsidRPr="00334C7C">
        <w:tab/>
      </w:r>
      <w:r w:rsidRPr="00334C7C">
        <w:rPr>
          <w:snapToGrid w:val="0"/>
        </w:rPr>
        <w:t>66 Pa. C.S. § 3301.</w:t>
      </w:r>
    </w:p>
    <w:p w:rsidR="00334C7C" w:rsidRPr="00334C7C" w:rsidRDefault="00334C7C" w:rsidP="000E1B89">
      <w:pPr>
        <w:pStyle w:val="FootnoteText"/>
      </w:pPr>
    </w:p>
  </w:footnote>
  <w:footnote w:id="11">
    <w:p w:rsidR="00D17680" w:rsidRPr="00334C7C" w:rsidRDefault="00D17680" w:rsidP="000E1B89">
      <w:pPr>
        <w:pStyle w:val="FootnoteText"/>
      </w:pPr>
      <w:r w:rsidRPr="00334C7C">
        <w:rPr>
          <w:rStyle w:val="FootnoteReference"/>
        </w:rPr>
        <w:footnoteRef/>
      </w:r>
      <w:r w:rsidRPr="00334C7C">
        <w:t xml:space="preserve"> </w:t>
      </w:r>
      <w:r w:rsidR="0012108E" w:rsidRPr="00334C7C">
        <w:t xml:space="preserve"> </w:t>
      </w:r>
      <w:r w:rsidR="0012108E" w:rsidRPr="00334C7C">
        <w:tab/>
      </w:r>
      <w:r w:rsidRPr="00334C7C">
        <w:rPr>
          <w:i/>
          <w:snapToGrid w:val="0"/>
        </w:rPr>
        <w:t>See</w:t>
      </w:r>
      <w:r w:rsidRPr="00334C7C">
        <w:rPr>
          <w:snapToGrid w:val="0"/>
        </w:rPr>
        <w:t xml:space="preserve"> 52 Pa. Code § 69.1201; </w:t>
      </w:r>
      <w:r w:rsidRPr="00334C7C">
        <w:rPr>
          <w:i/>
          <w:snapToGrid w:val="0"/>
        </w:rPr>
        <w:t>see also, Rosi v. Bell Atlantic-Pa., Inc. and Sprint Communica</w:t>
      </w:r>
      <w:r w:rsidRPr="00334C7C">
        <w:rPr>
          <w:i/>
          <w:snapToGrid w:val="0"/>
        </w:rPr>
        <w:softHyphen/>
        <w:t>tions Company</w:t>
      </w:r>
      <w:r w:rsidR="0012108E" w:rsidRPr="00334C7C">
        <w:rPr>
          <w:snapToGrid w:val="0"/>
        </w:rPr>
        <w:t>, Docket No. C</w:t>
      </w:r>
      <w:r w:rsidR="0012108E" w:rsidRPr="00334C7C">
        <w:rPr>
          <w:snapToGrid w:val="0"/>
        </w:rPr>
        <w:noBreakHyphen/>
        <w:t>00992409 (</w:t>
      </w:r>
      <w:r w:rsidRPr="00334C7C">
        <w:rPr>
          <w:snapToGrid w:val="0"/>
        </w:rPr>
        <w:t>Order</w:t>
      </w:r>
      <w:r w:rsidR="0012108E" w:rsidRPr="00334C7C">
        <w:rPr>
          <w:snapToGrid w:val="0"/>
        </w:rPr>
        <w:t xml:space="preserve"> </w:t>
      </w:r>
      <w:r w:rsidRPr="00334C7C">
        <w:rPr>
          <w:snapToGrid w:val="0"/>
        </w:rPr>
        <w:t>entered February 10, 2000)</w:t>
      </w:r>
      <w:r w:rsidR="004E58F6">
        <w:rPr>
          <w:snapToGrid w:val="0"/>
        </w:rPr>
        <w:t xml:space="preserve"> </w:t>
      </w:r>
      <w:r w:rsidRPr="00334C7C">
        <w:rPr>
          <w:snapToGrid w:val="0"/>
        </w:rPr>
        <w:t>(</w:t>
      </w:r>
      <w:r w:rsidRPr="00334C7C">
        <w:rPr>
          <w:i/>
          <w:snapToGrid w:val="0"/>
        </w:rPr>
        <w:t>Rosi</w:t>
      </w:r>
      <w:r w:rsidRPr="00334C7C">
        <w:rPr>
          <w:snapToGrid w:val="0"/>
        </w:rPr>
        <w:t>).</w:t>
      </w:r>
    </w:p>
  </w:footnote>
  <w:footnote w:id="12">
    <w:p w:rsidR="0012108E" w:rsidRPr="00334C7C" w:rsidRDefault="0012108E" w:rsidP="000E1B89">
      <w:pPr>
        <w:pStyle w:val="FootnoteText"/>
      </w:pPr>
      <w:r w:rsidRPr="00334C7C">
        <w:rPr>
          <w:rStyle w:val="FootnoteReference"/>
        </w:rPr>
        <w:footnoteRef/>
      </w:r>
      <w:r w:rsidRPr="00334C7C">
        <w:t xml:space="preserve"> </w:t>
      </w:r>
      <w:r w:rsidRPr="00334C7C">
        <w:tab/>
        <w:t xml:space="preserve"> 52 Pa. Code § 69.1201(a).  </w:t>
      </w:r>
    </w:p>
  </w:footnote>
  <w:footnote w:id="13">
    <w:p w:rsidR="00D17680" w:rsidRDefault="00D17680" w:rsidP="000E1B89">
      <w:pPr>
        <w:pStyle w:val="FootnoteText"/>
      </w:pPr>
      <w:r w:rsidRPr="00334C7C">
        <w:rPr>
          <w:rStyle w:val="FootnoteReference"/>
        </w:rPr>
        <w:footnoteRef/>
      </w:r>
      <w:r w:rsidRPr="00334C7C">
        <w:t xml:space="preserve"> </w:t>
      </w:r>
      <w:r w:rsidR="00B90203" w:rsidRPr="00334C7C">
        <w:t xml:space="preserve"> </w:t>
      </w:r>
      <w:r w:rsidR="00B90203" w:rsidRPr="00334C7C">
        <w:tab/>
        <w:t>52 Pa. Code § 69.1201(c).</w:t>
      </w:r>
    </w:p>
    <w:p w:rsidR="00334C7C" w:rsidRPr="00334C7C" w:rsidRDefault="00334C7C" w:rsidP="000E1B89">
      <w:pPr>
        <w:pStyle w:val="FootnoteText"/>
      </w:pPr>
    </w:p>
  </w:footnote>
  <w:footnote w:id="14">
    <w:p w:rsidR="00AE5C67" w:rsidRDefault="00AE5C67" w:rsidP="00CD4023">
      <w:pPr>
        <w:spacing w:after="0" w:line="240" w:lineRule="auto"/>
        <w:ind w:firstLine="720"/>
        <w:rPr>
          <w:sz w:val="20"/>
          <w:szCs w:val="20"/>
        </w:rPr>
      </w:pPr>
      <w:r w:rsidRPr="00334C7C">
        <w:rPr>
          <w:rStyle w:val="FootnoteReference"/>
          <w:sz w:val="20"/>
          <w:szCs w:val="20"/>
        </w:rPr>
        <w:footnoteRef/>
      </w:r>
      <w:r w:rsidR="00B90203" w:rsidRPr="00334C7C">
        <w:rPr>
          <w:sz w:val="20"/>
          <w:szCs w:val="20"/>
        </w:rPr>
        <w:t xml:space="preserve"> </w:t>
      </w:r>
      <w:r w:rsidR="00B90203" w:rsidRPr="00334C7C">
        <w:rPr>
          <w:sz w:val="20"/>
          <w:szCs w:val="20"/>
        </w:rPr>
        <w:tab/>
      </w:r>
      <w:r w:rsidRPr="00334C7C">
        <w:rPr>
          <w:sz w:val="20"/>
          <w:szCs w:val="20"/>
        </w:rPr>
        <w:t>N.T. 24-25, 48; Verizon Ex. 1, Tab A</w:t>
      </w:r>
      <w:r w:rsidR="00B90203" w:rsidRPr="00334C7C">
        <w:rPr>
          <w:sz w:val="20"/>
          <w:szCs w:val="20"/>
        </w:rPr>
        <w:t>.</w:t>
      </w:r>
    </w:p>
    <w:p w:rsidR="00334C7C" w:rsidRPr="00334C7C" w:rsidRDefault="00334C7C" w:rsidP="00CD4023">
      <w:pPr>
        <w:spacing w:after="0" w:line="240" w:lineRule="auto"/>
        <w:ind w:firstLine="720"/>
        <w:rPr>
          <w:sz w:val="20"/>
          <w:szCs w:val="20"/>
        </w:rPr>
      </w:pPr>
    </w:p>
  </w:footnote>
  <w:footnote w:id="15">
    <w:p w:rsidR="00AE5C67" w:rsidRPr="00334C7C" w:rsidRDefault="00AE5C67" w:rsidP="000E1B89">
      <w:pPr>
        <w:pStyle w:val="FootnoteText"/>
      </w:pPr>
      <w:r w:rsidRPr="00334C7C">
        <w:rPr>
          <w:rStyle w:val="FootnoteReference"/>
        </w:rPr>
        <w:footnoteRef/>
      </w:r>
      <w:r w:rsidRPr="00334C7C">
        <w:t xml:space="preserve"> </w:t>
      </w:r>
      <w:r w:rsidR="008B59A9" w:rsidRPr="00334C7C">
        <w:tab/>
      </w:r>
      <w:r w:rsidRPr="00334C7C">
        <w:t>N.T. 27; Verizon Ex. 1, Tab B</w:t>
      </w:r>
      <w:r w:rsidR="008B59A9" w:rsidRPr="00334C7C">
        <w:t>.</w:t>
      </w:r>
    </w:p>
  </w:footnote>
  <w:footnote w:id="16">
    <w:p w:rsidR="006C25BA" w:rsidRPr="002953AF" w:rsidRDefault="006C25BA" w:rsidP="000E1B89">
      <w:pPr>
        <w:pStyle w:val="FootnoteText"/>
      </w:pPr>
      <w:r>
        <w:rPr>
          <w:rStyle w:val="FootnoteReference"/>
        </w:rPr>
        <w:footnoteRef/>
      </w:r>
      <w:r>
        <w:t xml:space="preserve">  </w:t>
      </w:r>
      <w:r>
        <w:tab/>
        <w:t xml:space="preserve">This is a fairly common complaint. </w:t>
      </w:r>
      <w:r w:rsidR="008F2D1C">
        <w:t xml:space="preserve"> </w:t>
      </w:r>
      <w:r>
        <w:rPr>
          <w:i/>
        </w:rPr>
        <w:t>See</w:t>
      </w:r>
      <w:r w:rsidR="002953AF">
        <w:rPr>
          <w:i/>
        </w:rPr>
        <w:t>, e.g.,</w:t>
      </w:r>
      <w:r>
        <w:rPr>
          <w:i/>
        </w:rPr>
        <w:t xml:space="preserve"> </w:t>
      </w:r>
      <w:r w:rsidR="002953AF">
        <w:rPr>
          <w:i/>
        </w:rPr>
        <w:t>Kaufman v. Verizon Pennsylvania Inc.</w:t>
      </w:r>
      <w:r w:rsidR="008F2D1C">
        <w:rPr>
          <w:i/>
        </w:rPr>
        <w:t>,</w:t>
      </w:r>
      <w:r w:rsidR="002953AF">
        <w:t xml:space="preserve"> PUC Docket No. C-20055680 (Order entered November 19, 2008).</w:t>
      </w:r>
    </w:p>
  </w:footnote>
  <w:footnote w:id="17">
    <w:p w:rsidR="002E7ED0" w:rsidRPr="00334C7C" w:rsidRDefault="002E7ED0" w:rsidP="000E1B89">
      <w:pPr>
        <w:pStyle w:val="FootnoteText"/>
      </w:pPr>
      <w:r w:rsidRPr="00334C7C">
        <w:rPr>
          <w:rStyle w:val="FootnoteReference"/>
        </w:rPr>
        <w:footnoteRef/>
      </w:r>
      <w:r w:rsidR="00643A93" w:rsidRPr="00334C7C">
        <w:t xml:space="preserve"> </w:t>
      </w:r>
      <w:r w:rsidR="00643A93" w:rsidRPr="00334C7C">
        <w:tab/>
      </w:r>
      <w:r w:rsidRPr="00334C7C">
        <w:t xml:space="preserve"> </w:t>
      </w:r>
      <w:r w:rsidR="00A62D52" w:rsidRPr="00334C7C">
        <w:t>A</w:t>
      </w:r>
      <w:r w:rsidR="0025355B" w:rsidRPr="00334C7C">
        <w:t xml:space="preserve"> matrix</w:t>
      </w:r>
      <w:r w:rsidR="00A62D52" w:rsidRPr="00334C7C">
        <w:t xml:space="preserve"> which shows </w:t>
      </w:r>
      <w:r w:rsidR="00166FCB" w:rsidRPr="00334C7C">
        <w:t>the</w:t>
      </w:r>
      <w:r w:rsidR="00A62D52" w:rsidRPr="00334C7C">
        <w:t xml:space="preserve"> calculation of each penalty is found at Appendix A of this decision.</w:t>
      </w:r>
    </w:p>
    <w:p w:rsidR="00334C7C" w:rsidRPr="00334C7C" w:rsidRDefault="00334C7C" w:rsidP="000E1B89">
      <w:pPr>
        <w:pStyle w:val="FootnoteText"/>
      </w:pPr>
    </w:p>
  </w:footnote>
  <w:footnote w:id="18">
    <w:p w:rsidR="00643A93" w:rsidRPr="00334C7C" w:rsidRDefault="00643A93" w:rsidP="00334C7C">
      <w:pPr>
        <w:spacing w:line="240" w:lineRule="auto"/>
        <w:ind w:firstLine="720"/>
        <w:rPr>
          <w:sz w:val="20"/>
          <w:szCs w:val="20"/>
        </w:rPr>
      </w:pPr>
      <w:r w:rsidRPr="00334C7C">
        <w:rPr>
          <w:rStyle w:val="FootnoteReference"/>
          <w:sz w:val="20"/>
          <w:szCs w:val="20"/>
        </w:rPr>
        <w:footnoteRef/>
      </w:r>
      <w:r w:rsidRPr="00334C7C">
        <w:rPr>
          <w:sz w:val="20"/>
          <w:szCs w:val="20"/>
        </w:rPr>
        <w:t xml:space="preserve"> </w:t>
      </w:r>
      <w:r w:rsidRPr="00334C7C">
        <w:rPr>
          <w:sz w:val="20"/>
          <w:szCs w:val="20"/>
        </w:rPr>
        <w:tab/>
        <w:t>N.T. 48-49; Verizon Ex. 1 at Tab C.</w:t>
      </w:r>
    </w:p>
  </w:footnote>
  <w:footnote w:id="19">
    <w:p w:rsidR="00FE7765" w:rsidRPr="00334C7C" w:rsidRDefault="00FE7765" w:rsidP="00334C7C">
      <w:pPr>
        <w:spacing w:line="240" w:lineRule="auto"/>
        <w:ind w:firstLine="720"/>
        <w:rPr>
          <w:sz w:val="20"/>
          <w:szCs w:val="20"/>
        </w:rPr>
      </w:pPr>
      <w:r w:rsidRPr="00334C7C">
        <w:rPr>
          <w:rStyle w:val="FootnoteReference"/>
          <w:sz w:val="20"/>
          <w:szCs w:val="20"/>
        </w:rPr>
        <w:footnoteRef/>
      </w:r>
      <w:r w:rsidRPr="00334C7C">
        <w:rPr>
          <w:sz w:val="20"/>
          <w:szCs w:val="20"/>
        </w:rPr>
        <w:t xml:space="preserve"> </w:t>
      </w:r>
      <w:r w:rsidR="00643A93" w:rsidRPr="00334C7C">
        <w:rPr>
          <w:sz w:val="20"/>
          <w:szCs w:val="20"/>
        </w:rPr>
        <w:t xml:space="preserve"> </w:t>
      </w:r>
      <w:r w:rsidR="00643A93" w:rsidRPr="00334C7C">
        <w:rPr>
          <w:sz w:val="20"/>
          <w:szCs w:val="20"/>
        </w:rPr>
        <w:tab/>
      </w:r>
      <w:r w:rsidRPr="00334C7C">
        <w:rPr>
          <w:sz w:val="20"/>
          <w:szCs w:val="20"/>
        </w:rPr>
        <w:t>N.T. 49, 56, 63; Complainant Ex. 2, Photo 2/4.</w:t>
      </w:r>
    </w:p>
  </w:footnote>
  <w:footnote w:id="20">
    <w:p w:rsidR="004D4511" w:rsidRPr="00334C7C" w:rsidRDefault="004D4511" w:rsidP="004D4511">
      <w:pPr>
        <w:ind w:firstLine="720"/>
        <w:rPr>
          <w:sz w:val="20"/>
          <w:szCs w:val="20"/>
        </w:rPr>
      </w:pPr>
      <w:r w:rsidRPr="00334C7C">
        <w:rPr>
          <w:rStyle w:val="FootnoteReference"/>
          <w:sz w:val="20"/>
          <w:szCs w:val="20"/>
        </w:rPr>
        <w:footnoteRef/>
      </w:r>
      <w:r w:rsidRPr="00334C7C">
        <w:rPr>
          <w:sz w:val="20"/>
          <w:szCs w:val="20"/>
        </w:rPr>
        <w:t xml:space="preserve">  </w:t>
      </w:r>
      <w:r w:rsidRPr="00334C7C">
        <w:rPr>
          <w:sz w:val="20"/>
          <w:szCs w:val="20"/>
        </w:rPr>
        <w:tab/>
        <w:t>Complainant Ex. 1; Verizon Ex. 1, Tab E; N.T. 50.</w:t>
      </w:r>
    </w:p>
  </w:footnote>
  <w:footnote w:id="21">
    <w:p w:rsidR="00484853" w:rsidRDefault="00484853" w:rsidP="000E1B89">
      <w:pPr>
        <w:pStyle w:val="FootnoteText"/>
      </w:pPr>
      <w:r>
        <w:rPr>
          <w:rStyle w:val="FootnoteReference"/>
        </w:rPr>
        <w:footnoteRef/>
      </w:r>
      <w:r>
        <w:t xml:space="preserve">  </w:t>
      </w:r>
      <w:r>
        <w:tab/>
        <w:t>Verizon Ex. 1, Tab F; N.T. 37, 50.</w:t>
      </w:r>
    </w:p>
  </w:footnote>
  <w:footnote w:id="22">
    <w:p w:rsidR="00484853" w:rsidRDefault="00484853" w:rsidP="00DC2BE2">
      <w:pPr>
        <w:pStyle w:val="FootnoteText"/>
      </w:pPr>
      <w:r w:rsidRPr="00334C7C">
        <w:rPr>
          <w:rStyle w:val="FootnoteReference"/>
        </w:rPr>
        <w:footnoteRef/>
      </w:r>
      <w:r w:rsidRPr="00334C7C">
        <w:t xml:space="preserve"> </w:t>
      </w:r>
      <w:r w:rsidRPr="00334C7C">
        <w:tab/>
        <w:t>Complainant Ex. 1; Verizon Ex. 1, Table G; N.T. 10-11, 50.</w:t>
      </w:r>
    </w:p>
    <w:p w:rsidR="00334C7C" w:rsidRPr="00334C7C" w:rsidRDefault="00334C7C" w:rsidP="00DC2BE2">
      <w:pPr>
        <w:pStyle w:val="FootnoteText"/>
      </w:pPr>
    </w:p>
  </w:footnote>
  <w:footnote w:id="23">
    <w:p w:rsidR="00811F52" w:rsidRDefault="00811F52" w:rsidP="00DC2BE2">
      <w:pPr>
        <w:pStyle w:val="FootnoteText"/>
      </w:pPr>
      <w:r w:rsidRPr="00334C7C">
        <w:rPr>
          <w:rStyle w:val="FootnoteReference"/>
        </w:rPr>
        <w:footnoteRef/>
      </w:r>
      <w:r w:rsidR="001825AE" w:rsidRPr="00334C7C">
        <w:t xml:space="preserve"> </w:t>
      </w:r>
      <w:r w:rsidR="001825AE" w:rsidRPr="00334C7C">
        <w:tab/>
      </w:r>
      <w:r w:rsidRPr="00334C7C">
        <w:t>N.T. 11-12, 51; Complainant Ex. 1; Verizon Ex. 1, Tab H.</w:t>
      </w:r>
    </w:p>
    <w:p w:rsidR="00334C7C" w:rsidRPr="00334C7C" w:rsidRDefault="00334C7C" w:rsidP="00DC2BE2">
      <w:pPr>
        <w:pStyle w:val="FootnoteText"/>
      </w:pPr>
    </w:p>
  </w:footnote>
  <w:footnote w:id="24">
    <w:p w:rsidR="00334C7C" w:rsidRDefault="00583320" w:rsidP="00DC2BE2">
      <w:pPr>
        <w:pStyle w:val="FootnoteText"/>
      </w:pPr>
      <w:r w:rsidRPr="00334C7C">
        <w:rPr>
          <w:rStyle w:val="FootnoteReference"/>
        </w:rPr>
        <w:footnoteRef/>
      </w:r>
      <w:r w:rsidRPr="00334C7C">
        <w:t xml:space="preserve">  </w:t>
      </w:r>
      <w:r w:rsidRPr="00334C7C">
        <w:tab/>
        <w:t>The Verizon technician who was dispatched to make the repair did not testify at the hearing.</w:t>
      </w:r>
    </w:p>
    <w:p w:rsidR="00583320" w:rsidRPr="00334C7C" w:rsidRDefault="00583320" w:rsidP="00DC2BE2">
      <w:pPr>
        <w:pStyle w:val="FootnoteText"/>
      </w:pPr>
      <w:r w:rsidRPr="00334C7C">
        <w:t xml:space="preserve"> </w:t>
      </w:r>
    </w:p>
  </w:footnote>
  <w:footnote w:id="25">
    <w:p w:rsidR="00C65938" w:rsidRDefault="00C65938" w:rsidP="00DC2BE2">
      <w:pPr>
        <w:pStyle w:val="FootnoteText"/>
      </w:pPr>
      <w:r w:rsidRPr="00334C7C">
        <w:rPr>
          <w:rStyle w:val="FootnoteReference"/>
        </w:rPr>
        <w:footnoteRef/>
      </w:r>
      <w:r w:rsidRPr="00334C7C">
        <w:t xml:space="preserve">  </w:t>
      </w:r>
      <w:r w:rsidRPr="00334C7C">
        <w:tab/>
        <w:t>The Complainant does not have cellular telephone coverage at his residence.</w:t>
      </w:r>
      <w:r w:rsidR="00023DD3" w:rsidRPr="00334C7C">
        <w:t xml:space="preserve"> N.T. 15.</w:t>
      </w:r>
    </w:p>
    <w:p w:rsidR="00334C7C" w:rsidRPr="00334C7C" w:rsidRDefault="00334C7C" w:rsidP="00DC2BE2">
      <w:pPr>
        <w:pStyle w:val="FootnoteText"/>
      </w:pPr>
    </w:p>
  </w:footnote>
  <w:footnote w:id="26">
    <w:p w:rsidR="00F43DD4" w:rsidRPr="00334C7C" w:rsidRDefault="00F43DD4" w:rsidP="00C65938">
      <w:pPr>
        <w:ind w:firstLine="720"/>
        <w:rPr>
          <w:sz w:val="20"/>
          <w:szCs w:val="20"/>
        </w:rPr>
      </w:pPr>
      <w:r w:rsidRPr="00334C7C">
        <w:rPr>
          <w:rStyle w:val="FootnoteReference"/>
          <w:sz w:val="20"/>
          <w:szCs w:val="20"/>
        </w:rPr>
        <w:footnoteRef/>
      </w:r>
      <w:r w:rsidRPr="00334C7C">
        <w:rPr>
          <w:sz w:val="20"/>
          <w:szCs w:val="20"/>
        </w:rPr>
        <w:t xml:space="preserve">  </w:t>
      </w:r>
      <w:r w:rsidRPr="00334C7C">
        <w:rPr>
          <w:sz w:val="20"/>
          <w:szCs w:val="20"/>
        </w:rPr>
        <w:tab/>
        <w:t>N.T. 12, 52; Complainant Ex. 1; Verizon Ex. 1, Tab I.</w:t>
      </w:r>
    </w:p>
  </w:footnote>
  <w:footnote w:id="27">
    <w:p w:rsidR="00D150EB" w:rsidRDefault="00D150EB" w:rsidP="000E1B89">
      <w:pPr>
        <w:pStyle w:val="FootnoteText"/>
      </w:pPr>
      <w:r>
        <w:rPr>
          <w:rStyle w:val="FootnoteReference"/>
        </w:rPr>
        <w:footnoteRef/>
      </w:r>
      <w:r>
        <w:t xml:space="preserve"> </w:t>
      </w:r>
      <w:r w:rsidR="00B4476F">
        <w:t xml:space="preserve"> </w:t>
      </w:r>
      <w:r w:rsidR="00B4476F">
        <w:tab/>
      </w:r>
      <w:r>
        <w:t>66 Pa. C.S. § 3301.</w:t>
      </w:r>
    </w:p>
    <w:p w:rsidR="00334C7C" w:rsidRDefault="00334C7C" w:rsidP="000E1B89">
      <w:pPr>
        <w:pStyle w:val="FootnoteText"/>
      </w:pPr>
    </w:p>
  </w:footnote>
  <w:footnote w:id="28">
    <w:p w:rsidR="00D150EB" w:rsidRDefault="00D150EB" w:rsidP="000E1B89">
      <w:pPr>
        <w:pStyle w:val="FootnoteText"/>
      </w:pPr>
      <w:r>
        <w:rPr>
          <w:rStyle w:val="FootnoteReference"/>
        </w:rPr>
        <w:footnoteRef/>
      </w:r>
      <w:r>
        <w:t xml:space="preserve"> </w:t>
      </w:r>
      <w:r w:rsidR="00B4476F">
        <w:t xml:space="preserve"> </w:t>
      </w:r>
      <w:r w:rsidR="00B4476F">
        <w:tab/>
        <w:t>N.T. 12.</w:t>
      </w:r>
    </w:p>
    <w:p w:rsidR="00334C7C" w:rsidRDefault="00334C7C" w:rsidP="000E1B89">
      <w:pPr>
        <w:pStyle w:val="FootnoteText"/>
      </w:pPr>
    </w:p>
  </w:footnote>
  <w:footnote w:id="29">
    <w:p w:rsidR="00D150EB" w:rsidRDefault="00D150EB" w:rsidP="000E1B89">
      <w:pPr>
        <w:pStyle w:val="FootnoteText"/>
      </w:pPr>
      <w:r>
        <w:rPr>
          <w:rStyle w:val="FootnoteReference"/>
        </w:rPr>
        <w:footnoteRef/>
      </w:r>
      <w:r>
        <w:t xml:space="preserve">  </w:t>
      </w:r>
      <w:r>
        <w:tab/>
        <w:t>52 Pa. Code §§ 69.1201(c)(1) and (c)(2).</w:t>
      </w:r>
    </w:p>
    <w:p w:rsidR="00C27354" w:rsidRDefault="00C27354" w:rsidP="000E1B89">
      <w:pPr>
        <w:pStyle w:val="FootnoteText"/>
      </w:pPr>
    </w:p>
  </w:footnote>
  <w:footnote w:id="30">
    <w:p w:rsidR="00D150EB" w:rsidRDefault="00D150EB" w:rsidP="000E1B89">
      <w:pPr>
        <w:pStyle w:val="FootnoteText"/>
      </w:pPr>
      <w:r w:rsidRPr="00334C7C">
        <w:rPr>
          <w:rStyle w:val="FootnoteReference"/>
        </w:rPr>
        <w:footnoteRef/>
      </w:r>
      <w:r w:rsidRPr="00334C7C">
        <w:t xml:space="preserve">  </w:t>
      </w:r>
      <w:r w:rsidRPr="00334C7C">
        <w:tab/>
        <w:t>52 Pa. Code § 69.1201(c)(3).</w:t>
      </w:r>
    </w:p>
    <w:p w:rsidR="00334C7C" w:rsidRPr="00334C7C" w:rsidRDefault="00334C7C" w:rsidP="000E1B89">
      <w:pPr>
        <w:pStyle w:val="FootnoteText"/>
      </w:pPr>
    </w:p>
  </w:footnote>
  <w:footnote w:id="31">
    <w:p w:rsidR="006979F6" w:rsidRDefault="006979F6" w:rsidP="000E1B89">
      <w:pPr>
        <w:pStyle w:val="FootnoteText"/>
      </w:pPr>
      <w:r w:rsidRPr="00334C7C">
        <w:rPr>
          <w:rStyle w:val="FootnoteReference"/>
        </w:rPr>
        <w:footnoteRef/>
      </w:r>
      <w:r w:rsidRPr="00334C7C">
        <w:t xml:space="preserve">  </w:t>
      </w:r>
      <w:r w:rsidRPr="00334C7C">
        <w:tab/>
        <w:t>52 Pa. Code §§ 69.1201(c)(4) and (c)(5).</w:t>
      </w:r>
    </w:p>
    <w:p w:rsidR="00334C7C" w:rsidRPr="00334C7C" w:rsidRDefault="00334C7C" w:rsidP="000E1B89">
      <w:pPr>
        <w:pStyle w:val="FootnoteText"/>
      </w:pPr>
    </w:p>
  </w:footnote>
  <w:footnote w:id="32">
    <w:p w:rsidR="00B800F1" w:rsidRDefault="00B800F1" w:rsidP="000E1B89">
      <w:pPr>
        <w:pStyle w:val="FootnoteText"/>
      </w:pPr>
      <w:r w:rsidRPr="00334C7C">
        <w:rPr>
          <w:rStyle w:val="FootnoteReference"/>
        </w:rPr>
        <w:footnoteRef/>
      </w:r>
      <w:r w:rsidRPr="00334C7C">
        <w:t xml:space="preserve">  </w:t>
      </w:r>
      <w:r w:rsidRPr="00334C7C">
        <w:tab/>
        <w:t>52 Pa. Code § 69.1201(8).</w:t>
      </w:r>
    </w:p>
    <w:p w:rsidR="00334C7C" w:rsidRPr="00334C7C" w:rsidRDefault="00334C7C" w:rsidP="000E1B89">
      <w:pPr>
        <w:pStyle w:val="FootnoteText"/>
      </w:pPr>
    </w:p>
  </w:footnote>
  <w:footnote w:id="33">
    <w:p w:rsidR="00716A09" w:rsidRDefault="00716A09" w:rsidP="000E1B89">
      <w:pPr>
        <w:pStyle w:val="FootnoteText"/>
      </w:pPr>
      <w:r w:rsidRPr="00334C7C">
        <w:rPr>
          <w:rStyle w:val="FootnoteReference"/>
        </w:rPr>
        <w:footnoteRef/>
      </w:r>
      <w:r w:rsidRPr="00334C7C">
        <w:t xml:space="preserve">  </w:t>
      </w:r>
      <w:r w:rsidRPr="00334C7C">
        <w:tab/>
        <w:t>52 Pa. Code §</w:t>
      </w:r>
      <w:r w:rsidR="00667BD2" w:rsidRPr="00334C7C">
        <w:t>§</w:t>
      </w:r>
      <w:r w:rsidRPr="00334C7C">
        <w:t xml:space="preserve"> 69.1201(c)(5), (c)(7) and (c)(9).</w:t>
      </w:r>
    </w:p>
    <w:p w:rsidR="00334C7C" w:rsidRPr="00334C7C" w:rsidRDefault="00334C7C" w:rsidP="000E1B89">
      <w:pPr>
        <w:pStyle w:val="FootnoteText"/>
      </w:pPr>
    </w:p>
  </w:footnote>
  <w:footnote w:id="34">
    <w:p w:rsidR="00F63FF8" w:rsidRPr="00334C7C" w:rsidRDefault="00F63FF8" w:rsidP="00C27354">
      <w:pPr>
        <w:spacing w:after="0"/>
        <w:ind w:firstLine="720"/>
        <w:rPr>
          <w:sz w:val="20"/>
          <w:szCs w:val="20"/>
        </w:rPr>
      </w:pPr>
      <w:r w:rsidRPr="00334C7C">
        <w:rPr>
          <w:rStyle w:val="FootnoteReference"/>
          <w:sz w:val="20"/>
          <w:szCs w:val="20"/>
        </w:rPr>
        <w:footnoteRef/>
      </w:r>
      <w:r w:rsidRPr="00334C7C">
        <w:rPr>
          <w:sz w:val="20"/>
          <w:szCs w:val="20"/>
        </w:rPr>
        <w:t xml:space="preserve">  </w:t>
      </w:r>
      <w:r w:rsidRPr="00334C7C">
        <w:rPr>
          <w:sz w:val="20"/>
          <w:szCs w:val="20"/>
        </w:rPr>
        <w:tab/>
        <w:t>Verizon Ex. 1, Tab J</w:t>
      </w:r>
      <w:r w:rsidR="00667BD2">
        <w:rPr>
          <w:sz w:val="20"/>
          <w:szCs w:val="20"/>
        </w:rPr>
        <w:t>;</w:t>
      </w:r>
      <w:r w:rsidRPr="00334C7C">
        <w:rPr>
          <w:sz w:val="20"/>
          <w:szCs w:val="20"/>
        </w:rPr>
        <w:t xml:space="preserve"> N.T. 53.</w:t>
      </w:r>
    </w:p>
  </w:footnote>
  <w:footnote w:id="35">
    <w:p w:rsidR="007728FA" w:rsidRPr="00716A09" w:rsidRDefault="007728FA" w:rsidP="000E1B89">
      <w:pPr>
        <w:pStyle w:val="FootnoteText"/>
      </w:pPr>
      <w:r>
        <w:rPr>
          <w:rStyle w:val="FootnoteReference"/>
        </w:rPr>
        <w:footnoteRef/>
      </w:r>
      <w:r>
        <w:t xml:space="preserve">  </w:t>
      </w:r>
      <w:r>
        <w:tab/>
      </w:r>
      <w:r w:rsidRPr="007728FA">
        <w:t xml:space="preserve">The Commission recently investigated Verizon’s compliance history, specifically regarding customer service complaints similar to those at issue here.  The Commission declined to include a civil penalty, noting that the infractions which were part of the investigation were informal complaint data and did not involve litigated formal complaints. </w:t>
      </w:r>
      <w:r w:rsidR="00C27354">
        <w:t xml:space="preserve"> </w:t>
      </w:r>
      <w:r w:rsidRPr="007728FA">
        <w:t>Therefore, that investigation did not play a role in my evaluation of the specific violations which were proven here or the civil penalties assessed.</w:t>
      </w:r>
      <w:r>
        <w:t xml:space="preserve">  </w:t>
      </w:r>
      <w:r>
        <w:rPr>
          <w:i/>
        </w:rPr>
        <w:t xml:space="preserve">See Pennsylvania Public Utility </w:t>
      </w:r>
      <w:r w:rsidR="00166FCB">
        <w:rPr>
          <w:i/>
        </w:rPr>
        <w:t>Commission</w:t>
      </w:r>
      <w:r>
        <w:rPr>
          <w:i/>
        </w:rPr>
        <w:t xml:space="preserve"> v. Verizon Pennsylvania Inc.</w:t>
      </w:r>
      <w:r w:rsidR="00C27354">
        <w:t>,</w:t>
      </w:r>
      <w:r w:rsidR="008C4076">
        <w:t xml:space="preserve"> </w:t>
      </w:r>
      <w:r>
        <w:t xml:space="preserve">PUC Docket No. M-2008-2077881 (Joint Motion of Chairman Robert F. Powelson and Vice Chairman John F. Coleman, Jr., Public Meeting </w:t>
      </w:r>
      <w:r w:rsidR="00C27354">
        <w:t xml:space="preserve">of </w:t>
      </w:r>
      <w:r>
        <w:t>September 13,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EEF2A0"/>
    <w:lvl w:ilvl="0">
      <w:start w:val="1"/>
      <w:numFmt w:val="decimal"/>
      <w:lvlText w:val="%1."/>
      <w:lvlJc w:val="left"/>
      <w:pPr>
        <w:tabs>
          <w:tab w:val="num" w:pos="1800"/>
        </w:tabs>
        <w:ind w:left="1800" w:hanging="360"/>
      </w:pPr>
    </w:lvl>
  </w:abstractNum>
  <w:abstractNum w:abstractNumId="1">
    <w:nsid w:val="FFFFFF7D"/>
    <w:multiLevelType w:val="singleLevel"/>
    <w:tmpl w:val="CB8A11F8"/>
    <w:lvl w:ilvl="0">
      <w:start w:val="1"/>
      <w:numFmt w:val="decimal"/>
      <w:lvlText w:val="%1."/>
      <w:lvlJc w:val="left"/>
      <w:pPr>
        <w:tabs>
          <w:tab w:val="num" w:pos="1440"/>
        </w:tabs>
        <w:ind w:left="1440" w:hanging="360"/>
      </w:pPr>
    </w:lvl>
  </w:abstractNum>
  <w:abstractNum w:abstractNumId="2">
    <w:nsid w:val="FFFFFF7E"/>
    <w:multiLevelType w:val="singleLevel"/>
    <w:tmpl w:val="59AEB9F2"/>
    <w:lvl w:ilvl="0">
      <w:start w:val="1"/>
      <w:numFmt w:val="decimal"/>
      <w:lvlText w:val="%1."/>
      <w:lvlJc w:val="left"/>
      <w:pPr>
        <w:tabs>
          <w:tab w:val="num" w:pos="1080"/>
        </w:tabs>
        <w:ind w:left="1080" w:hanging="360"/>
      </w:pPr>
    </w:lvl>
  </w:abstractNum>
  <w:abstractNum w:abstractNumId="3">
    <w:nsid w:val="FFFFFF7F"/>
    <w:multiLevelType w:val="singleLevel"/>
    <w:tmpl w:val="A9F477AE"/>
    <w:lvl w:ilvl="0">
      <w:start w:val="1"/>
      <w:numFmt w:val="decimal"/>
      <w:lvlText w:val="%1."/>
      <w:lvlJc w:val="left"/>
      <w:pPr>
        <w:tabs>
          <w:tab w:val="num" w:pos="720"/>
        </w:tabs>
        <w:ind w:left="720" w:hanging="360"/>
      </w:pPr>
    </w:lvl>
  </w:abstractNum>
  <w:abstractNum w:abstractNumId="4">
    <w:nsid w:val="FFFFFF80"/>
    <w:multiLevelType w:val="singleLevel"/>
    <w:tmpl w:val="B8D2D7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9361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8EBA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68C57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24F64E"/>
    <w:lvl w:ilvl="0">
      <w:start w:val="1"/>
      <w:numFmt w:val="decimal"/>
      <w:lvlText w:val="%1."/>
      <w:lvlJc w:val="left"/>
      <w:pPr>
        <w:tabs>
          <w:tab w:val="num" w:pos="360"/>
        </w:tabs>
        <w:ind w:left="360" w:hanging="360"/>
      </w:pPr>
    </w:lvl>
  </w:abstractNum>
  <w:abstractNum w:abstractNumId="9">
    <w:nsid w:val="FFFFFF89"/>
    <w:multiLevelType w:val="singleLevel"/>
    <w:tmpl w:val="30407FC4"/>
    <w:lvl w:ilvl="0">
      <w:start w:val="1"/>
      <w:numFmt w:val="bullet"/>
      <w:lvlText w:val=""/>
      <w:lvlJc w:val="left"/>
      <w:pPr>
        <w:tabs>
          <w:tab w:val="num" w:pos="360"/>
        </w:tabs>
        <w:ind w:left="360" w:hanging="360"/>
      </w:pPr>
      <w:rPr>
        <w:rFonts w:ascii="Symbol" w:hAnsi="Symbol" w:hint="default"/>
      </w:rPr>
    </w:lvl>
  </w:abstractNum>
  <w:abstractNum w:abstractNumId="10">
    <w:nsid w:val="29DD31C2"/>
    <w:multiLevelType w:val="hybridMultilevel"/>
    <w:tmpl w:val="5998968A"/>
    <w:lvl w:ilvl="0" w:tplc="9DCAEE8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A7541"/>
    <w:multiLevelType w:val="hybridMultilevel"/>
    <w:tmpl w:val="CCA0AC06"/>
    <w:lvl w:ilvl="0" w:tplc="6A18728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32473F"/>
    <w:multiLevelType w:val="hybridMultilevel"/>
    <w:tmpl w:val="A6FC87FA"/>
    <w:lvl w:ilvl="0" w:tplc="EBEA02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29D6627A"/>
    <w:lvl w:ilvl="0" w:tplc="6FF6917C">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num>
  <w:num w:numId="14">
    <w:abstractNumId w:val="12"/>
  </w:num>
  <w:num w:numId="15">
    <w:abstractNumId w:val="13"/>
  </w:num>
  <w:num w:numId="16">
    <w:abstractNumId w:val="13"/>
    <w:lvlOverride w:ilvl="0">
      <w:startOverride w:val="1"/>
    </w:lvlOverride>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FF"/>
    <w:rsid w:val="00000BDE"/>
    <w:rsid w:val="00004C37"/>
    <w:rsid w:val="00011D71"/>
    <w:rsid w:val="00016B7C"/>
    <w:rsid w:val="00023DD3"/>
    <w:rsid w:val="000249B0"/>
    <w:rsid w:val="00035E21"/>
    <w:rsid w:val="000674D5"/>
    <w:rsid w:val="000711F9"/>
    <w:rsid w:val="00093980"/>
    <w:rsid w:val="000A276F"/>
    <w:rsid w:val="000A4D83"/>
    <w:rsid w:val="000B5C86"/>
    <w:rsid w:val="000B702C"/>
    <w:rsid w:val="000E1B89"/>
    <w:rsid w:val="000E1CB6"/>
    <w:rsid w:val="000F1BED"/>
    <w:rsid w:val="000F40DB"/>
    <w:rsid w:val="0010328D"/>
    <w:rsid w:val="00115A09"/>
    <w:rsid w:val="0012108E"/>
    <w:rsid w:val="001268C7"/>
    <w:rsid w:val="00154A63"/>
    <w:rsid w:val="00157936"/>
    <w:rsid w:val="0016629C"/>
    <w:rsid w:val="00166FCB"/>
    <w:rsid w:val="001825AE"/>
    <w:rsid w:val="00190EC0"/>
    <w:rsid w:val="001C450F"/>
    <w:rsid w:val="001D6471"/>
    <w:rsid w:val="001E085C"/>
    <w:rsid w:val="001F71E0"/>
    <w:rsid w:val="00216260"/>
    <w:rsid w:val="00227600"/>
    <w:rsid w:val="00234D97"/>
    <w:rsid w:val="0025355B"/>
    <w:rsid w:val="00264C4C"/>
    <w:rsid w:val="00275560"/>
    <w:rsid w:val="0028164D"/>
    <w:rsid w:val="002903A7"/>
    <w:rsid w:val="002953AF"/>
    <w:rsid w:val="002B7415"/>
    <w:rsid w:val="002E1D7B"/>
    <w:rsid w:val="002E31CC"/>
    <w:rsid w:val="002E7ED0"/>
    <w:rsid w:val="003053F7"/>
    <w:rsid w:val="00321C25"/>
    <w:rsid w:val="00334C7C"/>
    <w:rsid w:val="003361A6"/>
    <w:rsid w:val="003438F7"/>
    <w:rsid w:val="00351CE9"/>
    <w:rsid w:val="00362EBE"/>
    <w:rsid w:val="0036393F"/>
    <w:rsid w:val="003777AF"/>
    <w:rsid w:val="003800C1"/>
    <w:rsid w:val="00387CF1"/>
    <w:rsid w:val="00393354"/>
    <w:rsid w:val="00393C92"/>
    <w:rsid w:val="00396D28"/>
    <w:rsid w:val="00397BD2"/>
    <w:rsid w:val="003A1D9E"/>
    <w:rsid w:val="003F19BA"/>
    <w:rsid w:val="004059DF"/>
    <w:rsid w:val="004302BC"/>
    <w:rsid w:val="0044570F"/>
    <w:rsid w:val="00476BFF"/>
    <w:rsid w:val="00480448"/>
    <w:rsid w:val="00484853"/>
    <w:rsid w:val="004A347D"/>
    <w:rsid w:val="004A6FBC"/>
    <w:rsid w:val="004C4351"/>
    <w:rsid w:val="004D4511"/>
    <w:rsid w:val="004D69C0"/>
    <w:rsid w:val="004D76BC"/>
    <w:rsid w:val="004E30F8"/>
    <w:rsid w:val="004E58F6"/>
    <w:rsid w:val="004E6550"/>
    <w:rsid w:val="0051231B"/>
    <w:rsid w:val="00514731"/>
    <w:rsid w:val="00545584"/>
    <w:rsid w:val="00545E37"/>
    <w:rsid w:val="005532AE"/>
    <w:rsid w:val="00583320"/>
    <w:rsid w:val="00586F45"/>
    <w:rsid w:val="005A345C"/>
    <w:rsid w:val="005B6094"/>
    <w:rsid w:val="005D313D"/>
    <w:rsid w:val="005E71F9"/>
    <w:rsid w:val="005F2F9C"/>
    <w:rsid w:val="005F3FDE"/>
    <w:rsid w:val="005F4601"/>
    <w:rsid w:val="005F548C"/>
    <w:rsid w:val="0060180C"/>
    <w:rsid w:val="00603C05"/>
    <w:rsid w:val="00617D15"/>
    <w:rsid w:val="00637816"/>
    <w:rsid w:val="006436A0"/>
    <w:rsid w:val="00643A93"/>
    <w:rsid w:val="00650B40"/>
    <w:rsid w:val="00667BD2"/>
    <w:rsid w:val="006742FE"/>
    <w:rsid w:val="006807D4"/>
    <w:rsid w:val="006979F6"/>
    <w:rsid w:val="006A1F27"/>
    <w:rsid w:val="006A30B7"/>
    <w:rsid w:val="006B2EE6"/>
    <w:rsid w:val="006B4D1A"/>
    <w:rsid w:val="006C25BA"/>
    <w:rsid w:val="006C67FF"/>
    <w:rsid w:val="006D7912"/>
    <w:rsid w:val="006E31B9"/>
    <w:rsid w:val="00700A37"/>
    <w:rsid w:val="0071155A"/>
    <w:rsid w:val="00711E70"/>
    <w:rsid w:val="007137C1"/>
    <w:rsid w:val="00716A09"/>
    <w:rsid w:val="00742742"/>
    <w:rsid w:val="007524D6"/>
    <w:rsid w:val="007728FA"/>
    <w:rsid w:val="00792796"/>
    <w:rsid w:val="007B2051"/>
    <w:rsid w:val="007B6921"/>
    <w:rsid w:val="007C5F30"/>
    <w:rsid w:val="007D2499"/>
    <w:rsid w:val="00807BED"/>
    <w:rsid w:val="00811F52"/>
    <w:rsid w:val="008132E2"/>
    <w:rsid w:val="00832245"/>
    <w:rsid w:val="008332A6"/>
    <w:rsid w:val="00834BB9"/>
    <w:rsid w:val="008428AC"/>
    <w:rsid w:val="0084636D"/>
    <w:rsid w:val="00850D4B"/>
    <w:rsid w:val="008529D2"/>
    <w:rsid w:val="00863EDB"/>
    <w:rsid w:val="00892770"/>
    <w:rsid w:val="00894B04"/>
    <w:rsid w:val="008A034A"/>
    <w:rsid w:val="008A4F14"/>
    <w:rsid w:val="008B393A"/>
    <w:rsid w:val="008B59A9"/>
    <w:rsid w:val="008B606C"/>
    <w:rsid w:val="008C4076"/>
    <w:rsid w:val="008C7060"/>
    <w:rsid w:val="008E4D59"/>
    <w:rsid w:val="008F2D1C"/>
    <w:rsid w:val="00900A28"/>
    <w:rsid w:val="00904B2D"/>
    <w:rsid w:val="00937F71"/>
    <w:rsid w:val="009415A6"/>
    <w:rsid w:val="00942999"/>
    <w:rsid w:val="009436D4"/>
    <w:rsid w:val="009459C2"/>
    <w:rsid w:val="00957B48"/>
    <w:rsid w:val="0096102F"/>
    <w:rsid w:val="00982B21"/>
    <w:rsid w:val="00987321"/>
    <w:rsid w:val="009A5519"/>
    <w:rsid w:val="009B2710"/>
    <w:rsid w:val="009D1B2F"/>
    <w:rsid w:val="009E3A40"/>
    <w:rsid w:val="009F33FD"/>
    <w:rsid w:val="009F35F6"/>
    <w:rsid w:val="00A10CC3"/>
    <w:rsid w:val="00A3235B"/>
    <w:rsid w:val="00A62D52"/>
    <w:rsid w:val="00A70535"/>
    <w:rsid w:val="00A75CA5"/>
    <w:rsid w:val="00A7692E"/>
    <w:rsid w:val="00A8633E"/>
    <w:rsid w:val="00A93895"/>
    <w:rsid w:val="00AA3801"/>
    <w:rsid w:val="00AB4C73"/>
    <w:rsid w:val="00AD35E8"/>
    <w:rsid w:val="00AD6321"/>
    <w:rsid w:val="00AE5C67"/>
    <w:rsid w:val="00AF069E"/>
    <w:rsid w:val="00AF16A0"/>
    <w:rsid w:val="00AF220E"/>
    <w:rsid w:val="00AF5E42"/>
    <w:rsid w:val="00B26DD4"/>
    <w:rsid w:val="00B4476F"/>
    <w:rsid w:val="00B6235C"/>
    <w:rsid w:val="00B66446"/>
    <w:rsid w:val="00B800F1"/>
    <w:rsid w:val="00B82E3C"/>
    <w:rsid w:val="00B831B3"/>
    <w:rsid w:val="00B90203"/>
    <w:rsid w:val="00B904F5"/>
    <w:rsid w:val="00BA0D1B"/>
    <w:rsid w:val="00BB5F30"/>
    <w:rsid w:val="00BD1032"/>
    <w:rsid w:val="00BF37AD"/>
    <w:rsid w:val="00C11E76"/>
    <w:rsid w:val="00C27354"/>
    <w:rsid w:val="00C27BB6"/>
    <w:rsid w:val="00C41FE1"/>
    <w:rsid w:val="00C65938"/>
    <w:rsid w:val="00C850D9"/>
    <w:rsid w:val="00C92746"/>
    <w:rsid w:val="00C92F35"/>
    <w:rsid w:val="00CA2621"/>
    <w:rsid w:val="00CA42CB"/>
    <w:rsid w:val="00CA5756"/>
    <w:rsid w:val="00CD4023"/>
    <w:rsid w:val="00CF65A6"/>
    <w:rsid w:val="00CF7264"/>
    <w:rsid w:val="00D12378"/>
    <w:rsid w:val="00D150EB"/>
    <w:rsid w:val="00D17680"/>
    <w:rsid w:val="00D24D74"/>
    <w:rsid w:val="00D31C87"/>
    <w:rsid w:val="00D61CAB"/>
    <w:rsid w:val="00D64EF7"/>
    <w:rsid w:val="00D72D2B"/>
    <w:rsid w:val="00D73E68"/>
    <w:rsid w:val="00D751E9"/>
    <w:rsid w:val="00D86C2E"/>
    <w:rsid w:val="00D964B9"/>
    <w:rsid w:val="00DB2E2C"/>
    <w:rsid w:val="00DB550C"/>
    <w:rsid w:val="00DB7790"/>
    <w:rsid w:val="00DC1656"/>
    <w:rsid w:val="00DC2BE2"/>
    <w:rsid w:val="00DD3B83"/>
    <w:rsid w:val="00DD43A8"/>
    <w:rsid w:val="00DD5C37"/>
    <w:rsid w:val="00DE7098"/>
    <w:rsid w:val="00E02DF6"/>
    <w:rsid w:val="00E0506C"/>
    <w:rsid w:val="00E16749"/>
    <w:rsid w:val="00E178BF"/>
    <w:rsid w:val="00E4161D"/>
    <w:rsid w:val="00E458A8"/>
    <w:rsid w:val="00E47F1D"/>
    <w:rsid w:val="00E5071D"/>
    <w:rsid w:val="00E51511"/>
    <w:rsid w:val="00E666C6"/>
    <w:rsid w:val="00E671FF"/>
    <w:rsid w:val="00E72174"/>
    <w:rsid w:val="00E750DD"/>
    <w:rsid w:val="00E812AE"/>
    <w:rsid w:val="00E90F08"/>
    <w:rsid w:val="00E94B5B"/>
    <w:rsid w:val="00EB6309"/>
    <w:rsid w:val="00EC2333"/>
    <w:rsid w:val="00ED043F"/>
    <w:rsid w:val="00ED65C2"/>
    <w:rsid w:val="00EE15F5"/>
    <w:rsid w:val="00EE2CB9"/>
    <w:rsid w:val="00EF0254"/>
    <w:rsid w:val="00EF7FF5"/>
    <w:rsid w:val="00F11742"/>
    <w:rsid w:val="00F43DD4"/>
    <w:rsid w:val="00F63FF8"/>
    <w:rsid w:val="00F75120"/>
    <w:rsid w:val="00F9160D"/>
    <w:rsid w:val="00F9457E"/>
    <w:rsid w:val="00FA223A"/>
    <w:rsid w:val="00FA3C5F"/>
    <w:rsid w:val="00FC64AD"/>
    <w:rsid w:val="00FE0204"/>
    <w:rsid w:val="00FE3F47"/>
    <w:rsid w:val="00FE7765"/>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24D6"/>
    <w:pPr>
      <w:numPr>
        <w:numId w:val="15"/>
      </w:numPr>
      <w:spacing w:after="0"/>
      <w:ind w:left="0" w:firstLine="1440"/>
    </w:pPr>
  </w:style>
  <w:style w:type="paragraph" w:styleId="Header">
    <w:name w:val="header"/>
    <w:basedOn w:val="Normal"/>
    <w:link w:val="HeaderChar"/>
    <w:uiPriority w:val="99"/>
    <w:unhideWhenUsed/>
    <w:rsid w:val="005F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8C"/>
    <w:rPr>
      <w:rFonts w:ascii="Times New Roman" w:hAnsi="Times New Roman"/>
      <w:sz w:val="24"/>
    </w:rPr>
  </w:style>
  <w:style w:type="paragraph" w:styleId="Footer">
    <w:name w:val="footer"/>
    <w:basedOn w:val="Normal"/>
    <w:link w:val="FooterChar"/>
    <w:uiPriority w:val="99"/>
    <w:unhideWhenUsed/>
    <w:rsid w:val="005F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8C"/>
    <w:rPr>
      <w:rFonts w:ascii="Times New Roman" w:hAnsi="Times New Roman"/>
      <w:sz w:val="24"/>
    </w:rPr>
  </w:style>
  <w:style w:type="character" w:styleId="FootnoteReference">
    <w:name w:val="footnote reference"/>
    <w:basedOn w:val="DefaultParagraphFont"/>
    <w:uiPriority w:val="99"/>
    <w:unhideWhenUsed/>
    <w:rsid w:val="00700A37"/>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0E1B89"/>
    <w:pPr>
      <w:spacing w:after="0" w:line="240" w:lineRule="auto"/>
      <w:ind w:firstLine="720"/>
    </w:pPr>
    <w:rPr>
      <w:rFonts w:eastAsia="Times New Roman" w:cs="Times New Roman"/>
      <w:sz w:val="20"/>
      <w:szCs w:val="20"/>
    </w:rPr>
  </w:style>
  <w:style w:type="character" w:customStyle="1" w:styleId="FootnoteTextChar">
    <w:name w:val="Footnote Text Char"/>
    <w:aliases w:val="Car Char"/>
    <w:basedOn w:val="DefaultParagraphFont"/>
    <w:link w:val="FootnoteText"/>
    <w:uiPriority w:val="99"/>
    <w:rsid w:val="000E1B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7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24D6"/>
    <w:pPr>
      <w:numPr>
        <w:numId w:val="15"/>
      </w:numPr>
      <w:spacing w:after="0"/>
      <w:ind w:left="0" w:firstLine="1440"/>
    </w:pPr>
  </w:style>
  <w:style w:type="paragraph" w:styleId="Header">
    <w:name w:val="header"/>
    <w:basedOn w:val="Normal"/>
    <w:link w:val="HeaderChar"/>
    <w:uiPriority w:val="99"/>
    <w:unhideWhenUsed/>
    <w:rsid w:val="005F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8C"/>
    <w:rPr>
      <w:rFonts w:ascii="Times New Roman" w:hAnsi="Times New Roman"/>
      <w:sz w:val="24"/>
    </w:rPr>
  </w:style>
  <w:style w:type="paragraph" w:styleId="Footer">
    <w:name w:val="footer"/>
    <w:basedOn w:val="Normal"/>
    <w:link w:val="FooterChar"/>
    <w:uiPriority w:val="99"/>
    <w:unhideWhenUsed/>
    <w:rsid w:val="005F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8C"/>
    <w:rPr>
      <w:rFonts w:ascii="Times New Roman" w:hAnsi="Times New Roman"/>
      <w:sz w:val="24"/>
    </w:rPr>
  </w:style>
  <w:style w:type="character" w:styleId="FootnoteReference">
    <w:name w:val="footnote reference"/>
    <w:basedOn w:val="DefaultParagraphFont"/>
    <w:uiPriority w:val="99"/>
    <w:unhideWhenUsed/>
    <w:rsid w:val="00700A37"/>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0E1B89"/>
    <w:pPr>
      <w:spacing w:after="0" w:line="240" w:lineRule="auto"/>
      <w:ind w:firstLine="720"/>
    </w:pPr>
    <w:rPr>
      <w:rFonts w:eastAsia="Times New Roman" w:cs="Times New Roman"/>
      <w:sz w:val="20"/>
      <w:szCs w:val="20"/>
    </w:rPr>
  </w:style>
  <w:style w:type="character" w:customStyle="1" w:styleId="FootnoteTextChar">
    <w:name w:val="Footnote Text Char"/>
    <w:aliases w:val="Car Char"/>
    <w:basedOn w:val="DefaultParagraphFont"/>
    <w:link w:val="FootnoteText"/>
    <w:uiPriority w:val="99"/>
    <w:rsid w:val="000E1B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7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24C9-5D65-427C-BC6E-F7DF0AD7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6350</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Administrator</cp:lastModifiedBy>
  <cp:revision>3</cp:revision>
  <cp:lastPrinted>2012-10-17T12:49:00Z</cp:lastPrinted>
  <dcterms:created xsi:type="dcterms:W3CDTF">2012-10-17T12:50:00Z</dcterms:created>
  <dcterms:modified xsi:type="dcterms:W3CDTF">2012-10-17T12:50:00Z</dcterms:modified>
</cp:coreProperties>
</file>