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322AE5" w:rsidP="00956DC6">
      <w:pPr>
        <w:tabs>
          <w:tab w:val="left" w:pos="-720"/>
        </w:tabs>
        <w:suppressAutoHyphens/>
        <w:rPr>
          <w:b/>
          <w:bCs/>
          <w:spacing w:val="-3"/>
          <w:sz w:val="24"/>
          <w:szCs w:val="24"/>
        </w:rPr>
      </w:pPr>
      <w:r>
        <w:rPr>
          <w:bCs/>
          <w:spacing w:val="-3"/>
          <w:sz w:val="24"/>
          <w:szCs w:val="24"/>
        </w:rPr>
        <w:t>Robert Morgan</w:t>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766C8E">
        <w:rPr>
          <w:b/>
          <w:bCs/>
          <w:spacing w:val="-3"/>
          <w:sz w:val="24"/>
          <w:szCs w:val="24"/>
        </w:rPr>
        <w:tab/>
      </w:r>
      <w:r w:rsidR="00766C8E">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8C21C8">
        <w:rPr>
          <w:spacing w:val="-3"/>
          <w:sz w:val="24"/>
          <w:szCs w:val="24"/>
        </w:rPr>
        <w:tab/>
      </w:r>
      <w:r w:rsidR="00322AE5">
        <w:rPr>
          <w:spacing w:val="-3"/>
          <w:sz w:val="24"/>
          <w:szCs w:val="24"/>
        </w:rPr>
        <w:t>C-2012-2303216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322AE5" w:rsidP="00CE43B4">
      <w:pPr>
        <w:tabs>
          <w:tab w:val="left" w:pos="-720"/>
        </w:tabs>
        <w:suppressAutoHyphens/>
        <w:rPr>
          <w:spacing w:val="-3"/>
          <w:sz w:val="24"/>
          <w:szCs w:val="24"/>
        </w:rPr>
      </w:pPr>
      <w:r>
        <w:rPr>
          <w:spacing w:val="-3"/>
          <w:sz w:val="24"/>
          <w:szCs w:val="24"/>
        </w:rPr>
        <w:t xml:space="preserve">UGI Penn Natural Gas, Inc. </w:t>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E83233">
      <w:pPr>
        <w:jc w:val="center"/>
        <w:rPr>
          <w:sz w:val="24"/>
          <w:szCs w:val="24"/>
          <w:u w:val="single"/>
        </w:rPr>
      </w:pPr>
      <w:r>
        <w:rPr>
          <w:sz w:val="24"/>
          <w:szCs w:val="24"/>
          <w:u w:val="single"/>
        </w:rPr>
        <w:t>HISTORY OF THE PROCEEDINGS</w:t>
      </w:r>
    </w:p>
    <w:p w:rsidR="007965B0" w:rsidRDefault="007965B0" w:rsidP="00E83233">
      <w:pPr>
        <w:tabs>
          <w:tab w:val="left" w:pos="-1440"/>
          <w:tab w:val="left" w:pos="-720"/>
        </w:tabs>
        <w:suppressAutoHyphens/>
        <w:ind w:firstLine="1440"/>
        <w:rPr>
          <w:sz w:val="24"/>
          <w:szCs w:val="24"/>
        </w:rPr>
      </w:pPr>
    </w:p>
    <w:p w:rsidR="00E83233" w:rsidRDefault="00E83233" w:rsidP="00E83233">
      <w:pPr>
        <w:tabs>
          <w:tab w:val="left" w:pos="-1440"/>
          <w:tab w:val="left" w:pos="-720"/>
        </w:tabs>
        <w:suppressAutoHyphens/>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322AE5">
        <w:rPr>
          <w:sz w:val="24"/>
          <w:szCs w:val="24"/>
        </w:rPr>
        <w:t xml:space="preserve"> May 4, 2012</w:t>
      </w:r>
      <w:r w:rsidR="007965B0" w:rsidRPr="007965B0">
        <w:rPr>
          <w:sz w:val="24"/>
          <w:szCs w:val="24"/>
        </w:rPr>
        <w:t xml:space="preserve">, </w:t>
      </w:r>
      <w:r w:rsidR="00322AE5">
        <w:rPr>
          <w:sz w:val="24"/>
          <w:szCs w:val="24"/>
        </w:rPr>
        <w:t>Robert Morgan</w:t>
      </w:r>
      <w:r w:rsidR="007965B0" w:rsidRPr="007965B0">
        <w:rPr>
          <w:sz w:val="24"/>
          <w:szCs w:val="24"/>
        </w:rPr>
        <w:t xml:space="preserve"> (Complainant) filed a Formal Complaint with the Pennsylvania Public Utility Commission </w:t>
      </w:r>
      <w:r w:rsidR="00322AE5">
        <w:rPr>
          <w:sz w:val="24"/>
          <w:szCs w:val="24"/>
        </w:rPr>
        <w:t xml:space="preserve">(PUC) </w:t>
      </w:r>
      <w:r w:rsidR="007965B0" w:rsidRPr="007965B0">
        <w:rPr>
          <w:sz w:val="24"/>
          <w:szCs w:val="24"/>
        </w:rPr>
        <w:t xml:space="preserve">against </w:t>
      </w:r>
      <w:r w:rsidR="00322AE5">
        <w:rPr>
          <w:sz w:val="24"/>
          <w:szCs w:val="24"/>
        </w:rPr>
        <w:t xml:space="preserve">UGI Penn Natural Gas, Inc. (PNG or </w:t>
      </w:r>
      <w:r w:rsidR="007965B0" w:rsidRPr="007965B0">
        <w:rPr>
          <w:sz w:val="24"/>
          <w:szCs w:val="24"/>
        </w:rPr>
        <w:t xml:space="preserve">Respondent) alleging </w:t>
      </w:r>
      <w:r w:rsidR="00322AE5">
        <w:rPr>
          <w:sz w:val="24"/>
          <w:szCs w:val="24"/>
        </w:rPr>
        <w:t>inappropriate charges to his account and poor customer service from the Respondent.</w:t>
      </w:r>
      <w:r w:rsidR="007965B0" w:rsidRPr="007965B0">
        <w:rPr>
          <w:sz w:val="24"/>
          <w:szCs w:val="24"/>
        </w:rPr>
        <w:t xml:space="preserve">  This case is an appeal from a prior informal Bureau of Consumer Services (BCS) decision</w:t>
      </w:r>
      <w:r w:rsidR="00223E7E">
        <w:rPr>
          <w:sz w:val="24"/>
          <w:szCs w:val="24"/>
        </w:rPr>
        <w:t xml:space="preserve"> at Case No. </w:t>
      </w:r>
      <w:r w:rsidR="0009360F">
        <w:rPr>
          <w:sz w:val="24"/>
          <w:szCs w:val="24"/>
        </w:rPr>
        <w:t>2944176</w:t>
      </w:r>
      <w:r w:rsidR="00B94E3D">
        <w:rPr>
          <w:sz w:val="24"/>
          <w:szCs w:val="24"/>
        </w:rPr>
        <w:t>.</w:t>
      </w:r>
      <w:r w:rsidR="0009360F">
        <w:rPr>
          <w:sz w:val="24"/>
          <w:szCs w:val="24"/>
        </w:rPr>
        <w:t xml:space="preserve">  On or about May 29, 2012</w:t>
      </w:r>
      <w:r w:rsidR="007965B0" w:rsidRPr="007965B0">
        <w:rPr>
          <w:sz w:val="24"/>
          <w:szCs w:val="24"/>
        </w:rPr>
        <w:t xml:space="preserve">, Respondent filed an </w:t>
      </w:r>
      <w:r w:rsidR="007965B0" w:rsidRPr="007965B0">
        <w:rPr>
          <w:spacing w:val="-3"/>
          <w:sz w:val="24"/>
          <w:szCs w:val="24"/>
        </w:rPr>
        <w:t>Answer denying</w:t>
      </w:r>
      <w:r w:rsidR="0009360F">
        <w:rPr>
          <w:spacing w:val="-3"/>
          <w:sz w:val="24"/>
          <w:szCs w:val="24"/>
        </w:rPr>
        <w:t xml:space="preserve"> the material allegations in the Formal Complaint</w:t>
      </w:r>
      <w:r w:rsidR="00E51D1F">
        <w:rPr>
          <w:spacing w:val="-3"/>
          <w:sz w:val="24"/>
          <w:szCs w:val="24"/>
        </w:rPr>
        <w: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09360F">
        <w:rPr>
          <w:sz w:val="24"/>
          <w:szCs w:val="24"/>
        </w:rPr>
        <w:t>June 7, 2012</w:t>
      </w:r>
      <w:r w:rsidRPr="007965B0">
        <w:rPr>
          <w:sz w:val="24"/>
          <w:szCs w:val="24"/>
        </w:rPr>
        <w:t xml:space="preserve">, the parties were notified that an Initial Hearing in this case was scheduled for the morning of </w:t>
      </w:r>
      <w:r w:rsidR="0009360F">
        <w:rPr>
          <w:sz w:val="24"/>
          <w:szCs w:val="24"/>
        </w:rPr>
        <w:t>July 17, 2012</w:t>
      </w:r>
      <w:r w:rsidRPr="007965B0">
        <w:rPr>
          <w:sz w:val="24"/>
          <w:szCs w:val="24"/>
        </w:rPr>
        <w:t xml:space="preserve">.  A Prehearing Order was issued on </w:t>
      </w:r>
      <w:r w:rsidR="00CE0638">
        <w:rPr>
          <w:sz w:val="24"/>
          <w:szCs w:val="24"/>
        </w:rPr>
        <w:t>June 12, 2012</w:t>
      </w:r>
      <w:r w:rsidRPr="007965B0">
        <w:rPr>
          <w:sz w:val="24"/>
          <w:szCs w:val="24"/>
        </w:rPr>
        <w:t>, stating the date and time of the scheduled hearing and advi</w:t>
      </w:r>
      <w:r w:rsidR="00CE0638">
        <w:rPr>
          <w:sz w:val="24"/>
          <w:szCs w:val="24"/>
        </w:rPr>
        <w:t>sing the parties that the case w</w:t>
      </w:r>
      <w:r w:rsidRPr="007965B0">
        <w:rPr>
          <w:sz w:val="24"/>
          <w:szCs w:val="24"/>
        </w:rPr>
        <w:t xml:space="preserve">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lastRenderedPageBreak/>
        <w:t>The hearing convened as scheduled.</w:t>
      </w:r>
      <w:r w:rsidR="00E51D1F">
        <w:rPr>
          <w:sz w:val="24"/>
          <w:szCs w:val="24"/>
        </w:rPr>
        <w:t xml:space="preserve">  The Complainant appeared </w:t>
      </w:r>
      <w:r w:rsidR="00E51D1F" w:rsidRPr="00144488">
        <w:rPr>
          <w:i/>
          <w:sz w:val="24"/>
          <w:szCs w:val="24"/>
        </w:rPr>
        <w:t>pro se</w:t>
      </w:r>
      <w:r w:rsidR="00E51D1F">
        <w:rPr>
          <w:sz w:val="24"/>
          <w:szCs w:val="24"/>
        </w:rPr>
        <w:t xml:space="preserve">, the Respondent was represented by counsel.  </w:t>
      </w:r>
      <w:r w:rsidR="00CE0638">
        <w:rPr>
          <w:sz w:val="24"/>
          <w:szCs w:val="24"/>
        </w:rPr>
        <w:t xml:space="preserve">The Complainant proffered no exhibits, the Respondent proffered six (6); all were admitted into the record. </w:t>
      </w:r>
      <w:r w:rsidR="002923AF">
        <w:rPr>
          <w:sz w:val="24"/>
          <w:szCs w:val="24"/>
        </w:rPr>
        <w:t xml:space="preserve"> </w:t>
      </w:r>
      <w:r w:rsidR="00CE0638">
        <w:rPr>
          <w:sz w:val="24"/>
          <w:szCs w:val="24"/>
        </w:rPr>
        <w:t>A written transcript comprising forty-</w:t>
      </w:r>
      <w:r w:rsidR="00354921">
        <w:rPr>
          <w:sz w:val="24"/>
          <w:szCs w:val="24"/>
        </w:rPr>
        <w:t>ei</w:t>
      </w:r>
      <w:r w:rsidR="00CE0638">
        <w:rPr>
          <w:sz w:val="24"/>
          <w:szCs w:val="24"/>
        </w:rPr>
        <w:t>ght</w:t>
      </w:r>
      <w:r w:rsidR="00354921">
        <w:rPr>
          <w:sz w:val="24"/>
          <w:szCs w:val="24"/>
        </w:rPr>
        <w:t xml:space="preserve"> </w:t>
      </w:r>
      <w:r w:rsidR="00CE0638">
        <w:rPr>
          <w:sz w:val="24"/>
          <w:szCs w:val="24"/>
        </w:rPr>
        <w:t xml:space="preserve">(48) </w:t>
      </w:r>
      <w:r w:rsidR="00033E8C">
        <w:rPr>
          <w:sz w:val="24"/>
          <w:szCs w:val="24"/>
        </w:rPr>
        <w:t xml:space="preserve">pages </w:t>
      </w:r>
      <w:r w:rsidR="00CE0638">
        <w:rPr>
          <w:sz w:val="24"/>
          <w:szCs w:val="24"/>
        </w:rPr>
        <w:t xml:space="preserve">was produced.  </w:t>
      </w:r>
      <w:r w:rsidR="00EC41CE">
        <w:rPr>
          <w:sz w:val="24"/>
          <w:szCs w:val="24"/>
        </w:rPr>
        <w:t xml:space="preserve">The record closed on </w:t>
      </w:r>
      <w:r w:rsidR="00CE0638">
        <w:rPr>
          <w:sz w:val="24"/>
          <w:szCs w:val="24"/>
        </w:rPr>
        <w:t>August 17, 2012</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E51D1F" w:rsidP="00C419F9">
      <w:pPr>
        <w:numPr>
          <w:ilvl w:val="0"/>
          <w:numId w:val="18"/>
        </w:numPr>
        <w:tabs>
          <w:tab w:val="left" w:pos="2160"/>
        </w:tabs>
        <w:spacing w:line="360" w:lineRule="auto"/>
        <w:ind w:left="0" w:firstLine="1440"/>
        <w:rPr>
          <w:sz w:val="24"/>
          <w:szCs w:val="24"/>
        </w:rPr>
      </w:pPr>
      <w:r>
        <w:rPr>
          <w:sz w:val="24"/>
          <w:szCs w:val="24"/>
        </w:rPr>
        <w:t xml:space="preserve">The Complainant is a current customer of the Respondent’s and receives </w:t>
      </w:r>
      <w:r w:rsidR="00CE0638">
        <w:rPr>
          <w:sz w:val="24"/>
          <w:szCs w:val="24"/>
        </w:rPr>
        <w:t xml:space="preserve">natural gas </w:t>
      </w:r>
      <w:r>
        <w:rPr>
          <w:sz w:val="24"/>
          <w:szCs w:val="24"/>
        </w:rPr>
        <w:t xml:space="preserve">service at </w:t>
      </w:r>
      <w:r w:rsidR="00CE0638">
        <w:rPr>
          <w:sz w:val="24"/>
          <w:szCs w:val="24"/>
        </w:rPr>
        <w:t>a rental property he owns.</w:t>
      </w:r>
    </w:p>
    <w:p w:rsidR="00E51D1F" w:rsidRDefault="00E51D1F" w:rsidP="00E51D1F">
      <w:pPr>
        <w:spacing w:line="360" w:lineRule="auto"/>
        <w:ind w:left="1440"/>
        <w:rPr>
          <w:sz w:val="24"/>
          <w:szCs w:val="24"/>
        </w:rPr>
      </w:pPr>
      <w:r>
        <w:rPr>
          <w:sz w:val="24"/>
          <w:szCs w:val="24"/>
        </w:rPr>
        <w:t xml:space="preserve"> </w:t>
      </w: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CE0638">
        <w:rPr>
          <w:sz w:val="24"/>
          <w:szCs w:val="24"/>
        </w:rPr>
        <w:t>natural gas</w:t>
      </w:r>
      <w:r>
        <w:rPr>
          <w:sz w:val="24"/>
          <w:szCs w:val="24"/>
        </w:rPr>
        <w:t xml:space="preserve"> service in Pennsylvania.</w:t>
      </w:r>
    </w:p>
    <w:p w:rsidR="00CE0638" w:rsidRDefault="00CE0638" w:rsidP="008A596E">
      <w:pPr>
        <w:pStyle w:val="ListParagraph"/>
        <w:spacing w:line="360" w:lineRule="auto"/>
        <w:rPr>
          <w:sz w:val="24"/>
          <w:szCs w:val="24"/>
        </w:rPr>
      </w:pPr>
    </w:p>
    <w:p w:rsidR="00CE0638" w:rsidRDefault="00E20A4C" w:rsidP="00C419F9">
      <w:pPr>
        <w:numPr>
          <w:ilvl w:val="0"/>
          <w:numId w:val="18"/>
        </w:numPr>
        <w:tabs>
          <w:tab w:val="left" w:pos="2160"/>
        </w:tabs>
        <w:spacing w:line="360" w:lineRule="auto"/>
        <w:ind w:left="0" w:firstLine="1440"/>
        <w:rPr>
          <w:sz w:val="24"/>
          <w:szCs w:val="24"/>
        </w:rPr>
      </w:pPr>
      <w:r>
        <w:rPr>
          <w:sz w:val="24"/>
          <w:szCs w:val="24"/>
        </w:rPr>
        <w:t>The Complainant rented 338 Smith Street, Dunmore, Pennsylvania to Timothy Feagles.</w:t>
      </w:r>
      <w:r w:rsidR="005D6DE6">
        <w:rPr>
          <w:sz w:val="24"/>
          <w:szCs w:val="24"/>
        </w:rPr>
        <w:t xml:space="preserve">  Complaint/lease.</w:t>
      </w:r>
    </w:p>
    <w:p w:rsidR="00E20A4C" w:rsidRDefault="00E20A4C" w:rsidP="008A596E">
      <w:pPr>
        <w:pStyle w:val="ListParagraph"/>
        <w:spacing w:line="360" w:lineRule="auto"/>
        <w:rPr>
          <w:sz w:val="24"/>
          <w:szCs w:val="24"/>
        </w:rPr>
      </w:pPr>
    </w:p>
    <w:p w:rsidR="00E20A4C" w:rsidRDefault="00E20A4C" w:rsidP="00C419F9">
      <w:pPr>
        <w:numPr>
          <w:ilvl w:val="0"/>
          <w:numId w:val="18"/>
        </w:numPr>
        <w:tabs>
          <w:tab w:val="left" w:pos="2160"/>
        </w:tabs>
        <w:spacing w:line="360" w:lineRule="auto"/>
        <w:ind w:left="0" w:firstLine="1440"/>
        <w:rPr>
          <w:sz w:val="24"/>
          <w:szCs w:val="24"/>
        </w:rPr>
      </w:pPr>
      <w:r>
        <w:rPr>
          <w:sz w:val="24"/>
          <w:szCs w:val="24"/>
        </w:rPr>
        <w:t xml:space="preserve">Timothy Feagles rented the entire house.  </w:t>
      </w:r>
      <w:r w:rsidR="005D6DE6">
        <w:rPr>
          <w:sz w:val="24"/>
          <w:szCs w:val="24"/>
        </w:rPr>
        <w:t>Complaint/lease</w:t>
      </w:r>
      <w:r w:rsidR="00DC1928">
        <w:rPr>
          <w:sz w:val="24"/>
          <w:szCs w:val="24"/>
        </w:rPr>
        <w:t xml:space="preserve">. </w:t>
      </w:r>
      <w:r w:rsidR="005D6DE6">
        <w:rPr>
          <w:sz w:val="24"/>
          <w:szCs w:val="24"/>
        </w:rPr>
        <w:t xml:space="preserve"> </w:t>
      </w:r>
      <w:r>
        <w:rPr>
          <w:sz w:val="24"/>
          <w:szCs w:val="24"/>
        </w:rPr>
        <w:t>Tr. at 10.</w:t>
      </w:r>
    </w:p>
    <w:p w:rsidR="008D1F6B" w:rsidRDefault="008D1F6B" w:rsidP="00F27629">
      <w:pPr>
        <w:pStyle w:val="ListParagraph"/>
        <w:spacing w:line="360" w:lineRule="auto"/>
        <w:rPr>
          <w:sz w:val="24"/>
          <w:szCs w:val="24"/>
        </w:rPr>
      </w:pPr>
    </w:p>
    <w:p w:rsidR="008D1F6B" w:rsidRDefault="008D1F6B" w:rsidP="00C419F9">
      <w:pPr>
        <w:numPr>
          <w:ilvl w:val="0"/>
          <w:numId w:val="18"/>
        </w:numPr>
        <w:tabs>
          <w:tab w:val="left" w:pos="2160"/>
        </w:tabs>
        <w:spacing w:line="360" w:lineRule="auto"/>
        <w:ind w:left="0" w:firstLine="1440"/>
        <w:rPr>
          <w:sz w:val="24"/>
          <w:szCs w:val="24"/>
        </w:rPr>
      </w:pPr>
      <w:r>
        <w:rPr>
          <w:sz w:val="24"/>
          <w:szCs w:val="24"/>
        </w:rPr>
        <w:t>No other person lived at or leased 338 Smith Street.  Tr. at 16.</w:t>
      </w:r>
    </w:p>
    <w:p w:rsidR="008D1F6B" w:rsidRDefault="008D1F6B" w:rsidP="00D37ABA">
      <w:pPr>
        <w:pStyle w:val="ListParagraph"/>
        <w:spacing w:line="360" w:lineRule="auto"/>
        <w:rPr>
          <w:sz w:val="24"/>
          <w:szCs w:val="24"/>
        </w:rPr>
      </w:pPr>
    </w:p>
    <w:p w:rsidR="008D1F6B" w:rsidRDefault="008D1F6B" w:rsidP="00C419F9">
      <w:pPr>
        <w:numPr>
          <w:ilvl w:val="0"/>
          <w:numId w:val="18"/>
        </w:numPr>
        <w:tabs>
          <w:tab w:val="left" w:pos="2160"/>
        </w:tabs>
        <w:spacing w:line="360" w:lineRule="auto"/>
        <w:ind w:left="0" w:firstLine="1440"/>
        <w:rPr>
          <w:sz w:val="24"/>
          <w:szCs w:val="24"/>
        </w:rPr>
      </w:pPr>
      <w:r>
        <w:rPr>
          <w:sz w:val="24"/>
          <w:szCs w:val="24"/>
        </w:rPr>
        <w:t>There is only one (1) gas meter.  Tr. at 16.</w:t>
      </w:r>
    </w:p>
    <w:p w:rsidR="008D1F6B" w:rsidRDefault="008D1F6B" w:rsidP="00F27629">
      <w:pPr>
        <w:pStyle w:val="ListParagraph"/>
        <w:spacing w:line="360" w:lineRule="auto"/>
        <w:rPr>
          <w:sz w:val="24"/>
          <w:szCs w:val="24"/>
        </w:rPr>
      </w:pPr>
    </w:p>
    <w:p w:rsidR="008D1F6B" w:rsidRDefault="008D1F6B" w:rsidP="00C419F9">
      <w:pPr>
        <w:numPr>
          <w:ilvl w:val="0"/>
          <w:numId w:val="18"/>
        </w:numPr>
        <w:tabs>
          <w:tab w:val="left" w:pos="2160"/>
        </w:tabs>
        <w:spacing w:line="360" w:lineRule="auto"/>
        <w:ind w:left="0" w:firstLine="1440"/>
        <w:rPr>
          <w:sz w:val="24"/>
          <w:szCs w:val="24"/>
        </w:rPr>
      </w:pPr>
      <w:r>
        <w:rPr>
          <w:sz w:val="24"/>
          <w:szCs w:val="24"/>
        </w:rPr>
        <w:t>There is only one (1) boiler and water heater for the whole house.  Tr.</w:t>
      </w:r>
      <w:r w:rsidR="002D4058">
        <w:rPr>
          <w:sz w:val="24"/>
          <w:szCs w:val="24"/>
        </w:rPr>
        <w:t> </w:t>
      </w:r>
      <w:r>
        <w:rPr>
          <w:sz w:val="24"/>
          <w:szCs w:val="24"/>
        </w:rPr>
        <w:t>at</w:t>
      </w:r>
      <w:r w:rsidR="00F27629">
        <w:rPr>
          <w:sz w:val="24"/>
          <w:szCs w:val="24"/>
        </w:rPr>
        <w:t> </w:t>
      </w:r>
      <w:r>
        <w:rPr>
          <w:sz w:val="24"/>
          <w:szCs w:val="24"/>
        </w:rPr>
        <w:t>16.</w:t>
      </w:r>
    </w:p>
    <w:p w:rsidR="00FE17B6" w:rsidRDefault="00FE17B6" w:rsidP="00F27629">
      <w:pPr>
        <w:pStyle w:val="ListParagraph"/>
        <w:spacing w:line="360" w:lineRule="auto"/>
        <w:rPr>
          <w:sz w:val="24"/>
          <w:szCs w:val="24"/>
        </w:rPr>
      </w:pPr>
    </w:p>
    <w:p w:rsidR="00FE17B6" w:rsidRDefault="00FE17B6" w:rsidP="00C419F9">
      <w:pPr>
        <w:numPr>
          <w:ilvl w:val="0"/>
          <w:numId w:val="18"/>
        </w:numPr>
        <w:tabs>
          <w:tab w:val="left" w:pos="2160"/>
        </w:tabs>
        <w:spacing w:line="360" w:lineRule="auto"/>
        <w:ind w:left="0" w:firstLine="1440"/>
        <w:rPr>
          <w:sz w:val="24"/>
          <w:szCs w:val="24"/>
        </w:rPr>
      </w:pPr>
      <w:r>
        <w:rPr>
          <w:sz w:val="24"/>
          <w:szCs w:val="24"/>
        </w:rPr>
        <w:t>Timothy Feagles used the 1</w:t>
      </w:r>
      <w:r w:rsidR="007B1B78">
        <w:rPr>
          <w:sz w:val="24"/>
          <w:szCs w:val="24"/>
        </w:rPr>
        <w:t>st</w:t>
      </w:r>
      <w:r>
        <w:rPr>
          <w:sz w:val="24"/>
          <w:szCs w:val="24"/>
        </w:rPr>
        <w:t xml:space="preserve"> floor of the house for storage</w:t>
      </w:r>
      <w:r w:rsidR="005D6DE6">
        <w:rPr>
          <w:sz w:val="24"/>
          <w:szCs w:val="24"/>
        </w:rPr>
        <w:t xml:space="preserve"> of his personal belongings</w:t>
      </w:r>
      <w:r>
        <w:rPr>
          <w:sz w:val="24"/>
          <w:szCs w:val="24"/>
        </w:rPr>
        <w:t>.  Tr</w:t>
      </w:r>
      <w:r w:rsidR="00F27629">
        <w:rPr>
          <w:sz w:val="24"/>
          <w:szCs w:val="24"/>
        </w:rPr>
        <w:t>.</w:t>
      </w:r>
      <w:r>
        <w:rPr>
          <w:sz w:val="24"/>
          <w:szCs w:val="24"/>
        </w:rPr>
        <w:t xml:space="preserve"> at 11.</w:t>
      </w:r>
    </w:p>
    <w:p w:rsidR="00C3225A" w:rsidRDefault="00C3225A" w:rsidP="00F27629">
      <w:pPr>
        <w:pStyle w:val="ListParagraph"/>
        <w:spacing w:line="360" w:lineRule="auto"/>
        <w:rPr>
          <w:sz w:val="24"/>
          <w:szCs w:val="24"/>
        </w:rPr>
      </w:pPr>
    </w:p>
    <w:p w:rsidR="00C3225A" w:rsidRDefault="00C3225A" w:rsidP="00C419F9">
      <w:pPr>
        <w:numPr>
          <w:ilvl w:val="0"/>
          <w:numId w:val="18"/>
        </w:numPr>
        <w:tabs>
          <w:tab w:val="left" w:pos="2160"/>
        </w:tabs>
        <w:spacing w:line="360" w:lineRule="auto"/>
        <w:ind w:left="0" w:firstLine="1440"/>
        <w:rPr>
          <w:sz w:val="24"/>
          <w:szCs w:val="24"/>
        </w:rPr>
      </w:pPr>
      <w:r>
        <w:rPr>
          <w:sz w:val="24"/>
          <w:szCs w:val="24"/>
        </w:rPr>
        <w:t>The 1</w:t>
      </w:r>
      <w:r w:rsidR="007B1B78">
        <w:rPr>
          <w:sz w:val="24"/>
          <w:szCs w:val="24"/>
        </w:rPr>
        <w:t>st</w:t>
      </w:r>
      <w:r>
        <w:rPr>
          <w:sz w:val="24"/>
          <w:szCs w:val="24"/>
        </w:rPr>
        <w:t xml:space="preserve"> floor connects to the 2</w:t>
      </w:r>
      <w:r w:rsidR="009660C7">
        <w:rPr>
          <w:sz w:val="24"/>
          <w:szCs w:val="24"/>
        </w:rPr>
        <w:t>n</w:t>
      </w:r>
      <w:r>
        <w:rPr>
          <w:sz w:val="24"/>
          <w:szCs w:val="24"/>
        </w:rPr>
        <w:t>d floor; this was apparent to the Respondent.  Tr. at 45.</w:t>
      </w:r>
    </w:p>
    <w:p w:rsidR="00C3225A" w:rsidRPr="00537508" w:rsidRDefault="00C3225A" w:rsidP="00537508">
      <w:pPr>
        <w:rPr>
          <w:sz w:val="24"/>
          <w:szCs w:val="24"/>
        </w:rPr>
      </w:pPr>
    </w:p>
    <w:p w:rsidR="00C3225A" w:rsidRDefault="00537508" w:rsidP="00C419F9">
      <w:pPr>
        <w:numPr>
          <w:ilvl w:val="0"/>
          <w:numId w:val="18"/>
        </w:numPr>
        <w:tabs>
          <w:tab w:val="left" w:pos="2160"/>
        </w:tabs>
        <w:spacing w:line="360" w:lineRule="auto"/>
        <w:ind w:left="0" w:firstLine="1440"/>
        <w:rPr>
          <w:sz w:val="24"/>
          <w:szCs w:val="24"/>
        </w:rPr>
      </w:pPr>
      <w:r>
        <w:rPr>
          <w:sz w:val="24"/>
          <w:szCs w:val="24"/>
        </w:rPr>
        <w:lastRenderedPageBreak/>
        <w:t>In January 2011, t</w:t>
      </w:r>
      <w:r w:rsidR="00C3225A">
        <w:rPr>
          <w:sz w:val="24"/>
          <w:szCs w:val="24"/>
        </w:rPr>
        <w:t>he Respondent received a service request from Timothy</w:t>
      </w:r>
      <w:r w:rsidR="00CD4CA0">
        <w:rPr>
          <w:sz w:val="24"/>
          <w:szCs w:val="24"/>
        </w:rPr>
        <w:t> </w:t>
      </w:r>
      <w:r w:rsidR="00C3225A">
        <w:rPr>
          <w:sz w:val="24"/>
          <w:szCs w:val="24"/>
        </w:rPr>
        <w:t>Feagles.  Tr. at 25.</w:t>
      </w:r>
    </w:p>
    <w:p w:rsidR="00E20A4C" w:rsidRDefault="00E20A4C" w:rsidP="00B2387F">
      <w:pPr>
        <w:pStyle w:val="ListParagraph"/>
        <w:spacing w:line="360" w:lineRule="auto"/>
        <w:rPr>
          <w:sz w:val="24"/>
          <w:szCs w:val="24"/>
        </w:rPr>
      </w:pPr>
    </w:p>
    <w:p w:rsidR="00E20A4C" w:rsidRDefault="00E20A4C" w:rsidP="00C419F9">
      <w:pPr>
        <w:numPr>
          <w:ilvl w:val="0"/>
          <w:numId w:val="18"/>
        </w:numPr>
        <w:tabs>
          <w:tab w:val="left" w:pos="2160"/>
        </w:tabs>
        <w:spacing w:line="360" w:lineRule="auto"/>
        <w:ind w:left="0" w:firstLine="1440"/>
        <w:rPr>
          <w:sz w:val="24"/>
          <w:szCs w:val="24"/>
        </w:rPr>
      </w:pPr>
      <w:r>
        <w:rPr>
          <w:sz w:val="24"/>
          <w:szCs w:val="24"/>
        </w:rPr>
        <w:t>On January 26, 2011, the Respondent conducted a site visit and determined that Timothy Feagles was paying for the 1</w:t>
      </w:r>
      <w:r w:rsidR="00BE3641">
        <w:rPr>
          <w:sz w:val="24"/>
          <w:szCs w:val="24"/>
        </w:rPr>
        <w:t>st</w:t>
      </w:r>
      <w:r>
        <w:rPr>
          <w:sz w:val="24"/>
          <w:szCs w:val="24"/>
        </w:rPr>
        <w:t xml:space="preserve"> and 2</w:t>
      </w:r>
      <w:r w:rsidR="00BE3641">
        <w:rPr>
          <w:sz w:val="24"/>
          <w:szCs w:val="24"/>
        </w:rPr>
        <w:t>nd</w:t>
      </w:r>
      <w:r>
        <w:rPr>
          <w:sz w:val="24"/>
          <w:szCs w:val="24"/>
        </w:rPr>
        <w:t xml:space="preserve"> floor and termed it “an Act 54” or foreign load situation.  PNG Exh. 4.</w:t>
      </w:r>
    </w:p>
    <w:p w:rsidR="00FE17B6" w:rsidRDefault="00FE17B6" w:rsidP="00B2387F">
      <w:pPr>
        <w:pStyle w:val="ListParagraph"/>
        <w:spacing w:line="360" w:lineRule="auto"/>
        <w:rPr>
          <w:sz w:val="24"/>
          <w:szCs w:val="24"/>
        </w:rPr>
      </w:pPr>
    </w:p>
    <w:p w:rsidR="00FE17B6" w:rsidRDefault="00FE17B6" w:rsidP="00C419F9">
      <w:pPr>
        <w:numPr>
          <w:ilvl w:val="0"/>
          <w:numId w:val="18"/>
        </w:numPr>
        <w:tabs>
          <w:tab w:val="left" w:pos="2160"/>
        </w:tabs>
        <w:spacing w:line="360" w:lineRule="auto"/>
        <w:ind w:left="0" w:firstLine="1440"/>
        <w:rPr>
          <w:sz w:val="24"/>
          <w:szCs w:val="24"/>
        </w:rPr>
      </w:pPr>
      <w:r>
        <w:rPr>
          <w:sz w:val="24"/>
          <w:szCs w:val="24"/>
        </w:rPr>
        <w:t>Timothy Feagles provided access to the 1</w:t>
      </w:r>
      <w:r w:rsidR="00E57769">
        <w:rPr>
          <w:sz w:val="24"/>
          <w:szCs w:val="24"/>
        </w:rPr>
        <w:t>st</w:t>
      </w:r>
      <w:r>
        <w:rPr>
          <w:sz w:val="24"/>
          <w:szCs w:val="24"/>
        </w:rPr>
        <w:t xml:space="preserve"> floor to the Respondent</w:t>
      </w:r>
      <w:r w:rsidR="00537508">
        <w:rPr>
          <w:sz w:val="24"/>
          <w:szCs w:val="24"/>
        </w:rPr>
        <w:t>; the home owner/Complainant was not present.</w:t>
      </w:r>
      <w:r>
        <w:rPr>
          <w:sz w:val="24"/>
          <w:szCs w:val="24"/>
        </w:rPr>
        <w:t xml:space="preserve">  Tr. at 11.</w:t>
      </w:r>
    </w:p>
    <w:p w:rsidR="009520E0" w:rsidRDefault="009520E0" w:rsidP="00B2387F">
      <w:pPr>
        <w:pStyle w:val="ListParagraph"/>
        <w:spacing w:line="360" w:lineRule="auto"/>
        <w:rPr>
          <w:sz w:val="24"/>
          <w:szCs w:val="24"/>
        </w:rPr>
      </w:pPr>
    </w:p>
    <w:p w:rsidR="009520E0" w:rsidRDefault="009520E0" w:rsidP="00C419F9">
      <w:pPr>
        <w:numPr>
          <w:ilvl w:val="0"/>
          <w:numId w:val="18"/>
        </w:numPr>
        <w:tabs>
          <w:tab w:val="left" w:pos="2160"/>
        </w:tabs>
        <w:spacing w:line="360" w:lineRule="auto"/>
        <w:ind w:left="0" w:firstLine="1440"/>
        <w:rPr>
          <w:sz w:val="24"/>
          <w:szCs w:val="24"/>
        </w:rPr>
      </w:pPr>
      <w:r>
        <w:rPr>
          <w:sz w:val="24"/>
          <w:szCs w:val="24"/>
        </w:rPr>
        <w:t>On February 8, 2011, PNG sent Timothy Feagles a letter stating that “your meter #89002807 is connected to a boiler and water heater which are supplying service not just to your unit, but to other areas of the building (1</w:t>
      </w:r>
      <w:r w:rsidR="00BE3641">
        <w:rPr>
          <w:sz w:val="24"/>
          <w:szCs w:val="24"/>
        </w:rPr>
        <w:t>st</w:t>
      </w:r>
      <w:r>
        <w:rPr>
          <w:sz w:val="24"/>
          <w:szCs w:val="24"/>
        </w:rPr>
        <w:t xml:space="preserve"> floor).”  PNG Exh. </w:t>
      </w:r>
      <w:r w:rsidR="00FE17B6">
        <w:rPr>
          <w:sz w:val="24"/>
          <w:szCs w:val="24"/>
        </w:rPr>
        <w:t>3</w:t>
      </w:r>
    </w:p>
    <w:p w:rsidR="009520E0" w:rsidRDefault="009520E0" w:rsidP="00B2387F">
      <w:pPr>
        <w:pStyle w:val="ListParagraph"/>
        <w:spacing w:line="360" w:lineRule="auto"/>
        <w:rPr>
          <w:sz w:val="24"/>
          <w:szCs w:val="24"/>
        </w:rPr>
      </w:pPr>
    </w:p>
    <w:p w:rsidR="009520E0" w:rsidRDefault="009520E0" w:rsidP="00C419F9">
      <w:pPr>
        <w:numPr>
          <w:ilvl w:val="0"/>
          <w:numId w:val="18"/>
        </w:numPr>
        <w:tabs>
          <w:tab w:val="left" w:pos="2160"/>
        </w:tabs>
        <w:spacing w:line="360" w:lineRule="auto"/>
        <w:ind w:left="0" w:firstLine="1440"/>
        <w:rPr>
          <w:sz w:val="24"/>
          <w:szCs w:val="24"/>
        </w:rPr>
      </w:pPr>
      <w:r>
        <w:rPr>
          <w:sz w:val="24"/>
          <w:szCs w:val="24"/>
        </w:rPr>
        <w:t xml:space="preserve">On February 14, 2011, the Respondent sent the Complainant a letter regarding 338 </w:t>
      </w:r>
      <w:r w:rsidR="008D1F6B">
        <w:rPr>
          <w:sz w:val="24"/>
          <w:szCs w:val="24"/>
        </w:rPr>
        <w:t>Smith</w:t>
      </w:r>
      <w:r>
        <w:rPr>
          <w:sz w:val="24"/>
          <w:szCs w:val="24"/>
        </w:rPr>
        <w:t xml:space="preserve"> Street, Dunmore, Pennsylvania, stating that it transferred a balance of $282</w:t>
      </w:r>
      <w:r w:rsidR="008D1F6B">
        <w:rPr>
          <w:sz w:val="24"/>
          <w:szCs w:val="24"/>
        </w:rPr>
        <w:t>.</w:t>
      </w:r>
      <w:r>
        <w:rPr>
          <w:sz w:val="24"/>
          <w:szCs w:val="24"/>
        </w:rPr>
        <w:t xml:space="preserve">30 to his </w:t>
      </w:r>
      <w:r w:rsidR="008D1F6B">
        <w:rPr>
          <w:sz w:val="24"/>
          <w:szCs w:val="24"/>
        </w:rPr>
        <w:t xml:space="preserve">(Complainant’s) </w:t>
      </w:r>
      <w:r>
        <w:rPr>
          <w:sz w:val="24"/>
          <w:szCs w:val="24"/>
        </w:rPr>
        <w:t xml:space="preserve">account and that after January 11, 2011, all bills would be mailed to him.  PNG Exh. </w:t>
      </w:r>
      <w:r w:rsidR="00FE17B6">
        <w:rPr>
          <w:sz w:val="24"/>
          <w:szCs w:val="24"/>
        </w:rPr>
        <w:t>3</w:t>
      </w:r>
      <w:r>
        <w:rPr>
          <w:sz w:val="24"/>
          <w:szCs w:val="24"/>
        </w:rPr>
        <w:t>.</w:t>
      </w:r>
    </w:p>
    <w:p w:rsidR="00FE17B6" w:rsidRDefault="00FE17B6" w:rsidP="00B2387F">
      <w:pPr>
        <w:pStyle w:val="ListParagraph"/>
        <w:spacing w:line="360" w:lineRule="auto"/>
        <w:rPr>
          <w:sz w:val="24"/>
          <w:szCs w:val="24"/>
        </w:rPr>
      </w:pPr>
    </w:p>
    <w:p w:rsidR="00FE17B6" w:rsidRDefault="00FE17B6" w:rsidP="00C419F9">
      <w:pPr>
        <w:numPr>
          <w:ilvl w:val="0"/>
          <w:numId w:val="18"/>
        </w:numPr>
        <w:tabs>
          <w:tab w:val="left" w:pos="2160"/>
        </w:tabs>
        <w:spacing w:line="360" w:lineRule="auto"/>
        <w:ind w:left="0" w:firstLine="1440"/>
        <w:rPr>
          <w:sz w:val="24"/>
          <w:szCs w:val="24"/>
        </w:rPr>
      </w:pPr>
      <w:r>
        <w:rPr>
          <w:sz w:val="24"/>
          <w:szCs w:val="24"/>
        </w:rPr>
        <w:t xml:space="preserve">Timothy Feagles moved out of </w:t>
      </w:r>
      <w:r w:rsidR="008D1F6B">
        <w:rPr>
          <w:sz w:val="24"/>
          <w:szCs w:val="24"/>
        </w:rPr>
        <w:t>338 Smith Street</w:t>
      </w:r>
      <w:r>
        <w:rPr>
          <w:sz w:val="24"/>
          <w:szCs w:val="24"/>
        </w:rPr>
        <w:t xml:space="preserve"> on May 12, 2011.  Tr.</w:t>
      </w:r>
      <w:r w:rsidR="00B2387F">
        <w:rPr>
          <w:sz w:val="24"/>
          <w:szCs w:val="24"/>
        </w:rPr>
        <w:t> </w:t>
      </w:r>
      <w:r>
        <w:rPr>
          <w:sz w:val="24"/>
          <w:szCs w:val="24"/>
        </w:rPr>
        <w:t>at</w:t>
      </w:r>
      <w:r w:rsidR="00B2387F">
        <w:rPr>
          <w:sz w:val="24"/>
          <w:szCs w:val="24"/>
        </w:rPr>
        <w:t> </w:t>
      </w:r>
      <w:r>
        <w:rPr>
          <w:sz w:val="24"/>
          <w:szCs w:val="24"/>
        </w:rPr>
        <w:t>9.</w:t>
      </w:r>
    </w:p>
    <w:p w:rsidR="009520E0" w:rsidRDefault="009520E0" w:rsidP="00FE6A0F">
      <w:pPr>
        <w:pStyle w:val="ListParagraph"/>
        <w:spacing w:line="360" w:lineRule="auto"/>
        <w:rPr>
          <w:sz w:val="24"/>
          <w:szCs w:val="24"/>
        </w:rPr>
      </w:pPr>
    </w:p>
    <w:p w:rsidR="00E20A4C" w:rsidRDefault="00E20A4C" w:rsidP="00C419F9">
      <w:pPr>
        <w:numPr>
          <w:ilvl w:val="0"/>
          <w:numId w:val="18"/>
        </w:numPr>
        <w:tabs>
          <w:tab w:val="left" w:pos="2160"/>
        </w:tabs>
        <w:spacing w:line="360" w:lineRule="auto"/>
        <w:ind w:left="0" w:firstLine="1440"/>
        <w:rPr>
          <w:sz w:val="24"/>
          <w:szCs w:val="24"/>
        </w:rPr>
      </w:pPr>
      <w:r>
        <w:rPr>
          <w:sz w:val="24"/>
          <w:szCs w:val="24"/>
        </w:rPr>
        <w:t xml:space="preserve">  On June 7, 2011, the Respondent conducted a site visit and determined it was not an Act 54/foreign load situation and </w:t>
      </w:r>
      <w:r w:rsidR="00033E8C">
        <w:rPr>
          <w:sz w:val="24"/>
          <w:szCs w:val="24"/>
        </w:rPr>
        <w:t>made a notation</w:t>
      </w:r>
      <w:r>
        <w:rPr>
          <w:sz w:val="24"/>
          <w:szCs w:val="24"/>
        </w:rPr>
        <w:t xml:space="preserve"> to change the account as billable to the tenant.  PNG Exh. 6.</w:t>
      </w:r>
    </w:p>
    <w:p w:rsidR="00E83233" w:rsidRDefault="00E83233">
      <w:pPr>
        <w:rPr>
          <w:sz w:val="24"/>
          <w:szCs w:val="24"/>
        </w:rPr>
      </w:pPr>
      <w:r>
        <w:rPr>
          <w:sz w:val="24"/>
          <w:szCs w:val="24"/>
        </w:rPr>
        <w:br w:type="page"/>
      </w:r>
    </w:p>
    <w:p w:rsidR="00C419F9" w:rsidRDefault="00FE17B6" w:rsidP="00DE2348">
      <w:pPr>
        <w:spacing w:line="360" w:lineRule="auto"/>
        <w:jc w:val="center"/>
        <w:rPr>
          <w:sz w:val="24"/>
          <w:szCs w:val="24"/>
          <w:u w:val="single"/>
        </w:rPr>
      </w:pPr>
      <w:r>
        <w:rPr>
          <w:sz w:val="24"/>
          <w:szCs w:val="24"/>
          <w:u w:val="single"/>
        </w:rPr>
        <w:lastRenderedPageBreak/>
        <w:t>D</w:t>
      </w:r>
      <w:r w:rsidR="00C419F9">
        <w:rPr>
          <w:sz w:val="24"/>
          <w:szCs w:val="24"/>
          <w:u w:val="single"/>
        </w:rPr>
        <w:t>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DE6FB0" w:rsidRPr="00DE6FB0" w:rsidRDefault="00DE6FB0" w:rsidP="00DE6FB0">
      <w:pPr>
        <w:spacing w:line="360" w:lineRule="auto"/>
        <w:ind w:firstLine="1440"/>
        <w:rPr>
          <w:sz w:val="24"/>
          <w:szCs w:val="24"/>
        </w:rPr>
      </w:pPr>
      <w:r w:rsidRPr="00DE6FB0">
        <w:rPr>
          <w:sz w:val="24"/>
          <w:szCs w:val="24"/>
        </w:rPr>
        <w:t xml:space="preserve">As the party seeking affirmative relief from the Commission, Complainant bears the burden of proof.  66 Pa. C.S. § 332(a).  </w:t>
      </w:r>
    </w:p>
    <w:p w:rsidR="00DE6FB0" w:rsidRPr="00DE6FB0" w:rsidRDefault="00DE6FB0" w:rsidP="00DE6FB0">
      <w:pPr>
        <w:spacing w:line="360" w:lineRule="auto"/>
        <w:ind w:firstLine="1440"/>
        <w:rPr>
          <w:sz w:val="24"/>
          <w:szCs w:val="24"/>
        </w:rPr>
      </w:pPr>
    </w:p>
    <w:p w:rsidR="00DE6FB0" w:rsidRPr="00DE6FB0" w:rsidRDefault="00DE6FB0" w:rsidP="00DE6FB0">
      <w:pPr>
        <w:spacing w:line="360" w:lineRule="auto"/>
        <w:ind w:firstLine="1440"/>
        <w:rPr>
          <w:spacing w:val="-3"/>
          <w:sz w:val="24"/>
          <w:szCs w:val="24"/>
        </w:rPr>
      </w:pPr>
      <w:r w:rsidRPr="00DE6FB0">
        <w:rPr>
          <w:spacing w:val="-3"/>
          <w:sz w:val="24"/>
          <w:szCs w:val="24"/>
        </w:rPr>
        <w:t>To satisfy this burden, a complainant must show that the named utility is responsible or accountable for the problem described in the Complaint</w:t>
      </w:r>
      <w:r w:rsidRPr="00DE6FB0">
        <w:rPr>
          <w:i/>
          <w:spacing w:val="-3"/>
          <w:sz w:val="24"/>
          <w:szCs w:val="24"/>
        </w:rPr>
        <w:t>.  Patterson v. Bell Telephone Company of Pennsylvania</w:t>
      </w:r>
      <w:r w:rsidRPr="00DB6B32">
        <w:rPr>
          <w:spacing w:val="-3"/>
          <w:sz w:val="24"/>
          <w:szCs w:val="24"/>
        </w:rPr>
        <w:t>, 72 PA PUC 196 (1990);</w:t>
      </w:r>
      <w:r w:rsidRPr="00DE6FB0">
        <w:rPr>
          <w:i/>
          <w:spacing w:val="-3"/>
          <w:sz w:val="24"/>
          <w:szCs w:val="24"/>
        </w:rPr>
        <w:t xml:space="preserve"> Feinstein v. Philadelphia Suburban Water Company</w:t>
      </w:r>
      <w:r w:rsidR="00E83233">
        <w:rPr>
          <w:spacing w:val="-3"/>
          <w:sz w:val="24"/>
          <w:szCs w:val="24"/>
        </w:rPr>
        <w:t>, 50 </w:t>
      </w:r>
      <w:r w:rsidRPr="00DE6FB0">
        <w:rPr>
          <w:spacing w:val="-3"/>
          <w:sz w:val="24"/>
          <w:szCs w:val="24"/>
        </w:rPr>
        <w:t xml:space="preserve">PA PUC 300 (1976).  This must be shown by a preponderance of the evidence.  </w:t>
      </w:r>
      <w:r w:rsidRPr="00DE6FB0">
        <w:rPr>
          <w:i/>
          <w:spacing w:val="-3"/>
          <w:sz w:val="24"/>
          <w:szCs w:val="24"/>
        </w:rPr>
        <w:t>Samuel J. Lansberry, Inc. v. PA Public Utility Comm’n</w:t>
      </w:r>
      <w:r w:rsidRPr="00DE6FB0">
        <w:rPr>
          <w:spacing w:val="-3"/>
          <w:sz w:val="24"/>
          <w:szCs w:val="24"/>
        </w:rPr>
        <w:t xml:space="preserve">, 578 A.2d 600 (Pa. Cmwlth. 1990), </w:t>
      </w:r>
      <w:r w:rsidRPr="00DE6FB0">
        <w:rPr>
          <w:i/>
          <w:spacing w:val="-3"/>
          <w:sz w:val="24"/>
          <w:szCs w:val="24"/>
        </w:rPr>
        <w:t>alloc. den.</w:t>
      </w:r>
      <w:r w:rsidRPr="00DE6FB0">
        <w:rPr>
          <w:spacing w:val="-3"/>
          <w:sz w:val="24"/>
          <w:szCs w:val="24"/>
        </w:rPr>
        <w:t xml:space="preserve">, 602 A.2d 863 (1992).  That is, a complainant must present evidence more convincing, by even the smallest amount, than that presented by the other party.  </w:t>
      </w:r>
      <w:r w:rsidRPr="00DE6FB0">
        <w:rPr>
          <w:i/>
          <w:spacing w:val="-3"/>
          <w:sz w:val="24"/>
          <w:szCs w:val="24"/>
        </w:rPr>
        <w:t>Se-Ling Hosiery v. Margulies</w:t>
      </w:r>
      <w:r w:rsidRPr="00DE6FB0">
        <w:rPr>
          <w:spacing w:val="-3"/>
          <w:sz w:val="24"/>
          <w:szCs w:val="24"/>
        </w:rPr>
        <w:t xml:space="preserve">, 364 Pa. 45, (1950).  Additionally, any finding of fact necessary to support the Commission’s adjudication must be based upon substantial evidence.  </w:t>
      </w:r>
      <w:r w:rsidRPr="00DE6FB0">
        <w:rPr>
          <w:i/>
          <w:spacing w:val="-3"/>
          <w:sz w:val="24"/>
          <w:szCs w:val="24"/>
        </w:rPr>
        <w:t xml:space="preserve">Mill v. Comm’w., </w:t>
      </w:r>
      <w:r w:rsidRPr="00CD4CA0">
        <w:rPr>
          <w:spacing w:val="-3"/>
          <w:sz w:val="24"/>
          <w:szCs w:val="24"/>
        </w:rPr>
        <w:t>PA Public Utility Comm’n,</w:t>
      </w:r>
      <w:r w:rsidRPr="00DE6FB0">
        <w:rPr>
          <w:spacing w:val="-3"/>
          <w:sz w:val="24"/>
          <w:szCs w:val="24"/>
        </w:rPr>
        <w:t xml:space="preserve"> 447 A.2d 1100 (Pa. Cmwlth. 1982); </w:t>
      </w:r>
      <w:r w:rsidRPr="00DE6FB0">
        <w:rPr>
          <w:i/>
          <w:spacing w:val="-3"/>
          <w:sz w:val="24"/>
          <w:szCs w:val="24"/>
        </w:rPr>
        <w:t>Edan Transportation Corp. v. PA Public Utility Comm’n</w:t>
      </w:r>
      <w:r w:rsidRPr="00DE6FB0">
        <w:rPr>
          <w:spacing w:val="-3"/>
          <w:sz w:val="24"/>
          <w:szCs w:val="24"/>
        </w:rPr>
        <w:t xml:space="preserve">, 623 A.2d 6 (Pa. Cmwlth. 1993), 2 Pa. C.S. § 704.  More is required than a mere trace of evidence or a suspicion of the existence of a fact sought to be established.  </w:t>
      </w:r>
      <w:r w:rsidRPr="00DE6FB0">
        <w:rPr>
          <w:i/>
          <w:spacing w:val="-3"/>
          <w:sz w:val="24"/>
          <w:szCs w:val="24"/>
        </w:rPr>
        <w:t>Norfolk and Western Ry. v. PA Public Utility Comm’n</w:t>
      </w:r>
      <w:r w:rsidRPr="00DE6FB0">
        <w:rPr>
          <w:spacing w:val="-3"/>
          <w:sz w:val="24"/>
          <w:szCs w:val="24"/>
        </w:rPr>
        <w:t xml:space="preserve">, 489 Pa. 109, (1980); </w:t>
      </w:r>
      <w:r w:rsidRPr="00DE6FB0">
        <w:rPr>
          <w:i/>
          <w:spacing w:val="-3"/>
          <w:sz w:val="24"/>
          <w:szCs w:val="24"/>
        </w:rPr>
        <w:t>Erie Resistor Corp. v. Unemployment Compensation Bd. of Review</w:t>
      </w:r>
      <w:r w:rsidRPr="00DE6FB0">
        <w:rPr>
          <w:spacing w:val="-3"/>
          <w:sz w:val="24"/>
          <w:szCs w:val="24"/>
        </w:rPr>
        <w:t>, 166 A.2d 96 (Pa. Super. 1960</w:t>
      </w:r>
      <w:r w:rsidRPr="00DB6B32">
        <w:rPr>
          <w:spacing w:val="-3"/>
          <w:sz w:val="24"/>
          <w:szCs w:val="24"/>
        </w:rPr>
        <w:t xml:space="preserve">); </w:t>
      </w:r>
      <w:r w:rsidRPr="00DE6FB0">
        <w:rPr>
          <w:i/>
          <w:spacing w:val="-3"/>
          <w:sz w:val="24"/>
          <w:szCs w:val="24"/>
        </w:rPr>
        <w:t>Murphy v. Commonwealth, Dep’t. of Public Welfare, White Haven Center</w:t>
      </w:r>
      <w:r w:rsidRPr="00DE6FB0">
        <w:rPr>
          <w:spacing w:val="-3"/>
          <w:sz w:val="24"/>
          <w:szCs w:val="24"/>
        </w:rPr>
        <w:t>, 480 A.2d 382 (Pa. Cmwlth. 1984).</w:t>
      </w:r>
    </w:p>
    <w:p w:rsidR="00093DB9" w:rsidRDefault="00093DB9" w:rsidP="00DE6FB0">
      <w:pPr>
        <w:spacing w:line="360" w:lineRule="auto"/>
        <w:ind w:firstLine="1440"/>
        <w:rPr>
          <w:spacing w:val="-3"/>
          <w:sz w:val="24"/>
          <w:szCs w:val="24"/>
        </w:rPr>
      </w:pPr>
    </w:p>
    <w:p w:rsidR="00FE17B6" w:rsidRDefault="00537508" w:rsidP="00DE6FB0">
      <w:pPr>
        <w:spacing w:line="360" w:lineRule="auto"/>
        <w:ind w:firstLine="1440"/>
        <w:rPr>
          <w:spacing w:val="-3"/>
          <w:sz w:val="24"/>
          <w:szCs w:val="24"/>
        </w:rPr>
      </w:pPr>
      <w:r>
        <w:rPr>
          <w:spacing w:val="-3"/>
          <w:sz w:val="24"/>
          <w:szCs w:val="24"/>
        </w:rPr>
        <w:t>In January 2011, Timothy Feagles, a ten</w:t>
      </w:r>
      <w:r w:rsidR="00033E8C">
        <w:rPr>
          <w:spacing w:val="-3"/>
          <w:sz w:val="24"/>
          <w:szCs w:val="24"/>
        </w:rPr>
        <w:t>ant at 338 Smith Street, Dunmore</w:t>
      </w:r>
      <w:r>
        <w:rPr>
          <w:spacing w:val="-3"/>
          <w:sz w:val="24"/>
          <w:szCs w:val="24"/>
        </w:rPr>
        <w:t>, Pennsylvania telephoned the Respondent and complained about his bill which resulted in a site visit on January 26, 2011.  The Respondent visited the site and was granted access to the entire home by Timothy Feagles</w:t>
      </w:r>
      <w:r w:rsidR="00033E8C">
        <w:rPr>
          <w:spacing w:val="-3"/>
          <w:sz w:val="24"/>
          <w:szCs w:val="24"/>
        </w:rPr>
        <w:t>.  Th</w:t>
      </w:r>
      <w:r>
        <w:rPr>
          <w:spacing w:val="-3"/>
          <w:sz w:val="24"/>
          <w:szCs w:val="24"/>
        </w:rPr>
        <w:t>e home owner/Complainant was not present and was not advised of the visit.  During the January 26, 2011 visit the Respondent determined that Mr. Feagles was paying for his gas service on the 2</w:t>
      </w:r>
      <w:r w:rsidR="00DB6B32">
        <w:rPr>
          <w:spacing w:val="-3"/>
          <w:sz w:val="24"/>
          <w:szCs w:val="24"/>
        </w:rPr>
        <w:t>n</w:t>
      </w:r>
      <w:r>
        <w:rPr>
          <w:spacing w:val="-3"/>
          <w:sz w:val="24"/>
          <w:szCs w:val="24"/>
        </w:rPr>
        <w:t>d floor and also the 1</w:t>
      </w:r>
      <w:r w:rsidR="00DB6B32">
        <w:rPr>
          <w:spacing w:val="-3"/>
          <w:sz w:val="24"/>
          <w:szCs w:val="24"/>
        </w:rPr>
        <w:t>st</w:t>
      </w:r>
      <w:r>
        <w:rPr>
          <w:spacing w:val="-3"/>
          <w:sz w:val="24"/>
          <w:szCs w:val="24"/>
        </w:rPr>
        <w:t xml:space="preserve"> floor.  The Respondent determined that this was a foreign load situation.  </w:t>
      </w:r>
    </w:p>
    <w:p w:rsidR="00032399" w:rsidRDefault="00032399" w:rsidP="00DE6FB0">
      <w:pPr>
        <w:spacing w:line="360" w:lineRule="auto"/>
        <w:ind w:firstLine="1440"/>
        <w:rPr>
          <w:spacing w:val="-3"/>
          <w:sz w:val="24"/>
          <w:szCs w:val="24"/>
        </w:rPr>
      </w:pPr>
    </w:p>
    <w:p w:rsidR="00032399" w:rsidRDefault="00032399" w:rsidP="00032399">
      <w:pPr>
        <w:spacing w:line="360" w:lineRule="auto"/>
        <w:ind w:firstLine="1440"/>
        <w:rPr>
          <w:sz w:val="24"/>
          <w:szCs w:val="24"/>
        </w:rPr>
      </w:pPr>
      <w:r w:rsidRPr="00A1186D">
        <w:rPr>
          <w:rStyle w:val="term1"/>
          <w:b w:val="0"/>
          <w:sz w:val="24"/>
          <w:szCs w:val="24"/>
        </w:rPr>
        <w:lastRenderedPageBreak/>
        <w:t>Foreign load</w:t>
      </w:r>
      <w:r w:rsidRPr="00A1186D">
        <w:rPr>
          <w:sz w:val="24"/>
          <w:szCs w:val="24"/>
        </w:rPr>
        <w:t xml:space="preserve"> is where a ratepayer</w:t>
      </w:r>
      <w:r w:rsidR="0047310C">
        <w:rPr>
          <w:sz w:val="24"/>
          <w:szCs w:val="24"/>
        </w:rPr>
        <w:t>’</w:t>
      </w:r>
      <w:r w:rsidRPr="00A1186D">
        <w:rPr>
          <w:sz w:val="24"/>
          <w:szCs w:val="24"/>
        </w:rPr>
        <w:t xml:space="preserve">s meter registers usage for utility service provided to a dwelling unit or dwelling units </w:t>
      </w:r>
      <w:r w:rsidRPr="00032399">
        <w:rPr>
          <w:i/>
          <w:sz w:val="24"/>
          <w:szCs w:val="24"/>
        </w:rPr>
        <w:t>occupied by a person or persons other than the ratepayer, or for use in a common area of a building, e.g., hallway lighting, furnace fan, laundry room appliances.</w:t>
      </w:r>
      <w:r>
        <w:rPr>
          <w:sz w:val="24"/>
          <w:szCs w:val="24"/>
        </w:rPr>
        <w:t xml:space="preserve">  </w:t>
      </w:r>
      <w:r w:rsidRPr="009B3E34">
        <w:rPr>
          <w:sz w:val="24"/>
          <w:szCs w:val="24"/>
        </w:rPr>
        <w:t xml:space="preserve">Prior to 1993, </w:t>
      </w:r>
      <w:r>
        <w:rPr>
          <w:sz w:val="24"/>
          <w:szCs w:val="24"/>
        </w:rPr>
        <w:t>foreign load</w:t>
      </w:r>
      <w:r w:rsidRPr="009B3E34">
        <w:rPr>
          <w:sz w:val="24"/>
          <w:szCs w:val="24"/>
        </w:rPr>
        <w:t xml:space="preserve"> complaints were resolved by the Commission directing the utility to remove the charges attributable to the </w:t>
      </w:r>
      <w:r w:rsidRPr="009B3E34">
        <w:rPr>
          <w:rStyle w:val="term1"/>
          <w:b w:val="0"/>
          <w:sz w:val="24"/>
          <w:szCs w:val="24"/>
        </w:rPr>
        <w:t>foreign load</w:t>
      </w:r>
      <w:r w:rsidRPr="009B3E34">
        <w:rPr>
          <w:sz w:val="24"/>
          <w:szCs w:val="24"/>
        </w:rPr>
        <w:t xml:space="preserve"> from the bill, and to issue a bill for the </w:t>
      </w:r>
      <w:r w:rsidRPr="009B3E34">
        <w:rPr>
          <w:rStyle w:val="term1"/>
          <w:b w:val="0"/>
          <w:sz w:val="24"/>
          <w:szCs w:val="24"/>
        </w:rPr>
        <w:t>foreign load</w:t>
      </w:r>
      <w:r w:rsidRPr="009B3E34">
        <w:rPr>
          <w:sz w:val="24"/>
          <w:szCs w:val="24"/>
        </w:rPr>
        <w:t xml:space="preserve"> in the building owner</w:t>
      </w:r>
      <w:r w:rsidR="0047310C">
        <w:rPr>
          <w:sz w:val="24"/>
          <w:szCs w:val="24"/>
        </w:rPr>
        <w:t>’</w:t>
      </w:r>
      <w:r w:rsidRPr="009B3E34">
        <w:rPr>
          <w:sz w:val="24"/>
          <w:szCs w:val="24"/>
        </w:rPr>
        <w:t xml:space="preserve">s name until the </w:t>
      </w:r>
      <w:r w:rsidRPr="009B3E34">
        <w:rPr>
          <w:rStyle w:val="term1"/>
          <w:b w:val="0"/>
          <w:sz w:val="24"/>
          <w:szCs w:val="24"/>
        </w:rPr>
        <w:t>foreign load</w:t>
      </w:r>
      <w:r w:rsidRPr="009B3E34">
        <w:rPr>
          <w:sz w:val="24"/>
          <w:szCs w:val="24"/>
        </w:rPr>
        <w:t xml:space="preserve"> situation was corrected.</w:t>
      </w:r>
      <w:r>
        <w:rPr>
          <w:sz w:val="24"/>
          <w:szCs w:val="24"/>
        </w:rPr>
        <w:t xml:space="preserve"> </w:t>
      </w:r>
      <w:r w:rsidRPr="009B3E34">
        <w:rPr>
          <w:sz w:val="24"/>
          <w:szCs w:val="24"/>
        </w:rPr>
        <w:t xml:space="preserve"> </w:t>
      </w:r>
      <w:r>
        <w:rPr>
          <w:sz w:val="24"/>
          <w:szCs w:val="24"/>
        </w:rPr>
        <w:t>The C</w:t>
      </w:r>
      <w:r w:rsidRPr="009B3E34">
        <w:rPr>
          <w:sz w:val="24"/>
          <w:szCs w:val="24"/>
        </w:rPr>
        <w:t>ommission </w:t>
      </w:r>
      <w:r>
        <w:rPr>
          <w:sz w:val="24"/>
          <w:szCs w:val="24"/>
        </w:rPr>
        <w:t xml:space="preserve">did this </w:t>
      </w:r>
      <w:r w:rsidRPr="009B3E34">
        <w:rPr>
          <w:sz w:val="24"/>
          <w:szCs w:val="24"/>
        </w:rPr>
        <w:t>pursuant to its statutory power to reform contracts under 66</w:t>
      </w:r>
      <w:r w:rsidR="00CD4CA0">
        <w:rPr>
          <w:sz w:val="24"/>
          <w:szCs w:val="24"/>
        </w:rPr>
        <w:t> </w:t>
      </w:r>
      <w:r w:rsidRPr="009B3E34">
        <w:rPr>
          <w:sz w:val="24"/>
          <w:szCs w:val="24"/>
        </w:rPr>
        <w:t xml:space="preserve">Pa. C.S. § 508 (relating to power of the Commission to vary, reform and revise contracts). </w:t>
      </w:r>
      <w:r>
        <w:rPr>
          <w:sz w:val="24"/>
          <w:szCs w:val="24"/>
        </w:rPr>
        <w:t xml:space="preserve"> </w:t>
      </w:r>
      <w:r w:rsidRPr="009B3E34">
        <w:rPr>
          <w:sz w:val="24"/>
          <w:szCs w:val="24"/>
        </w:rPr>
        <w:t xml:space="preserve">See </w:t>
      </w:r>
      <w:r w:rsidRPr="00032399">
        <w:rPr>
          <w:i/>
          <w:sz w:val="24"/>
          <w:szCs w:val="24"/>
        </w:rPr>
        <w:t>Columbia Gas of Pennsylvania, Inc. v. Pa. Public Utility Commission</w:t>
      </w:r>
      <w:r w:rsidRPr="009B3E34">
        <w:rPr>
          <w:sz w:val="24"/>
          <w:szCs w:val="24"/>
        </w:rPr>
        <w:t>, 535 A. 2d 1246 (</w:t>
      </w:r>
      <w:smartTag w:uri="urn:schemas-microsoft-com:office:smarttags" w:element="place">
        <w:smartTag w:uri="urn:schemas-microsoft-com:office:smarttags" w:element="State">
          <w:r w:rsidRPr="009B3E34">
            <w:rPr>
              <w:sz w:val="24"/>
              <w:szCs w:val="24"/>
            </w:rPr>
            <w:t>Pa.</w:t>
          </w:r>
        </w:smartTag>
      </w:smartTag>
      <w:r w:rsidRPr="009B3E34">
        <w:rPr>
          <w:sz w:val="24"/>
          <w:szCs w:val="24"/>
        </w:rPr>
        <w:t xml:space="preserve"> Cmwlth. 1988)</w:t>
      </w:r>
      <w:r w:rsidRPr="009B3E34">
        <w:rPr>
          <w:color w:val="3300CC"/>
          <w:sz w:val="24"/>
          <w:szCs w:val="24"/>
        </w:rPr>
        <w:t>.</w:t>
      </w:r>
      <w:r>
        <w:rPr>
          <w:color w:val="3300CC"/>
          <w:sz w:val="24"/>
          <w:szCs w:val="24"/>
        </w:rPr>
        <w:t xml:space="preserve"> </w:t>
      </w:r>
      <w:r w:rsidRPr="009B3E34">
        <w:rPr>
          <w:sz w:val="24"/>
          <w:szCs w:val="24"/>
        </w:rPr>
        <w:t xml:space="preserve"> </w:t>
      </w:r>
      <w:r>
        <w:rPr>
          <w:sz w:val="24"/>
          <w:szCs w:val="24"/>
        </w:rPr>
        <w:t>Now</w:t>
      </w:r>
      <w:r w:rsidRPr="009B3E34">
        <w:rPr>
          <w:sz w:val="24"/>
          <w:szCs w:val="24"/>
        </w:rPr>
        <w:t xml:space="preserve">, the tenant had the responsibility to contact the utility to discover a possible </w:t>
      </w:r>
      <w:r w:rsidRPr="009B3E34">
        <w:rPr>
          <w:rStyle w:val="term1"/>
          <w:b w:val="0"/>
          <w:sz w:val="24"/>
          <w:szCs w:val="24"/>
        </w:rPr>
        <w:t>foreign load</w:t>
      </w:r>
      <w:r w:rsidRPr="009B3E34">
        <w:rPr>
          <w:rStyle w:val="term1"/>
          <w:sz w:val="24"/>
          <w:szCs w:val="24"/>
        </w:rPr>
        <w:t>,</w:t>
      </w:r>
      <w:r w:rsidRPr="009B3E34">
        <w:rPr>
          <w:sz w:val="24"/>
          <w:szCs w:val="24"/>
        </w:rPr>
        <w:t xml:space="preserve"> and to prosecute a Commission complaint to have the charges attributable to the </w:t>
      </w:r>
      <w:r w:rsidRPr="009B3E34">
        <w:rPr>
          <w:rStyle w:val="term1"/>
          <w:b w:val="0"/>
          <w:sz w:val="24"/>
          <w:szCs w:val="24"/>
        </w:rPr>
        <w:t>foreign load</w:t>
      </w:r>
      <w:r w:rsidRPr="009B3E34">
        <w:rPr>
          <w:sz w:val="24"/>
          <w:szCs w:val="24"/>
        </w:rPr>
        <w:t xml:space="preserve"> removed from his or her bill.</w:t>
      </w:r>
      <w:r w:rsidRPr="009B3E34">
        <w:rPr>
          <w:sz w:val="24"/>
          <w:szCs w:val="24"/>
        </w:rPr>
        <w:br/>
      </w:r>
    </w:p>
    <w:p w:rsidR="00032399" w:rsidRPr="009B3E34" w:rsidRDefault="00032399" w:rsidP="00032399">
      <w:pPr>
        <w:spacing w:line="360" w:lineRule="auto"/>
        <w:ind w:firstLine="1440"/>
        <w:rPr>
          <w:sz w:val="24"/>
          <w:szCs w:val="24"/>
        </w:rPr>
      </w:pPr>
      <w:r w:rsidRPr="009B3E34">
        <w:rPr>
          <w:sz w:val="24"/>
          <w:szCs w:val="24"/>
        </w:rPr>
        <w:t xml:space="preserve">In 1993, the Public Utility Code was amended to include Section 1529.1, 66 </w:t>
      </w:r>
      <w:smartTag w:uri="urn:schemas-microsoft-com:office:smarttags" w:element="place">
        <w:smartTag w:uri="urn:schemas-microsoft-com:office:smarttags" w:element="State">
          <w:r w:rsidRPr="009B3E34">
            <w:rPr>
              <w:sz w:val="24"/>
              <w:szCs w:val="24"/>
            </w:rPr>
            <w:t>Pa.</w:t>
          </w:r>
        </w:smartTag>
      </w:smartTag>
      <w:r w:rsidRPr="009B3E34">
        <w:rPr>
          <w:sz w:val="24"/>
          <w:szCs w:val="24"/>
        </w:rPr>
        <w:t xml:space="preserve"> C.S. § 1529.1.</w:t>
      </w:r>
      <w:r>
        <w:rPr>
          <w:sz w:val="24"/>
          <w:szCs w:val="24"/>
        </w:rPr>
        <w:t xml:space="preserve"> </w:t>
      </w:r>
      <w:r w:rsidRPr="009B3E34">
        <w:rPr>
          <w:sz w:val="24"/>
          <w:szCs w:val="24"/>
        </w:rPr>
        <w:t xml:space="preserve"> This Section transfers the responsibility for </w:t>
      </w:r>
      <w:r w:rsidRPr="009B3E34">
        <w:rPr>
          <w:rStyle w:val="term1"/>
          <w:b w:val="0"/>
          <w:sz w:val="24"/>
          <w:szCs w:val="24"/>
        </w:rPr>
        <w:t>foreign load</w:t>
      </w:r>
      <w:r w:rsidRPr="009B3E34">
        <w:rPr>
          <w:sz w:val="24"/>
          <w:szCs w:val="24"/>
        </w:rPr>
        <w:t xml:space="preserve"> from the tenant to the building owner. </w:t>
      </w:r>
      <w:r>
        <w:rPr>
          <w:sz w:val="24"/>
          <w:szCs w:val="24"/>
        </w:rPr>
        <w:t xml:space="preserve"> </w:t>
      </w:r>
      <w:r w:rsidRPr="009B3E34">
        <w:rPr>
          <w:sz w:val="24"/>
          <w:szCs w:val="24"/>
        </w:rPr>
        <w:t xml:space="preserve">This is accomplished by placing a duty on the building owner to disclose to the utility the existence of </w:t>
      </w:r>
      <w:r w:rsidRPr="009B3E34">
        <w:rPr>
          <w:rStyle w:val="term1"/>
          <w:b w:val="0"/>
          <w:sz w:val="24"/>
          <w:szCs w:val="24"/>
        </w:rPr>
        <w:t>foreign load</w:t>
      </w:r>
      <w:r w:rsidRPr="009B3E34">
        <w:rPr>
          <w:rStyle w:val="term1"/>
          <w:sz w:val="24"/>
          <w:szCs w:val="24"/>
        </w:rPr>
        <w:t>.</w:t>
      </w:r>
      <w:r>
        <w:rPr>
          <w:rStyle w:val="term1"/>
          <w:sz w:val="24"/>
          <w:szCs w:val="24"/>
        </w:rPr>
        <w:t xml:space="preserve"> </w:t>
      </w:r>
      <w:r w:rsidRPr="009B3E34">
        <w:rPr>
          <w:sz w:val="24"/>
          <w:szCs w:val="24"/>
        </w:rPr>
        <w:t xml:space="preserve"> </w:t>
      </w:r>
      <w:r>
        <w:rPr>
          <w:sz w:val="24"/>
          <w:szCs w:val="24"/>
        </w:rPr>
        <w:t>The</w:t>
      </w:r>
      <w:r w:rsidRPr="009B3E34">
        <w:rPr>
          <w:sz w:val="24"/>
          <w:szCs w:val="24"/>
        </w:rPr>
        <w:t xml:space="preserve"> building owner is </w:t>
      </w:r>
      <w:r>
        <w:rPr>
          <w:sz w:val="24"/>
          <w:szCs w:val="24"/>
        </w:rPr>
        <w:t xml:space="preserve">considered to be </w:t>
      </w:r>
      <w:r w:rsidRPr="009B3E34">
        <w:rPr>
          <w:sz w:val="24"/>
          <w:szCs w:val="24"/>
        </w:rPr>
        <w:t xml:space="preserve">in a better position to know about the existence of a </w:t>
      </w:r>
      <w:r w:rsidRPr="009B3E34">
        <w:rPr>
          <w:rStyle w:val="term1"/>
          <w:b w:val="0"/>
          <w:sz w:val="24"/>
          <w:szCs w:val="24"/>
        </w:rPr>
        <w:t>foreign load</w:t>
      </w:r>
      <w:r w:rsidRPr="009B3E34">
        <w:rPr>
          <w:sz w:val="24"/>
          <w:szCs w:val="24"/>
        </w:rPr>
        <w:t xml:space="preserve"> situation than a tenant.</w:t>
      </w:r>
    </w:p>
    <w:p w:rsidR="00032399" w:rsidRDefault="00032399" w:rsidP="00E83233">
      <w:pPr>
        <w:rPr>
          <w:rFonts w:ascii="Verdana" w:hAnsi="Verdana"/>
          <w:szCs w:val="20"/>
        </w:rPr>
      </w:pPr>
    </w:p>
    <w:p w:rsidR="00032399" w:rsidRPr="00A54658" w:rsidRDefault="00032399" w:rsidP="00032399">
      <w:pPr>
        <w:rPr>
          <w:sz w:val="24"/>
          <w:szCs w:val="24"/>
        </w:rPr>
      </w:pPr>
      <w:r w:rsidRPr="00A54658">
        <w:rPr>
          <w:sz w:val="24"/>
          <w:szCs w:val="24"/>
        </w:rPr>
        <w:t xml:space="preserve">Section 1529.1 of the Public Utility Code, 66 </w:t>
      </w:r>
      <w:smartTag w:uri="urn:schemas-microsoft-com:office:smarttags" w:element="State">
        <w:smartTag w:uri="urn:schemas-microsoft-com:office:smarttags" w:element="place">
          <w:r w:rsidRPr="00A54658">
            <w:rPr>
              <w:sz w:val="24"/>
              <w:szCs w:val="24"/>
            </w:rPr>
            <w:t>Pa.</w:t>
          </w:r>
        </w:smartTag>
      </w:smartTag>
      <w:r w:rsidRPr="00A54658">
        <w:rPr>
          <w:sz w:val="24"/>
          <w:szCs w:val="24"/>
        </w:rPr>
        <w:t xml:space="preserve"> C.S. § 1529.1, reads as follows: </w:t>
      </w:r>
    </w:p>
    <w:p w:rsidR="00032399" w:rsidRPr="00A54658" w:rsidRDefault="00032399" w:rsidP="00032399">
      <w:pPr>
        <w:pStyle w:val="FootnoteText"/>
        <w:rPr>
          <w:sz w:val="24"/>
          <w:szCs w:val="24"/>
        </w:rPr>
      </w:pPr>
    </w:p>
    <w:p w:rsidR="00032399" w:rsidRPr="00A54658" w:rsidRDefault="00032399" w:rsidP="0057422D">
      <w:pPr>
        <w:ind w:left="720" w:right="720"/>
        <w:rPr>
          <w:sz w:val="24"/>
          <w:szCs w:val="24"/>
        </w:rPr>
      </w:pPr>
      <w:r w:rsidRPr="00A54658">
        <w:rPr>
          <w:bCs/>
          <w:sz w:val="24"/>
          <w:szCs w:val="24"/>
        </w:rPr>
        <w:t xml:space="preserve">§ 1529.1. </w:t>
      </w:r>
      <w:r>
        <w:rPr>
          <w:bCs/>
          <w:sz w:val="24"/>
          <w:szCs w:val="24"/>
        </w:rPr>
        <w:t xml:space="preserve"> </w:t>
      </w:r>
      <w:r w:rsidRPr="00A54658">
        <w:rPr>
          <w:bCs/>
          <w:sz w:val="24"/>
          <w:szCs w:val="24"/>
        </w:rPr>
        <w:t>Duty of owners of rental property</w:t>
      </w:r>
      <w:r w:rsidRPr="00A54658">
        <w:rPr>
          <w:sz w:val="24"/>
          <w:szCs w:val="24"/>
        </w:rPr>
        <w:br/>
        <w:t> </w:t>
      </w:r>
      <w:r w:rsidRPr="00A54658">
        <w:rPr>
          <w:sz w:val="24"/>
          <w:szCs w:val="24"/>
        </w:rPr>
        <w:br/>
      </w:r>
      <w:r w:rsidRPr="00A54658">
        <w:rPr>
          <w:bCs/>
          <w:sz w:val="24"/>
          <w:szCs w:val="24"/>
        </w:rPr>
        <w:t>(a) Notice to public utility.</w:t>
      </w:r>
      <w:r w:rsidRPr="00A54658">
        <w:rPr>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w:t>
      </w:r>
      <w:r>
        <w:rPr>
          <w:sz w:val="24"/>
          <w:szCs w:val="24"/>
        </w:rPr>
        <w:t xml:space="preserve"> are used for rental purposes.</w:t>
      </w:r>
      <w:r>
        <w:rPr>
          <w:sz w:val="24"/>
          <w:szCs w:val="24"/>
        </w:rPr>
        <w:br/>
      </w:r>
      <w:r w:rsidRPr="00A54658">
        <w:rPr>
          <w:sz w:val="24"/>
          <w:szCs w:val="24"/>
        </w:rPr>
        <w:br/>
      </w:r>
      <w:r w:rsidRPr="00A54658">
        <w:rPr>
          <w:bCs/>
          <w:sz w:val="24"/>
          <w:szCs w:val="24"/>
        </w:rPr>
        <w:t>(b) History of account.</w:t>
      </w:r>
      <w:r w:rsidRPr="00A54658">
        <w:rPr>
          <w:sz w:val="24"/>
          <w:szCs w:val="24"/>
        </w:rPr>
        <w:t xml:space="preserve"> </w:t>
      </w:r>
      <w:r>
        <w:rPr>
          <w:sz w:val="24"/>
          <w:szCs w:val="24"/>
        </w:rPr>
        <w:t xml:space="preserve"> </w:t>
      </w:r>
      <w:r w:rsidRPr="00A54658">
        <w:rPr>
          <w:sz w:val="24"/>
          <w:szCs w:val="24"/>
        </w:rPr>
        <w:t>-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w:t>
      </w:r>
      <w:r>
        <w:rPr>
          <w:sz w:val="24"/>
          <w:szCs w:val="24"/>
        </w:rPr>
        <w:t>lity services to the premises.</w:t>
      </w:r>
      <w:r>
        <w:rPr>
          <w:sz w:val="24"/>
          <w:szCs w:val="24"/>
        </w:rPr>
        <w:br/>
      </w:r>
      <w:r w:rsidRPr="00A54658">
        <w:rPr>
          <w:bCs/>
          <w:sz w:val="24"/>
          <w:szCs w:val="24"/>
        </w:rPr>
        <w:lastRenderedPageBreak/>
        <w:t>(c) Failure to give notice.</w:t>
      </w:r>
      <w:r>
        <w:rPr>
          <w:bCs/>
          <w:sz w:val="24"/>
          <w:szCs w:val="24"/>
        </w:rPr>
        <w:t xml:space="preserve"> </w:t>
      </w:r>
      <w:r w:rsidRPr="00A54658">
        <w:rPr>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032399" w:rsidRDefault="00032399" w:rsidP="00032399">
      <w:pPr>
        <w:pStyle w:val="FootnoteText"/>
      </w:pPr>
    </w:p>
    <w:p w:rsidR="00DF34C9" w:rsidRPr="00A54658" w:rsidRDefault="00DF34C9" w:rsidP="00DF34C9">
      <w:pPr>
        <w:pStyle w:val="FootnoteText"/>
        <w:spacing w:line="360" w:lineRule="auto"/>
      </w:pPr>
    </w:p>
    <w:p w:rsidR="00032399" w:rsidRDefault="00032399" w:rsidP="00032399">
      <w:pPr>
        <w:spacing w:line="360" w:lineRule="auto"/>
        <w:ind w:firstLine="1440"/>
        <w:rPr>
          <w:sz w:val="24"/>
          <w:szCs w:val="24"/>
        </w:rPr>
      </w:pPr>
      <w:r w:rsidRPr="00690EAE">
        <w:rPr>
          <w:sz w:val="24"/>
          <w:szCs w:val="24"/>
        </w:rPr>
        <w:t xml:space="preserve">The Commission has clearly established that the presence of </w:t>
      </w:r>
      <w:r w:rsidR="003E5BDA">
        <w:rPr>
          <w:sz w:val="24"/>
          <w:szCs w:val="24"/>
        </w:rPr>
        <w:t>“</w:t>
      </w:r>
      <w:r w:rsidRPr="00690EAE">
        <w:rPr>
          <w:sz w:val="24"/>
          <w:szCs w:val="24"/>
        </w:rPr>
        <w:t>foreign load</w:t>
      </w:r>
      <w:r w:rsidR="003E5BDA">
        <w:rPr>
          <w:sz w:val="24"/>
          <w:szCs w:val="24"/>
        </w:rPr>
        <w:t>”</w:t>
      </w:r>
      <w:r w:rsidRPr="00690EAE">
        <w:rPr>
          <w:sz w:val="24"/>
          <w:szCs w:val="24"/>
        </w:rPr>
        <w:t xml:space="preserve"> prevents a dwelling unit from being deemed </w:t>
      </w:r>
      <w:r w:rsidR="003E5BDA">
        <w:rPr>
          <w:sz w:val="24"/>
          <w:szCs w:val="24"/>
        </w:rPr>
        <w:t>“</w:t>
      </w:r>
      <w:r w:rsidRPr="00690EAE">
        <w:rPr>
          <w:sz w:val="24"/>
          <w:szCs w:val="24"/>
        </w:rPr>
        <w:t>individually metered</w:t>
      </w:r>
      <w:r w:rsidR="003E5BDA">
        <w:rPr>
          <w:sz w:val="24"/>
          <w:szCs w:val="24"/>
        </w:rPr>
        <w:t>”</w:t>
      </w:r>
      <w:r w:rsidRPr="00690EAE">
        <w:rPr>
          <w:sz w:val="24"/>
          <w:szCs w:val="24"/>
        </w:rPr>
        <w:t xml:space="preserve"> as that term is used in 66 Pa.</w:t>
      </w:r>
      <w:r>
        <w:rPr>
          <w:sz w:val="24"/>
          <w:szCs w:val="24"/>
        </w:rPr>
        <w:t xml:space="preserve"> </w:t>
      </w:r>
      <w:r w:rsidRPr="00690EAE">
        <w:rPr>
          <w:sz w:val="24"/>
          <w:szCs w:val="24"/>
        </w:rPr>
        <w:t>C.</w:t>
      </w:r>
      <w:r>
        <w:rPr>
          <w:sz w:val="24"/>
          <w:szCs w:val="24"/>
        </w:rPr>
        <w:t xml:space="preserve"> </w:t>
      </w:r>
      <w:r w:rsidRPr="00690EAE">
        <w:rPr>
          <w:sz w:val="24"/>
          <w:szCs w:val="24"/>
        </w:rPr>
        <w:t>S. § 1529.1.</w:t>
      </w:r>
      <w:r>
        <w:rPr>
          <w:sz w:val="24"/>
          <w:szCs w:val="24"/>
        </w:rPr>
        <w:t xml:space="preserve"> </w:t>
      </w:r>
      <w:r w:rsidRPr="00690EAE">
        <w:rPr>
          <w:sz w:val="24"/>
          <w:szCs w:val="24"/>
        </w:rPr>
        <w:t xml:space="preserve"> </w:t>
      </w:r>
      <w:r w:rsidRPr="00032399">
        <w:rPr>
          <w:i/>
          <w:sz w:val="24"/>
          <w:szCs w:val="24"/>
        </w:rPr>
        <w:t>David P. Boyce v. Duquesne Light Company</w:t>
      </w:r>
      <w:r w:rsidRPr="00690EAE">
        <w:rPr>
          <w:sz w:val="24"/>
          <w:szCs w:val="24"/>
        </w:rPr>
        <w:t xml:space="preserve">, Docket Number Z-00223698, Opinion and Order adopted June 30, 1994, entered September 1, 1994, </w:t>
      </w:r>
      <w:r w:rsidRPr="00032399">
        <w:rPr>
          <w:i/>
          <w:sz w:val="24"/>
          <w:szCs w:val="24"/>
        </w:rPr>
        <w:t xml:space="preserve">Elizabeth </w:t>
      </w:r>
      <w:r w:rsidRPr="00032399">
        <w:rPr>
          <w:rStyle w:val="term1"/>
          <w:b w:val="0"/>
          <w:i/>
          <w:sz w:val="24"/>
          <w:szCs w:val="24"/>
        </w:rPr>
        <w:t>Santos</w:t>
      </w:r>
      <w:r w:rsidRPr="00032399">
        <w:rPr>
          <w:i/>
          <w:sz w:val="24"/>
          <w:szCs w:val="24"/>
        </w:rPr>
        <w:t xml:space="preserve"> v. Metropolitan Edison Company</w:t>
      </w:r>
      <w:r w:rsidRPr="00690EAE">
        <w:rPr>
          <w:sz w:val="24"/>
          <w:szCs w:val="24"/>
        </w:rPr>
        <w:t>, Docket Number C-00967757, Opinion and Order adopted July</w:t>
      </w:r>
      <w:r w:rsidR="00B940A9">
        <w:rPr>
          <w:sz w:val="24"/>
          <w:szCs w:val="24"/>
        </w:rPr>
        <w:t> </w:t>
      </w:r>
      <w:r w:rsidRPr="00690EAE">
        <w:rPr>
          <w:sz w:val="24"/>
          <w:szCs w:val="24"/>
        </w:rPr>
        <w:t xml:space="preserve">10, 1997, entered August 7, 1997. </w:t>
      </w:r>
      <w:r w:rsidR="003E5BDA">
        <w:rPr>
          <w:sz w:val="24"/>
          <w:szCs w:val="24"/>
        </w:rPr>
        <w:t xml:space="preserve"> “</w:t>
      </w:r>
      <w:r w:rsidRPr="00690EAE">
        <w:rPr>
          <w:sz w:val="24"/>
          <w:szCs w:val="24"/>
        </w:rPr>
        <w:t>Foreign load</w:t>
      </w:r>
      <w:r w:rsidR="003E5BDA">
        <w:rPr>
          <w:sz w:val="24"/>
          <w:szCs w:val="24"/>
        </w:rPr>
        <w:t>”</w:t>
      </w:r>
      <w:r w:rsidRPr="00690EAE">
        <w:rPr>
          <w:sz w:val="24"/>
          <w:szCs w:val="24"/>
        </w:rPr>
        <w:t xml:space="preserve"> exists where tenants have a meter and are direct utility customers and utility service for other tenants or for the landlord is being billed through their meter. </w:t>
      </w:r>
      <w:r>
        <w:rPr>
          <w:sz w:val="24"/>
          <w:szCs w:val="24"/>
        </w:rPr>
        <w:t xml:space="preserve"> </w:t>
      </w:r>
      <w:r w:rsidRPr="005D6DE6">
        <w:rPr>
          <w:i/>
          <w:sz w:val="24"/>
          <w:szCs w:val="24"/>
        </w:rPr>
        <w:t>Boyce</w:t>
      </w:r>
      <w:r w:rsidRPr="00690EAE">
        <w:rPr>
          <w:sz w:val="24"/>
          <w:szCs w:val="24"/>
        </w:rPr>
        <w:t xml:space="preserve"> at 4-5. </w:t>
      </w:r>
      <w:r>
        <w:rPr>
          <w:sz w:val="24"/>
          <w:szCs w:val="24"/>
        </w:rPr>
        <w:t xml:space="preserve"> </w:t>
      </w:r>
      <w:r w:rsidRPr="00690EAE">
        <w:rPr>
          <w:sz w:val="24"/>
          <w:szCs w:val="24"/>
        </w:rPr>
        <w:t xml:space="preserve">In other words, </w:t>
      </w:r>
      <w:r w:rsidR="003C0F11">
        <w:rPr>
          <w:sz w:val="24"/>
          <w:szCs w:val="24"/>
        </w:rPr>
        <w:t>“</w:t>
      </w:r>
      <w:r w:rsidRPr="00690EAE">
        <w:rPr>
          <w:sz w:val="24"/>
          <w:szCs w:val="24"/>
        </w:rPr>
        <w:t>foreign load</w:t>
      </w:r>
      <w:r w:rsidR="003C0F11">
        <w:rPr>
          <w:sz w:val="24"/>
          <w:szCs w:val="24"/>
        </w:rPr>
        <w:t>”</w:t>
      </w:r>
      <w:r w:rsidRPr="00690EAE">
        <w:rPr>
          <w:sz w:val="24"/>
          <w:szCs w:val="24"/>
        </w:rPr>
        <w:t xml:space="preserve"> is utility service which is not related to serving a tenant, but for which the tenant is being billed. </w:t>
      </w:r>
      <w:r>
        <w:rPr>
          <w:sz w:val="24"/>
          <w:szCs w:val="24"/>
        </w:rPr>
        <w:t xml:space="preserve"> </w:t>
      </w:r>
      <w:r w:rsidRPr="00032399">
        <w:rPr>
          <w:rStyle w:val="term1"/>
          <w:b w:val="0"/>
          <w:i/>
          <w:sz w:val="24"/>
          <w:szCs w:val="24"/>
        </w:rPr>
        <w:t>Santos</w:t>
      </w:r>
      <w:r w:rsidRPr="00690EAE">
        <w:rPr>
          <w:sz w:val="24"/>
          <w:szCs w:val="24"/>
        </w:rPr>
        <w:t xml:space="preserve"> at 4. </w:t>
      </w:r>
      <w:r>
        <w:rPr>
          <w:sz w:val="24"/>
          <w:szCs w:val="24"/>
        </w:rPr>
        <w:t xml:space="preserve"> </w:t>
      </w:r>
      <w:r w:rsidRPr="00690EAE">
        <w:rPr>
          <w:sz w:val="24"/>
          <w:szCs w:val="24"/>
        </w:rPr>
        <w:t>Section 1529.1 of the Public Utility Code, 66 Pa.</w:t>
      </w:r>
      <w:r>
        <w:rPr>
          <w:sz w:val="24"/>
          <w:szCs w:val="24"/>
        </w:rPr>
        <w:t xml:space="preserve"> </w:t>
      </w:r>
      <w:r w:rsidRPr="00690EAE">
        <w:rPr>
          <w:sz w:val="24"/>
          <w:szCs w:val="24"/>
        </w:rPr>
        <w:t>C.</w:t>
      </w:r>
      <w:r>
        <w:rPr>
          <w:sz w:val="24"/>
          <w:szCs w:val="24"/>
        </w:rPr>
        <w:t xml:space="preserve"> </w:t>
      </w:r>
      <w:r w:rsidRPr="00690EAE">
        <w:rPr>
          <w:sz w:val="24"/>
          <w:szCs w:val="24"/>
        </w:rPr>
        <w:t xml:space="preserve">S. § 1529.1, requires that an affected public utility </w:t>
      </w:r>
      <w:r w:rsidR="003C0F11">
        <w:rPr>
          <w:sz w:val="24"/>
          <w:szCs w:val="24"/>
        </w:rPr>
        <w:t>“</w:t>
      </w:r>
      <w:r w:rsidRPr="00690EAE">
        <w:rPr>
          <w:sz w:val="24"/>
          <w:szCs w:val="24"/>
        </w:rPr>
        <w:t>shall forthwith list the account for the premises in question in the name of the owner</w:t>
      </w:r>
      <w:r w:rsidR="003C0F11">
        <w:rPr>
          <w:sz w:val="24"/>
          <w:szCs w:val="24"/>
        </w:rPr>
        <w:t>”</w:t>
      </w:r>
      <w:r w:rsidRPr="00690EAE">
        <w:rPr>
          <w:sz w:val="24"/>
          <w:szCs w:val="24"/>
        </w:rPr>
        <w:t xml:space="preserve"> when a residential building contains one or more dwelling units not individually metered. </w:t>
      </w:r>
      <w:r>
        <w:rPr>
          <w:sz w:val="24"/>
          <w:szCs w:val="24"/>
        </w:rPr>
        <w:t xml:space="preserve"> </w:t>
      </w:r>
      <w:r w:rsidRPr="00690EAE">
        <w:rPr>
          <w:sz w:val="24"/>
          <w:szCs w:val="24"/>
        </w:rPr>
        <w:t>66 Pa.</w:t>
      </w:r>
      <w:r w:rsidR="003E5BDA">
        <w:rPr>
          <w:sz w:val="24"/>
          <w:szCs w:val="24"/>
        </w:rPr>
        <w:t xml:space="preserve"> </w:t>
      </w:r>
      <w:r w:rsidRPr="00690EAE">
        <w:rPr>
          <w:sz w:val="24"/>
          <w:szCs w:val="24"/>
        </w:rPr>
        <w:t>C.S. §</w:t>
      </w:r>
      <w:r w:rsidR="00DF34C9">
        <w:rPr>
          <w:sz w:val="24"/>
          <w:szCs w:val="24"/>
        </w:rPr>
        <w:t> </w:t>
      </w:r>
      <w:r>
        <w:rPr>
          <w:sz w:val="24"/>
          <w:szCs w:val="24"/>
        </w:rPr>
        <w:t>1529.1.</w:t>
      </w:r>
    </w:p>
    <w:p w:rsidR="00032399" w:rsidRDefault="00032399" w:rsidP="00032399">
      <w:pPr>
        <w:spacing w:line="360" w:lineRule="auto"/>
        <w:ind w:firstLine="1440"/>
        <w:rPr>
          <w:sz w:val="24"/>
          <w:szCs w:val="24"/>
        </w:rPr>
      </w:pPr>
    </w:p>
    <w:p w:rsidR="00032399" w:rsidRDefault="00032399" w:rsidP="00032399">
      <w:pPr>
        <w:spacing w:line="360" w:lineRule="auto"/>
        <w:ind w:firstLine="1440"/>
        <w:rPr>
          <w:sz w:val="24"/>
          <w:szCs w:val="24"/>
        </w:rPr>
      </w:pPr>
      <w:r>
        <w:rPr>
          <w:sz w:val="24"/>
          <w:szCs w:val="24"/>
        </w:rPr>
        <w:t>Ther</w:t>
      </w:r>
      <w:r w:rsidR="00033E8C">
        <w:rPr>
          <w:sz w:val="24"/>
          <w:szCs w:val="24"/>
        </w:rPr>
        <w:t>e wa</w:t>
      </w:r>
      <w:r>
        <w:rPr>
          <w:sz w:val="24"/>
          <w:szCs w:val="24"/>
        </w:rPr>
        <w:t>s n</w:t>
      </w:r>
      <w:r w:rsidR="00033E8C">
        <w:rPr>
          <w:sz w:val="24"/>
          <w:szCs w:val="24"/>
        </w:rPr>
        <w:t>ever a</w:t>
      </w:r>
      <w:r>
        <w:rPr>
          <w:sz w:val="24"/>
          <w:szCs w:val="24"/>
        </w:rPr>
        <w:t xml:space="preserve"> foreign load situation here.  Mr. Feagles rented the entire house. </w:t>
      </w:r>
      <w:r w:rsidR="005D6DE6">
        <w:rPr>
          <w:sz w:val="24"/>
          <w:szCs w:val="24"/>
        </w:rPr>
        <w:t xml:space="preserve"> 338 Smith Street does not contain “one or more dwelling units.”</w:t>
      </w:r>
      <w:r>
        <w:rPr>
          <w:sz w:val="24"/>
          <w:szCs w:val="24"/>
        </w:rPr>
        <w:t xml:space="preserve"> </w:t>
      </w:r>
      <w:r w:rsidR="006665E5">
        <w:rPr>
          <w:sz w:val="24"/>
          <w:szCs w:val="24"/>
        </w:rPr>
        <w:t xml:space="preserve"> </w:t>
      </w:r>
      <w:r w:rsidR="005D6DE6">
        <w:rPr>
          <w:sz w:val="24"/>
          <w:szCs w:val="24"/>
        </w:rPr>
        <w:t>Mr. Feagles rented the entire house as is apparent in the lease which is attached to the Formal Complaint.  Mr. Feagles</w:t>
      </w:r>
      <w:r>
        <w:rPr>
          <w:sz w:val="24"/>
          <w:szCs w:val="24"/>
        </w:rPr>
        <w:t xml:space="preserve"> had and provided access to </w:t>
      </w:r>
      <w:r w:rsidRPr="005D6DE6">
        <w:rPr>
          <w:i/>
          <w:sz w:val="24"/>
          <w:szCs w:val="24"/>
        </w:rPr>
        <w:t>the entire house</w:t>
      </w:r>
      <w:r>
        <w:rPr>
          <w:sz w:val="24"/>
          <w:szCs w:val="24"/>
        </w:rPr>
        <w:t xml:space="preserve"> to the Respondent.  The Respondent never advised the </w:t>
      </w:r>
      <w:r w:rsidR="00033E8C">
        <w:rPr>
          <w:sz w:val="24"/>
          <w:szCs w:val="24"/>
        </w:rPr>
        <w:t>home owner/</w:t>
      </w:r>
      <w:r>
        <w:rPr>
          <w:sz w:val="24"/>
          <w:szCs w:val="24"/>
        </w:rPr>
        <w:t xml:space="preserve">Complainant that they were visiting his property and doing an inspection of his gas lines.  Purely at the behest of a tenant, the Respondent visited the </w:t>
      </w:r>
      <w:r w:rsidR="00033E8C">
        <w:rPr>
          <w:sz w:val="24"/>
          <w:szCs w:val="24"/>
        </w:rPr>
        <w:t>home owner/</w:t>
      </w:r>
      <w:r>
        <w:rPr>
          <w:sz w:val="24"/>
          <w:szCs w:val="24"/>
        </w:rPr>
        <w:t>Complainant’s property, inspected it, listened to Mr. Feagles</w:t>
      </w:r>
      <w:r w:rsidR="005D6DE6">
        <w:rPr>
          <w:sz w:val="24"/>
          <w:szCs w:val="24"/>
        </w:rPr>
        <w:t>,</w:t>
      </w:r>
      <w:r>
        <w:rPr>
          <w:sz w:val="24"/>
          <w:szCs w:val="24"/>
        </w:rPr>
        <w:t xml:space="preserve"> who stated that he only lived on the 2</w:t>
      </w:r>
      <w:r w:rsidR="007A44E8">
        <w:rPr>
          <w:sz w:val="24"/>
          <w:szCs w:val="24"/>
        </w:rPr>
        <w:t>n</w:t>
      </w:r>
      <w:r>
        <w:rPr>
          <w:sz w:val="24"/>
          <w:szCs w:val="24"/>
        </w:rPr>
        <w:t>d floor, and decided that it was a foreign load situation and placed the account balance and subsequent bills in the Complainant’s name.</w:t>
      </w:r>
    </w:p>
    <w:p w:rsidR="00032399" w:rsidRDefault="00032399" w:rsidP="00032399">
      <w:pPr>
        <w:spacing w:line="360" w:lineRule="auto"/>
        <w:ind w:firstLine="1440"/>
        <w:rPr>
          <w:sz w:val="24"/>
          <w:szCs w:val="24"/>
        </w:rPr>
      </w:pPr>
    </w:p>
    <w:p w:rsidR="00086F3E" w:rsidRDefault="00032399" w:rsidP="00032399">
      <w:pPr>
        <w:spacing w:line="360" w:lineRule="auto"/>
        <w:ind w:firstLine="1440"/>
        <w:rPr>
          <w:sz w:val="24"/>
          <w:szCs w:val="24"/>
        </w:rPr>
      </w:pPr>
      <w:r>
        <w:rPr>
          <w:sz w:val="24"/>
          <w:szCs w:val="24"/>
        </w:rPr>
        <w:t>For all intents and purposes, the Respondent was hoodwinked by the tenant</w:t>
      </w:r>
      <w:r w:rsidR="00FF0BEE">
        <w:rPr>
          <w:sz w:val="24"/>
          <w:szCs w:val="24"/>
        </w:rPr>
        <w:t>, Mr.</w:t>
      </w:r>
      <w:r w:rsidR="00447CD3">
        <w:rPr>
          <w:sz w:val="24"/>
          <w:szCs w:val="24"/>
        </w:rPr>
        <w:t> </w:t>
      </w:r>
      <w:r w:rsidR="00FF0BEE">
        <w:rPr>
          <w:sz w:val="24"/>
          <w:szCs w:val="24"/>
        </w:rPr>
        <w:t>Feagles</w:t>
      </w:r>
      <w:r>
        <w:rPr>
          <w:sz w:val="24"/>
          <w:szCs w:val="24"/>
        </w:rPr>
        <w:t>.  Mr. Feagles deliberately telephoned the Respondent to have a site visit conducted without the knowledge of the</w:t>
      </w:r>
      <w:r w:rsidR="00033E8C">
        <w:rPr>
          <w:sz w:val="24"/>
          <w:szCs w:val="24"/>
        </w:rPr>
        <w:t xml:space="preserve"> home</w:t>
      </w:r>
      <w:r>
        <w:rPr>
          <w:sz w:val="24"/>
          <w:szCs w:val="24"/>
        </w:rPr>
        <w:t xml:space="preserve"> owner/Complainant</w:t>
      </w:r>
      <w:r w:rsidR="00FF0BEE">
        <w:rPr>
          <w:sz w:val="24"/>
          <w:szCs w:val="24"/>
        </w:rPr>
        <w:t xml:space="preserve">.  Mr. Feagles stated, wrongly, that he </w:t>
      </w:r>
      <w:r w:rsidR="00FF0BEE">
        <w:rPr>
          <w:sz w:val="24"/>
          <w:szCs w:val="24"/>
        </w:rPr>
        <w:lastRenderedPageBreak/>
        <w:t>lived on the 2</w:t>
      </w:r>
      <w:r w:rsidR="00A931AB">
        <w:rPr>
          <w:sz w:val="24"/>
          <w:szCs w:val="24"/>
        </w:rPr>
        <w:t>n</w:t>
      </w:r>
      <w:r w:rsidR="00FF0BEE">
        <w:rPr>
          <w:sz w:val="24"/>
          <w:szCs w:val="24"/>
        </w:rPr>
        <w:t xml:space="preserve">d floor only, when in </w:t>
      </w:r>
      <w:r w:rsidR="00956DC6">
        <w:rPr>
          <w:sz w:val="24"/>
          <w:szCs w:val="24"/>
        </w:rPr>
        <w:t>fact;</w:t>
      </w:r>
      <w:r w:rsidR="00FF0BEE">
        <w:rPr>
          <w:sz w:val="24"/>
          <w:szCs w:val="24"/>
        </w:rPr>
        <w:t xml:space="preserve"> he rented the entire house and stored his personal belongings on the 1</w:t>
      </w:r>
      <w:r w:rsidR="00A931AB">
        <w:rPr>
          <w:sz w:val="24"/>
          <w:szCs w:val="24"/>
        </w:rPr>
        <w:t>st</w:t>
      </w:r>
      <w:r w:rsidR="00FF0BEE">
        <w:rPr>
          <w:sz w:val="24"/>
          <w:szCs w:val="24"/>
        </w:rPr>
        <w:t xml:space="preserve"> floor.  Indeed, during the January 26, 2011 site visit, Mr. Feagles provided access to the entire house, 1</w:t>
      </w:r>
      <w:r w:rsidR="00A931AB">
        <w:rPr>
          <w:sz w:val="24"/>
          <w:szCs w:val="24"/>
        </w:rPr>
        <w:t>st</w:t>
      </w:r>
      <w:r w:rsidR="00FF0BEE">
        <w:rPr>
          <w:sz w:val="24"/>
          <w:szCs w:val="24"/>
        </w:rPr>
        <w:t xml:space="preserve"> and 2</w:t>
      </w:r>
      <w:r w:rsidR="00A931AB">
        <w:rPr>
          <w:sz w:val="24"/>
          <w:szCs w:val="24"/>
        </w:rPr>
        <w:t>n</w:t>
      </w:r>
      <w:r w:rsidR="00FF0BEE">
        <w:rPr>
          <w:sz w:val="24"/>
          <w:szCs w:val="24"/>
        </w:rPr>
        <w:t>d floors, to the Respondent.  He could not do that if the 1</w:t>
      </w:r>
      <w:r w:rsidR="00A931AB">
        <w:rPr>
          <w:sz w:val="24"/>
          <w:szCs w:val="24"/>
        </w:rPr>
        <w:t>st</w:t>
      </w:r>
      <w:r w:rsidR="00FF0BEE">
        <w:rPr>
          <w:sz w:val="24"/>
          <w:szCs w:val="24"/>
        </w:rPr>
        <w:t xml:space="preserve"> floor was not rented to him</w:t>
      </w:r>
      <w:r w:rsidR="00033E8C">
        <w:rPr>
          <w:sz w:val="24"/>
          <w:szCs w:val="24"/>
        </w:rPr>
        <w:t xml:space="preserve"> and under his control</w:t>
      </w:r>
      <w:r w:rsidR="00FF0BEE">
        <w:rPr>
          <w:sz w:val="24"/>
          <w:szCs w:val="24"/>
        </w:rPr>
        <w:t>.</w:t>
      </w:r>
      <w:r w:rsidR="00C36D26">
        <w:rPr>
          <w:sz w:val="24"/>
          <w:szCs w:val="24"/>
        </w:rPr>
        <w:t xml:space="preserve">  Th</w:t>
      </w:r>
      <w:r w:rsidR="005D6DE6">
        <w:rPr>
          <w:sz w:val="24"/>
          <w:szCs w:val="24"/>
        </w:rPr>
        <w:t>e rental of an entire home</w:t>
      </w:r>
      <w:r w:rsidR="00C36D26">
        <w:rPr>
          <w:sz w:val="24"/>
          <w:szCs w:val="24"/>
        </w:rPr>
        <w:t xml:space="preserve"> is not a foreign load situation.</w:t>
      </w:r>
      <w:r w:rsidR="005D6DE6">
        <w:rPr>
          <w:sz w:val="24"/>
          <w:szCs w:val="24"/>
        </w:rPr>
        <w:t xml:space="preserve">  </w:t>
      </w:r>
      <w:r w:rsidR="00E81B83">
        <w:rPr>
          <w:sz w:val="24"/>
          <w:szCs w:val="24"/>
        </w:rPr>
        <w:t>Mr. Feagles was not paying for anyone else’s service.  The account should never</w:t>
      </w:r>
      <w:r w:rsidR="00033E8C">
        <w:rPr>
          <w:sz w:val="24"/>
          <w:szCs w:val="24"/>
        </w:rPr>
        <w:t xml:space="preserve"> have been put into the home owner</w:t>
      </w:r>
      <w:r w:rsidR="00E81B83">
        <w:rPr>
          <w:sz w:val="24"/>
          <w:szCs w:val="24"/>
        </w:rPr>
        <w:t>/Complainant’s name.</w:t>
      </w:r>
    </w:p>
    <w:p w:rsidR="006751F5" w:rsidRDefault="006751F5" w:rsidP="00032399">
      <w:pPr>
        <w:spacing w:line="360" w:lineRule="auto"/>
        <w:ind w:firstLine="1440"/>
        <w:rPr>
          <w:sz w:val="24"/>
          <w:szCs w:val="24"/>
        </w:rPr>
      </w:pPr>
    </w:p>
    <w:p w:rsidR="00086F3E" w:rsidRDefault="00033E8C" w:rsidP="00032399">
      <w:pPr>
        <w:spacing w:line="360" w:lineRule="auto"/>
        <w:ind w:firstLine="1440"/>
        <w:rPr>
          <w:sz w:val="24"/>
          <w:szCs w:val="24"/>
        </w:rPr>
      </w:pPr>
      <w:r>
        <w:rPr>
          <w:sz w:val="24"/>
          <w:szCs w:val="24"/>
        </w:rPr>
        <w:t>Moreover, t</w:t>
      </w:r>
      <w:r w:rsidR="006751F5">
        <w:rPr>
          <w:sz w:val="24"/>
          <w:szCs w:val="24"/>
        </w:rPr>
        <w:t xml:space="preserve">he Complainant provided a copy of </w:t>
      </w:r>
      <w:r>
        <w:rPr>
          <w:sz w:val="24"/>
          <w:szCs w:val="24"/>
        </w:rPr>
        <w:t>Mr. Feagles’</w:t>
      </w:r>
      <w:r w:rsidR="006751F5">
        <w:rPr>
          <w:sz w:val="24"/>
          <w:szCs w:val="24"/>
        </w:rPr>
        <w:t xml:space="preserve"> lease to the Respondent.  At that point, the transfe</w:t>
      </w:r>
      <w:r>
        <w:rPr>
          <w:sz w:val="24"/>
          <w:szCs w:val="24"/>
        </w:rPr>
        <w:t>r of the account to the home owner</w:t>
      </w:r>
      <w:r w:rsidR="006751F5">
        <w:rPr>
          <w:sz w:val="24"/>
          <w:szCs w:val="24"/>
        </w:rPr>
        <w:t>/Complainant should have been reversed and the account sh</w:t>
      </w:r>
      <w:r>
        <w:rPr>
          <w:sz w:val="24"/>
          <w:szCs w:val="24"/>
        </w:rPr>
        <w:t>ould have remained in Mr. Feagles’</w:t>
      </w:r>
      <w:r w:rsidR="006751F5">
        <w:rPr>
          <w:sz w:val="24"/>
          <w:szCs w:val="24"/>
        </w:rPr>
        <w:t xml:space="preserve"> name.  Despite numerous telephone calls and providing the lease to the Respondent, the Respondent did not transfer the account back to </w:t>
      </w:r>
      <w:r>
        <w:rPr>
          <w:sz w:val="24"/>
          <w:szCs w:val="24"/>
        </w:rPr>
        <w:t>Mr. Feagles’</w:t>
      </w:r>
      <w:r w:rsidR="006751F5">
        <w:rPr>
          <w:sz w:val="24"/>
          <w:szCs w:val="24"/>
        </w:rPr>
        <w:t xml:space="preserve"> name and continued to bill the </w:t>
      </w:r>
      <w:r>
        <w:rPr>
          <w:sz w:val="24"/>
          <w:szCs w:val="24"/>
        </w:rPr>
        <w:t>home owner</w:t>
      </w:r>
      <w:r w:rsidR="006751F5">
        <w:rPr>
          <w:sz w:val="24"/>
          <w:szCs w:val="24"/>
        </w:rPr>
        <w:t>/Complainant.</w:t>
      </w:r>
      <w:r w:rsidR="00A47A7E">
        <w:rPr>
          <w:sz w:val="24"/>
          <w:szCs w:val="24"/>
        </w:rPr>
        <w:t xml:space="preserve">  Once the lease was provided to the Respondent, there was no legal authority to bill the Complainant for </w:t>
      </w:r>
      <w:r>
        <w:rPr>
          <w:sz w:val="24"/>
          <w:szCs w:val="24"/>
        </w:rPr>
        <w:t>Mr. Feagles’</w:t>
      </w:r>
      <w:r w:rsidR="00A47A7E">
        <w:rPr>
          <w:sz w:val="24"/>
          <w:szCs w:val="24"/>
        </w:rPr>
        <w:t xml:space="preserve"> bill.</w:t>
      </w:r>
      <w:r w:rsidR="00E81B83">
        <w:rPr>
          <w:sz w:val="24"/>
          <w:szCs w:val="24"/>
        </w:rPr>
        <w:t xml:space="preserve">  That the Respondent failed to reverse the transfer of the account to the Complainant is </w:t>
      </w:r>
      <w:r w:rsidR="00D759F7">
        <w:rPr>
          <w:sz w:val="24"/>
          <w:szCs w:val="24"/>
        </w:rPr>
        <w:t>unreasonable and inadequate</w:t>
      </w:r>
      <w:r w:rsidR="00E81B83">
        <w:rPr>
          <w:sz w:val="24"/>
          <w:szCs w:val="24"/>
        </w:rPr>
        <w:t xml:space="preserve"> service.  All utility customers are entitled to safe, adequate, reasonable and </w:t>
      </w:r>
      <w:r w:rsidR="00D759F7">
        <w:rPr>
          <w:sz w:val="24"/>
          <w:szCs w:val="24"/>
        </w:rPr>
        <w:t xml:space="preserve">efficient </w:t>
      </w:r>
      <w:r w:rsidR="00E81B83">
        <w:rPr>
          <w:sz w:val="24"/>
          <w:szCs w:val="24"/>
        </w:rPr>
        <w:t xml:space="preserve">service.  66 Pa. C.S § 1501. </w:t>
      </w:r>
    </w:p>
    <w:p w:rsidR="00E81B83" w:rsidRDefault="00E81B83" w:rsidP="00032399">
      <w:pPr>
        <w:spacing w:line="360" w:lineRule="auto"/>
        <w:ind w:firstLine="1440"/>
        <w:rPr>
          <w:sz w:val="24"/>
          <w:szCs w:val="24"/>
        </w:rPr>
      </w:pPr>
    </w:p>
    <w:p w:rsidR="00C36D26" w:rsidRDefault="00C36D26" w:rsidP="00032399">
      <w:pPr>
        <w:spacing w:line="360" w:lineRule="auto"/>
        <w:ind w:firstLine="1440"/>
        <w:rPr>
          <w:sz w:val="24"/>
          <w:szCs w:val="24"/>
        </w:rPr>
      </w:pPr>
      <w:r>
        <w:rPr>
          <w:sz w:val="24"/>
          <w:szCs w:val="24"/>
        </w:rPr>
        <w:t>The Respondent improperly transferred the tenant’s balance to the Complainant; this action must be reversed.  Moreover, the balances from January 11, 2011 through May 12, 2011 must be collected from Mr. Feagles.  The Respondent had no legal authority to transfer the tenant’s balance nor to subsequently charge the Complainant.</w:t>
      </w:r>
    </w:p>
    <w:p w:rsidR="00C36D26" w:rsidRDefault="00C36D26" w:rsidP="00032399">
      <w:pPr>
        <w:spacing w:line="360" w:lineRule="auto"/>
        <w:ind w:firstLine="1440"/>
        <w:rPr>
          <w:sz w:val="24"/>
          <w:szCs w:val="24"/>
        </w:rPr>
      </w:pPr>
    </w:p>
    <w:p w:rsidR="00C419F9" w:rsidRDefault="00C36D26" w:rsidP="00DE2348">
      <w:pPr>
        <w:spacing w:line="360" w:lineRule="auto"/>
        <w:jc w:val="center"/>
        <w:rPr>
          <w:sz w:val="24"/>
          <w:szCs w:val="24"/>
          <w:u w:val="single"/>
        </w:rPr>
      </w:pPr>
      <w:r>
        <w:rPr>
          <w:sz w:val="24"/>
          <w:szCs w:val="24"/>
          <w:u w:val="single"/>
        </w:rPr>
        <w:t>C</w:t>
      </w:r>
      <w:r w:rsidR="00FC4DD1">
        <w:rPr>
          <w:sz w:val="24"/>
          <w:szCs w:val="24"/>
          <w:u w:val="single"/>
        </w:rPr>
        <w:t>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5B3C00" w:rsidRPr="007934E4" w:rsidRDefault="005B3C00"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pacing w:val="-3"/>
          <w:sz w:val="24"/>
          <w:szCs w:val="24"/>
        </w:rPr>
      </w:pPr>
      <w:r w:rsidRPr="007934E4">
        <w:rPr>
          <w:sz w:val="24"/>
          <w:szCs w:val="24"/>
        </w:rPr>
        <w:lastRenderedPageBreak/>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C419F9" w:rsidRDefault="00C419F9" w:rsidP="00DE2348">
      <w:pPr>
        <w:spacing w:line="360" w:lineRule="auto"/>
        <w:jc w:val="center"/>
        <w:rPr>
          <w:sz w:val="24"/>
          <w:szCs w:val="24"/>
          <w:u w:val="single"/>
        </w:rPr>
      </w:pPr>
    </w:p>
    <w:p w:rsidR="005B3C00" w:rsidRDefault="005B3C00" w:rsidP="0006622C">
      <w:pPr>
        <w:spacing w:line="360" w:lineRule="auto"/>
        <w:ind w:firstLine="1440"/>
        <w:rPr>
          <w:sz w:val="24"/>
          <w:szCs w:val="24"/>
        </w:rPr>
      </w:pPr>
      <w:r>
        <w:rPr>
          <w:sz w:val="24"/>
          <w:szCs w:val="24"/>
        </w:rPr>
        <w:t>4</w:t>
      </w:r>
      <w:r w:rsidR="0006622C">
        <w:rPr>
          <w:sz w:val="24"/>
          <w:szCs w:val="24"/>
        </w:rPr>
        <w:t>.</w:t>
      </w:r>
      <w:r w:rsidR="00C36D26">
        <w:rPr>
          <w:sz w:val="24"/>
          <w:szCs w:val="24"/>
        </w:rPr>
        <w:tab/>
      </w:r>
      <w:r w:rsidR="002101DB">
        <w:rPr>
          <w:sz w:val="24"/>
          <w:szCs w:val="24"/>
        </w:rPr>
        <w:t>The Complainant</w:t>
      </w:r>
      <w:r w:rsidR="00C36D26">
        <w:rPr>
          <w:sz w:val="24"/>
          <w:szCs w:val="24"/>
        </w:rPr>
        <w:t xml:space="preserve"> met his burden of proving that the Respondent improperly transferred tenant’s balance to his </w:t>
      </w:r>
      <w:r w:rsidR="002101DB">
        <w:rPr>
          <w:sz w:val="24"/>
          <w:szCs w:val="24"/>
        </w:rPr>
        <w:t>(Complainant’s</w:t>
      </w:r>
      <w:r w:rsidR="00C36D26">
        <w:rPr>
          <w:sz w:val="24"/>
          <w:szCs w:val="24"/>
        </w:rPr>
        <w:t xml:space="preserve">) account and improperly </w:t>
      </w:r>
      <w:r w:rsidR="002101DB">
        <w:rPr>
          <w:sz w:val="24"/>
          <w:szCs w:val="24"/>
        </w:rPr>
        <w:t>billed Complainant</w:t>
      </w:r>
      <w:r w:rsidR="00C36D26">
        <w:rPr>
          <w:sz w:val="24"/>
          <w:szCs w:val="24"/>
        </w:rPr>
        <w:t xml:space="preserve"> for January 11, 2011</w:t>
      </w:r>
      <w:r w:rsidR="00F56EFA">
        <w:rPr>
          <w:sz w:val="24"/>
          <w:szCs w:val="24"/>
        </w:rPr>
        <w:t xml:space="preserve"> – </w:t>
      </w:r>
      <w:r w:rsidR="00C36D26">
        <w:rPr>
          <w:sz w:val="24"/>
          <w:szCs w:val="24"/>
        </w:rPr>
        <w:t>May 12, 2011 bills that were properly the tenant’s responsibility.</w:t>
      </w:r>
    </w:p>
    <w:p w:rsidR="00C36D26" w:rsidRDefault="00C36D26" w:rsidP="0006622C">
      <w:pPr>
        <w:spacing w:line="360" w:lineRule="auto"/>
        <w:ind w:firstLine="1440"/>
        <w:rPr>
          <w:sz w:val="24"/>
          <w:szCs w:val="24"/>
        </w:rPr>
      </w:pPr>
    </w:p>
    <w:p w:rsidR="00C36D26" w:rsidRDefault="00C36D26" w:rsidP="0006622C">
      <w:pPr>
        <w:spacing w:line="360" w:lineRule="auto"/>
        <w:ind w:firstLine="1440"/>
        <w:rPr>
          <w:sz w:val="24"/>
          <w:szCs w:val="24"/>
        </w:rPr>
      </w:pPr>
      <w:r>
        <w:rPr>
          <w:sz w:val="24"/>
          <w:szCs w:val="24"/>
        </w:rPr>
        <w:t>5.</w:t>
      </w:r>
      <w:r>
        <w:rPr>
          <w:sz w:val="24"/>
          <w:szCs w:val="24"/>
        </w:rPr>
        <w:tab/>
        <w:t xml:space="preserve">The Respondent failed to successfully rebut the Complainant’s </w:t>
      </w:r>
      <w:r w:rsidR="008C19CA">
        <w:rPr>
          <w:sz w:val="24"/>
          <w:szCs w:val="24"/>
        </w:rPr>
        <w:t xml:space="preserve">Formal Complaint and </w:t>
      </w:r>
      <w:r>
        <w:rPr>
          <w:sz w:val="24"/>
          <w:szCs w:val="24"/>
        </w:rPr>
        <w:t>sworn testimony.</w:t>
      </w:r>
    </w:p>
    <w:p w:rsidR="00FB76DA" w:rsidRDefault="00FB76DA" w:rsidP="0006622C">
      <w:pPr>
        <w:spacing w:line="360" w:lineRule="auto"/>
        <w:ind w:firstLine="1440"/>
        <w:rPr>
          <w:sz w:val="24"/>
          <w:szCs w:val="24"/>
        </w:rPr>
      </w:pPr>
    </w:p>
    <w:p w:rsidR="00FB76DA" w:rsidRDefault="00FB76DA" w:rsidP="0006622C">
      <w:pPr>
        <w:spacing w:line="360" w:lineRule="auto"/>
        <w:ind w:firstLine="1440"/>
        <w:rPr>
          <w:sz w:val="24"/>
          <w:szCs w:val="24"/>
        </w:rPr>
      </w:pPr>
      <w:r>
        <w:rPr>
          <w:sz w:val="24"/>
          <w:szCs w:val="24"/>
        </w:rPr>
        <w:t>6.</w:t>
      </w:r>
      <w:r>
        <w:rPr>
          <w:sz w:val="24"/>
          <w:szCs w:val="24"/>
        </w:rPr>
        <w:tab/>
        <w:t>The circumstances at 338 Smith Street</w:t>
      </w:r>
      <w:r w:rsidR="006A4874">
        <w:rPr>
          <w:sz w:val="24"/>
          <w:szCs w:val="24"/>
        </w:rPr>
        <w:t>,</w:t>
      </w:r>
      <w:r>
        <w:rPr>
          <w:sz w:val="24"/>
          <w:szCs w:val="24"/>
        </w:rPr>
        <w:t xml:space="preserve"> Dunmore, Pennsylvania were not foreign load.  66 Pa. C.S. § 1529.1.</w:t>
      </w:r>
    </w:p>
    <w:p w:rsidR="00033E8C" w:rsidRDefault="00033E8C" w:rsidP="0006622C">
      <w:pPr>
        <w:spacing w:line="360" w:lineRule="auto"/>
        <w:ind w:firstLine="1440"/>
        <w:rPr>
          <w:sz w:val="24"/>
          <w:szCs w:val="24"/>
        </w:rPr>
      </w:pPr>
    </w:p>
    <w:p w:rsidR="00033E8C" w:rsidRDefault="00033E8C" w:rsidP="0006622C">
      <w:pPr>
        <w:spacing w:line="360" w:lineRule="auto"/>
        <w:ind w:firstLine="1440"/>
        <w:rPr>
          <w:sz w:val="24"/>
          <w:szCs w:val="24"/>
          <w:u w:val="single"/>
        </w:rPr>
      </w:pPr>
      <w:r>
        <w:rPr>
          <w:sz w:val="24"/>
          <w:szCs w:val="24"/>
        </w:rPr>
        <w:t xml:space="preserve">7. </w:t>
      </w:r>
      <w:r>
        <w:rPr>
          <w:sz w:val="24"/>
          <w:szCs w:val="24"/>
        </w:rPr>
        <w:tab/>
        <w:t>The Respondent failed to provide safe, adequate, reasonable and efficient service to the Complainant.  66 Pa. C.S. § 1501.</w:t>
      </w:r>
    </w:p>
    <w:p w:rsidR="005B3C00" w:rsidRDefault="005B3C00"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Pr>
          <w:sz w:val="24"/>
          <w:szCs w:val="24"/>
        </w:rPr>
        <w:t xml:space="preserve"> </w:t>
      </w:r>
    </w:p>
    <w:p w:rsidR="00FB76DA" w:rsidRDefault="00FB76DA" w:rsidP="0081696C">
      <w:pPr>
        <w:spacing w:line="360" w:lineRule="auto"/>
        <w:ind w:firstLine="1440"/>
        <w:outlineLvl w:val="0"/>
        <w:rPr>
          <w:sz w:val="24"/>
          <w:szCs w:val="24"/>
        </w:rPr>
      </w:pPr>
    </w:p>
    <w:p w:rsidR="00FB76DA" w:rsidRDefault="00FB76DA" w:rsidP="00FB76DA">
      <w:pPr>
        <w:pStyle w:val="ListParagraph"/>
        <w:numPr>
          <w:ilvl w:val="0"/>
          <w:numId w:val="20"/>
        </w:numPr>
        <w:tabs>
          <w:tab w:val="left" w:pos="2160"/>
        </w:tabs>
        <w:spacing w:line="360" w:lineRule="auto"/>
        <w:ind w:left="0" w:firstLine="1440"/>
        <w:outlineLvl w:val="0"/>
        <w:rPr>
          <w:sz w:val="24"/>
          <w:szCs w:val="24"/>
        </w:rPr>
      </w:pPr>
      <w:r>
        <w:rPr>
          <w:sz w:val="24"/>
          <w:szCs w:val="24"/>
        </w:rPr>
        <w:t xml:space="preserve">That the Formal Complaint of Robert Morgan at Docket No. C-2012-2303216 is </w:t>
      </w:r>
      <w:r w:rsidR="00033E8C">
        <w:rPr>
          <w:sz w:val="24"/>
          <w:szCs w:val="24"/>
        </w:rPr>
        <w:t>sustained</w:t>
      </w:r>
      <w:r>
        <w:rPr>
          <w:sz w:val="24"/>
          <w:szCs w:val="24"/>
        </w:rPr>
        <w:t>.</w:t>
      </w:r>
    </w:p>
    <w:p w:rsidR="00FB76DA" w:rsidRDefault="00FB76DA" w:rsidP="00FB76DA">
      <w:pPr>
        <w:pStyle w:val="ListParagraph"/>
        <w:spacing w:line="360" w:lineRule="auto"/>
        <w:ind w:left="1440"/>
        <w:outlineLvl w:val="0"/>
        <w:rPr>
          <w:sz w:val="24"/>
          <w:szCs w:val="24"/>
        </w:rPr>
      </w:pPr>
    </w:p>
    <w:p w:rsidR="00FB76DA" w:rsidRDefault="00FB76DA" w:rsidP="00FB76DA">
      <w:pPr>
        <w:pStyle w:val="ListParagraph"/>
        <w:numPr>
          <w:ilvl w:val="0"/>
          <w:numId w:val="20"/>
        </w:numPr>
        <w:tabs>
          <w:tab w:val="left" w:pos="2160"/>
        </w:tabs>
        <w:spacing w:line="360" w:lineRule="auto"/>
        <w:ind w:left="0" w:firstLine="1440"/>
        <w:outlineLvl w:val="0"/>
        <w:rPr>
          <w:sz w:val="24"/>
          <w:szCs w:val="24"/>
        </w:rPr>
      </w:pPr>
      <w:r>
        <w:rPr>
          <w:sz w:val="24"/>
          <w:szCs w:val="24"/>
        </w:rPr>
        <w:lastRenderedPageBreak/>
        <w:t>That the Respondent, UGI Penn Natural Gas</w:t>
      </w:r>
      <w:r w:rsidR="00711343">
        <w:rPr>
          <w:sz w:val="24"/>
          <w:szCs w:val="24"/>
        </w:rPr>
        <w:t>,</w:t>
      </w:r>
      <w:r>
        <w:rPr>
          <w:sz w:val="24"/>
          <w:szCs w:val="24"/>
        </w:rPr>
        <w:t xml:space="preserve"> Inc.</w:t>
      </w:r>
      <w:r w:rsidR="00901760">
        <w:rPr>
          <w:sz w:val="24"/>
          <w:szCs w:val="24"/>
        </w:rPr>
        <w:t>,</w:t>
      </w:r>
      <w:r>
        <w:rPr>
          <w:sz w:val="24"/>
          <w:szCs w:val="24"/>
        </w:rPr>
        <w:t xml:space="preserve"> shall remove the charges and any associated fees made to the Complainant for 338 Smith Street</w:t>
      </w:r>
      <w:r w:rsidR="00711343">
        <w:rPr>
          <w:sz w:val="24"/>
          <w:szCs w:val="24"/>
        </w:rPr>
        <w:t>,</w:t>
      </w:r>
      <w:r>
        <w:rPr>
          <w:sz w:val="24"/>
          <w:szCs w:val="24"/>
        </w:rPr>
        <w:t xml:space="preserve"> Dunmore, Pennsylvania rented to Timothy Feagles, from January 11, 2011 through May 12, 2011 and collect same from Timothy Feagles.</w:t>
      </w:r>
    </w:p>
    <w:p w:rsidR="00FB76DA" w:rsidRDefault="00FB76DA" w:rsidP="002101DB">
      <w:pPr>
        <w:pStyle w:val="ListParagraph"/>
        <w:spacing w:line="360" w:lineRule="auto"/>
        <w:rPr>
          <w:sz w:val="24"/>
          <w:szCs w:val="24"/>
        </w:rPr>
      </w:pPr>
    </w:p>
    <w:p w:rsidR="00127E2C" w:rsidRPr="00FB76DA" w:rsidRDefault="00127E2C" w:rsidP="002101DB">
      <w:pPr>
        <w:pStyle w:val="ListParagraph"/>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0F2910">
        <w:rPr>
          <w:sz w:val="24"/>
          <w:szCs w:val="24"/>
          <w:u w:val="single"/>
        </w:rPr>
        <w:t>September 2</w:t>
      </w:r>
      <w:r w:rsidR="009B301F">
        <w:rPr>
          <w:sz w:val="24"/>
          <w:szCs w:val="24"/>
          <w:u w:val="single"/>
        </w:rPr>
        <w:t>7</w:t>
      </w:r>
      <w:r w:rsidR="000F2910">
        <w:rPr>
          <w:sz w:val="24"/>
          <w:szCs w:val="24"/>
          <w:u w:val="single"/>
        </w:rPr>
        <w:t>, 2012</w:t>
      </w:r>
      <w:r w:rsidR="001F7F73">
        <w:rPr>
          <w:sz w:val="24"/>
          <w:szCs w:val="24"/>
        </w:rPr>
        <w:tab/>
      </w:r>
      <w:r w:rsidR="001F7F73">
        <w:rPr>
          <w:sz w:val="24"/>
          <w:szCs w:val="24"/>
        </w:rPr>
        <w:tab/>
      </w:r>
      <w:r w:rsidR="001F7F73">
        <w:rPr>
          <w:sz w:val="24"/>
          <w:szCs w:val="24"/>
        </w:rPr>
        <w:tab/>
      </w:r>
      <w:r w:rsidR="001F7F73">
        <w:rPr>
          <w:sz w:val="24"/>
          <w:szCs w:val="24"/>
        </w:rPr>
        <w:tab/>
        <w:t>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bookmarkStart w:id="0" w:name="_GoBack"/>
      <w:bookmarkEnd w:id="0"/>
    </w:p>
    <w:p w:rsidR="006034D3" w:rsidRDefault="00DE562E" w:rsidP="00956DC6">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2652D3">
      <w:pPr>
        <w:tabs>
          <w:tab w:val="center" w:pos="4752"/>
        </w:tabs>
        <w:suppressAutoHyphens/>
        <w:jc w:val="center"/>
        <w:rPr>
          <w:kern w:val="1"/>
        </w:rPr>
      </w:pPr>
    </w:p>
    <w:p w:rsidR="002B19D4" w:rsidRPr="001027AA" w:rsidRDefault="002B19D4" w:rsidP="001027AA">
      <w:pPr>
        <w:jc w:val="both"/>
        <w:rPr>
          <w:sz w:val="24"/>
          <w:szCs w:val="24"/>
        </w:rPr>
      </w:pP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B1A" w:rsidRDefault="005F0B1A">
      <w:r>
        <w:separator/>
      </w:r>
    </w:p>
  </w:endnote>
  <w:endnote w:type="continuationSeparator" w:id="0">
    <w:p w:rsidR="005F0B1A" w:rsidRDefault="005F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956DC6" w:rsidRDefault="005D4D0C" w:rsidP="0028114B">
    <w:pPr>
      <w:pStyle w:val="Footer"/>
      <w:framePr w:wrap="around" w:vAnchor="text" w:hAnchor="margin" w:xAlign="center" w:y="1"/>
      <w:rPr>
        <w:rStyle w:val="PageNumber"/>
        <w:sz w:val="20"/>
        <w:szCs w:val="20"/>
      </w:rPr>
    </w:pPr>
    <w:r w:rsidRPr="00956DC6">
      <w:rPr>
        <w:rStyle w:val="PageNumber"/>
        <w:sz w:val="20"/>
        <w:szCs w:val="20"/>
      </w:rPr>
      <w:fldChar w:fldCharType="begin"/>
    </w:r>
    <w:r w:rsidR="00223E7E" w:rsidRPr="00956DC6">
      <w:rPr>
        <w:rStyle w:val="PageNumber"/>
        <w:sz w:val="20"/>
        <w:szCs w:val="20"/>
      </w:rPr>
      <w:instrText xml:space="preserve">PAGE  </w:instrText>
    </w:r>
    <w:r w:rsidRPr="00956DC6">
      <w:rPr>
        <w:rStyle w:val="PageNumber"/>
        <w:sz w:val="20"/>
        <w:szCs w:val="20"/>
      </w:rPr>
      <w:fldChar w:fldCharType="separate"/>
    </w:r>
    <w:r w:rsidR="002101DB">
      <w:rPr>
        <w:rStyle w:val="PageNumber"/>
        <w:noProof/>
        <w:sz w:val="20"/>
        <w:szCs w:val="20"/>
      </w:rPr>
      <w:t>9</w:t>
    </w:r>
    <w:r w:rsidRPr="00956DC6">
      <w:rPr>
        <w:rStyle w:val="PageNumber"/>
        <w:sz w:val="20"/>
        <w:szCs w:val="20"/>
      </w:rPr>
      <w:fldChar w:fldCharType="end"/>
    </w:r>
  </w:p>
  <w:p w:rsidR="00223E7E" w:rsidRDefault="00223E7E" w:rsidP="00956DC6">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B1A" w:rsidRDefault="005F0B1A">
      <w:r>
        <w:separator/>
      </w:r>
    </w:p>
  </w:footnote>
  <w:footnote w:type="continuationSeparator" w:id="0">
    <w:p w:rsidR="005F0B1A" w:rsidRDefault="005F0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FA88E0B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43204EA"/>
    <w:multiLevelType w:val="hybridMultilevel"/>
    <w:tmpl w:val="896A413A"/>
    <w:lvl w:ilvl="0" w:tplc="F9D6288E">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6"/>
  </w:num>
  <w:num w:numId="15">
    <w:abstractNumId w:val="17"/>
  </w:num>
  <w:num w:numId="16">
    <w:abstractNumId w:val="18"/>
  </w:num>
  <w:num w:numId="17">
    <w:abstractNumId w:val="8"/>
  </w:num>
  <w:num w:numId="18">
    <w:abstractNumId w:val="3"/>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2399"/>
    <w:rsid w:val="00033E8C"/>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86F3E"/>
    <w:rsid w:val="00091672"/>
    <w:rsid w:val="00091CE2"/>
    <w:rsid w:val="0009360F"/>
    <w:rsid w:val="00093DB9"/>
    <w:rsid w:val="000967DB"/>
    <w:rsid w:val="000A001F"/>
    <w:rsid w:val="000A1CB9"/>
    <w:rsid w:val="000A20A3"/>
    <w:rsid w:val="000B5F6A"/>
    <w:rsid w:val="000C6F32"/>
    <w:rsid w:val="000E0BD8"/>
    <w:rsid w:val="000E277A"/>
    <w:rsid w:val="000E2934"/>
    <w:rsid w:val="000E6B17"/>
    <w:rsid w:val="000F0833"/>
    <w:rsid w:val="000F1894"/>
    <w:rsid w:val="000F1F62"/>
    <w:rsid w:val="000F2910"/>
    <w:rsid w:val="000F2F0A"/>
    <w:rsid w:val="0010177F"/>
    <w:rsid w:val="001027AA"/>
    <w:rsid w:val="00110C23"/>
    <w:rsid w:val="00111EA9"/>
    <w:rsid w:val="001122A9"/>
    <w:rsid w:val="001155B6"/>
    <w:rsid w:val="00116136"/>
    <w:rsid w:val="00125871"/>
    <w:rsid w:val="00125EE0"/>
    <w:rsid w:val="00126207"/>
    <w:rsid w:val="00127E2C"/>
    <w:rsid w:val="001312A6"/>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95A69"/>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101DB"/>
    <w:rsid w:val="00220C5E"/>
    <w:rsid w:val="00223E7E"/>
    <w:rsid w:val="00234619"/>
    <w:rsid w:val="0023520D"/>
    <w:rsid w:val="00235C44"/>
    <w:rsid w:val="00236FF7"/>
    <w:rsid w:val="002416AB"/>
    <w:rsid w:val="0024496F"/>
    <w:rsid w:val="00244D86"/>
    <w:rsid w:val="0025370D"/>
    <w:rsid w:val="00260D19"/>
    <w:rsid w:val="002652D3"/>
    <w:rsid w:val="002732DC"/>
    <w:rsid w:val="0028114B"/>
    <w:rsid w:val="0028185A"/>
    <w:rsid w:val="00290918"/>
    <w:rsid w:val="002919C6"/>
    <w:rsid w:val="002923AF"/>
    <w:rsid w:val="00293557"/>
    <w:rsid w:val="002959E3"/>
    <w:rsid w:val="002A7C1C"/>
    <w:rsid w:val="002B19D4"/>
    <w:rsid w:val="002B3489"/>
    <w:rsid w:val="002B4EAE"/>
    <w:rsid w:val="002C3FDE"/>
    <w:rsid w:val="002D13C5"/>
    <w:rsid w:val="002D4058"/>
    <w:rsid w:val="002D554B"/>
    <w:rsid w:val="002F66F9"/>
    <w:rsid w:val="002F6BC1"/>
    <w:rsid w:val="00300A0A"/>
    <w:rsid w:val="00300CB7"/>
    <w:rsid w:val="00300F91"/>
    <w:rsid w:val="0030207C"/>
    <w:rsid w:val="003129F7"/>
    <w:rsid w:val="00312E1C"/>
    <w:rsid w:val="00317B5C"/>
    <w:rsid w:val="00322AE5"/>
    <w:rsid w:val="00323AAE"/>
    <w:rsid w:val="00324F3E"/>
    <w:rsid w:val="0033043C"/>
    <w:rsid w:val="0033647C"/>
    <w:rsid w:val="00337C53"/>
    <w:rsid w:val="00340AB8"/>
    <w:rsid w:val="003421E0"/>
    <w:rsid w:val="0034312D"/>
    <w:rsid w:val="00346E30"/>
    <w:rsid w:val="003539D2"/>
    <w:rsid w:val="00354921"/>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0F11"/>
    <w:rsid w:val="003C7143"/>
    <w:rsid w:val="003C77CB"/>
    <w:rsid w:val="003D139F"/>
    <w:rsid w:val="003D15FA"/>
    <w:rsid w:val="003D39E0"/>
    <w:rsid w:val="003D7EC6"/>
    <w:rsid w:val="003E292B"/>
    <w:rsid w:val="003E594B"/>
    <w:rsid w:val="003E5BDA"/>
    <w:rsid w:val="003F5796"/>
    <w:rsid w:val="003F69BF"/>
    <w:rsid w:val="00402359"/>
    <w:rsid w:val="004064A8"/>
    <w:rsid w:val="0042160A"/>
    <w:rsid w:val="00422E29"/>
    <w:rsid w:val="00424A76"/>
    <w:rsid w:val="00427E73"/>
    <w:rsid w:val="004312BE"/>
    <w:rsid w:val="00431BEF"/>
    <w:rsid w:val="00442854"/>
    <w:rsid w:val="00447CD3"/>
    <w:rsid w:val="0046339D"/>
    <w:rsid w:val="0047310C"/>
    <w:rsid w:val="00476C8A"/>
    <w:rsid w:val="00485756"/>
    <w:rsid w:val="00486535"/>
    <w:rsid w:val="00490174"/>
    <w:rsid w:val="004917C1"/>
    <w:rsid w:val="00491C99"/>
    <w:rsid w:val="00495450"/>
    <w:rsid w:val="004A1805"/>
    <w:rsid w:val="004A5AD6"/>
    <w:rsid w:val="004B15A9"/>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37508"/>
    <w:rsid w:val="00542107"/>
    <w:rsid w:val="00553EEB"/>
    <w:rsid w:val="00564C41"/>
    <w:rsid w:val="0057422D"/>
    <w:rsid w:val="00582896"/>
    <w:rsid w:val="00584798"/>
    <w:rsid w:val="0059070D"/>
    <w:rsid w:val="00592C86"/>
    <w:rsid w:val="005A33D0"/>
    <w:rsid w:val="005B250B"/>
    <w:rsid w:val="005B3C00"/>
    <w:rsid w:val="005B6749"/>
    <w:rsid w:val="005B7834"/>
    <w:rsid w:val="005C28EC"/>
    <w:rsid w:val="005D19C4"/>
    <w:rsid w:val="005D2DEE"/>
    <w:rsid w:val="005D4D0C"/>
    <w:rsid w:val="005D6DE6"/>
    <w:rsid w:val="005E2068"/>
    <w:rsid w:val="005E3007"/>
    <w:rsid w:val="005E6321"/>
    <w:rsid w:val="005E6C27"/>
    <w:rsid w:val="005F0B1A"/>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665E5"/>
    <w:rsid w:val="006751F5"/>
    <w:rsid w:val="00675607"/>
    <w:rsid w:val="00675986"/>
    <w:rsid w:val="00695694"/>
    <w:rsid w:val="006A21C2"/>
    <w:rsid w:val="006A3B47"/>
    <w:rsid w:val="006A4874"/>
    <w:rsid w:val="006A7A0A"/>
    <w:rsid w:val="006C1047"/>
    <w:rsid w:val="006C3226"/>
    <w:rsid w:val="006D4BB7"/>
    <w:rsid w:val="006D75BD"/>
    <w:rsid w:val="006E4407"/>
    <w:rsid w:val="006F44F9"/>
    <w:rsid w:val="007015FC"/>
    <w:rsid w:val="00711343"/>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4E8"/>
    <w:rsid w:val="007A49B5"/>
    <w:rsid w:val="007B1672"/>
    <w:rsid w:val="007B1B78"/>
    <w:rsid w:val="007B1D2D"/>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596E"/>
    <w:rsid w:val="008A60E2"/>
    <w:rsid w:val="008B1A8B"/>
    <w:rsid w:val="008B282A"/>
    <w:rsid w:val="008B2B8B"/>
    <w:rsid w:val="008C19CA"/>
    <w:rsid w:val="008C21C8"/>
    <w:rsid w:val="008D1F6B"/>
    <w:rsid w:val="008D6D09"/>
    <w:rsid w:val="008D761F"/>
    <w:rsid w:val="008E3BE1"/>
    <w:rsid w:val="008E5A53"/>
    <w:rsid w:val="008F013A"/>
    <w:rsid w:val="008F22F9"/>
    <w:rsid w:val="008F554F"/>
    <w:rsid w:val="008F6AC3"/>
    <w:rsid w:val="00901760"/>
    <w:rsid w:val="009077E3"/>
    <w:rsid w:val="00910EF2"/>
    <w:rsid w:val="00913B17"/>
    <w:rsid w:val="009166DD"/>
    <w:rsid w:val="0091672D"/>
    <w:rsid w:val="00922FE6"/>
    <w:rsid w:val="009342E4"/>
    <w:rsid w:val="009445E9"/>
    <w:rsid w:val="009520E0"/>
    <w:rsid w:val="00956DC6"/>
    <w:rsid w:val="009634B4"/>
    <w:rsid w:val="009643E3"/>
    <w:rsid w:val="009649FC"/>
    <w:rsid w:val="00965F82"/>
    <w:rsid w:val="009660C7"/>
    <w:rsid w:val="0098237A"/>
    <w:rsid w:val="00982B8E"/>
    <w:rsid w:val="009830C8"/>
    <w:rsid w:val="00983B9A"/>
    <w:rsid w:val="009877CF"/>
    <w:rsid w:val="00987B98"/>
    <w:rsid w:val="00995E0A"/>
    <w:rsid w:val="009A5C49"/>
    <w:rsid w:val="009B1C06"/>
    <w:rsid w:val="009B301F"/>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47A7E"/>
    <w:rsid w:val="00A523A9"/>
    <w:rsid w:val="00A52E9C"/>
    <w:rsid w:val="00A67786"/>
    <w:rsid w:val="00A67C1E"/>
    <w:rsid w:val="00A761ED"/>
    <w:rsid w:val="00A76B1D"/>
    <w:rsid w:val="00A86505"/>
    <w:rsid w:val="00A931AB"/>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13FDB"/>
    <w:rsid w:val="00B23067"/>
    <w:rsid w:val="00B2387F"/>
    <w:rsid w:val="00B2590D"/>
    <w:rsid w:val="00B32E66"/>
    <w:rsid w:val="00B34848"/>
    <w:rsid w:val="00B40E21"/>
    <w:rsid w:val="00B45676"/>
    <w:rsid w:val="00B45F71"/>
    <w:rsid w:val="00B5018B"/>
    <w:rsid w:val="00B625D9"/>
    <w:rsid w:val="00B665D7"/>
    <w:rsid w:val="00B70860"/>
    <w:rsid w:val="00B71D02"/>
    <w:rsid w:val="00B87994"/>
    <w:rsid w:val="00B922CF"/>
    <w:rsid w:val="00B940A9"/>
    <w:rsid w:val="00B94E3D"/>
    <w:rsid w:val="00BA47D2"/>
    <w:rsid w:val="00BA61F7"/>
    <w:rsid w:val="00BB3104"/>
    <w:rsid w:val="00BB352A"/>
    <w:rsid w:val="00BC2D8F"/>
    <w:rsid w:val="00BC2DE6"/>
    <w:rsid w:val="00BC7240"/>
    <w:rsid w:val="00BD42F1"/>
    <w:rsid w:val="00BE1D82"/>
    <w:rsid w:val="00BE3641"/>
    <w:rsid w:val="00BE6352"/>
    <w:rsid w:val="00BF5F04"/>
    <w:rsid w:val="00C052E4"/>
    <w:rsid w:val="00C1140C"/>
    <w:rsid w:val="00C1195C"/>
    <w:rsid w:val="00C136F0"/>
    <w:rsid w:val="00C150A5"/>
    <w:rsid w:val="00C21F78"/>
    <w:rsid w:val="00C224B0"/>
    <w:rsid w:val="00C25C02"/>
    <w:rsid w:val="00C27A38"/>
    <w:rsid w:val="00C302A8"/>
    <w:rsid w:val="00C3225A"/>
    <w:rsid w:val="00C322C5"/>
    <w:rsid w:val="00C34D87"/>
    <w:rsid w:val="00C36D26"/>
    <w:rsid w:val="00C37F96"/>
    <w:rsid w:val="00C419F9"/>
    <w:rsid w:val="00C426F5"/>
    <w:rsid w:val="00C45D4C"/>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4A78"/>
    <w:rsid w:val="00CD4CA0"/>
    <w:rsid w:val="00CD6B6A"/>
    <w:rsid w:val="00CE0638"/>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26E85"/>
    <w:rsid w:val="00D32326"/>
    <w:rsid w:val="00D34B76"/>
    <w:rsid w:val="00D35F74"/>
    <w:rsid w:val="00D37ABA"/>
    <w:rsid w:val="00D4029A"/>
    <w:rsid w:val="00D416A5"/>
    <w:rsid w:val="00D50C56"/>
    <w:rsid w:val="00D5488B"/>
    <w:rsid w:val="00D55074"/>
    <w:rsid w:val="00D55AA4"/>
    <w:rsid w:val="00D6261D"/>
    <w:rsid w:val="00D6598A"/>
    <w:rsid w:val="00D65F4B"/>
    <w:rsid w:val="00D71653"/>
    <w:rsid w:val="00D72436"/>
    <w:rsid w:val="00D759F7"/>
    <w:rsid w:val="00D8063C"/>
    <w:rsid w:val="00D926F9"/>
    <w:rsid w:val="00D93182"/>
    <w:rsid w:val="00D961B5"/>
    <w:rsid w:val="00DA7FD6"/>
    <w:rsid w:val="00DB1328"/>
    <w:rsid w:val="00DB6B32"/>
    <w:rsid w:val="00DB7EE0"/>
    <w:rsid w:val="00DC1928"/>
    <w:rsid w:val="00DD3E7F"/>
    <w:rsid w:val="00DE0ECC"/>
    <w:rsid w:val="00DE2348"/>
    <w:rsid w:val="00DE3943"/>
    <w:rsid w:val="00DE562E"/>
    <w:rsid w:val="00DE6FB0"/>
    <w:rsid w:val="00DE77F8"/>
    <w:rsid w:val="00DF0138"/>
    <w:rsid w:val="00DF294A"/>
    <w:rsid w:val="00DF34C9"/>
    <w:rsid w:val="00E00EAF"/>
    <w:rsid w:val="00E0236A"/>
    <w:rsid w:val="00E11739"/>
    <w:rsid w:val="00E12F72"/>
    <w:rsid w:val="00E15A2D"/>
    <w:rsid w:val="00E15B2B"/>
    <w:rsid w:val="00E20A4C"/>
    <w:rsid w:val="00E267A5"/>
    <w:rsid w:val="00E32DA2"/>
    <w:rsid w:val="00E35AC9"/>
    <w:rsid w:val="00E413A9"/>
    <w:rsid w:val="00E47B25"/>
    <w:rsid w:val="00E5003A"/>
    <w:rsid w:val="00E514FA"/>
    <w:rsid w:val="00E51D1F"/>
    <w:rsid w:val="00E56529"/>
    <w:rsid w:val="00E57769"/>
    <w:rsid w:val="00E6135C"/>
    <w:rsid w:val="00E66725"/>
    <w:rsid w:val="00E67591"/>
    <w:rsid w:val="00E67A2A"/>
    <w:rsid w:val="00E728B0"/>
    <w:rsid w:val="00E75758"/>
    <w:rsid w:val="00E75BC0"/>
    <w:rsid w:val="00E81B83"/>
    <w:rsid w:val="00E83233"/>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2369C"/>
    <w:rsid w:val="00F27629"/>
    <w:rsid w:val="00F31732"/>
    <w:rsid w:val="00F31F04"/>
    <w:rsid w:val="00F327E2"/>
    <w:rsid w:val="00F34A38"/>
    <w:rsid w:val="00F375FF"/>
    <w:rsid w:val="00F50C2B"/>
    <w:rsid w:val="00F566E6"/>
    <w:rsid w:val="00F56EFA"/>
    <w:rsid w:val="00F61320"/>
    <w:rsid w:val="00F702DD"/>
    <w:rsid w:val="00F721A2"/>
    <w:rsid w:val="00F72B51"/>
    <w:rsid w:val="00F734B6"/>
    <w:rsid w:val="00F76C50"/>
    <w:rsid w:val="00F84427"/>
    <w:rsid w:val="00F85050"/>
    <w:rsid w:val="00F86303"/>
    <w:rsid w:val="00F95BD7"/>
    <w:rsid w:val="00FA1741"/>
    <w:rsid w:val="00FA6242"/>
    <w:rsid w:val="00FA643C"/>
    <w:rsid w:val="00FA7894"/>
    <w:rsid w:val="00FB4E76"/>
    <w:rsid w:val="00FB76DA"/>
    <w:rsid w:val="00FC4DCA"/>
    <w:rsid w:val="00FC4DD1"/>
    <w:rsid w:val="00FD1DCC"/>
    <w:rsid w:val="00FD2E3D"/>
    <w:rsid w:val="00FE17B6"/>
    <w:rsid w:val="00FE51AD"/>
    <w:rsid w:val="00FE5CAF"/>
    <w:rsid w:val="00FE6157"/>
    <w:rsid w:val="00FE6A0F"/>
    <w:rsid w:val="00FE74BE"/>
    <w:rsid w:val="00FF0B73"/>
    <w:rsid w:val="00FF0BEE"/>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customStyle="1" w:styleId="term1">
    <w:name w:val="term1"/>
    <w:basedOn w:val="DefaultParagraphFont"/>
    <w:rsid w:val="000323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customStyle="1" w:styleId="term1">
    <w:name w:val="term1"/>
    <w:basedOn w:val="DefaultParagraphFont"/>
    <w:rsid w:val="00032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558B7-1BDA-42E7-B6BB-989DFDB6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Administrator</cp:lastModifiedBy>
  <cp:revision>2</cp:revision>
  <cp:lastPrinted>2012-09-27T13:48:00Z</cp:lastPrinted>
  <dcterms:created xsi:type="dcterms:W3CDTF">2012-10-17T17:53:00Z</dcterms:created>
  <dcterms:modified xsi:type="dcterms:W3CDTF">2012-10-17T17:53:00Z</dcterms:modified>
</cp:coreProperties>
</file>