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9304FE">
        <w:rPr>
          <w:sz w:val="26"/>
          <w:szCs w:val="26"/>
        </w:rPr>
        <w:t>P</w:t>
      </w:r>
      <w:r w:rsidR="009304FE" w:rsidRPr="002A5D4B">
        <w:rPr>
          <w:sz w:val="26"/>
          <w:szCs w:val="26"/>
        </w:rPr>
        <w:t xml:space="preserve">ublic Meeting held </w:t>
      </w:r>
      <w:r w:rsidR="00C2391E">
        <w:rPr>
          <w:sz w:val="26"/>
          <w:szCs w:val="26"/>
        </w:rPr>
        <w:t>September 13</w:t>
      </w:r>
      <w:r w:rsidR="003428C1">
        <w:rPr>
          <w:sz w:val="26"/>
          <w:szCs w:val="26"/>
        </w:rPr>
        <w:t>, 2012</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847CD0">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847CD0">
        <w:rPr>
          <w:sz w:val="26"/>
          <w:szCs w:val="26"/>
        </w:rPr>
        <w:t>John F. Coleman, Jr.</w:t>
      </w:r>
      <w:r w:rsidRPr="002A5D4B">
        <w:rPr>
          <w:sz w:val="26"/>
          <w:szCs w:val="26"/>
        </w:rPr>
        <w:t>, Vice Chairman</w:t>
      </w:r>
    </w:p>
    <w:p w:rsidR="009304FE" w:rsidRPr="002A5D4B" w:rsidRDefault="001C7F88"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847CD0">
        <w:rPr>
          <w:sz w:val="26"/>
          <w:szCs w:val="26"/>
        </w:rPr>
        <w:t xml:space="preserve">James H. Cawley </w:t>
      </w:r>
    </w:p>
    <w:p w:rsidR="009304FE" w:rsidRDefault="00AB0F2F" w:rsidP="009304FE">
      <w:r>
        <w:tab/>
      </w:r>
      <w:r>
        <w:rPr>
          <w:sz w:val="26"/>
        </w:rPr>
        <w:t xml:space="preserve">Pamela A. Witmer </w:t>
      </w:r>
      <w:r>
        <w:tab/>
      </w:r>
    </w:p>
    <w:p w:rsidR="00AB0F2F" w:rsidRDefault="00AB0F2F" w:rsidP="009304FE"/>
    <w:p w:rsidR="009304FE" w:rsidRDefault="009304FE" w:rsidP="009304FE"/>
    <w:p w:rsidR="00E050C0" w:rsidRPr="00E050C0" w:rsidRDefault="005E3735" w:rsidP="00E050C0">
      <w:pPr>
        <w:tabs>
          <w:tab w:val="left" w:pos="-720"/>
          <w:tab w:val="left" w:pos="0"/>
        </w:tabs>
        <w:suppressAutoHyphens/>
        <w:rPr>
          <w:sz w:val="26"/>
          <w:szCs w:val="26"/>
        </w:rPr>
      </w:pPr>
      <w:r>
        <w:rPr>
          <w:sz w:val="26"/>
          <w:szCs w:val="26"/>
        </w:rPr>
        <w:t>Debra Simconis</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9E1660">
        <w:rPr>
          <w:sz w:val="26"/>
          <w:szCs w:val="26"/>
        </w:rPr>
        <w:t>C-201</w:t>
      </w:r>
      <w:r>
        <w:rPr>
          <w:sz w:val="26"/>
          <w:szCs w:val="26"/>
        </w:rPr>
        <w:t>1</w:t>
      </w:r>
      <w:r w:rsidR="009E1660">
        <w:rPr>
          <w:sz w:val="26"/>
          <w:szCs w:val="26"/>
        </w:rPr>
        <w:t>-</w:t>
      </w:r>
      <w:r>
        <w:rPr>
          <w:sz w:val="26"/>
          <w:szCs w:val="26"/>
        </w:rPr>
        <w:t>2260079</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EF79C5" w:rsidP="00E050C0">
      <w:pPr>
        <w:tabs>
          <w:tab w:val="left" w:pos="-720"/>
          <w:tab w:val="left" w:pos="0"/>
        </w:tabs>
        <w:suppressAutoHyphens/>
        <w:rPr>
          <w:sz w:val="26"/>
          <w:szCs w:val="26"/>
        </w:rPr>
      </w:pPr>
      <w:r>
        <w:rPr>
          <w:sz w:val="26"/>
          <w:szCs w:val="26"/>
        </w:rPr>
        <w:t>P</w:t>
      </w:r>
      <w:r w:rsidR="00C2391E">
        <w:rPr>
          <w:sz w:val="26"/>
          <w:szCs w:val="26"/>
        </w:rPr>
        <w:t>eoples Natural</w:t>
      </w:r>
      <w:r w:rsidR="003428C1">
        <w:rPr>
          <w:sz w:val="26"/>
          <w:szCs w:val="26"/>
        </w:rPr>
        <w:t xml:space="preserve"> Gas </w:t>
      </w:r>
      <w:r w:rsidR="00C2391E">
        <w:rPr>
          <w:sz w:val="26"/>
          <w:szCs w:val="26"/>
        </w:rPr>
        <w:t xml:space="preserve">Company LLC </w:t>
      </w:r>
      <w:r w:rsidR="003428C1">
        <w:rPr>
          <w:sz w:val="26"/>
          <w:szCs w:val="26"/>
        </w:rPr>
        <w:t xml:space="preserve"> </w:t>
      </w:r>
      <w:r>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50430"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5E3735">
        <w:rPr>
          <w:sz w:val="26"/>
          <w:szCs w:val="26"/>
        </w:rPr>
        <w:t>Mark A. Hoyer</w:t>
      </w:r>
      <w:r w:rsidR="00AA3F68">
        <w:rPr>
          <w:sz w:val="26"/>
          <w:szCs w:val="26"/>
        </w:rPr>
        <w:t xml:space="preserve">, issued on </w:t>
      </w:r>
      <w:r w:rsidR="005E3735">
        <w:rPr>
          <w:sz w:val="26"/>
          <w:szCs w:val="26"/>
        </w:rPr>
        <w:t>May 23</w:t>
      </w:r>
      <w:r w:rsidR="00B206E5">
        <w:rPr>
          <w:sz w:val="26"/>
          <w:szCs w:val="26"/>
        </w:rPr>
        <w:t>,</w:t>
      </w:r>
      <w:r w:rsidR="00A50430">
        <w:rPr>
          <w:sz w:val="26"/>
          <w:szCs w:val="26"/>
        </w:rPr>
        <w:t xml:space="preserve"> 2012,</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w:t>
      </w:r>
    </w:p>
    <w:p w:rsidR="0067105F" w:rsidRDefault="008B24E5" w:rsidP="0019214E">
      <w:pPr>
        <w:spacing w:line="360" w:lineRule="auto"/>
        <w:rPr>
          <w:sz w:val="26"/>
          <w:szCs w:val="26"/>
        </w:rPr>
      </w:pPr>
      <w:r>
        <w:rPr>
          <w:sz w:val="26"/>
          <w:szCs w:val="26"/>
        </w:rPr>
        <w:t xml:space="preserve">§ 332(h).  For the reasons stated below, we </w:t>
      </w:r>
      <w:r w:rsidR="009C1908">
        <w:rPr>
          <w:sz w:val="26"/>
          <w:szCs w:val="26"/>
        </w:rPr>
        <w:t xml:space="preserve">shall </w:t>
      </w:r>
      <w:r w:rsidR="00F524DC">
        <w:rPr>
          <w:sz w:val="26"/>
          <w:szCs w:val="26"/>
        </w:rPr>
        <w:t>vacate</w:t>
      </w:r>
      <w:r w:rsidR="00306310">
        <w:rPr>
          <w:sz w:val="26"/>
          <w:szCs w:val="26"/>
        </w:rPr>
        <w:t xml:space="preserve"> the ALJ’s Initial Decision</w:t>
      </w:r>
      <w:r w:rsidR="009C4703">
        <w:rPr>
          <w:sz w:val="26"/>
          <w:szCs w:val="26"/>
        </w:rPr>
        <w:t xml:space="preserve"> and </w:t>
      </w:r>
      <w:r w:rsidR="002032F2">
        <w:rPr>
          <w:sz w:val="26"/>
          <w:szCs w:val="26"/>
        </w:rPr>
        <w:t>order t</w:t>
      </w:r>
      <w:r w:rsidR="0006387C">
        <w:rPr>
          <w:sz w:val="26"/>
          <w:szCs w:val="26"/>
        </w:rPr>
        <w:t>his proceeding</w:t>
      </w:r>
      <w:r w:rsidR="002032F2">
        <w:rPr>
          <w:sz w:val="26"/>
          <w:szCs w:val="26"/>
        </w:rPr>
        <w:t xml:space="preserve"> closed</w:t>
      </w:r>
      <w:r w:rsidR="005C1345">
        <w:rPr>
          <w:sz w:val="26"/>
          <w:szCs w:val="26"/>
        </w:rPr>
        <w:t xml:space="preserve">.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2032F2" w:rsidRDefault="00177E31" w:rsidP="00177E31">
      <w:pPr>
        <w:tabs>
          <w:tab w:val="left" w:pos="-1440"/>
          <w:tab w:val="left" w:pos="-720"/>
        </w:tabs>
        <w:suppressAutoHyphens/>
        <w:spacing w:line="360" w:lineRule="auto"/>
        <w:ind w:firstLine="1440"/>
        <w:rPr>
          <w:sz w:val="26"/>
        </w:rPr>
      </w:pPr>
      <w:r w:rsidRPr="00177E31">
        <w:rPr>
          <w:sz w:val="26"/>
        </w:rPr>
        <w:t xml:space="preserve">On August 29, 2011, Debra Simconis (Complainant) filed a </w:t>
      </w:r>
      <w:r>
        <w:rPr>
          <w:sz w:val="26"/>
        </w:rPr>
        <w:t>F</w:t>
      </w:r>
      <w:r w:rsidRPr="00177E31">
        <w:rPr>
          <w:sz w:val="26"/>
        </w:rPr>
        <w:t xml:space="preserve">ormal </w:t>
      </w:r>
      <w:r>
        <w:rPr>
          <w:sz w:val="26"/>
        </w:rPr>
        <w:t>C</w:t>
      </w:r>
      <w:r w:rsidRPr="00177E31">
        <w:rPr>
          <w:sz w:val="26"/>
        </w:rPr>
        <w:t xml:space="preserve">omplaint </w:t>
      </w:r>
      <w:r>
        <w:rPr>
          <w:sz w:val="26"/>
        </w:rPr>
        <w:t xml:space="preserve">(Complaint) </w:t>
      </w:r>
      <w:r w:rsidRPr="00177E31">
        <w:rPr>
          <w:sz w:val="26"/>
        </w:rPr>
        <w:t>against Peoples Natural Gas Company LLC (Peoples</w:t>
      </w:r>
      <w:r w:rsidR="00F524DC">
        <w:rPr>
          <w:sz w:val="26"/>
        </w:rPr>
        <w:t xml:space="preserve"> or Respondent</w:t>
      </w:r>
      <w:r w:rsidRPr="00177E31">
        <w:rPr>
          <w:sz w:val="26"/>
        </w:rPr>
        <w:t>), alleging that Peoples never informed her that there was a reimbursement program for riser</w:t>
      </w:r>
      <w:r w:rsidR="00F524DC">
        <w:rPr>
          <w:rStyle w:val="FootnoteReference"/>
        </w:rPr>
        <w:footnoteReference w:id="1"/>
      </w:r>
      <w:r w:rsidRPr="00177E31">
        <w:rPr>
          <w:sz w:val="26"/>
        </w:rPr>
        <w:t xml:space="preserve"> replacement and that claims </w:t>
      </w:r>
      <w:r w:rsidR="00F524DC">
        <w:rPr>
          <w:sz w:val="26"/>
        </w:rPr>
        <w:t>had to</w:t>
      </w:r>
      <w:r w:rsidRPr="00177E31">
        <w:rPr>
          <w:sz w:val="26"/>
        </w:rPr>
        <w:t xml:space="preserve"> be made prior to May 1, 2011.  She </w:t>
      </w:r>
      <w:r>
        <w:rPr>
          <w:sz w:val="26"/>
        </w:rPr>
        <w:t xml:space="preserve">also </w:t>
      </w:r>
      <w:r w:rsidRPr="00177E31">
        <w:rPr>
          <w:sz w:val="26"/>
        </w:rPr>
        <w:t>allege</w:t>
      </w:r>
      <w:r>
        <w:rPr>
          <w:sz w:val="26"/>
        </w:rPr>
        <w:t>d</w:t>
      </w:r>
      <w:r w:rsidRPr="00177E31">
        <w:rPr>
          <w:sz w:val="26"/>
        </w:rPr>
        <w:t xml:space="preserve"> that it </w:t>
      </w:r>
      <w:r>
        <w:rPr>
          <w:sz w:val="26"/>
        </w:rPr>
        <w:t>wa</w:t>
      </w:r>
      <w:r w:rsidRPr="00177E31">
        <w:rPr>
          <w:sz w:val="26"/>
        </w:rPr>
        <w:t>s unfair and discriminatory for Peoples to replace risers for her neighbors and reimburse others who had previously paid to replace their risers</w:t>
      </w:r>
      <w:r>
        <w:rPr>
          <w:sz w:val="26"/>
        </w:rPr>
        <w:t>,</w:t>
      </w:r>
      <w:r w:rsidRPr="00177E31">
        <w:rPr>
          <w:sz w:val="26"/>
        </w:rPr>
        <w:t xml:space="preserve"> while she </w:t>
      </w:r>
      <w:r>
        <w:rPr>
          <w:sz w:val="26"/>
        </w:rPr>
        <w:t>wa</w:t>
      </w:r>
      <w:r w:rsidRPr="00177E31">
        <w:rPr>
          <w:sz w:val="26"/>
        </w:rPr>
        <w:t>s denied reimbursement.</w:t>
      </w:r>
      <w:r w:rsidR="00963013">
        <w:rPr>
          <w:rStyle w:val="FootnoteReference"/>
        </w:rPr>
        <w:footnoteReference w:id="2"/>
      </w:r>
      <w:r w:rsidRPr="00177E31">
        <w:rPr>
          <w:sz w:val="26"/>
        </w:rPr>
        <w:t xml:space="preserve">  As relief, </w:t>
      </w:r>
      <w:r w:rsidR="002A5564">
        <w:rPr>
          <w:sz w:val="26"/>
        </w:rPr>
        <w:t xml:space="preserve">the Complainant </w:t>
      </w:r>
      <w:r w:rsidRPr="00177E31">
        <w:rPr>
          <w:sz w:val="26"/>
        </w:rPr>
        <w:t>s</w:t>
      </w:r>
      <w:r w:rsidR="002A5564">
        <w:rPr>
          <w:sz w:val="26"/>
        </w:rPr>
        <w:t>ought</w:t>
      </w:r>
      <w:r w:rsidRPr="00177E31">
        <w:rPr>
          <w:sz w:val="26"/>
        </w:rPr>
        <w:t xml:space="preserve"> reimburse</w:t>
      </w:r>
      <w:r w:rsidR="002A5564">
        <w:rPr>
          <w:sz w:val="26"/>
        </w:rPr>
        <w:t>ment</w:t>
      </w:r>
      <w:r w:rsidRPr="00177E31">
        <w:rPr>
          <w:sz w:val="26"/>
        </w:rPr>
        <w:t xml:space="preserve"> for the amount she spent to have a plumber replace her riser in January 2009.  </w:t>
      </w:r>
    </w:p>
    <w:p w:rsidR="002032F2" w:rsidRDefault="002032F2" w:rsidP="00177E31">
      <w:pPr>
        <w:tabs>
          <w:tab w:val="left" w:pos="-1440"/>
          <w:tab w:val="left" w:pos="-720"/>
        </w:tabs>
        <w:suppressAutoHyphens/>
        <w:spacing w:line="360" w:lineRule="auto"/>
        <w:ind w:firstLine="1440"/>
        <w:rPr>
          <w:sz w:val="26"/>
        </w:rPr>
      </w:pPr>
    </w:p>
    <w:p w:rsidR="00177E31" w:rsidRPr="00177E31" w:rsidRDefault="00177E31" w:rsidP="00177E31">
      <w:pPr>
        <w:tabs>
          <w:tab w:val="left" w:pos="-1440"/>
          <w:tab w:val="left" w:pos="-720"/>
        </w:tabs>
        <w:suppressAutoHyphens/>
        <w:spacing w:line="360" w:lineRule="auto"/>
        <w:ind w:firstLine="1440"/>
        <w:rPr>
          <w:sz w:val="26"/>
        </w:rPr>
      </w:pPr>
      <w:r w:rsidRPr="00177E31">
        <w:rPr>
          <w:sz w:val="26"/>
        </w:rPr>
        <w:t xml:space="preserve">Peoples filed </w:t>
      </w:r>
      <w:r w:rsidR="002A5564">
        <w:rPr>
          <w:sz w:val="26"/>
        </w:rPr>
        <w:t>an</w:t>
      </w:r>
      <w:r w:rsidRPr="00177E31">
        <w:rPr>
          <w:sz w:val="26"/>
        </w:rPr>
        <w:t xml:space="preserve"> </w:t>
      </w:r>
      <w:r w:rsidR="002A5564">
        <w:rPr>
          <w:sz w:val="26"/>
        </w:rPr>
        <w:t>A</w:t>
      </w:r>
      <w:r w:rsidRPr="00177E31">
        <w:rPr>
          <w:sz w:val="26"/>
        </w:rPr>
        <w:t>nswer on September 23, 2011.  Peoples aver</w:t>
      </w:r>
      <w:r w:rsidR="002A5564">
        <w:rPr>
          <w:sz w:val="26"/>
        </w:rPr>
        <w:t>red</w:t>
      </w:r>
      <w:r w:rsidRPr="00177E31">
        <w:rPr>
          <w:sz w:val="26"/>
        </w:rPr>
        <w:t xml:space="preserve"> </w:t>
      </w:r>
      <w:r w:rsidR="002A5564">
        <w:rPr>
          <w:sz w:val="26"/>
        </w:rPr>
        <w:t xml:space="preserve">that </w:t>
      </w:r>
      <w:r w:rsidRPr="00177E31">
        <w:rPr>
          <w:sz w:val="26"/>
        </w:rPr>
        <w:t xml:space="preserve">the </w:t>
      </w:r>
      <w:r w:rsidR="002A5564">
        <w:rPr>
          <w:sz w:val="26"/>
        </w:rPr>
        <w:t>C</w:t>
      </w:r>
      <w:r w:rsidRPr="00177E31">
        <w:rPr>
          <w:sz w:val="26"/>
        </w:rPr>
        <w:t>omplaint should be dismissed because the Commission cannot award monetary damages</w:t>
      </w:r>
      <w:r w:rsidR="00014826">
        <w:rPr>
          <w:sz w:val="26"/>
        </w:rPr>
        <w:t>,</w:t>
      </w:r>
      <w:r w:rsidRPr="00177E31">
        <w:rPr>
          <w:sz w:val="26"/>
        </w:rPr>
        <w:t xml:space="preserve"> and </w:t>
      </w:r>
      <w:r w:rsidR="00014826">
        <w:rPr>
          <w:sz w:val="26"/>
        </w:rPr>
        <w:t xml:space="preserve">because </w:t>
      </w:r>
      <w:r w:rsidR="002A5564">
        <w:rPr>
          <w:sz w:val="26"/>
        </w:rPr>
        <w:t>the</w:t>
      </w:r>
      <w:r w:rsidRPr="00177E31">
        <w:rPr>
          <w:sz w:val="26"/>
        </w:rPr>
        <w:t xml:space="preserve"> Complainant failed to state in her </w:t>
      </w:r>
      <w:r w:rsidR="002A5564">
        <w:rPr>
          <w:sz w:val="26"/>
        </w:rPr>
        <w:t>C</w:t>
      </w:r>
      <w:r w:rsidRPr="00177E31">
        <w:rPr>
          <w:sz w:val="26"/>
        </w:rPr>
        <w:t>omplaint that Peoples committed any violation.</w:t>
      </w:r>
      <w:r w:rsidR="002A5564">
        <w:rPr>
          <w:sz w:val="26"/>
        </w:rPr>
        <w:t xml:space="preserve">  </w:t>
      </w:r>
      <w:r w:rsidRPr="00177E31">
        <w:rPr>
          <w:sz w:val="26"/>
        </w:rPr>
        <w:t xml:space="preserve"> </w:t>
      </w:r>
    </w:p>
    <w:p w:rsidR="00177E31" w:rsidRPr="00177E31" w:rsidRDefault="00177E31" w:rsidP="00177E31">
      <w:pPr>
        <w:tabs>
          <w:tab w:val="left" w:pos="2160"/>
        </w:tabs>
        <w:spacing w:line="360" w:lineRule="auto"/>
        <w:ind w:firstLine="1440"/>
        <w:rPr>
          <w:sz w:val="26"/>
        </w:rPr>
      </w:pPr>
    </w:p>
    <w:p w:rsidR="00177E31" w:rsidRPr="00177E31" w:rsidRDefault="00FF48E8" w:rsidP="00177E31">
      <w:pPr>
        <w:tabs>
          <w:tab w:val="left" w:pos="2160"/>
        </w:tabs>
        <w:spacing w:line="360" w:lineRule="auto"/>
        <w:ind w:firstLine="1440"/>
        <w:rPr>
          <w:sz w:val="26"/>
        </w:rPr>
      </w:pPr>
      <w:r>
        <w:rPr>
          <w:sz w:val="26"/>
        </w:rPr>
        <w:t>A telephonic</w:t>
      </w:r>
      <w:r w:rsidR="00177E31" w:rsidRPr="00177E31">
        <w:rPr>
          <w:sz w:val="26"/>
        </w:rPr>
        <w:t xml:space="preserve"> hearing was held </w:t>
      </w:r>
      <w:r>
        <w:rPr>
          <w:sz w:val="26"/>
        </w:rPr>
        <w:t>on February 14, 2012</w:t>
      </w:r>
      <w:r w:rsidR="00177E31" w:rsidRPr="00177E31">
        <w:rPr>
          <w:sz w:val="26"/>
        </w:rPr>
        <w:t xml:space="preserve">.  </w:t>
      </w:r>
      <w:r w:rsidR="00D37800">
        <w:rPr>
          <w:sz w:val="26"/>
        </w:rPr>
        <w:t>The Complainant</w:t>
      </w:r>
      <w:r w:rsidR="00177E31" w:rsidRPr="00177E31">
        <w:rPr>
          <w:sz w:val="26"/>
        </w:rPr>
        <w:t xml:space="preserve"> appeared </w:t>
      </w:r>
      <w:r w:rsidR="00177E31" w:rsidRPr="00177E31">
        <w:rPr>
          <w:i/>
          <w:sz w:val="26"/>
        </w:rPr>
        <w:t xml:space="preserve">pro se </w:t>
      </w:r>
      <w:r w:rsidR="00177E31" w:rsidRPr="00177E31">
        <w:rPr>
          <w:sz w:val="26"/>
        </w:rPr>
        <w:t xml:space="preserve">and testified on her own behalf.  Peoples was represented by </w:t>
      </w:r>
      <w:r w:rsidR="00D37800">
        <w:rPr>
          <w:sz w:val="26"/>
        </w:rPr>
        <w:t>counsel and</w:t>
      </w:r>
      <w:r w:rsidR="00177E31" w:rsidRPr="00177E31">
        <w:rPr>
          <w:sz w:val="26"/>
        </w:rPr>
        <w:t xml:space="preserve"> presented the testimony of one witness.  No exhibits were offered at the hearing.  The record consists of a </w:t>
      </w:r>
      <w:r w:rsidR="00D37800">
        <w:rPr>
          <w:sz w:val="26"/>
        </w:rPr>
        <w:t>thirty four</w:t>
      </w:r>
      <w:r w:rsidR="00177E31" w:rsidRPr="00177E31">
        <w:rPr>
          <w:sz w:val="26"/>
        </w:rPr>
        <w:t xml:space="preserve">-page transcript.  The record was closed by Interim Order dated March 8, 2012.  </w:t>
      </w:r>
    </w:p>
    <w:p w:rsidR="003309FF" w:rsidRPr="00177E31" w:rsidRDefault="003309FF" w:rsidP="003309FF">
      <w:pPr>
        <w:tabs>
          <w:tab w:val="left" w:pos="2160"/>
        </w:tabs>
        <w:spacing w:line="360" w:lineRule="auto"/>
        <w:ind w:firstLine="1440"/>
        <w:rPr>
          <w:sz w:val="26"/>
        </w:rPr>
      </w:pPr>
    </w:p>
    <w:p w:rsidR="001A06F7" w:rsidRDefault="00D54954" w:rsidP="00D54954">
      <w:pPr>
        <w:spacing w:line="360" w:lineRule="auto"/>
        <w:ind w:firstLine="1440"/>
        <w:rPr>
          <w:sz w:val="26"/>
        </w:rPr>
      </w:pPr>
      <w:r>
        <w:rPr>
          <w:sz w:val="26"/>
        </w:rPr>
        <w:lastRenderedPageBreak/>
        <w:t>In t</w:t>
      </w:r>
      <w:r w:rsidR="00426953" w:rsidRPr="00653FDD">
        <w:rPr>
          <w:sz w:val="26"/>
        </w:rPr>
        <w:t>he Initial Decision</w:t>
      </w:r>
      <w:r>
        <w:rPr>
          <w:sz w:val="26"/>
        </w:rPr>
        <w:t>,</w:t>
      </w:r>
      <w:r w:rsidR="00426953" w:rsidRPr="00653FDD">
        <w:rPr>
          <w:sz w:val="26"/>
        </w:rPr>
        <w:t xml:space="preserve"> issued on </w:t>
      </w:r>
      <w:r w:rsidR="00D37800">
        <w:rPr>
          <w:sz w:val="26"/>
        </w:rPr>
        <w:t>May 23</w:t>
      </w:r>
      <w:r w:rsidR="002074D3">
        <w:rPr>
          <w:sz w:val="26"/>
        </w:rPr>
        <w:t>,</w:t>
      </w:r>
      <w:r>
        <w:rPr>
          <w:sz w:val="26"/>
        </w:rPr>
        <w:t xml:space="preserve"> 2012, the ALJ </w:t>
      </w:r>
      <w:r w:rsidR="002C5DB6">
        <w:rPr>
          <w:sz w:val="26"/>
        </w:rPr>
        <w:t xml:space="preserve">dismissed the Complaint for </w:t>
      </w:r>
      <w:r w:rsidR="00012EB0">
        <w:rPr>
          <w:sz w:val="26"/>
        </w:rPr>
        <w:t>failure to meet the burden of proof</w:t>
      </w:r>
      <w:r w:rsidR="002C5DB6">
        <w:rPr>
          <w:sz w:val="26"/>
        </w:rPr>
        <w:t>.</w:t>
      </w:r>
      <w:r w:rsidR="00014826">
        <w:rPr>
          <w:sz w:val="26"/>
        </w:rPr>
        <w:t xml:space="preserve">  I.D. at 8, 9.  </w:t>
      </w:r>
      <w:r w:rsidR="002C5DB6">
        <w:rPr>
          <w:sz w:val="26"/>
        </w:rPr>
        <w:t xml:space="preserve"> </w:t>
      </w:r>
    </w:p>
    <w:p w:rsidR="001A06F7" w:rsidRDefault="001A06F7" w:rsidP="00D54954">
      <w:pPr>
        <w:spacing w:line="360" w:lineRule="auto"/>
        <w:ind w:firstLine="1440"/>
        <w:rPr>
          <w:sz w:val="26"/>
        </w:rPr>
      </w:pPr>
    </w:p>
    <w:p w:rsidR="00426953" w:rsidRPr="00653FDD" w:rsidRDefault="00834F3E" w:rsidP="00D54954">
      <w:pPr>
        <w:spacing w:line="360" w:lineRule="auto"/>
        <w:ind w:firstLine="1440"/>
        <w:rPr>
          <w:sz w:val="26"/>
        </w:rPr>
      </w:pPr>
      <w:r>
        <w:rPr>
          <w:sz w:val="26"/>
        </w:rPr>
        <w:t>As will be discussed further herein, o</w:t>
      </w:r>
      <w:r w:rsidR="001A06F7">
        <w:rPr>
          <w:sz w:val="26"/>
        </w:rPr>
        <w:t xml:space="preserve">n September 24, 2012, Peoples filed a letter which certified that the Complaint has been satisfied.   </w:t>
      </w:r>
      <w:r w:rsidR="002C5DB6">
        <w:rPr>
          <w:sz w:val="26"/>
        </w:rPr>
        <w:t xml:space="preserve"> </w:t>
      </w:r>
      <w:r w:rsidR="00426953" w:rsidRPr="00653FDD">
        <w:rPr>
          <w:sz w:val="26"/>
        </w:rPr>
        <w:t xml:space="preserve">  </w:t>
      </w:r>
    </w:p>
    <w:p w:rsidR="00426953" w:rsidRPr="00653FDD" w:rsidRDefault="00426953" w:rsidP="00653FDD">
      <w:pPr>
        <w:spacing w:line="360" w:lineRule="auto"/>
        <w:rPr>
          <w:sz w:val="26"/>
        </w:rPr>
      </w:pPr>
    </w:p>
    <w:p w:rsidR="001A1AD3" w:rsidRDefault="004419DA" w:rsidP="00791EEE">
      <w:pPr>
        <w:jc w:val="center"/>
        <w:rPr>
          <w:b/>
          <w:sz w:val="26"/>
          <w:szCs w:val="26"/>
        </w:rPr>
      </w:pPr>
      <w:r>
        <w:rPr>
          <w:b/>
          <w:sz w:val="26"/>
          <w:szCs w:val="26"/>
        </w:rPr>
        <w:t>Discussion</w:t>
      </w:r>
    </w:p>
    <w:p w:rsidR="00D5673B" w:rsidRDefault="00D5673B" w:rsidP="001A1AD3">
      <w:pPr>
        <w:spacing w:line="360" w:lineRule="auto"/>
        <w:jc w:val="center"/>
        <w:rPr>
          <w:sz w:val="26"/>
          <w:szCs w:val="26"/>
        </w:rPr>
      </w:pPr>
    </w:p>
    <w:p w:rsidR="00FB0336" w:rsidRDefault="001448EA" w:rsidP="001448EA">
      <w:pPr>
        <w:spacing w:line="360" w:lineRule="auto"/>
        <w:ind w:firstLine="1440"/>
        <w:rPr>
          <w:rFonts w:ascii="Times New (W1)" w:hAnsi="Times New (W1)"/>
          <w:sz w:val="26"/>
        </w:rPr>
      </w:pPr>
      <w:r w:rsidRPr="009C2700">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BB63AF">
        <w:rPr>
          <w:rFonts w:ascii="Times New (W1)" w:hAnsi="Times New (W1)"/>
          <w:sz w:val="26"/>
          <w:szCs w:val="26"/>
        </w:rPr>
        <w:t>Respondent</w:t>
      </w:r>
      <w:r w:rsidRPr="009C2700">
        <w:rPr>
          <w:rFonts w:ascii="Times New (W1)" w:hAnsi="Times New (W1)"/>
          <w:sz w:val="26"/>
          <w:szCs w:val="26"/>
        </w:rPr>
        <w:t xml:space="preserve"> is responsible or accountable for the problem described in the Complaint.  </w:t>
      </w:r>
      <w:r w:rsidRPr="009C2700">
        <w:rPr>
          <w:rFonts w:ascii="Times New (W1)" w:hAnsi="Times New (W1)"/>
          <w:i/>
          <w:sz w:val="26"/>
          <w:szCs w:val="26"/>
        </w:rPr>
        <w:t>Patterson v. Bell Telephone Company of Pennsylvania</w:t>
      </w:r>
      <w:r w:rsidRPr="009C2700">
        <w:rPr>
          <w:rFonts w:ascii="Times New (W1)" w:hAnsi="Times New (W1)"/>
          <w:sz w:val="26"/>
          <w:szCs w:val="26"/>
        </w:rPr>
        <w:t xml:space="preserve">, 72 Pa. P.U.C. 196 (1990).  Such a showing must be by a preponderance of the evidence.  </w:t>
      </w:r>
      <w:r w:rsidRPr="009C2700">
        <w:rPr>
          <w:rFonts w:ascii="Times New (W1)" w:hAnsi="Times New (W1)"/>
          <w:i/>
          <w:iCs/>
          <w:sz w:val="26"/>
          <w:szCs w:val="26"/>
        </w:rPr>
        <w:t>Samuel J. Lansberry, Inc. v. Pa. PUC</w:t>
      </w:r>
      <w:r w:rsidRPr="009C2700">
        <w:rPr>
          <w:rFonts w:ascii="Times New (W1)" w:hAnsi="Times New (W1)"/>
          <w:sz w:val="26"/>
          <w:szCs w:val="26"/>
        </w:rPr>
        <w:t xml:space="preserve">, 578 A.2d 600 (Pa. Cmwlth. 1990), </w:t>
      </w:r>
      <w:r w:rsidRPr="009C2700">
        <w:rPr>
          <w:rFonts w:ascii="Times New (W1)" w:hAnsi="Times New (W1)"/>
          <w:i/>
          <w:sz w:val="26"/>
          <w:szCs w:val="26"/>
        </w:rPr>
        <w:t>alloc. denied,</w:t>
      </w:r>
      <w:r w:rsidRPr="009C2700">
        <w:rPr>
          <w:rFonts w:ascii="Times New (W1)" w:hAnsi="Times New (W1)"/>
          <w:sz w:val="26"/>
          <w:szCs w:val="26"/>
        </w:rPr>
        <w:t xml:space="preserve"> 529 Pa. 654, 602 A.2d 863 (1992).  That is, the Complainant’s evidence must be more convincing, by even the smallest amount, than that presented by the </w:t>
      </w:r>
      <w:r w:rsidR="00BB63AF">
        <w:rPr>
          <w:rFonts w:ascii="Times New (W1)" w:hAnsi="Times New (W1)"/>
          <w:sz w:val="26"/>
          <w:szCs w:val="26"/>
        </w:rPr>
        <w:t>Respondent</w:t>
      </w:r>
      <w:r w:rsidRPr="009C2700">
        <w:rPr>
          <w:rFonts w:ascii="Times New (W1)" w:hAnsi="Times New (W1)"/>
          <w:sz w:val="26"/>
          <w:szCs w:val="26"/>
        </w:rPr>
        <w:t xml:space="preserve">.  </w:t>
      </w:r>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xml:space="preserve">, 364 Pa. 45, 70 A.2d 854 (1950).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9C2700">
        <w:rPr>
          <w:rFonts w:ascii="Times New (W1)" w:hAnsi="Times New (W1)"/>
          <w:i/>
          <w:sz w:val="26"/>
        </w:rPr>
        <w:t xml:space="preserve">Norfolk &amp; Western Ry. Co. v. Pa. PUC, </w:t>
      </w:r>
      <w:r w:rsidRPr="009C2700">
        <w:rPr>
          <w:rFonts w:ascii="Times New (W1)" w:hAnsi="Times New (W1)"/>
          <w:sz w:val="26"/>
        </w:rPr>
        <w:t>489 Pa. 109, 413 A.2d 1037 (1980).</w:t>
      </w:r>
      <w:r w:rsidR="00F00E17">
        <w:rPr>
          <w:rFonts w:ascii="Times New (W1)" w:hAnsi="Times New (W1)"/>
          <w:sz w:val="26"/>
        </w:rPr>
        <w:t xml:space="preserve">  </w:t>
      </w:r>
    </w:p>
    <w:p w:rsidR="00FB0336" w:rsidRDefault="00FB0336" w:rsidP="001448EA">
      <w:pPr>
        <w:spacing w:line="360" w:lineRule="auto"/>
        <w:ind w:firstLine="1440"/>
        <w:rPr>
          <w:rFonts w:ascii="Times New (W1)" w:hAnsi="Times New (W1)"/>
          <w:sz w:val="26"/>
        </w:rPr>
      </w:pPr>
    </w:p>
    <w:p w:rsidR="00FB0336" w:rsidRPr="00FB0336" w:rsidRDefault="00FB0336" w:rsidP="00FB0336">
      <w:pPr>
        <w:spacing w:line="360" w:lineRule="auto"/>
        <w:ind w:firstLine="1440"/>
        <w:rPr>
          <w:sz w:val="26"/>
        </w:rPr>
      </w:pPr>
      <w:r w:rsidRPr="00FB0336">
        <w:rPr>
          <w:sz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w:t>
      </w:r>
      <w:r>
        <w:rPr>
          <w:sz w:val="26"/>
        </w:rPr>
        <w:t>satisfied t</w:t>
      </w:r>
      <w:r w:rsidRPr="00FB0336">
        <w:rPr>
          <w:sz w:val="26"/>
        </w:rPr>
        <w:t>h</w:t>
      </w:r>
      <w:r>
        <w:rPr>
          <w:sz w:val="26"/>
        </w:rPr>
        <w:t>e</w:t>
      </w:r>
      <w:r w:rsidRPr="00FB0336">
        <w:rPr>
          <w:sz w:val="26"/>
        </w:rPr>
        <w:t xml:space="preserve"> burden of proof.  The Complainant now has to provide some additional evidence to rebut the evidence of the Respondent. </w:t>
      </w:r>
      <w:r w:rsidRPr="00FB0336">
        <w:rPr>
          <w:iCs/>
          <w:sz w:val="26"/>
        </w:rPr>
        <w:t xml:space="preserve"> </w:t>
      </w:r>
      <w:hyperlink r:id="rId9" w:history="1">
        <w:r w:rsidRPr="00FB0336">
          <w:rPr>
            <w:rFonts w:eastAsiaTheme="majorEastAsia"/>
            <w:i/>
            <w:iCs/>
            <w:sz w:val="26"/>
          </w:rPr>
          <w:t>Burleson v. Pa. PUC</w:t>
        </w:r>
        <w:r w:rsidRPr="00FB0336">
          <w:rPr>
            <w:rFonts w:eastAsiaTheme="majorEastAsia"/>
            <w:iCs/>
            <w:sz w:val="26"/>
          </w:rPr>
          <w:t xml:space="preserve">, 443 A.2d 1373 (Pa. Cmwlth. 1982), </w:t>
        </w:r>
        <w:r w:rsidRPr="00CD2881">
          <w:rPr>
            <w:rFonts w:eastAsiaTheme="majorEastAsia"/>
            <w:i/>
            <w:iCs/>
            <w:sz w:val="26"/>
          </w:rPr>
          <w:t>aff’d</w:t>
        </w:r>
        <w:r w:rsidRPr="00FB0336">
          <w:rPr>
            <w:rFonts w:eastAsiaTheme="majorEastAsia"/>
            <w:iCs/>
            <w:sz w:val="26"/>
          </w:rPr>
          <w:t xml:space="preserve">, 501 Pa. </w:t>
        </w:r>
        <w:r w:rsidRPr="00FB0336">
          <w:rPr>
            <w:rFonts w:eastAsiaTheme="majorEastAsia"/>
            <w:iCs/>
            <w:sz w:val="26"/>
          </w:rPr>
          <w:lastRenderedPageBreak/>
          <w:t>433, 461 A.2d 1234 (1983).</w:t>
        </w:r>
      </w:hyperlink>
      <w:r>
        <w:rPr>
          <w:rFonts w:eastAsiaTheme="majorEastAsia"/>
          <w:iCs/>
          <w:sz w:val="26"/>
        </w:rPr>
        <w:t xml:space="preserve">  </w:t>
      </w:r>
      <w:r w:rsidRPr="00FB0336">
        <w:rPr>
          <w:sz w:val="26"/>
        </w:rPr>
        <w:t xml:space="preserve">While the burden of </w:t>
      </w:r>
      <w:r w:rsidR="005618BC">
        <w:rPr>
          <w:sz w:val="26"/>
        </w:rPr>
        <w:t>going forward with the evidence</w:t>
      </w:r>
      <w:r w:rsidRPr="00FB0336">
        <w:rPr>
          <w:sz w:val="26"/>
        </w:rPr>
        <w:t xml:space="preserve"> may </w:t>
      </w:r>
      <w:r w:rsidRPr="00FB0336">
        <w:rPr>
          <w:rFonts w:eastAsiaTheme="majorEastAsia"/>
          <w:sz w:val="26"/>
        </w:rPr>
        <w:t>shift</w:t>
      </w:r>
      <w:r w:rsidRPr="00FB0336">
        <w:rPr>
          <w:sz w:val="26"/>
        </w:rPr>
        <w:t xml:space="preserve"> back and forth during a proceeding, the </w:t>
      </w:r>
      <w:r w:rsidRPr="00FB0336">
        <w:rPr>
          <w:rFonts w:eastAsiaTheme="majorEastAsia"/>
          <w:sz w:val="26"/>
        </w:rPr>
        <w:t>burden of proof</w:t>
      </w:r>
      <w:r w:rsidRPr="00FB0336">
        <w:rPr>
          <w:sz w:val="26"/>
        </w:rPr>
        <w:t xml:space="preserve"> never </w:t>
      </w:r>
      <w:r w:rsidRPr="00FB0336">
        <w:rPr>
          <w:rFonts w:eastAsiaTheme="majorEastAsia"/>
          <w:sz w:val="26"/>
        </w:rPr>
        <w:t>shifts.  The burden of proof</w:t>
      </w:r>
      <w:r w:rsidRPr="00FB0336">
        <w:rPr>
          <w:sz w:val="26"/>
        </w:rPr>
        <w:t xml:space="preserve"> always remains on the party seeking affirmative relief from the Commission.  </w:t>
      </w:r>
      <w:r w:rsidRPr="00FB0336">
        <w:rPr>
          <w:i/>
          <w:sz w:val="26"/>
        </w:rPr>
        <w:t xml:space="preserve">Milkie v. Pa. PUC, </w:t>
      </w:r>
      <w:r w:rsidRPr="00FB0336">
        <w:rPr>
          <w:sz w:val="26"/>
        </w:rPr>
        <w:t>768 A.2d 1217 (Pa. Cmwlth. 2001).</w:t>
      </w:r>
    </w:p>
    <w:p w:rsidR="001448EA" w:rsidRPr="009C2700" w:rsidRDefault="001448EA" w:rsidP="001448EA">
      <w:pPr>
        <w:spacing w:line="360" w:lineRule="auto"/>
        <w:rPr>
          <w:rFonts w:ascii="Times New (W1)" w:hAnsi="Times New (W1)"/>
          <w:sz w:val="26"/>
        </w:rPr>
      </w:pPr>
    </w:p>
    <w:p w:rsidR="0027458E" w:rsidRDefault="009542EE" w:rsidP="00DA2CEC">
      <w:pPr>
        <w:spacing w:line="360" w:lineRule="auto"/>
        <w:ind w:firstLine="1440"/>
        <w:rPr>
          <w:sz w:val="26"/>
          <w:szCs w:val="26"/>
        </w:rPr>
      </w:pPr>
      <w:r>
        <w:rPr>
          <w:sz w:val="26"/>
          <w:szCs w:val="26"/>
        </w:rPr>
        <w:t xml:space="preserve">The ALJ </w:t>
      </w:r>
      <w:r w:rsidR="003440BD" w:rsidRPr="002E740E">
        <w:rPr>
          <w:sz w:val="26"/>
          <w:szCs w:val="26"/>
        </w:rPr>
        <w:t xml:space="preserve">made </w:t>
      </w:r>
      <w:r w:rsidR="00200D0C">
        <w:rPr>
          <w:sz w:val="26"/>
          <w:szCs w:val="26"/>
        </w:rPr>
        <w:t>s</w:t>
      </w:r>
      <w:r w:rsidR="00666E21">
        <w:rPr>
          <w:sz w:val="26"/>
          <w:szCs w:val="26"/>
        </w:rPr>
        <w:t>ix</w:t>
      </w:r>
      <w:r w:rsidR="00A1387B">
        <w:rPr>
          <w:sz w:val="26"/>
          <w:szCs w:val="26"/>
        </w:rPr>
        <w:t>teen</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A1387B">
        <w:rPr>
          <w:sz w:val="26"/>
          <w:szCs w:val="26"/>
        </w:rPr>
        <w:t>four</w:t>
      </w:r>
      <w:r w:rsidR="003440BD" w:rsidRPr="002E740E">
        <w:rPr>
          <w:sz w:val="26"/>
          <w:szCs w:val="26"/>
        </w:rPr>
        <w:t xml:space="preserve"> Conclusion</w:t>
      </w:r>
      <w:r w:rsidR="00A1387B">
        <w:rPr>
          <w:sz w:val="26"/>
          <w:szCs w:val="26"/>
        </w:rPr>
        <w:t>s</w:t>
      </w:r>
      <w:r w:rsidR="003440BD" w:rsidRPr="002E740E">
        <w:rPr>
          <w:sz w:val="26"/>
          <w:szCs w:val="26"/>
        </w:rPr>
        <w:t xml:space="preserve"> of Law</w:t>
      </w:r>
      <w:r w:rsidR="003440BD">
        <w:rPr>
          <w:sz w:val="26"/>
          <w:szCs w:val="26"/>
        </w:rPr>
        <w:t xml:space="preserve">.  </w:t>
      </w:r>
      <w:r w:rsidR="003440BD" w:rsidRPr="002E740E">
        <w:rPr>
          <w:sz w:val="26"/>
          <w:szCs w:val="26"/>
        </w:rPr>
        <w:t xml:space="preserve">I.D. at </w:t>
      </w:r>
      <w:r w:rsidR="00666E21">
        <w:rPr>
          <w:sz w:val="26"/>
          <w:szCs w:val="26"/>
        </w:rPr>
        <w:t>2</w:t>
      </w:r>
      <w:r w:rsidR="00002615">
        <w:rPr>
          <w:sz w:val="26"/>
          <w:szCs w:val="26"/>
        </w:rPr>
        <w:t>-</w:t>
      </w:r>
      <w:r w:rsidR="00A1387B">
        <w:rPr>
          <w:sz w:val="26"/>
          <w:szCs w:val="26"/>
        </w:rPr>
        <w:t>4</w:t>
      </w:r>
      <w:r w:rsidR="003440BD">
        <w:rPr>
          <w:sz w:val="26"/>
          <w:szCs w:val="26"/>
        </w:rPr>
        <w:t xml:space="preserve">, </w:t>
      </w:r>
      <w:r w:rsidR="000275D6">
        <w:rPr>
          <w:sz w:val="26"/>
          <w:szCs w:val="26"/>
        </w:rPr>
        <w:t>8</w:t>
      </w:r>
      <w:r w:rsidR="003440BD">
        <w:rPr>
          <w:sz w:val="26"/>
          <w:szCs w:val="26"/>
        </w:rPr>
        <w:t xml:space="preserve">.  </w:t>
      </w:r>
      <w:r w:rsidR="003440BD" w:rsidRPr="002E740E">
        <w:rPr>
          <w:sz w:val="26"/>
          <w:szCs w:val="26"/>
        </w:rPr>
        <w:t>We shall adopt and incorporate herein by reference the ALJ’s Findings of Fact and Conclusion</w:t>
      </w:r>
      <w:r w:rsidR="00A1387B">
        <w:rPr>
          <w:sz w:val="26"/>
          <w:szCs w:val="26"/>
        </w:rPr>
        <w:t>s</w:t>
      </w:r>
      <w:r w:rsidR="003440BD" w:rsidRPr="002E740E">
        <w:rPr>
          <w:sz w:val="26"/>
          <w:szCs w:val="26"/>
        </w:rPr>
        <w:t xml:space="preserve">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BB63AF" w:rsidRPr="00BB63AF" w:rsidRDefault="0021126F" w:rsidP="0021126F">
      <w:pPr>
        <w:spacing w:line="360" w:lineRule="auto"/>
        <w:ind w:firstLine="720"/>
        <w:rPr>
          <w:sz w:val="26"/>
          <w:szCs w:val="26"/>
        </w:rPr>
      </w:pPr>
      <w:r>
        <w:rPr>
          <w:b/>
          <w:sz w:val="26"/>
          <w:szCs w:val="26"/>
        </w:rPr>
        <w:tab/>
      </w:r>
      <w:r w:rsidR="00BB63AF">
        <w:rPr>
          <w:sz w:val="26"/>
          <w:szCs w:val="26"/>
        </w:rPr>
        <w:t xml:space="preserve">Additionally,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00BB63AF" w:rsidRPr="00BB63AF">
        <w:rPr>
          <w:i/>
          <w:sz w:val="26"/>
          <w:szCs w:val="26"/>
        </w:rPr>
        <w:t>Consolidated Rail Corp. v. Pa. PUC</w:t>
      </w:r>
      <w:r w:rsidR="00BB63AF">
        <w:rPr>
          <w:sz w:val="26"/>
          <w:szCs w:val="26"/>
        </w:rPr>
        <w:t xml:space="preserve">, 625 A.2d 741 (Pa. Cmwlth. 1993); </w:t>
      </w:r>
      <w:r w:rsidR="00BB63AF" w:rsidRPr="00BB63AF">
        <w:rPr>
          <w:i/>
          <w:sz w:val="26"/>
          <w:szCs w:val="26"/>
        </w:rPr>
        <w:t>also see, generally</w:t>
      </w:r>
      <w:r w:rsidR="00BB63AF">
        <w:rPr>
          <w:sz w:val="26"/>
          <w:szCs w:val="26"/>
        </w:rPr>
        <w:t xml:space="preserve">, </w:t>
      </w:r>
      <w:r w:rsidR="00BB63AF" w:rsidRPr="00BB63AF">
        <w:rPr>
          <w:i/>
          <w:sz w:val="26"/>
          <w:szCs w:val="26"/>
        </w:rPr>
        <w:t>University of Pennsylvania v. Pa. PUC</w:t>
      </w:r>
      <w:r w:rsidR="00BB63AF">
        <w:rPr>
          <w:sz w:val="26"/>
          <w:szCs w:val="26"/>
        </w:rPr>
        <w:t xml:space="preserve">, 485 A.2d 1217 (Pa. Cmwlth. 1984).     </w:t>
      </w:r>
    </w:p>
    <w:p w:rsidR="00BB63AF" w:rsidRDefault="00BB63AF" w:rsidP="0021126F">
      <w:pPr>
        <w:spacing w:line="360" w:lineRule="auto"/>
        <w:ind w:firstLine="720"/>
        <w:rPr>
          <w:b/>
          <w:sz w:val="26"/>
          <w:szCs w:val="26"/>
        </w:rPr>
      </w:pPr>
    </w:p>
    <w:p w:rsidR="0021126F" w:rsidRDefault="0021126F" w:rsidP="00BB63AF">
      <w:pPr>
        <w:spacing w:line="360" w:lineRule="auto"/>
        <w:ind w:firstLine="1440"/>
        <w:rPr>
          <w:sz w:val="26"/>
          <w:szCs w:val="26"/>
        </w:rPr>
      </w:pPr>
      <w:r>
        <w:rPr>
          <w:sz w:val="26"/>
          <w:szCs w:val="26"/>
        </w:rPr>
        <w:t>The ALJ found that</w:t>
      </w:r>
      <w:r w:rsidR="00A1387B">
        <w:rPr>
          <w:sz w:val="26"/>
          <w:szCs w:val="26"/>
        </w:rPr>
        <w:t xml:space="preserve"> the Commission did not have jurisdiction over the</w:t>
      </w:r>
      <w:r w:rsidR="00761DA2">
        <w:rPr>
          <w:sz w:val="26"/>
          <w:szCs w:val="26"/>
        </w:rPr>
        <w:t xml:space="preserve"> Complainant’s claim for reimbursement because the Commission is not authorized to award monetary damages.  I.D. at 6.  The ALJ also determined that the Complainant did not meet her burden of proof</w:t>
      </w:r>
      <w:r w:rsidR="00F5084E">
        <w:rPr>
          <w:sz w:val="26"/>
          <w:szCs w:val="26"/>
        </w:rPr>
        <w:t xml:space="preserve"> as she did not prove that Peoples violated the Code, Commission Regulations, or any Commission Order</w:t>
      </w:r>
      <w:r w:rsidR="00761DA2">
        <w:rPr>
          <w:sz w:val="26"/>
          <w:szCs w:val="26"/>
        </w:rPr>
        <w:t xml:space="preserve">.  The ALJ concluded that Peoples was not responsible for replacement of the Complainant’s riser because it was part of the Complainant’s service line, and it was her responsibility </w:t>
      </w:r>
      <w:r w:rsidR="00F5084E">
        <w:rPr>
          <w:sz w:val="26"/>
          <w:szCs w:val="26"/>
        </w:rPr>
        <w:t>pursuant to Peoples’ Commission-approved tariff.</w:t>
      </w:r>
      <w:r w:rsidR="003342FF">
        <w:rPr>
          <w:sz w:val="26"/>
          <w:szCs w:val="26"/>
        </w:rPr>
        <w:t xml:space="preserve">  </w:t>
      </w:r>
      <w:r w:rsidR="003342FF" w:rsidRPr="003342FF">
        <w:rPr>
          <w:i/>
          <w:sz w:val="26"/>
          <w:szCs w:val="26"/>
        </w:rPr>
        <w:t>Id</w:t>
      </w:r>
      <w:r w:rsidR="003342FF">
        <w:rPr>
          <w:sz w:val="26"/>
          <w:szCs w:val="26"/>
        </w:rPr>
        <w:t xml:space="preserve">. at 8.  </w:t>
      </w:r>
      <w:r w:rsidR="00F5084E">
        <w:rPr>
          <w:sz w:val="26"/>
          <w:szCs w:val="26"/>
        </w:rPr>
        <w:t xml:space="preserve">   </w:t>
      </w:r>
      <w:r w:rsidR="00761DA2">
        <w:rPr>
          <w:sz w:val="26"/>
          <w:szCs w:val="26"/>
        </w:rPr>
        <w:t xml:space="preserve"> </w:t>
      </w:r>
    </w:p>
    <w:p w:rsidR="0021126F" w:rsidRDefault="0021126F" w:rsidP="0021126F">
      <w:pPr>
        <w:spacing w:line="360" w:lineRule="auto"/>
        <w:ind w:firstLine="720"/>
        <w:rPr>
          <w:sz w:val="26"/>
          <w:szCs w:val="26"/>
        </w:rPr>
      </w:pPr>
    </w:p>
    <w:p w:rsidR="00CA617C" w:rsidRDefault="0021126F" w:rsidP="0021126F">
      <w:pPr>
        <w:spacing w:line="360" w:lineRule="auto"/>
        <w:ind w:firstLine="720"/>
        <w:rPr>
          <w:sz w:val="26"/>
          <w:szCs w:val="26"/>
        </w:rPr>
      </w:pPr>
      <w:r>
        <w:rPr>
          <w:sz w:val="26"/>
          <w:szCs w:val="26"/>
        </w:rPr>
        <w:tab/>
      </w:r>
      <w:r w:rsidR="003F6034">
        <w:rPr>
          <w:sz w:val="26"/>
          <w:szCs w:val="26"/>
        </w:rPr>
        <w:t>Based on our review of the record</w:t>
      </w:r>
      <w:r w:rsidR="006E50DF">
        <w:rPr>
          <w:sz w:val="26"/>
          <w:szCs w:val="26"/>
        </w:rPr>
        <w:t>, including</w:t>
      </w:r>
      <w:r w:rsidR="003F6034">
        <w:rPr>
          <w:sz w:val="26"/>
          <w:szCs w:val="26"/>
        </w:rPr>
        <w:t xml:space="preserve"> the ALJ’s Initial Decision, we disagree that examining ownership of the facilities at issue completes the necessary analysis.  Rather, we believe it is necessary to determine the following: </w:t>
      </w:r>
    </w:p>
    <w:p w:rsidR="00CA617C" w:rsidRPr="00836C55" w:rsidRDefault="00A77CC0" w:rsidP="00836C55">
      <w:pPr>
        <w:pStyle w:val="ListParagraph"/>
        <w:numPr>
          <w:ilvl w:val="0"/>
          <w:numId w:val="12"/>
        </w:numPr>
        <w:ind w:right="1440"/>
        <w:rPr>
          <w:sz w:val="26"/>
          <w:szCs w:val="26"/>
        </w:rPr>
      </w:pPr>
      <w:r w:rsidRPr="00836C55">
        <w:rPr>
          <w:sz w:val="26"/>
          <w:szCs w:val="26"/>
        </w:rPr>
        <w:lastRenderedPageBreak/>
        <w:t xml:space="preserve">Whether Peoples paid for its riser replacement program out of retained earnings or ratepayer funds; </w:t>
      </w:r>
    </w:p>
    <w:p w:rsidR="00836C55" w:rsidRPr="00836C55" w:rsidRDefault="00836C55" w:rsidP="00836C55">
      <w:pPr>
        <w:ind w:left="1440" w:right="1440"/>
        <w:rPr>
          <w:sz w:val="26"/>
          <w:szCs w:val="26"/>
        </w:rPr>
      </w:pPr>
    </w:p>
    <w:p w:rsidR="00CA617C" w:rsidRDefault="006E50DF" w:rsidP="006E50DF">
      <w:pPr>
        <w:ind w:left="1440" w:right="1440"/>
        <w:rPr>
          <w:rFonts w:eastAsiaTheme="minorHAnsi"/>
          <w:sz w:val="26"/>
        </w:rPr>
      </w:pPr>
      <w:r>
        <w:rPr>
          <w:rFonts w:eastAsiaTheme="minorHAnsi"/>
          <w:sz w:val="26"/>
        </w:rPr>
        <w:t>(</w:t>
      </w:r>
      <w:r w:rsidR="00A77CC0">
        <w:rPr>
          <w:rFonts w:eastAsiaTheme="minorHAnsi"/>
          <w:sz w:val="26"/>
        </w:rPr>
        <w:t xml:space="preserve">2)  Whether Peoples undertook any operational activities or line replacement activities in the Hunting Ridge Subdivision that had the effect of raising the operating pressures in that subdivision, or otherwise disturbing the </w:t>
      </w:r>
      <w:r w:rsidR="00CA617C">
        <w:rPr>
          <w:rFonts w:eastAsiaTheme="minorHAnsi"/>
          <w:sz w:val="26"/>
        </w:rPr>
        <w:t xml:space="preserve">service lines in the subdivision immediately prior to the period when these risers developed leaks.  If so, Peoples should describe these activities, when they occurred, and whether these activities could have precipitated these riser leaks; and </w:t>
      </w:r>
    </w:p>
    <w:p w:rsidR="00CA617C" w:rsidRDefault="00CA617C" w:rsidP="00CA617C">
      <w:pPr>
        <w:ind w:left="1440" w:right="1440" w:firstLine="720"/>
        <w:rPr>
          <w:rFonts w:eastAsiaTheme="minorHAnsi"/>
          <w:sz w:val="26"/>
        </w:rPr>
      </w:pPr>
    </w:p>
    <w:p w:rsidR="00CA617C" w:rsidRDefault="00CA617C" w:rsidP="00CA617C">
      <w:pPr>
        <w:ind w:left="1440" w:right="1440"/>
        <w:rPr>
          <w:rFonts w:eastAsiaTheme="minorHAnsi"/>
          <w:sz w:val="26"/>
        </w:rPr>
      </w:pPr>
      <w:r>
        <w:rPr>
          <w:rFonts w:eastAsiaTheme="minorHAnsi"/>
          <w:sz w:val="26"/>
        </w:rPr>
        <w:t xml:space="preserve">(3)  Whether Peoples undertook an investigation on the root causes of these riser leaks, and whether or not the service line installer methods or materials were at fault for these leaks.  If so, Peoples should describe with reasonable detail the root cause and who installed the original risers.  </w:t>
      </w:r>
    </w:p>
    <w:p w:rsidR="00702BEE" w:rsidRDefault="00702BEE" w:rsidP="00A02CA3">
      <w:pPr>
        <w:spacing w:line="360" w:lineRule="auto"/>
        <w:ind w:left="1440" w:right="1440"/>
        <w:rPr>
          <w:rFonts w:eastAsiaTheme="minorHAnsi"/>
          <w:sz w:val="26"/>
        </w:rPr>
      </w:pPr>
    </w:p>
    <w:p w:rsidR="00A02CA3" w:rsidRDefault="00A02CA3" w:rsidP="00A02CA3">
      <w:pPr>
        <w:spacing w:line="360" w:lineRule="auto"/>
        <w:ind w:firstLine="1440"/>
        <w:rPr>
          <w:rFonts w:eastAsiaTheme="minorHAnsi"/>
          <w:sz w:val="26"/>
        </w:rPr>
      </w:pPr>
      <w:r>
        <w:rPr>
          <w:rFonts w:eastAsiaTheme="minorHAnsi"/>
          <w:sz w:val="26"/>
        </w:rPr>
        <w:t xml:space="preserve">We would have remanded this proceeding to the Office of Administrative Law Judge to address the aforementioned issues, but for the filing of a certificate of satisfaction on September 24, 2012.  Our Regulation at 52 Pa. Code § 5.24(b) permits a Respondent to file a certificate indicating that it has addressed a Complaint.  The Complainant has ten days to file an objection to the certificate.  If no objection is filed within that period, the docket is to be marked closed.  52 Pa. Code § 5.24(c).  In this case, the ten-day objection period has expired and no objection has been filed.  We will therefore order this case closed.        </w:t>
      </w:r>
    </w:p>
    <w:p w:rsidR="00CA617C" w:rsidRDefault="00CA617C" w:rsidP="0021126F">
      <w:pPr>
        <w:spacing w:line="360" w:lineRule="auto"/>
        <w:ind w:firstLine="720"/>
        <w:rPr>
          <w:rFonts w:eastAsiaTheme="minorHAnsi"/>
          <w:sz w:val="26"/>
        </w:rPr>
      </w:pPr>
    </w:p>
    <w:p w:rsidR="00956972" w:rsidRPr="00385898" w:rsidRDefault="00956972" w:rsidP="008D78F0">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E856B7">
        <w:rPr>
          <w:sz w:val="26"/>
          <w:szCs w:val="26"/>
        </w:rPr>
        <w:t>, including</w:t>
      </w:r>
      <w:r w:rsidR="008D78F0">
        <w:rPr>
          <w:sz w:val="26"/>
          <w:szCs w:val="26"/>
        </w:rPr>
        <w:t xml:space="preserve"> </w:t>
      </w:r>
      <w:r w:rsidR="003928E1">
        <w:rPr>
          <w:sz w:val="26"/>
          <w:szCs w:val="26"/>
        </w:rPr>
        <w:t xml:space="preserve">the ALJ’s Initial Decision, </w:t>
      </w:r>
      <w:r w:rsidR="00FD497B">
        <w:rPr>
          <w:sz w:val="26"/>
          <w:szCs w:val="26"/>
        </w:rPr>
        <w:t>w</w:t>
      </w:r>
      <w:r w:rsidR="00836C55">
        <w:rPr>
          <w:sz w:val="26"/>
          <w:szCs w:val="26"/>
        </w:rPr>
        <w:t>e </w:t>
      </w:r>
      <w:r w:rsidR="00502D50">
        <w:rPr>
          <w:sz w:val="26"/>
          <w:szCs w:val="26"/>
        </w:rPr>
        <w:t>shall</w:t>
      </w:r>
      <w:r w:rsidR="0019318F">
        <w:rPr>
          <w:sz w:val="26"/>
          <w:szCs w:val="26"/>
        </w:rPr>
        <w:t xml:space="preserve"> </w:t>
      </w:r>
      <w:r w:rsidR="00E856B7">
        <w:rPr>
          <w:sz w:val="26"/>
          <w:szCs w:val="26"/>
        </w:rPr>
        <w:t>vacate</w:t>
      </w:r>
      <w:r w:rsidR="006652C6">
        <w:rPr>
          <w:sz w:val="26"/>
          <w:szCs w:val="26"/>
        </w:rPr>
        <w:t xml:space="preserve"> the A</w:t>
      </w:r>
      <w:r w:rsidR="0023377F">
        <w:rPr>
          <w:sz w:val="26"/>
          <w:szCs w:val="26"/>
        </w:rPr>
        <w:t>LJ’s Initial Decision</w:t>
      </w:r>
      <w:r w:rsidR="00146E30">
        <w:rPr>
          <w:sz w:val="26"/>
          <w:szCs w:val="26"/>
        </w:rPr>
        <w:t xml:space="preserve"> and</w:t>
      </w:r>
      <w:r w:rsidR="0019251E">
        <w:rPr>
          <w:sz w:val="26"/>
          <w:szCs w:val="26"/>
        </w:rPr>
        <w:t xml:space="preserve"> </w:t>
      </w:r>
      <w:r w:rsidR="00A02CA3">
        <w:rPr>
          <w:sz w:val="26"/>
          <w:szCs w:val="26"/>
        </w:rPr>
        <w:t>close</w:t>
      </w:r>
      <w:r w:rsidR="008D78F0">
        <w:rPr>
          <w:sz w:val="26"/>
          <w:szCs w:val="26"/>
        </w:rPr>
        <w:t xml:space="preserve"> this proceeding</w:t>
      </w:r>
      <w:r w:rsidR="00146E30">
        <w:rPr>
          <w:sz w:val="26"/>
          <w:szCs w:val="26"/>
        </w:rPr>
        <w:t xml:space="preserve"> </w:t>
      </w:r>
      <w:r w:rsidR="00A02CA3">
        <w:rPr>
          <w:sz w:val="26"/>
          <w:szCs w:val="26"/>
        </w:rPr>
        <w:t>based on the September 24, 2012 Certificate of Satisfaction</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836C55">
      <w:pPr>
        <w:keepNext/>
        <w:spacing w:line="360" w:lineRule="auto"/>
        <w:rPr>
          <w:b/>
          <w:sz w:val="26"/>
          <w:szCs w:val="26"/>
        </w:rPr>
      </w:pPr>
      <w:r w:rsidRPr="000D6043">
        <w:rPr>
          <w:sz w:val="26"/>
          <w:szCs w:val="26"/>
        </w:rPr>
        <w:lastRenderedPageBreak/>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 xml:space="preserve">Judge </w:t>
      </w:r>
      <w:r w:rsidR="00F575A0">
        <w:rPr>
          <w:sz w:val="26"/>
          <w:szCs w:val="26"/>
        </w:rPr>
        <w:t>Mark A. Hoyer</w:t>
      </w:r>
      <w:r w:rsidR="00B809EB">
        <w:rPr>
          <w:sz w:val="26"/>
          <w:szCs w:val="26"/>
        </w:rPr>
        <w:t xml:space="preserve">, issued </w:t>
      </w:r>
      <w:r w:rsidR="00F575A0">
        <w:rPr>
          <w:sz w:val="26"/>
          <w:szCs w:val="26"/>
        </w:rPr>
        <w:t>May 23, 2012</w:t>
      </w:r>
      <w:r w:rsidR="006652C6">
        <w:rPr>
          <w:sz w:val="26"/>
          <w:szCs w:val="26"/>
        </w:rPr>
        <w:t>,</w:t>
      </w:r>
      <w:r w:rsidR="008E45DB">
        <w:rPr>
          <w:sz w:val="26"/>
          <w:szCs w:val="26"/>
        </w:rPr>
        <w:t xml:space="preserve"> </w:t>
      </w:r>
      <w:r w:rsidR="005154BC">
        <w:rPr>
          <w:sz w:val="26"/>
          <w:szCs w:val="26"/>
        </w:rPr>
        <w:t xml:space="preserve">is </w:t>
      </w:r>
      <w:r w:rsidR="003C76B0">
        <w:rPr>
          <w:sz w:val="26"/>
          <w:szCs w:val="26"/>
        </w:rPr>
        <w:t>vacated</w:t>
      </w:r>
      <w:r w:rsidR="00824CFF">
        <w:rPr>
          <w:sz w:val="26"/>
          <w:szCs w:val="26"/>
        </w:rPr>
        <w:t>,</w:t>
      </w:r>
      <w:r w:rsidR="007473AC">
        <w:rPr>
          <w:sz w:val="26"/>
          <w:szCs w:val="26"/>
        </w:rPr>
        <w:t xml:space="preserve"> </w:t>
      </w:r>
      <w:r w:rsidR="00824CFF">
        <w:rPr>
          <w:sz w:val="26"/>
          <w:szCs w:val="26"/>
        </w:rPr>
        <w:t>consistent with</w:t>
      </w:r>
      <w:r w:rsidR="00243CC9">
        <w:rPr>
          <w:sz w:val="26"/>
          <w:szCs w:val="26"/>
        </w:rPr>
        <w:t xml:space="preserve"> this Opinion and Order</w:t>
      </w:r>
      <w:r w:rsidR="00EF782F">
        <w:rPr>
          <w:sz w:val="26"/>
          <w:szCs w:val="26"/>
        </w:rPr>
        <w:t>.</w:t>
      </w:r>
    </w:p>
    <w:p w:rsidR="00DE5066" w:rsidRDefault="00DE5066" w:rsidP="00824CFF">
      <w:pPr>
        <w:spacing w:line="360" w:lineRule="auto"/>
        <w:ind w:firstLine="1440"/>
        <w:rPr>
          <w:sz w:val="26"/>
          <w:szCs w:val="26"/>
        </w:rPr>
      </w:pPr>
    </w:p>
    <w:p w:rsidR="00F575A0" w:rsidRDefault="003C76B0" w:rsidP="00F575A0">
      <w:pPr>
        <w:spacing w:line="360" w:lineRule="auto"/>
        <w:ind w:firstLine="1440"/>
        <w:rPr>
          <w:sz w:val="26"/>
          <w:szCs w:val="26"/>
        </w:rPr>
      </w:pPr>
      <w:r>
        <w:rPr>
          <w:sz w:val="26"/>
          <w:szCs w:val="26"/>
        </w:rPr>
        <w:t>2.</w:t>
      </w:r>
      <w:r>
        <w:rPr>
          <w:sz w:val="26"/>
          <w:szCs w:val="26"/>
        </w:rPr>
        <w:tab/>
        <w:t xml:space="preserve">That this proceeding shall be </w:t>
      </w:r>
      <w:r w:rsidR="00F575A0">
        <w:rPr>
          <w:sz w:val="26"/>
          <w:szCs w:val="26"/>
        </w:rPr>
        <w:t xml:space="preserve">marked closed.  </w:t>
      </w:r>
    </w:p>
    <w:p w:rsidR="005D74D6" w:rsidRDefault="006652C6" w:rsidP="001A1AD3">
      <w:pPr>
        <w:spacing w:line="360" w:lineRule="auto"/>
        <w:rPr>
          <w:sz w:val="26"/>
          <w:szCs w:val="26"/>
        </w:rPr>
      </w:pPr>
      <w:r>
        <w:rPr>
          <w:sz w:val="26"/>
          <w:szCs w:val="26"/>
        </w:rPr>
        <w:tab/>
      </w:r>
      <w:r>
        <w:rPr>
          <w:sz w:val="26"/>
          <w:szCs w:val="26"/>
        </w:rPr>
        <w:tab/>
      </w:r>
      <w:r w:rsidR="00FF14E7">
        <w:rPr>
          <w:sz w:val="26"/>
          <w:szCs w:val="26"/>
        </w:rPr>
        <w:t xml:space="preserve"> </w:t>
      </w:r>
      <w:r w:rsidR="005D74D6">
        <w:rPr>
          <w:sz w:val="26"/>
          <w:szCs w:val="26"/>
        </w:rPr>
        <w:tab/>
      </w:r>
      <w:r w:rsidR="005D74D6">
        <w:rPr>
          <w:sz w:val="26"/>
          <w:szCs w:val="26"/>
        </w:rPr>
        <w:tab/>
      </w:r>
    </w:p>
    <w:p w:rsidR="00503B2F" w:rsidRPr="003C63B1" w:rsidRDefault="002539EC" w:rsidP="0019251E">
      <w:pPr>
        <w:spacing w:line="360" w:lineRule="auto"/>
        <w:rPr>
          <w:sz w:val="26"/>
        </w:rPr>
      </w:pPr>
      <w:r>
        <w:rPr>
          <w:noProof/>
        </w:rPr>
        <w:drawing>
          <wp:anchor distT="0" distB="0" distL="114300" distR="114300" simplePos="0" relativeHeight="251658240" behindDoc="1" locked="0" layoutInCell="1" allowOverlap="1" wp14:anchorId="0C8E131D" wp14:editId="417FEE97">
            <wp:simplePos x="0" y="0"/>
            <wp:positionH relativeFrom="column">
              <wp:posOffset>2889250</wp:posOffset>
            </wp:positionH>
            <wp:positionV relativeFrom="paragraph">
              <wp:posOffset>89535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E7206">
        <w:rPr>
          <w:sz w:val="26"/>
          <w:szCs w:val="26"/>
        </w:rPr>
        <w:tab/>
      </w:r>
      <w:r w:rsidR="002E7206">
        <w:rPr>
          <w:sz w:val="26"/>
          <w:szCs w:val="26"/>
        </w:rPr>
        <w:tab/>
      </w:r>
      <w:r w:rsidR="001A1AD3" w:rsidRPr="000D6043">
        <w:rPr>
          <w:sz w:val="26"/>
          <w:szCs w:val="26"/>
        </w:rPr>
        <w:tab/>
      </w:r>
      <w:r w:rsidR="001A1AD3" w:rsidRPr="000D6043">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824CFF">
        <w:rPr>
          <w:sz w:val="26"/>
        </w:rPr>
        <w:t>September 13, 2012</w:t>
      </w:r>
      <w:r w:rsidR="00FF14E7">
        <w:rPr>
          <w:sz w:val="26"/>
        </w:rPr>
        <w:t xml:space="preserve"> </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2539EC">
        <w:rPr>
          <w:sz w:val="26"/>
        </w:rPr>
        <w:t>October 22, 2012</w:t>
      </w:r>
      <w:bookmarkStart w:id="0" w:name="_GoBack"/>
      <w:bookmarkEnd w:id="0"/>
    </w:p>
    <w:p w:rsidR="009304FE" w:rsidRDefault="009304FE" w:rsidP="00503B2F">
      <w:pPr>
        <w:spacing w:line="360" w:lineRule="auto"/>
      </w:pPr>
    </w:p>
    <w:sectPr w:rsidR="009304F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9A" w:rsidRDefault="002E3C9A">
      <w:r>
        <w:separator/>
      </w:r>
    </w:p>
  </w:endnote>
  <w:endnote w:type="continuationSeparator" w:id="0">
    <w:p w:rsidR="002E3C9A" w:rsidRDefault="002E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2539EC">
      <w:rPr>
        <w:rStyle w:val="PageNumber"/>
        <w:noProof/>
      </w:rPr>
      <w:t>6</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9A" w:rsidRDefault="002E3C9A">
      <w:r>
        <w:separator/>
      </w:r>
    </w:p>
  </w:footnote>
  <w:footnote w:type="continuationSeparator" w:id="0">
    <w:p w:rsidR="002E3C9A" w:rsidRDefault="002E3C9A">
      <w:r>
        <w:continuationSeparator/>
      </w:r>
    </w:p>
  </w:footnote>
  <w:footnote w:id="1">
    <w:p w:rsidR="00F524DC" w:rsidRPr="00963013" w:rsidRDefault="00F524DC" w:rsidP="002032F2">
      <w:pPr>
        <w:pStyle w:val="FootnoteText"/>
        <w:spacing w:before="0" w:after="0"/>
        <w:rPr>
          <w:rFonts w:ascii="Times New Roman" w:hAnsi="Times New Roman"/>
          <w:sz w:val="26"/>
        </w:rPr>
      </w:pPr>
      <w:r>
        <w:tab/>
      </w:r>
      <w:r w:rsidRPr="00963013">
        <w:rPr>
          <w:rStyle w:val="FootnoteReference"/>
          <w:rFonts w:ascii="Times New Roman" w:hAnsi="Times New Roman"/>
        </w:rPr>
        <w:footnoteRef/>
      </w:r>
      <w:r w:rsidRPr="00963013">
        <w:rPr>
          <w:rFonts w:ascii="Times New Roman" w:hAnsi="Times New Roman"/>
          <w:sz w:val="26"/>
        </w:rPr>
        <w:t xml:space="preserve"> </w:t>
      </w:r>
      <w:r w:rsidRPr="00963013">
        <w:rPr>
          <w:rFonts w:ascii="Times New Roman" w:hAnsi="Times New Roman"/>
          <w:sz w:val="26"/>
        </w:rPr>
        <w:tab/>
        <w:t>A “riser” is the component of a natural gas distribution system</w:t>
      </w:r>
      <w:r w:rsidR="00963013" w:rsidRPr="00963013">
        <w:rPr>
          <w:rFonts w:ascii="Times New Roman" w:hAnsi="Times New Roman"/>
          <w:sz w:val="26"/>
        </w:rPr>
        <w:t xml:space="preserve"> that connects to a service line, rises above ground, and connects to the meter set.  Risers are not part of Peoples’ jurisdictional gas system.   </w:t>
      </w:r>
    </w:p>
  </w:footnote>
  <w:footnote w:id="2">
    <w:p w:rsidR="00963013" w:rsidRPr="00963013" w:rsidRDefault="00963013" w:rsidP="002032F2">
      <w:pPr>
        <w:pStyle w:val="FootnoteText"/>
        <w:spacing w:before="0" w:after="0"/>
        <w:rPr>
          <w:rFonts w:ascii="Times New Roman" w:hAnsi="Times New Roman"/>
          <w:sz w:val="26"/>
        </w:rPr>
      </w:pPr>
      <w:r>
        <w:tab/>
      </w:r>
      <w:r w:rsidRPr="00963013">
        <w:rPr>
          <w:rStyle w:val="FootnoteReference"/>
          <w:rFonts w:ascii="Times New Roman" w:hAnsi="Times New Roman"/>
        </w:rPr>
        <w:footnoteRef/>
      </w:r>
      <w:r w:rsidRPr="00963013">
        <w:rPr>
          <w:rFonts w:ascii="Times New Roman" w:hAnsi="Times New Roman"/>
          <w:sz w:val="26"/>
        </w:rPr>
        <w:t xml:space="preserve"> </w:t>
      </w:r>
      <w:r w:rsidRPr="00963013">
        <w:rPr>
          <w:rFonts w:ascii="Times New Roman" w:hAnsi="Times New Roman"/>
          <w:sz w:val="26"/>
        </w:rPr>
        <w:tab/>
        <w:t xml:space="preserve">The same issue was raised by another resident of the Complainant’s housing development in </w:t>
      </w:r>
      <w:r w:rsidRPr="001E2ED9">
        <w:rPr>
          <w:rFonts w:ascii="Times New Roman" w:hAnsi="Times New Roman"/>
          <w:i/>
          <w:sz w:val="26"/>
        </w:rPr>
        <w:t>Theresa Karaffa v. Peoples Natural Gas Company LLC</w:t>
      </w:r>
      <w:r w:rsidRPr="00963013">
        <w:rPr>
          <w:rFonts w:ascii="Times New Roman" w:hAnsi="Times New Roman"/>
          <w:sz w:val="26"/>
        </w:rPr>
        <w:t>, Docket No. C-2012-2288380 (</w:t>
      </w:r>
      <w:r w:rsidRPr="001E2ED9">
        <w:rPr>
          <w:rFonts w:ascii="Times New Roman" w:hAnsi="Times New Roman"/>
          <w:i/>
          <w:sz w:val="26"/>
        </w:rPr>
        <w:t>Karaffa</w:t>
      </w:r>
      <w:r w:rsidRPr="00963013">
        <w:rPr>
          <w:rFonts w:ascii="Times New Roman" w:hAnsi="Times New Roman"/>
          <w:sz w:val="26"/>
        </w:rPr>
        <w:t xml:space="preserve">), before ALJ John H. Corbett, Jr. at a hearing held on April 23, 2012.  ALJ Corbett’s Initial Decision in that case was issued on June 8, 2012.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68BA6531"/>
    <w:multiLevelType w:val="hybridMultilevel"/>
    <w:tmpl w:val="0DAAAA98"/>
    <w:lvl w:ilvl="0" w:tplc="8F368F6E">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2EB0"/>
    <w:rsid w:val="00013B94"/>
    <w:rsid w:val="0001411C"/>
    <w:rsid w:val="0001414B"/>
    <w:rsid w:val="00014826"/>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4438"/>
    <w:rsid w:val="0004679E"/>
    <w:rsid w:val="000472A4"/>
    <w:rsid w:val="000510D0"/>
    <w:rsid w:val="000510FD"/>
    <w:rsid w:val="00053CED"/>
    <w:rsid w:val="000541A0"/>
    <w:rsid w:val="00054407"/>
    <w:rsid w:val="00054F7A"/>
    <w:rsid w:val="00055EF9"/>
    <w:rsid w:val="00057057"/>
    <w:rsid w:val="000573BD"/>
    <w:rsid w:val="000610F9"/>
    <w:rsid w:val="00061284"/>
    <w:rsid w:val="00061850"/>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B80"/>
    <w:rsid w:val="000B3FB4"/>
    <w:rsid w:val="000B4F29"/>
    <w:rsid w:val="000B5487"/>
    <w:rsid w:val="000B5DF8"/>
    <w:rsid w:val="000B71E3"/>
    <w:rsid w:val="000B77E2"/>
    <w:rsid w:val="000B7E7F"/>
    <w:rsid w:val="000C4BFD"/>
    <w:rsid w:val="000C608B"/>
    <w:rsid w:val="000C6C92"/>
    <w:rsid w:val="000C742F"/>
    <w:rsid w:val="000D0BAC"/>
    <w:rsid w:val="000D0D75"/>
    <w:rsid w:val="000D1965"/>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30"/>
    <w:rsid w:val="00147415"/>
    <w:rsid w:val="00150989"/>
    <w:rsid w:val="001509E0"/>
    <w:rsid w:val="0015662E"/>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06F7"/>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70A6"/>
    <w:rsid w:val="001D7137"/>
    <w:rsid w:val="001E05C6"/>
    <w:rsid w:val="001E0B29"/>
    <w:rsid w:val="001E19BC"/>
    <w:rsid w:val="001E1A53"/>
    <w:rsid w:val="001E2CFB"/>
    <w:rsid w:val="001E2ED9"/>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2F2"/>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70BF"/>
    <w:rsid w:val="002174D8"/>
    <w:rsid w:val="00217C4E"/>
    <w:rsid w:val="00223564"/>
    <w:rsid w:val="002242F7"/>
    <w:rsid w:val="0022529A"/>
    <w:rsid w:val="00225BD2"/>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50F3"/>
    <w:rsid w:val="00245B0C"/>
    <w:rsid w:val="002469C9"/>
    <w:rsid w:val="00247332"/>
    <w:rsid w:val="00250E63"/>
    <w:rsid w:val="00252313"/>
    <w:rsid w:val="00252626"/>
    <w:rsid w:val="002539EC"/>
    <w:rsid w:val="00253CC7"/>
    <w:rsid w:val="00254560"/>
    <w:rsid w:val="00254840"/>
    <w:rsid w:val="002556E9"/>
    <w:rsid w:val="002564D7"/>
    <w:rsid w:val="00256A4C"/>
    <w:rsid w:val="0025718D"/>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975BF"/>
    <w:rsid w:val="002A0E82"/>
    <w:rsid w:val="002A3250"/>
    <w:rsid w:val="002A3A6E"/>
    <w:rsid w:val="002A3AC8"/>
    <w:rsid w:val="002A5399"/>
    <w:rsid w:val="002A5564"/>
    <w:rsid w:val="002A740E"/>
    <w:rsid w:val="002A782B"/>
    <w:rsid w:val="002B0089"/>
    <w:rsid w:val="002B03EA"/>
    <w:rsid w:val="002B31AD"/>
    <w:rsid w:val="002B3767"/>
    <w:rsid w:val="002B4B0D"/>
    <w:rsid w:val="002B6B0C"/>
    <w:rsid w:val="002C011D"/>
    <w:rsid w:val="002C116F"/>
    <w:rsid w:val="002C4014"/>
    <w:rsid w:val="002C4311"/>
    <w:rsid w:val="002C5DB6"/>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3288"/>
    <w:rsid w:val="002E3C9A"/>
    <w:rsid w:val="002E4908"/>
    <w:rsid w:val="002E6F2D"/>
    <w:rsid w:val="002E7206"/>
    <w:rsid w:val="002F0238"/>
    <w:rsid w:val="002F14FA"/>
    <w:rsid w:val="002F3B92"/>
    <w:rsid w:val="002F4D5E"/>
    <w:rsid w:val="002F50FB"/>
    <w:rsid w:val="002F6563"/>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09FF"/>
    <w:rsid w:val="0033198B"/>
    <w:rsid w:val="003342FF"/>
    <w:rsid w:val="0033589A"/>
    <w:rsid w:val="00337C48"/>
    <w:rsid w:val="00337DFD"/>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43BB"/>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D7F55"/>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2F46"/>
    <w:rsid w:val="00543297"/>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4D1A"/>
    <w:rsid w:val="005850E9"/>
    <w:rsid w:val="00585605"/>
    <w:rsid w:val="00585FF4"/>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3735"/>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1632"/>
    <w:rsid w:val="006B23FF"/>
    <w:rsid w:val="006B247F"/>
    <w:rsid w:val="006B3C0B"/>
    <w:rsid w:val="006B460D"/>
    <w:rsid w:val="006B59EF"/>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7B1A"/>
    <w:rsid w:val="006F0018"/>
    <w:rsid w:val="006F32C7"/>
    <w:rsid w:val="006F381F"/>
    <w:rsid w:val="006F4482"/>
    <w:rsid w:val="006F45BC"/>
    <w:rsid w:val="006F472E"/>
    <w:rsid w:val="006F59DE"/>
    <w:rsid w:val="00700664"/>
    <w:rsid w:val="00700E59"/>
    <w:rsid w:val="00701FAC"/>
    <w:rsid w:val="00702BEE"/>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31E0"/>
    <w:rsid w:val="00765781"/>
    <w:rsid w:val="00766353"/>
    <w:rsid w:val="00773BDD"/>
    <w:rsid w:val="00774460"/>
    <w:rsid w:val="00776EC9"/>
    <w:rsid w:val="00780296"/>
    <w:rsid w:val="00780707"/>
    <w:rsid w:val="00780972"/>
    <w:rsid w:val="00780E2F"/>
    <w:rsid w:val="00781C27"/>
    <w:rsid w:val="00787B2C"/>
    <w:rsid w:val="00787B36"/>
    <w:rsid w:val="00787C7F"/>
    <w:rsid w:val="00787D24"/>
    <w:rsid w:val="00791EEE"/>
    <w:rsid w:val="007946EB"/>
    <w:rsid w:val="0079543C"/>
    <w:rsid w:val="00795F8D"/>
    <w:rsid w:val="00796AEA"/>
    <w:rsid w:val="007A1316"/>
    <w:rsid w:val="007A1DC5"/>
    <w:rsid w:val="007A20AD"/>
    <w:rsid w:val="007A28CD"/>
    <w:rsid w:val="007A5D05"/>
    <w:rsid w:val="007A5E2B"/>
    <w:rsid w:val="007A7331"/>
    <w:rsid w:val="007A7415"/>
    <w:rsid w:val="007B0CB0"/>
    <w:rsid w:val="007B116D"/>
    <w:rsid w:val="007B1A13"/>
    <w:rsid w:val="007B1F99"/>
    <w:rsid w:val="007B27DF"/>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4F3E"/>
    <w:rsid w:val="00835315"/>
    <w:rsid w:val="00835AEB"/>
    <w:rsid w:val="00836BE5"/>
    <w:rsid w:val="00836C55"/>
    <w:rsid w:val="00840D0F"/>
    <w:rsid w:val="0084200E"/>
    <w:rsid w:val="00842A84"/>
    <w:rsid w:val="00842FDE"/>
    <w:rsid w:val="008445D4"/>
    <w:rsid w:val="008446F1"/>
    <w:rsid w:val="00846FF0"/>
    <w:rsid w:val="00847CD0"/>
    <w:rsid w:val="00854B56"/>
    <w:rsid w:val="00855374"/>
    <w:rsid w:val="0085728C"/>
    <w:rsid w:val="00857A42"/>
    <w:rsid w:val="00860737"/>
    <w:rsid w:val="008611A4"/>
    <w:rsid w:val="00861FD7"/>
    <w:rsid w:val="00862B1B"/>
    <w:rsid w:val="00862B56"/>
    <w:rsid w:val="0086363F"/>
    <w:rsid w:val="008639C9"/>
    <w:rsid w:val="008667AD"/>
    <w:rsid w:val="00866D13"/>
    <w:rsid w:val="00867235"/>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B9D"/>
    <w:rsid w:val="008B68C6"/>
    <w:rsid w:val="008B6F16"/>
    <w:rsid w:val="008B6F4B"/>
    <w:rsid w:val="008C0156"/>
    <w:rsid w:val="008C0189"/>
    <w:rsid w:val="008C0257"/>
    <w:rsid w:val="008C12FB"/>
    <w:rsid w:val="008C2607"/>
    <w:rsid w:val="008C465E"/>
    <w:rsid w:val="008C4CE4"/>
    <w:rsid w:val="008C6787"/>
    <w:rsid w:val="008C73D6"/>
    <w:rsid w:val="008D0C62"/>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2FD3"/>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6051"/>
    <w:rsid w:val="00970E28"/>
    <w:rsid w:val="00973088"/>
    <w:rsid w:val="00974568"/>
    <w:rsid w:val="0097493A"/>
    <w:rsid w:val="0097619C"/>
    <w:rsid w:val="009765DF"/>
    <w:rsid w:val="00977973"/>
    <w:rsid w:val="00981F79"/>
    <w:rsid w:val="009834E9"/>
    <w:rsid w:val="00983A72"/>
    <w:rsid w:val="009850EF"/>
    <w:rsid w:val="009868FC"/>
    <w:rsid w:val="00986D78"/>
    <w:rsid w:val="00987FE0"/>
    <w:rsid w:val="00990566"/>
    <w:rsid w:val="00991A16"/>
    <w:rsid w:val="00991AA5"/>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20B4"/>
    <w:rsid w:val="00A02CA3"/>
    <w:rsid w:val="00A02F3C"/>
    <w:rsid w:val="00A03358"/>
    <w:rsid w:val="00A043FE"/>
    <w:rsid w:val="00A044A3"/>
    <w:rsid w:val="00A0471E"/>
    <w:rsid w:val="00A05916"/>
    <w:rsid w:val="00A05AA6"/>
    <w:rsid w:val="00A06192"/>
    <w:rsid w:val="00A07065"/>
    <w:rsid w:val="00A10886"/>
    <w:rsid w:val="00A11861"/>
    <w:rsid w:val="00A1266A"/>
    <w:rsid w:val="00A13810"/>
    <w:rsid w:val="00A1387B"/>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41EC"/>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7CC0"/>
    <w:rsid w:val="00A80B08"/>
    <w:rsid w:val="00A81E64"/>
    <w:rsid w:val="00A82AD7"/>
    <w:rsid w:val="00A8326A"/>
    <w:rsid w:val="00A8367E"/>
    <w:rsid w:val="00A84536"/>
    <w:rsid w:val="00A84FC0"/>
    <w:rsid w:val="00A8510A"/>
    <w:rsid w:val="00A85226"/>
    <w:rsid w:val="00A857A7"/>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646E"/>
    <w:rsid w:val="00AE655A"/>
    <w:rsid w:val="00AE796E"/>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B1B"/>
    <w:rsid w:val="00B531F1"/>
    <w:rsid w:val="00B547FB"/>
    <w:rsid w:val="00B555ED"/>
    <w:rsid w:val="00B55B97"/>
    <w:rsid w:val="00B56E5D"/>
    <w:rsid w:val="00B5729D"/>
    <w:rsid w:val="00B5735F"/>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63AF"/>
    <w:rsid w:val="00BB700A"/>
    <w:rsid w:val="00BB7187"/>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421"/>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51C"/>
    <w:rsid w:val="00C95721"/>
    <w:rsid w:val="00C96027"/>
    <w:rsid w:val="00C96BC5"/>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AE9"/>
    <w:rsid w:val="00D21282"/>
    <w:rsid w:val="00D21CD0"/>
    <w:rsid w:val="00D222D0"/>
    <w:rsid w:val="00D2292C"/>
    <w:rsid w:val="00D229F9"/>
    <w:rsid w:val="00D2377A"/>
    <w:rsid w:val="00D23D51"/>
    <w:rsid w:val="00D24A7F"/>
    <w:rsid w:val="00D30E85"/>
    <w:rsid w:val="00D325CD"/>
    <w:rsid w:val="00D32B20"/>
    <w:rsid w:val="00D33BAD"/>
    <w:rsid w:val="00D33F51"/>
    <w:rsid w:val="00D3501F"/>
    <w:rsid w:val="00D36224"/>
    <w:rsid w:val="00D37800"/>
    <w:rsid w:val="00D40999"/>
    <w:rsid w:val="00D416AA"/>
    <w:rsid w:val="00D41FF6"/>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938"/>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7252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FAA"/>
    <w:rsid w:val="00ED3390"/>
    <w:rsid w:val="00ED3CE7"/>
    <w:rsid w:val="00ED64E6"/>
    <w:rsid w:val="00ED6560"/>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5A0"/>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3726"/>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63DF"/>
    <w:rsid w:val="00FE7460"/>
    <w:rsid w:val="00FE7B3B"/>
    <w:rsid w:val="00FF0555"/>
    <w:rsid w:val="00FF0F23"/>
    <w:rsid w:val="00FF14E7"/>
    <w:rsid w:val="00FF296D"/>
    <w:rsid w:val="00FF3335"/>
    <w:rsid w:val="00FF3F67"/>
    <w:rsid w:val="00FF4547"/>
    <w:rsid w:val="00FF48E8"/>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CD3C-13B6-41A8-BD14-1595D362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10</cp:revision>
  <cp:lastPrinted>2012-10-22T15:48:00Z</cp:lastPrinted>
  <dcterms:created xsi:type="dcterms:W3CDTF">2012-10-10T20:08:00Z</dcterms:created>
  <dcterms:modified xsi:type="dcterms:W3CDTF">2012-10-22T15:48:00Z</dcterms:modified>
</cp:coreProperties>
</file>