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0B" w:rsidRDefault="00D71D0B" w:rsidP="00D71D0B">
      <w:pPr>
        <w:pStyle w:val="c2"/>
        <w:outlineLvl w:val="0"/>
        <w:rPr>
          <w:b/>
          <w:sz w:val="28"/>
          <w:szCs w:val="28"/>
        </w:rPr>
      </w:pPr>
      <w:r>
        <w:rPr>
          <w:b/>
          <w:sz w:val="28"/>
          <w:szCs w:val="28"/>
        </w:rPr>
        <w:t>PENNSYLVANIA</w:t>
      </w:r>
    </w:p>
    <w:p w:rsidR="00D71D0B" w:rsidRDefault="00D71D0B" w:rsidP="00D71D0B">
      <w:pPr>
        <w:pStyle w:val="c2"/>
        <w:outlineLvl w:val="0"/>
        <w:rPr>
          <w:b/>
          <w:sz w:val="28"/>
          <w:szCs w:val="28"/>
        </w:rPr>
      </w:pPr>
      <w:r>
        <w:rPr>
          <w:b/>
          <w:sz w:val="28"/>
          <w:szCs w:val="28"/>
        </w:rPr>
        <w:t>PUBLIC UTILITY COMMISSION</w:t>
      </w:r>
    </w:p>
    <w:p w:rsidR="00D71D0B" w:rsidRDefault="00D71D0B" w:rsidP="00D71D0B">
      <w:pPr>
        <w:pStyle w:val="c2"/>
        <w:outlineLvl w:val="0"/>
        <w:rPr>
          <w:b/>
          <w:sz w:val="28"/>
          <w:szCs w:val="28"/>
        </w:rPr>
      </w:pPr>
      <w:r>
        <w:rPr>
          <w:b/>
          <w:sz w:val="28"/>
          <w:szCs w:val="28"/>
        </w:rPr>
        <w:t>Harrisburg, PA 17105-3265</w:t>
      </w:r>
    </w:p>
    <w:p w:rsidR="00D71D0B" w:rsidRDefault="00D71D0B" w:rsidP="00D71D0B">
      <w:pPr>
        <w:pStyle w:val="p3"/>
        <w:tabs>
          <w:tab w:val="left" w:pos="4320"/>
        </w:tabs>
        <w:rPr>
          <w:sz w:val="28"/>
          <w:szCs w:val="28"/>
        </w:rPr>
      </w:pPr>
    </w:p>
    <w:p w:rsidR="00D71D0B" w:rsidRDefault="00D71D0B" w:rsidP="00D71D0B">
      <w:pPr>
        <w:pStyle w:val="p3"/>
        <w:tabs>
          <w:tab w:val="left" w:pos="4320"/>
        </w:tabs>
        <w:spacing w:line="360" w:lineRule="auto"/>
        <w:outlineLvl w:val="0"/>
        <w:rPr>
          <w:sz w:val="26"/>
          <w:szCs w:val="26"/>
        </w:rPr>
      </w:pPr>
      <w:r>
        <w:rPr>
          <w:sz w:val="28"/>
          <w:szCs w:val="28"/>
        </w:rPr>
        <w:tab/>
      </w:r>
      <w:r w:rsidR="008B1854">
        <w:rPr>
          <w:sz w:val="26"/>
          <w:szCs w:val="26"/>
        </w:rPr>
        <w:t xml:space="preserve">                </w:t>
      </w:r>
      <w:r>
        <w:rPr>
          <w:sz w:val="26"/>
          <w:szCs w:val="26"/>
        </w:rPr>
        <w:t xml:space="preserve">Public Meeting held </w:t>
      </w:r>
      <w:r w:rsidR="008B1854">
        <w:rPr>
          <w:sz w:val="26"/>
          <w:szCs w:val="26"/>
        </w:rPr>
        <w:t>October 24</w:t>
      </w:r>
      <w:r>
        <w:rPr>
          <w:sz w:val="26"/>
          <w:szCs w:val="26"/>
        </w:rPr>
        <w:t>, 2012</w:t>
      </w:r>
    </w:p>
    <w:p w:rsidR="00D71D0B" w:rsidRDefault="00D71D0B" w:rsidP="00D71D0B">
      <w:pPr>
        <w:pStyle w:val="p4"/>
        <w:spacing w:line="360" w:lineRule="auto"/>
        <w:rPr>
          <w:sz w:val="26"/>
          <w:szCs w:val="26"/>
        </w:rPr>
      </w:pPr>
    </w:p>
    <w:p w:rsidR="00D71D0B" w:rsidRDefault="00D71D0B" w:rsidP="00D71D0B">
      <w:pPr>
        <w:pStyle w:val="p4"/>
        <w:rPr>
          <w:sz w:val="26"/>
          <w:szCs w:val="26"/>
        </w:rPr>
      </w:pPr>
      <w:r>
        <w:rPr>
          <w:sz w:val="26"/>
          <w:szCs w:val="26"/>
        </w:rPr>
        <w:t>Commissioners Present:</w:t>
      </w:r>
    </w:p>
    <w:p w:rsidR="00D71D0B" w:rsidRDefault="00D71D0B" w:rsidP="00D71D0B">
      <w:pPr>
        <w:tabs>
          <w:tab w:val="left" w:pos="204"/>
        </w:tabs>
        <w:rPr>
          <w:sz w:val="26"/>
          <w:szCs w:val="26"/>
        </w:rPr>
      </w:pPr>
    </w:p>
    <w:p w:rsidR="00D71D0B" w:rsidRDefault="00D71D0B" w:rsidP="00D71D0B">
      <w:pPr>
        <w:pStyle w:val="p5"/>
        <w:ind w:left="391"/>
        <w:rPr>
          <w:sz w:val="26"/>
          <w:szCs w:val="26"/>
        </w:rPr>
      </w:pPr>
      <w:r>
        <w:rPr>
          <w:sz w:val="26"/>
          <w:szCs w:val="26"/>
        </w:rPr>
        <w:t>Robert F. Powelson, Chairman</w:t>
      </w:r>
    </w:p>
    <w:p w:rsidR="00D71D0B" w:rsidRDefault="00D71D0B" w:rsidP="00D71D0B">
      <w:pPr>
        <w:pStyle w:val="p5"/>
        <w:ind w:left="391"/>
        <w:rPr>
          <w:sz w:val="26"/>
          <w:szCs w:val="26"/>
        </w:rPr>
      </w:pPr>
      <w:r>
        <w:rPr>
          <w:sz w:val="26"/>
          <w:szCs w:val="26"/>
        </w:rPr>
        <w:t xml:space="preserve">John F. Coleman, </w:t>
      </w:r>
      <w:r w:rsidR="00CA1D84">
        <w:rPr>
          <w:sz w:val="26"/>
          <w:szCs w:val="26"/>
        </w:rPr>
        <w:t xml:space="preserve">Jr., </w:t>
      </w:r>
      <w:r>
        <w:rPr>
          <w:sz w:val="26"/>
          <w:szCs w:val="26"/>
        </w:rPr>
        <w:t>Vice Chairman</w:t>
      </w:r>
    </w:p>
    <w:p w:rsidR="00D71D0B" w:rsidRDefault="00D71D0B" w:rsidP="00D71D0B">
      <w:pPr>
        <w:pStyle w:val="p5"/>
        <w:ind w:left="391"/>
        <w:rPr>
          <w:sz w:val="26"/>
          <w:szCs w:val="26"/>
        </w:rPr>
      </w:pPr>
      <w:r>
        <w:rPr>
          <w:sz w:val="26"/>
          <w:szCs w:val="26"/>
        </w:rPr>
        <w:t xml:space="preserve">Wayne E. Gardner </w:t>
      </w:r>
    </w:p>
    <w:p w:rsidR="00D71D0B" w:rsidRDefault="00D71D0B" w:rsidP="00D71D0B">
      <w:pPr>
        <w:pStyle w:val="p5"/>
        <w:ind w:left="391"/>
        <w:outlineLvl w:val="0"/>
        <w:rPr>
          <w:sz w:val="26"/>
          <w:szCs w:val="26"/>
        </w:rPr>
      </w:pPr>
      <w:r>
        <w:rPr>
          <w:sz w:val="26"/>
          <w:szCs w:val="26"/>
        </w:rPr>
        <w:t xml:space="preserve">James H. Cawley </w:t>
      </w:r>
    </w:p>
    <w:p w:rsidR="00D71D0B" w:rsidRDefault="00D71D0B" w:rsidP="00D71D0B">
      <w:pPr>
        <w:pStyle w:val="p5"/>
        <w:ind w:left="0"/>
        <w:outlineLvl w:val="0"/>
        <w:rPr>
          <w:sz w:val="26"/>
          <w:szCs w:val="26"/>
        </w:rPr>
      </w:pPr>
      <w:r>
        <w:rPr>
          <w:sz w:val="26"/>
          <w:szCs w:val="26"/>
        </w:rPr>
        <w:t xml:space="preserve">      Pamela A. Witmer </w:t>
      </w:r>
    </w:p>
    <w:p w:rsidR="00D71D0B" w:rsidRDefault="00D71D0B" w:rsidP="00D71D0B">
      <w:pPr>
        <w:pStyle w:val="p5"/>
        <w:ind w:left="391"/>
        <w:rPr>
          <w:sz w:val="26"/>
          <w:szCs w:val="26"/>
        </w:rPr>
      </w:pPr>
    </w:p>
    <w:p w:rsidR="00D71D0B" w:rsidRDefault="00D71D0B" w:rsidP="00D71D0B">
      <w:pPr>
        <w:pStyle w:val="p5"/>
        <w:ind w:left="391"/>
        <w:rPr>
          <w:sz w:val="26"/>
          <w:szCs w:val="26"/>
        </w:rPr>
      </w:pPr>
    </w:p>
    <w:p w:rsidR="00D71D0B" w:rsidRDefault="00205A69" w:rsidP="00C21D0E">
      <w:pPr>
        <w:pStyle w:val="p4"/>
        <w:tabs>
          <w:tab w:val="clear" w:pos="204"/>
          <w:tab w:val="left" w:pos="0"/>
          <w:tab w:val="left" w:pos="4320"/>
          <w:tab w:val="left" w:pos="5130"/>
        </w:tabs>
        <w:jc w:val="both"/>
        <w:outlineLvl w:val="0"/>
        <w:rPr>
          <w:sz w:val="26"/>
          <w:szCs w:val="26"/>
        </w:rPr>
      </w:pPr>
      <w:r>
        <w:rPr>
          <w:sz w:val="26"/>
          <w:szCs w:val="26"/>
        </w:rPr>
        <w:t>Application o</w:t>
      </w:r>
      <w:r w:rsidR="00D71D0B">
        <w:rPr>
          <w:sz w:val="26"/>
          <w:szCs w:val="26"/>
        </w:rPr>
        <w:t>f PPL Electric Utilities</w:t>
      </w:r>
    </w:p>
    <w:p w:rsidR="00E04AF7" w:rsidRDefault="00205A69" w:rsidP="00C21D0E">
      <w:pPr>
        <w:pStyle w:val="p4"/>
        <w:tabs>
          <w:tab w:val="clear" w:pos="204"/>
          <w:tab w:val="left" w:pos="0"/>
          <w:tab w:val="left" w:pos="4320"/>
          <w:tab w:val="left" w:pos="5130"/>
        </w:tabs>
        <w:jc w:val="both"/>
        <w:outlineLvl w:val="0"/>
        <w:rPr>
          <w:sz w:val="26"/>
          <w:szCs w:val="26"/>
        </w:rPr>
      </w:pPr>
      <w:r>
        <w:rPr>
          <w:sz w:val="26"/>
          <w:szCs w:val="26"/>
        </w:rPr>
        <w:t>Corporation, Filed Pursuant t</w:t>
      </w:r>
      <w:r w:rsidR="00D71D0B">
        <w:rPr>
          <w:sz w:val="26"/>
          <w:szCs w:val="26"/>
        </w:rPr>
        <w:t>o 52 Pa.</w:t>
      </w:r>
    </w:p>
    <w:p w:rsidR="00D71D0B" w:rsidRDefault="003829A3" w:rsidP="00C21D0E">
      <w:pPr>
        <w:pStyle w:val="p4"/>
        <w:tabs>
          <w:tab w:val="clear" w:pos="204"/>
          <w:tab w:val="left" w:pos="0"/>
          <w:tab w:val="left" w:pos="4320"/>
          <w:tab w:val="left" w:pos="5130"/>
        </w:tabs>
        <w:jc w:val="both"/>
        <w:outlineLvl w:val="0"/>
        <w:rPr>
          <w:sz w:val="26"/>
          <w:szCs w:val="26"/>
        </w:rPr>
      </w:pPr>
      <w:r>
        <w:rPr>
          <w:sz w:val="26"/>
          <w:szCs w:val="26"/>
        </w:rPr>
        <w:t xml:space="preserve">Code Chapter 57 </w:t>
      </w:r>
      <w:r w:rsidR="00205A69">
        <w:rPr>
          <w:sz w:val="26"/>
          <w:szCs w:val="26"/>
        </w:rPr>
        <w:t>Sub</w:t>
      </w:r>
      <w:r>
        <w:rPr>
          <w:sz w:val="26"/>
          <w:szCs w:val="26"/>
        </w:rPr>
        <w:t>chapter G</w:t>
      </w:r>
      <w:r w:rsidR="00205A69">
        <w:rPr>
          <w:sz w:val="26"/>
          <w:szCs w:val="26"/>
        </w:rPr>
        <w:t xml:space="preserve"> </w:t>
      </w:r>
      <w:r w:rsidR="008B1854">
        <w:rPr>
          <w:sz w:val="26"/>
          <w:szCs w:val="26"/>
        </w:rPr>
        <w:t xml:space="preserve">with </w:t>
      </w:r>
    </w:p>
    <w:p w:rsidR="008B1854" w:rsidRDefault="008B1854" w:rsidP="00C21D0E">
      <w:pPr>
        <w:pStyle w:val="p4"/>
        <w:tabs>
          <w:tab w:val="clear" w:pos="204"/>
          <w:tab w:val="left" w:pos="0"/>
          <w:tab w:val="left" w:pos="4320"/>
          <w:tab w:val="left" w:pos="4860"/>
          <w:tab w:val="left" w:pos="5130"/>
        </w:tabs>
        <w:jc w:val="both"/>
        <w:outlineLvl w:val="0"/>
        <w:rPr>
          <w:sz w:val="26"/>
          <w:szCs w:val="26"/>
        </w:rPr>
      </w:pPr>
      <w:r>
        <w:rPr>
          <w:sz w:val="26"/>
          <w:szCs w:val="26"/>
        </w:rPr>
        <w:t>respect</w:t>
      </w:r>
      <w:r w:rsidR="00D71D0B">
        <w:rPr>
          <w:sz w:val="26"/>
          <w:szCs w:val="26"/>
        </w:rPr>
        <w:t xml:space="preserve"> </w:t>
      </w:r>
      <w:r>
        <w:rPr>
          <w:sz w:val="26"/>
          <w:szCs w:val="26"/>
        </w:rPr>
        <w:t>to the Blooming Grove – West</w:t>
      </w:r>
      <w:r w:rsidR="007C580D">
        <w:rPr>
          <w:sz w:val="26"/>
          <w:szCs w:val="26"/>
        </w:rPr>
        <w:t xml:space="preserve">                                            </w:t>
      </w:r>
      <w:r w:rsidR="007C580D" w:rsidRPr="007C580D">
        <w:rPr>
          <w:sz w:val="26"/>
          <w:szCs w:val="26"/>
        </w:rPr>
        <w:t xml:space="preserve"> </w:t>
      </w:r>
      <w:r w:rsidR="007C580D">
        <w:rPr>
          <w:sz w:val="26"/>
          <w:szCs w:val="26"/>
        </w:rPr>
        <w:t>A-2012-2319704</w:t>
      </w:r>
    </w:p>
    <w:p w:rsidR="007C580D" w:rsidRDefault="008B1854" w:rsidP="007C580D">
      <w:pPr>
        <w:pStyle w:val="p4"/>
        <w:tabs>
          <w:tab w:val="clear" w:pos="204"/>
          <w:tab w:val="left" w:pos="0"/>
          <w:tab w:val="left" w:pos="4320"/>
          <w:tab w:val="left" w:pos="4860"/>
          <w:tab w:val="left" w:pos="5130"/>
        </w:tabs>
        <w:jc w:val="both"/>
        <w:outlineLvl w:val="0"/>
        <w:rPr>
          <w:sz w:val="26"/>
          <w:szCs w:val="26"/>
        </w:rPr>
      </w:pPr>
      <w:r>
        <w:rPr>
          <w:sz w:val="26"/>
          <w:szCs w:val="26"/>
        </w:rPr>
        <w:t xml:space="preserve">Damascus, Kimbles </w:t>
      </w:r>
      <w:r w:rsidR="007C580D">
        <w:rPr>
          <w:sz w:val="26"/>
          <w:szCs w:val="26"/>
        </w:rPr>
        <w:t xml:space="preserve">Tap 138/69 kV </w:t>
      </w:r>
    </w:p>
    <w:p w:rsidR="007C580D" w:rsidRDefault="007C580D" w:rsidP="007C580D">
      <w:pPr>
        <w:pStyle w:val="p4"/>
        <w:tabs>
          <w:tab w:val="clear" w:pos="204"/>
          <w:tab w:val="left" w:pos="0"/>
        </w:tabs>
        <w:jc w:val="both"/>
        <w:outlineLvl w:val="0"/>
        <w:rPr>
          <w:sz w:val="26"/>
          <w:szCs w:val="26"/>
        </w:rPr>
      </w:pPr>
      <w:r>
        <w:rPr>
          <w:sz w:val="26"/>
          <w:szCs w:val="26"/>
        </w:rPr>
        <w:t xml:space="preserve">Transmission Line Reconstruction in </w:t>
      </w:r>
    </w:p>
    <w:p w:rsidR="007C580D" w:rsidRDefault="007C580D" w:rsidP="007C580D">
      <w:pPr>
        <w:pStyle w:val="p4"/>
        <w:tabs>
          <w:tab w:val="clear" w:pos="204"/>
          <w:tab w:val="left" w:pos="0"/>
        </w:tabs>
        <w:jc w:val="both"/>
        <w:outlineLvl w:val="0"/>
        <w:rPr>
          <w:sz w:val="26"/>
          <w:szCs w:val="26"/>
        </w:rPr>
      </w:pPr>
      <w:r>
        <w:rPr>
          <w:sz w:val="26"/>
          <w:szCs w:val="26"/>
        </w:rPr>
        <w:t xml:space="preserve">Palmyra and Lackawaxen Townships, </w:t>
      </w:r>
    </w:p>
    <w:p w:rsidR="007C580D" w:rsidRDefault="007C580D" w:rsidP="007C580D">
      <w:pPr>
        <w:pStyle w:val="p4"/>
        <w:tabs>
          <w:tab w:val="clear" w:pos="204"/>
          <w:tab w:val="left" w:pos="0"/>
        </w:tabs>
        <w:jc w:val="both"/>
        <w:outlineLvl w:val="0"/>
        <w:rPr>
          <w:sz w:val="26"/>
          <w:szCs w:val="26"/>
        </w:rPr>
      </w:pPr>
      <w:r>
        <w:rPr>
          <w:sz w:val="26"/>
          <w:szCs w:val="26"/>
        </w:rPr>
        <w:t>Pike, County, Pennsylvania.</w:t>
      </w:r>
    </w:p>
    <w:p w:rsidR="00D71D0B" w:rsidRDefault="00D71D0B" w:rsidP="00D71D0B">
      <w:pPr>
        <w:pStyle w:val="p4"/>
        <w:tabs>
          <w:tab w:val="left" w:pos="0"/>
        </w:tabs>
        <w:outlineLvl w:val="0"/>
        <w:rPr>
          <w:b/>
          <w:sz w:val="26"/>
          <w:szCs w:val="26"/>
        </w:rPr>
      </w:pPr>
    </w:p>
    <w:p w:rsidR="00D71D0B" w:rsidRDefault="00D71D0B" w:rsidP="00D71D0B">
      <w:pPr>
        <w:pStyle w:val="c2"/>
        <w:tabs>
          <w:tab w:val="left" w:pos="204"/>
        </w:tabs>
        <w:spacing w:line="360" w:lineRule="auto"/>
        <w:outlineLvl w:val="0"/>
        <w:rPr>
          <w:b/>
          <w:sz w:val="26"/>
          <w:szCs w:val="26"/>
        </w:rPr>
      </w:pPr>
      <w:r>
        <w:rPr>
          <w:b/>
          <w:sz w:val="26"/>
          <w:szCs w:val="26"/>
        </w:rPr>
        <w:t>ORDER</w:t>
      </w:r>
    </w:p>
    <w:p w:rsidR="00D71D0B" w:rsidRDefault="00D71D0B" w:rsidP="00D71D0B">
      <w:pPr>
        <w:pStyle w:val="p4"/>
        <w:spacing w:line="360" w:lineRule="auto"/>
        <w:rPr>
          <w:b/>
          <w:sz w:val="26"/>
          <w:szCs w:val="26"/>
        </w:rPr>
      </w:pPr>
      <w:r>
        <w:rPr>
          <w:b/>
          <w:sz w:val="26"/>
          <w:szCs w:val="26"/>
        </w:rPr>
        <w:t>BY THE COMMISSION:</w:t>
      </w:r>
    </w:p>
    <w:p w:rsidR="00D71D0B" w:rsidRDefault="00D71D0B" w:rsidP="00D71D0B">
      <w:pPr>
        <w:tabs>
          <w:tab w:val="left" w:pos="204"/>
        </w:tabs>
        <w:spacing w:line="360" w:lineRule="auto"/>
        <w:rPr>
          <w:sz w:val="26"/>
          <w:szCs w:val="26"/>
        </w:rPr>
      </w:pPr>
    </w:p>
    <w:p w:rsidR="00D71D0B" w:rsidRDefault="00E04AF7" w:rsidP="00D71D0B">
      <w:pPr>
        <w:widowControl/>
        <w:tabs>
          <w:tab w:val="left" w:pos="-1440"/>
          <w:tab w:val="left" w:pos="1440"/>
        </w:tabs>
        <w:suppressAutoHyphens/>
        <w:autoSpaceDE/>
        <w:adjustRightInd/>
        <w:spacing w:line="360" w:lineRule="auto"/>
        <w:rPr>
          <w:sz w:val="26"/>
          <w:szCs w:val="26"/>
        </w:rPr>
      </w:pPr>
      <w:r>
        <w:rPr>
          <w:kern w:val="2"/>
          <w:sz w:val="26"/>
          <w:szCs w:val="26"/>
        </w:rPr>
        <w:tab/>
        <w:t xml:space="preserve">On </w:t>
      </w:r>
      <w:r w:rsidR="008B1854">
        <w:rPr>
          <w:kern w:val="2"/>
          <w:sz w:val="26"/>
          <w:szCs w:val="26"/>
        </w:rPr>
        <w:t>August</w:t>
      </w:r>
      <w:r>
        <w:rPr>
          <w:kern w:val="2"/>
          <w:sz w:val="26"/>
          <w:szCs w:val="26"/>
        </w:rPr>
        <w:t xml:space="preserve"> </w:t>
      </w:r>
      <w:r w:rsidR="008B1854">
        <w:rPr>
          <w:kern w:val="2"/>
          <w:sz w:val="26"/>
          <w:szCs w:val="26"/>
        </w:rPr>
        <w:t>19</w:t>
      </w:r>
      <w:r w:rsidR="00D71D0B">
        <w:rPr>
          <w:kern w:val="2"/>
          <w:sz w:val="26"/>
          <w:szCs w:val="26"/>
        </w:rPr>
        <w:t xml:space="preserve">, 2012, </w:t>
      </w:r>
      <w:r w:rsidR="00D71D0B">
        <w:rPr>
          <w:sz w:val="26"/>
          <w:szCs w:val="26"/>
        </w:rPr>
        <w:t>PPL Electric Utilities Corporation</w:t>
      </w:r>
      <w:r w:rsidR="00D71D0B">
        <w:rPr>
          <w:kern w:val="2"/>
          <w:sz w:val="26"/>
          <w:szCs w:val="26"/>
        </w:rPr>
        <w:t xml:space="preserve"> (“</w:t>
      </w:r>
      <w:r w:rsidR="00D71D0B">
        <w:rPr>
          <w:sz w:val="26"/>
          <w:szCs w:val="26"/>
        </w:rPr>
        <w:t>PPL Electric</w:t>
      </w:r>
      <w:r w:rsidR="00D71D0B">
        <w:rPr>
          <w:kern w:val="2"/>
          <w:sz w:val="26"/>
          <w:szCs w:val="26"/>
        </w:rPr>
        <w:t xml:space="preserve">”) filed a Letter of Notification (“LON”) </w:t>
      </w:r>
      <w:r w:rsidR="00D71D0B">
        <w:rPr>
          <w:sz w:val="26"/>
          <w:szCs w:val="26"/>
        </w:rPr>
        <w:t xml:space="preserve">pursuant to 52 Pa. Code </w:t>
      </w:r>
      <w:r w:rsidR="008B1854">
        <w:rPr>
          <w:kern w:val="2"/>
          <w:sz w:val="26"/>
          <w:szCs w:val="26"/>
        </w:rPr>
        <w:t>§57.72(d)(1)(</w:t>
      </w:r>
      <w:r w:rsidR="009C6791">
        <w:rPr>
          <w:kern w:val="2"/>
          <w:sz w:val="26"/>
          <w:szCs w:val="26"/>
        </w:rPr>
        <w:t>v</w:t>
      </w:r>
      <w:r w:rsidR="00D71D0B">
        <w:rPr>
          <w:kern w:val="2"/>
          <w:sz w:val="26"/>
          <w:szCs w:val="26"/>
        </w:rPr>
        <w:t>) of the Commission’s transmission line siting regulations.</w:t>
      </w:r>
      <w:r w:rsidR="00D71D0B">
        <w:rPr>
          <w:sz w:val="26"/>
          <w:szCs w:val="26"/>
        </w:rPr>
        <w:t xml:space="preserve">  Section </w:t>
      </w:r>
      <w:r w:rsidR="00D71D0B">
        <w:rPr>
          <w:iCs/>
          <w:sz w:val="26"/>
          <w:szCs w:val="26"/>
        </w:rPr>
        <w:t xml:space="preserve">57.72 </w:t>
      </w:r>
      <w:r w:rsidR="00D71D0B">
        <w:rPr>
          <w:sz w:val="26"/>
          <w:szCs w:val="26"/>
        </w:rPr>
        <w:t>authorizes the abbreviated “Letter of Notification” siting application process in lieu of an application for the following:</w:t>
      </w:r>
    </w:p>
    <w:p w:rsidR="00D71D0B" w:rsidRDefault="00D71D0B" w:rsidP="00D71D0B">
      <w:pPr>
        <w:tabs>
          <w:tab w:val="left" w:pos="1479"/>
        </w:tabs>
        <w:spacing w:line="360" w:lineRule="auto"/>
        <w:rPr>
          <w:sz w:val="26"/>
          <w:szCs w:val="26"/>
        </w:rPr>
      </w:pPr>
    </w:p>
    <w:p w:rsidR="00D71D0B" w:rsidRDefault="00D71D0B" w:rsidP="00D71D0B">
      <w:pPr>
        <w:pStyle w:val="p7"/>
        <w:numPr>
          <w:ilvl w:val="0"/>
          <w:numId w:val="1"/>
        </w:numPr>
        <w:tabs>
          <w:tab w:val="left" w:pos="720"/>
          <w:tab w:val="num" w:pos="1170"/>
        </w:tabs>
        <w:spacing w:line="360" w:lineRule="auto"/>
        <w:ind w:left="1170" w:hanging="450"/>
        <w:jc w:val="both"/>
        <w:rPr>
          <w:sz w:val="26"/>
          <w:szCs w:val="26"/>
        </w:rPr>
      </w:pPr>
      <w:r>
        <w:rPr>
          <w:sz w:val="26"/>
          <w:szCs w:val="26"/>
        </w:rPr>
        <w:t>An HV line which is proposed to be located entirely on an existing transmission line right-of-way, so long as the size, character, design, or configuration, of the proposed HV line does not substantially alter the right-</w:t>
      </w:r>
      <w:r>
        <w:rPr>
          <w:sz w:val="26"/>
          <w:szCs w:val="26"/>
        </w:rPr>
        <w:lastRenderedPageBreak/>
        <w:t>of-way.</w:t>
      </w:r>
    </w:p>
    <w:p w:rsidR="00526446" w:rsidRDefault="00526446" w:rsidP="00526446">
      <w:pPr>
        <w:pStyle w:val="p7"/>
        <w:tabs>
          <w:tab w:val="left" w:pos="720"/>
        </w:tabs>
        <w:spacing w:line="360" w:lineRule="auto"/>
        <w:ind w:left="1170" w:firstLine="0"/>
        <w:jc w:val="both"/>
        <w:rPr>
          <w:sz w:val="26"/>
          <w:szCs w:val="26"/>
        </w:rPr>
      </w:pPr>
    </w:p>
    <w:p w:rsidR="00D71D0B" w:rsidRDefault="00D71D0B" w:rsidP="00D71D0B">
      <w:pPr>
        <w:pStyle w:val="p7"/>
        <w:numPr>
          <w:ilvl w:val="0"/>
          <w:numId w:val="2"/>
        </w:numPr>
        <w:tabs>
          <w:tab w:val="clear" w:pos="782"/>
          <w:tab w:val="clear" w:pos="1133"/>
          <w:tab w:val="clear" w:pos="1257"/>
          <w:tab w:val="left" w:pos="720"/>
          <w:tab w:val="num" w:pos="1440"/>
        </w:tabs>
        <w:spacing w:line="360" w:lineRule="auto"/>
        <w:ind w:left="1440"/>
        <w:jc w:val="both"/>
        <w:rPr>
          <w:sz w:val="26"/>
          <w:szCs w:val="26"/>
        </w:rPr>
      </w:pPr>
      <w:r>
        <w:rPr>
          <w:sz w:val="26"/>
          <w:szCs w:val="26"/>
        </w:rPr>
        <w:t>An HV line which is proposed to be located entirely within a public road.</w:t>
      </w:r>
    </w:p>
    <w:p w:rsidR="00D71D0B" w:rsidRDefault="00D71D0B" w:rsidP="00D71D0B">
      <w:pPr>
        <w:pStyle w:val="p1"/>
        <w:tabs>
          <w:tab w:val="clear" w:pos="691"/>
          <w:tab w:val="left" w:pos="720"/>
        </w:tabs>
        <w:spacing w:line="360" w:lineRule="auto"/>
        <w:ind w:left="813"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which is proposed to be loca</w:t>
      </w:r>
      <w:r w:rsidR="00192322">
        <w:rPr>
          <w:sz w:val="26"/>
          <w:szCs w:val="26"/>
        </w:rPr>
        <w:t xml:space="preserve">ted entirely within applicant’s </w:t>
      </w:r>
      <w:r>
        <w:rPr>
          <w:sz w:val="26"/>
          <w:szCs w:val="26"/>
        </w:rPr>
        <w:t>existing transmission line right-of-way and the property of the sole customer to be served by the line, so long as the size, character, design, or configuration of the proposed HV line does not substantially alter the right-of-way.</w:t>
      </w:r>
    </w:p>
    <w:p w:rsidR="00D71D0B" w:rsidRDefault="00D71D0B" w:rsidP="00D71D0B">
      <w:pPr>
        <w:tabs>
          <w:tab w:val="left" w:pos="691"/>
          <w:tab w:val="left" w:pos="1054"/>
        </w:tabs>
        <w:spacing w:line="360" w:lineRule="auto"/>
        <w:rPr>
          <w:sz w:val="26"/>
          <w:szCs w:val="26"/>
        </w:rPr>
      </w:pPr>
    </w:p>
    <w:p w:rsidR="00D71D0B" w:rsidRDefault="00D71D0B" w:rsidP="00D71D0B">
      <w:pPr>
        <w:pStyle w:val="p1"/>
        <w:numPr>
          <w:ilvl w:val="0"/>
          <w:numId w:val="2"/>
        </w:numPr>
        <w:tabs>
          <w:tab w:val="clear" w:pos="691"/>
          <w:tab w:val="clear" w:pos="1054"/>
          <w:tab w:val="clear" w:pos="1257"/>
          <w:tab w:val="left" w:pos="720"/>
          <w:tab w:val="left" w:pos="1080"/>
          <w:tab w:val="left" w:pos="1440"/>
        </w:tabs>
        <w:spacing w:line="360" w:lineRule="auto"/>
        <w:ind w:left="1440"/>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D71D0B" w:rsidRDefault="00D71D0B" w:rsidP="00D71D0B">
      <w:pPr>
        <w:pStyle w:val="p1"/>
        <w:tabs>
          <w:tab w:val="clear" w:pos="691"/>
          <w:tab w:val="clear" w:pos="1054"/>
          <w:tab w:val="left" w:pos="540"/>
          <w:tab w:val="left" w:pos="1080"/>
        </w:tabs>
        <w:spacing w:line="360" w:lineRule="auto"/>
        <w:ind w:left="0"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 xml:space="preserve">An HV which is to be reconductored or reconstructed so long as the size, character, design, or configuration of the proposed HV line does not substantially alter the right-of-way.  </w:t>
      </w:r>
    </w:p>
    <w:p w:rsidR="00D71D0B" w:rsidRDefault="00D71D0B" w:rsidP="00EE325D">
      <w:pPr>
        <w:pStyle w:val="p1"/>
        <w:tabs>
          <w:tab w:val="clear" w:pos="691"/>
          <w:tab w:val="clear" w:pos="1054"/>
          <w:tab w:val="left" w:pos="720"/>
          <w:tab w:val="left" w:pos="1440"/>
        </w:tabs>
        <w:spacing w:line="360" w:lineRule="auto"/>
        <w:ind w:left="0" w:firstLine="0"/>
        <w:rPr>
          <w:sz w:val="26"/>
          <w:szCs w:val="26"/>
        </w:rPr>
      </w:pPr>
    </w:p>
    <w:p w:rsidR="00D71D0B" w:rsidRDefault="00D71D0B" w:rsidP="00EE325D">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having a proposed route of 2 miles or less.</w:t>
      </w:r>
    </w:p>
    <w:p w:rsidR="00D71D0B" w:rsidRDefault="00D71D0B" w:rsidP="00D71D0B">
      <w:pPr>
        <w:tabs>
          <w:tab w:val="left" w:pos="691"/>
          <w:tab w:val="left" w:pos="1440"/>
        </w:tabs>
        <w:spacing w:line="360" w:lineRule="auto"/>
        <w:rPr>
          <w:rFonts w:ascii="Times New (W1)" w:hAnsi="Times New (W1)"/>
          <w:sz w:val="26"/>
          <w:szCs w:val="26"/>
        </w:rPr>
      </w:pPr>
    </w:p>
    <w:p w:rsidR="00D71D0B" w:rsidRDefault="00D71D0B" w:rsidP="00D71D0B">
      <w:pPr>
        <w:pStyle w:val="p2"/>
        <w:spacing w:line="360" w:lineRule="auto"/>
        <w:ind w:firstLine="0"/>
        <w:rPr>
          <w:sz w:val="26"/>
          <w:szCs w:val="26"/>
        </w:rPr>
      </w:pPr>
      <w:r>
        <w:rPr>
          <w:rFonts w:ascii="Times New (W1)" w:hAnsi="Times New (W1)"/>
          <w:sz w:val="26"/>
          <w:szCs w:val="26"/>
        </w:rPr>
        <w:tab/>
      </w:r>
      <w:r>
        <w:rPr>
          <w:sz w:val="26"/>
          <w:szCs w:val="26"/>
        </w:rPr>
        <w:t xml:space="preserve">Copies of the Letter of Notification were served in accordance with Section 57.72(d) (3) and 57.74 (b), (c) on the PA Department of Transportation, PA Historical and Museum Commission, PA Department of Environmental Protection, </w:t>
      </w:r>
      <w:r w:rsidR="008B1854">
        <w:rPr>
          <w:sz w:val="26"/>
          <w:szCs w:val="26"/>
        </w:rPr>
        <w:t>Pike County</w:t>
      </w:r>
      <w:r w:rsidR="00192322">
        <w:rPr>
          <w:sz w:val="26"/>
          <w:szCs w:val="26"/>
        </w:rPr>
        <w:t xml:space="preserve"> Planning Commission, </w:t>
      </w:r>
      <w:r w:rsidR="008B1854">
        <w:rPr>
          <w:sz w:val="26"/>
          <w:szCs w:val="26"/>
        </w:rPr>
        <w:t>Pike</w:t>
      </w:r>
      <w:r w:rsidR="00192322">
        <w:rPr>
          <w:sz w:val="26"/>
          <w:szCs w:val="26"/>
        </w:rPr>
        <w:t xml:space="preserve"> </w:t>
      </w:r>
      <w:r>
        <w:rPr>
          <w:sz w:val="26"/>
          <w:szCs w:val="26"/>
        </w:rPr>
        <w:t xml:space="preserve">County </w:t>
      </w:r>
      <w:r w:rsidR="00E04AF7">
        <w:rPr>
          <w:sz w:val="26"/>
          <w:szCs w:val="26"/>
        </w:rPr>
        <w:t xml:space="preserve">Board of </w:t>
      </w:r>
      <w:r>
        <w:rPr>
          <w:sz w:val="26"/>
          <w:szCs w:val="26"/>
        </w:rPr>
        <w:t xml:space="preserve">Commissioners, </w:t>
      </w:r>
      <w:r w:rsidR="008B1854">
        <w:rPr>
          <w:sz w:val="26"/>
          <w:szCs w:val="26"/>
        </w:rPr>
        <w:t>Blooming Grove</w:t>
      </w:r>
      <w:r>
        <w:rPr>
          <w:sz w:val="26"/>
          <w:szCs w:val="26"/>
        </w:rPr>
        <w:t xml:space="preserve"> </w:t>
      </w:r>
      <w:r w:rsidR="00192322">
        <w:rPr>
          <w:sz w:val="26"/>
          <w:szCs w:val="26"/>
        </w:rPr>
        <w:t xml:space="preserve">Township Planning Commission, </w:t>
      </w:r>
      <w:r w:rsidR="00C22155">
        <w:rPr>
          <w:sz w:val="26"/>
          <w:szCs w:val="26"/>
        </w:rPr>
        <w:t>Blooming Grove</w:t>
      </w:r>
      <w:r w:rsidR="00192322">
        <w:rPr>
          <w:sz w:val="26"/>
          <w:szCs w:val="26"/>
        </w:rPr>
        <w:t xml:space="preserve"> Township </w:t>
      </w:r>
      <w:r>
        <w:rPr>
          <w:sz w:val="26"/>
          <w:szCs w:val="26"/>
        </w:rPr>
        <w:t>and other interested parties as listed in the Certificate of Service.  No protest</w:t>
      </w:r>
      <w:r w:rsidR="00526446">
        <w:rPr>
          <w:sz w:val="26"/>
          <w:szCs w:val="26"/>
        </w:rPr>
        <w:t>s were</w:t>
      </w:r>
      <w:r>
        <w:rPr>
          <w:sz w:val="26"/>
          <w:szCs w:val="26"/>
        </w:rPr>
        <w:t xml:space="preserve"> filed and no hearing</w:t>
      </w:r>
      <w:r w:rsidR="00526446">
        <w:rPr>
          <w:sz w:val="26"/>
          <w:szCs w:val="26"/>
        </w:rPr>
        <w:t>s were</w:t>
      </w:r>
      <w:r>
        <w:rPr>
          <w:sz w:val="26"/>
          <w:szCs w:val="26"/>
        </w:rPr>
        <w:t xml:space="preserve"> held.</w:t>
      </w:r>
    </w:p>
    <w:p w:rsidR="00D71D0B" w:rsidRDefault="00D71D0B" w:rsidP="00D71D0B">
      <w:pPr>
        <w:pStyle w:val="p2"/>
        <w:spacing w:line="360" w:lineRule="auto"/>
        <w:ind w:firstLine="0"/>
        <w:rPr>
          <w:sz w:val="26"/>
          <w:szCs w:val="26"/>
        </w:rPr>
      </w:pPr>
    </w:p>
    <w:p w:rsidR="005B7FDE" w:rsidRDefault="00D71D0B" w:rsidP="005B7FDE">
      <w:pPr>
        <w:spacing w:line="360" w:lineRule="auto"/>
        <w:rPr>
          <w:sz w:val="26"/>
          <w:szCs w:val="26"/>
        </w:rPr>
      </w:pPr>
      <w:r>
        <w:rPr>
          <w:sz w:val="26"/>
          <w:szCs w:val="26"/>
        </w:rPr>
        <w:tab/>
      </w:r>
      <w:r>
        <w:rPr>
          <w:sz w:val="26"/>
          <w:szCs w:val="26"/>
        </w:rPr>
        <w:tab/>
        <w:t xml:space="preserve">In this filing </w:t>
      </w:r>
      <w:r>
        <w:rPr>
          <w:color w:val="000000"/>
          <w:sz w:val="26"/>
          <w:szCs w:val="26"/>
          <w:lang w:bidi="he-IL"/>
        </w:rPr>
        <w:t xml:space="preserve">PPL Electric seeks Commission approval </w:t>
      </w:r>
      <w:r w:rsidR="001A34AF">
        <w:rPr>
          <w:color w:val="000000"/>
          <w:sz w:val="26"/>
          <w:szCs w:val="26"/>
        </w:rPr>
        <w:t xml:space="preserve">for the </w:t>
      </w:r>
      <w:r w:rsidR="00875B9B">
        <w:rPr>
          <w:color w:val="000000"/>
          <w:sz w:val="26"/>
          <w:szCs w:val="26"/>
        </w:rPr>
        <w:t>re</w:t>
      </w:r>
      <w:r w:rsidR="001A34AF">
        <w:rPr>
          <w:color w:val="000000"/>
          <w:sz w:val="26"/>
          <w:szCs w:val="26"/>
        </w:rPr>
        <w:t xml:space="preserve">construction of </w:t>
      </w:r>
      <w:r w:rsidR="00C22155">
        <w:rPr>
          <w:color w:val="000000"/>
          <w:sz w:val="26"/>
          <w:szCs w:val="26"/>
        </w:rPr>
        <w:t>approximately 2.25</w:t>
      </w:r>
      <w:r w:rsidR="00D51535">
        <w:rPr>
          <w:color w:val="000000"/>
          <w:sz w:val="26"/>
          <w:szCs w:val="26"/>
        </w:rPr>
        <w:t xml:space="preserve"> miles </w:t>
      </w:r>
      <w:r w:rsidR="00875B9B">
        <w:rPr>
          <w:color w:val="000000"/>
          <w:sz w:val="26"/>
          <w:szCs w:val="26"/>
        </w:rPr>
        <w:t xml:space="preserve">of the existing </w:t>
      </w:r>
      <w:r w:rsidR="00D51535">
        <w:rPr>
          <w:color w:val="000000"/>
          <w:sz w:val="26"/>
          <w:szCs w:val="26"/>
        </w:rPr>
        <w:t xml:space="preserve">single-circuit </w:t>
      </w:r>
      <w:r w:rsidR="00C22155">
        <w:rPr>
          <w:color w:val="000000"/>
          <w:sz w:val="26"/>
          <w:szCs w:val="26"/>
        </w:rPr>
        <w:t xml:space="preserve">Blooming </w:t>
      </w:r>
      <w:r w:rsidR="00C22155" w:rsidRPr="005B7FDE">
        <w:rPr>
          <w:color w:val="000000"/>
          <w:sz w:val="26"/>
          <w:szCs w:val="26"/>
        </w:rPr>
        <w:lastRenderedPageBreak/>
        <w:t>Grove-West Damascus</w:t>
      </w:r>
      <w:r w:rsidRPr="005B7FDE">
        <w:rPr>
          <w:color w:val="000000"/>
          <w:sz w:val="26"/>
          <w:szCs w:val="26"/>
        </w:rPr>
        <w:t xml:space="preserve"> </w:t>
      </w:r>
      <w:r w:rsidR="001A34AF" w:rsidRPr="005B7FDE">
        <w:rPr>
          <w:color w:val="000000"/>
          <w:sz w:val="26"/>
          <w:szCs w:val="26"/>
        </w:rPr>
        <w:t>138/69</w:t>
      </w:r>
      <w:r w:rsidRPr="005B7FDE">
        <w:rPr>
          <w:color w:val="000000"/>
          <w:sz w:val="26"/>
          <w:szCs w:val="26"/>
        </w:rPr>
        <w:t xml:space="preserve"> kV </w:t>
      </w:r>
      <w:r w:rsidR="00875B9B" w:rsidRPr="005B7FDE">
        <w:rPr>
          <w:color w:val="000000"/>
          <w:sz w:val="26"/>
          <w:szCs w:val="26"/>
        </w:rPr>
        <w:t xml:space="preserve">Tap </w:t>
      </w:r>
      <w:r w:rsidRPr="005B7FDE">
        <w:rPr>
          <w:color w:val="000000"/>
          <w:sz w:val="26"/>
          <w:szCs w:val="26"/>
        </w:rPr>
        <w:t>Line</w:t>
      </w:r>
      <w:r w:rsidR="00C22155" w:rsidRPr="005B7FDE">
        <w:rPr>
          <w:color w:val="000000"/>
          <w:sz w:val="26"/>
          <w:szCs w:val="26"/>
        </w:rPr>
        <w:t xml:space="preserve"> between </w:t>
      </w:r>
      <w:r w:rsidR="005B7FDE" w:rsidRPr="005B7FDE">
        <w:rPr>
          <w:color w:val="000000"/>
          <w:sz w:val="26"/>
          <w:szCs w:val="26"/>
        </w:rPr>
        <w:t xml:space="preserve">the Wallenpaupack Hydro Electric station and Kimbles 69-12 kV Substation </w:t>
      </w:r>
      <w:r w:rsidR="00C57993" w:rsidRPr="005B7FDE">
        <w:rPr>
          <w:color w:val="000000"/>
          <w:sz w:val="26"/>
          <w:szCs w:val="26"/>
        </w:rPr>
        <w:t>for double</w:t>
      </w:r>
      <w:r w:rsidR="005B7FDE" w:rsidRPr="005B7FDE">
        <w:rPr>
          <w:color w:val="000000"/>
          <w:sz w:val="26"/>
          <w:szCs w:val="26"/>
        </w:rPr>
        <w:t xml:space="preserve">-circuit </w:t>
      </w:r>
      <w:r w:rsidR="00C57993" w:rsidRPr="005B7FDE">
        <w:rPr>
          <w:color w:val="000000"/>
          <w:sz w:val="26"/>
          <w:szCs w:val="26"/>
        </w:rPr>
        <w:t>operation</w:t>
      </w:r>
      <w:r w:rsidR="005B7FDE" w:rsidRPr="005B7FDE">
        <w:rPr>
          <w:color w:val="000000"/>
          <w:sz w:val="26"/>
          <w:szCs w:val="26"/>
        </w:rPr>
        <w:t xml:space="preserve">.  </w:t>
      </w:r>
      <w:r w:rsidR="00524089">
        <w:rPr>
          <w:color w:val="000000"/>
          <w:sz w:val="26"/>
          <w:szCs w:val="26"/>
        </w:rPr>
        <w:t xml:space="preserve">PPL Electric states that </w:t>
      </w:r>
      <w:r w:rsidR="00524089">
        <w:rPr>
          <w:sz w:val="26"/>
          <w:szCs w:val="26"/>
        </w:rPr>
        <w:t>the</w:t>
      </w:r>
      <w:r w:rsidR="005B7FDE" w:rsidRPr="005B7FDE">
        <w:rPr>
          <w:sz w:val="26"/>
          <w:szCs w:val="26"/>
        </w:rPr>
        <w:t xml:space="preserve"> Project is being undertaken in conjunction with a series of projects in the</w:t>
      </w:r>
      <w:r w:rsidR="005B7FDE">
        <w:rPr>
          <w:sz w:val="26"/>
          <w:szCs w:val="26"/>
        </w:rPr>
        <w:t xml:space="preserve"> </w:t>
      </w:r>
      <w:r w:rsidR="005B7FDE" w:rsidRPr="005B7FDE">
        <w:rPr>
          <w:sz w:val="26"/>
          <w:szCs w:val="26"/>
        </w:rPr>
        <w:t xml:space="preserve">surrounding area in order to </w:t>
      </w:r>
      <w:r w:rsidR="00524089">
        <w:rPr>
          <w:sz w:val="26"/>
          <w:szCs w:val="26"/>
        </w:rPr>
        <w:t xml:space="preserve">comply with criteria found in PPL Electric’s Reliability Principles and Practices (“RP&amp;P”) guidelines and to </w:t>
      </w:r>
      <w:r w:rsidR="005B7FDE" w:rsidRPr="005B7FDE">
        <w:rPr>
          <w:sz w:val="26"/>
          <w:szCs w:val="26"/>
        </w:rPr>
        <w:t>reinforce the local 138/69 kV system in Palmyra and Lackawaxen</w:t>
      </w:r>
      <w:r w:rsidR="005B7FDE">
        <w:rPr>
          <w:sz w:val="26"/>
          <w:szCs w:val="26"/>
        </w:rPr>
        <w:t xml:space="preserve"> </w:t>
      </w:r>
      <w:r w:rsidR="005B7FDE" w:rsidRPr="005B7FDE">
        <w:rPr>
          <w:sz w:val="26"/>
          <w:szCs w:val="26"/>
        </w:rPr>
        <w:t>Townships, Pike County.</w:t>
      </w:r>
    </w:p>
    <w:p w:rsidR="005B7FDE" w:rsidRPr="005B7FDE" w:rsidRDefault="005B7FDE" w:rsidP="005B7FDE">
      <w:pPr>
        <w:spacing w:line="360" w:lineRule="auto"/>
        <w:rPr>
          <w:sz w:val="26"/>
          <w:szCs w:val="26"/>
        </w:rPr>
      </w:pPr>
    </w:p>
    <w:p w:rsidR="00DC2E51" w:rsidRPr="00DC2E51" w:rsidRDefault="00D71D0B" w:rsidP="00DC2E51">
      <w:pPr>
        <w:spacing w:line="360" w:lineRule="auto"/>
        <w:ind w:right="-180"/>
        <w:rPr>
          <w:sz w:val="26"/>
          <w:szCs w:val="26"/>
        </w:rPr>
      </w:pPr>
      <w:r>
        <w:rPr>
          <w:color w:val="000000"/>
          <w:sz w:val="26"/>
          <w:szCs w:val="26"/>
        </w:rPr>
        <w:tab/>
      </w:r>
      <w:r w:rsidRPr="00DC2E51">
        <w:rPr>
          <w:color w:val="000000"/>
          <w:sz w:val="26"/>
          <w:szCs w:val="26"/>
        </w:rPr>
        <w:t>PPL Electric</w:t>
      </w:r>
      <w:r w:rsidR="00996676" w:rsidRPr="00DC2E51">
        <w:rPr>
          <w:color w:val="000000"/>
          <w:sz w:val="26"/>
          <w:szCs w:val="26"/>
        </w:rPr>
        <w:t xml:space="preserve"> </w:t>
      </w:r>
      <w:r w:rsidR="00DC2E51">
        <w:rPr>
          <w:color w:val="000000"/>
          <w:sz w:val="26"/>
          <w:szCs w:val="26"/>
        </w:rPr>
        <w:t>states</w:t>
      </w:r>
      <w:r w:rsidR="00996676" w:rsidRPr="00DC2E51">
        <w:rPr>
          <w:color w:val="000000"/>
          <w:sz w:val="26"/>
          <w:szCs w:val="26"/>
        </w:rPr>
        <w:t xml:space="preserve"> that</w:t>
      </w:r>
      <w:r w:rsidR="00FD0284" w:rsidRPr="00DC2E51">
        <w:rPr>
          <w:color w:val="000000"/>
          <w:sz w:val="26"/>
          <w:szCs w:val="26"/>
        </w:rPr>
        <w:t xml:space="preserve"> </w:t>
      </w:r>
      <w:r w:rsidR="00DC2E51" w:rsidRPr="00DC2E51">
        <w:rPr>
          <w:sz w:val="26"/>
          <w:szCs w:val="26"/>
        </w:rPr>
        <w:t>from the Blooming Grove Substation to the Wallenpaupack Hydro Electric Station,</w:t>
      </w:r>
      <w:r w:rsidR="00DC2E51">
        <w:rPr>
          <w:sz w:val="26"/>
          <w:szCs w:val="26"/>
        </w:rPr>
        <w:t xml:space="preserve"> </w:t>
      </w:r>
      <w:r w:rsidR="00DC2E51" w:rsidRPr="00DC2E51">
        <w:rPr>
          <w:sz w:val="26"/>
          <w:szCs w:val="26"/>
        </w:rPr>
        <w:t>both the Blooming Grove - West Damascus and Blooming Grove - Honesdale 138/69 kV</w:t>
      </w:r>
      <w:r w:rsidR="00DC2E51">
        <w:rPr>
          <w:sz w:val="26"/>
          <w:szCs w:val="26"/>
        </w:rPr>
        <w:t xml:space="preserve"> </w:t>
      </w:r>
      <w:r w:rsidR="00DC2E51" w:rsidRPr="00DC2E51">
        <w:rPr>
          <w:sz w:val="26"/>
          <w:szCs w:val="26"/>
        </w:rPr>
        <w:t xml:space="preserve">circuits are situated on the same double-circuit 138/69 kV </w:t>
      </w:r>
      <w:r w:rsidR="00DC2E51">
        <w:rPr>
          <w:sz w:val="26"/>
          <w:szCs w:val="26"/>
        </w:rPr>
        <w:t>s</w:t>
      </w:r>
      <w:r w:rsidR="00DC2E51" w:rsidRPr="00DC2E51">
        <w:rPr>
          <w:sz w:val="26"/>
          <w:szCs w:val="26"/>
        </w:rPr>
        <w:t>tructures. The circuits are insulated</w:t>
      </w:r>
      <w:r w:rsidR="00DC2E51">
        <w:rPr>
          <w:sz w:val="26"/>
          <w:szCs w:val="26"/>
        </w:rPr>
        <w:t xml:space="preserve"> </w:t>
      </w:r>
      <w:r w:rsidR="00DC2E51" w:rsidRPr="00DC2E51">
        <w:rPr>
          <w:sz w:val="26"/>
          <w:szCs w:val="26"/>
        </w:rPr>
        <w:t>for 138 kV operation</w:t>
      </w:r>
      <w:r w:rsidR="00A5306C">
        <w:rPr>
          <w:sz w:val="26"/>
          <w:szCs w:val="26"/>
        </w:rPr>
        <w:t xml:space="preserve"> </w:t>
      </w:r>
      <w:r w:rsidR="00DC2E51" w:rsidRPr="00DC2E51">
        <w:rPr>
          <w:sz w:val="26"/>
          <w:szCs w:val="26"/>
        </w:rPr>
        <w:t xml:space="preserve">but are currently operated at 69 kV. </w:t>
      </w:r>
      <w:r w:rsidR="00DC2E51">
        <w:rPr>
          <w:sz w:val="26"/>
          <w:szCs w:val="26"/>
        </w:rPr>
        <w:t xml:space="preserve"> </w:t>
      </w:r>
      <w:r w:rsidR="00DC2E51" w:rsidRPr="00DC2E51">
        <w:rPr>
          <w:sz w:val="26"/>
          <w:szCs w:val="26"/>
        </w:rPr>
        <w:t>From the Wallenpaupack Hydro</w:t>
      </w:r>
      <w:r w:rsidR="00DC2E51">
        <w:rPr>
          <w:sz w:val="26"/>
          <w:szCs w:val="26"/>
        </w:rPr>
        <w:t xml:space="preserve"> </w:t>
      </w:r>
      <w:r w:rsidR="00DC2E51" w:rsidRPr="00DC2E51">
        <w:rPr>
          <w:sz w:val="26"/>
          <w:szCs w:val="26"/>
        </w:rPr>
        <w:t>Electric Station to Kimbles 69 - 12 kV Substation, the Blooming Grove - West Damascus</w:t>
      </w:r>
      <w:r w:rsidR="00DC2E51">
        <w:rPr>
          <w:sz w:val="26"/>
          <w:szCs w:val="26"/>
        </w:rPr>
        <w:t xml:space="preserve"> </w:t>
      </w:r>
      <w:r w:rsidR="00DC2E51" w:rsidRPr="00DC2E51">
        <w:rPr>
          <w:sz w:val="26"/>
          <w:szCs w:val="26"/>
        </w:rPr>
        <w:t>138/69 kV line was designed for future double-circuit 138/69 kV operation but is currently</w:t>
      </w:r>
      <w:r w:rsidR="00DC2E51">
        <w:rPr>
          <w:sz w:val="26"/>
          <w:szCs w:val="26"/>
        </w:rPr>
        <w:t xml:space="preserve"> </w:t>
      </w:r>
      <w:r w:rsidR="00DC2E51" w:rsidRPr="00DC2E51">
        <w:rPr>
          <w:sz w:val="26"/>
          <w:szCs w:val="26"/>
        </w:rPr>
        <w:t>operated as a single-69 kV circuit.</w:t>
      </w:r>
      <w:r w:rsidR="00DC2E51">
        <w:rPr>
          <w:sz w:val="26"/>
          <w:szCs w:val="26"/>
        </w:rPr>
        <w:t xml:space="preserve"> </w:t>
      </w:r>
      <w:r w:rsidR="00DC2E51" w:rsidRPr="00DC2E51">
        <w:rPr>
          <w:sz w:val="26"/>
          <w:szCs w:val="26"/>
        </w:rPr>
        <w:t xml:space="preserve"> The Kimbles 69 - 12 kV Substation, which serves approximately 3,500 customers</w:t>
      </w:r>
      <w:r w:rsidR="00DC2E51">
        <w:rPr>
          <w:sz w:val="26"/>
          <w:szCs w:val="26"/>
        </w:rPr>
        <w:t xml:space="preserve"> </w:t>
      </w:r>
      <w:r w:rsidR="00DC2E51" w:rsidRPr="00DC2E51">
        <w:rPr>
          <w:sz w:val="26"/>
          <w:szCs w:val="26"/>
        </w:rPr>
        <w:t xml:space="preserve">in Pike County, is supplied from the Blooming Grove - West Damascus 69 kV Line. </w:t>
      </w:r>
      <w:r w:rsidR="00DC2E51">
        <w:rPr>
          <w:sz w:val="26"/>
          <w:szCs w:val="26"/>
        </w:rPr>
        <w:t xml:space="preserve"> </w:t>
      </w:r>
      <w:r w:rsidR="00DC2E51" w:rsidRPr="00DC2E51">
        <w:rPr>
          <w:sz w:val="26"/>
          <w:szCs w:val="26"/>
        </w:rPr>
        <w:t>The</w:t>
      </w:r>
      <w:r w:rsidR="00DC2E51">
        <w:rPr>
          <w:sz w:val="26"/>
          <w:szCs w:val="26"/>
        </w:rPr>
        <w:t xml:space="preserve"> </w:t>
      </w:r>
      <w:r w:rsidR="00DC2E51" w:rsidRPr="00DC2E51">
        <w:rPr>
          <w:sz w:val="26"/>
          <w:szCs w:val="26"/>
        </w:rPr>
        <w:t>Blooming Grove - West Damascus Line, which also supplies the PPL Electric West Damascus</w:t>
      </w:r>
      <w:r w:rsidR="00DC2E51">
        <w:rPr>
          <w:sz w:val="26"/>
          <w:szCs w:val="26"/>
        </w:rPr>
        <w:t xml:space="preserve"> </w:t>
      </w:r>
      <w:r w:rsidR="00DC2E51" w:rsidRPr="00DC2E51">
        <w:rPr>
          <w:sz w:val="26"/>
          <w:szCs w:val="26"/>
        </w:rPr>
        <w:t>and Bohemia Substations, as well as one customer-owned substation, serves approximately</w:t>
      </w:r>
      <w:r w:rsidR="00DC2E51">
        <w:rPr>
          <w:sz w:val="26"/>
          <w:szCs w:val="26"/>
        </w:rPr>
        <w:t xml:space="preserve"> </w:t>
      </w:r>
      <w:r w:rsidR="00DC2E51" w:rsidRPr="00DC2E51">
        <w:rPr>
          <w:sz w:val="26"/>
          <w:szCs w:val="26"/>
        </w:rPr>
        <w:t>22,000 customers in Pike and Wayne Counties.</w:t>
      </w:r>
    </w:p>
    <w:p w:rsidR="00DC2E51" w:rsidRDefault="00DC2E51" w:rsidP="009C2919">
      <w:pPr>
        <w:pStyle w:val="Style"/>
        <w:tabs>
          <w:tab w:val="left" w:pos="749"/>
        </w:tabs>
        <w:spacing w:line="360" w:lineRule="auto"/>
        <w:ind w:right="-90"/>
        <w:rPr>
          <w:color w:val="000000"/>
          <w:sz w:val="26"/>
          <w:szCs w:val="26"/>
        </w:rPr>
      </w:pPr>
    </w:p>
    <w:p w:rsidR="00C92E81" w:rsidRPr="00C92E81" w:rsidRDefault="00C92E81" w:rsidP="00C92E81">
      <w:pPr>
        <w:spacing w:line="360" w:lineRule="auto"/>
        <w:rPr>
          <w:sz w:val="26"/>
          <w:szCs w:val="26"/>
        </w:rPr>
      </w:pPr>
      <w:r>
        <w:rPr>
          <w:color w:val="000000"/>
          <w:sz w:val="26"/>
          <w:szCs w:val="26"/>
        </w:rPr>
        <w:tab/>
      </w:r>
      <w:r>
        <w:rPr>
          <w:color w:val="000000"/>
          <w:sz w:val="26"/>
          <w:szCs w:val="26"/>
        </w:rPr>
        <w:tab/>
      </w:r>
      <w:r w:rsidRPr="00C92E81">
        <w:rPr>
          <w:color w:val="000000"/>
          <w:sz w:val="26"/>
          <w:szCs w:val="26"/>
        </w:rPr>
        <w:t xml:space="preserve">PPL Electric explains that </w:t>
      </w:r>
      <w:r w:rsidR="00A5306C">
        <w:rPr>
          <w:sz w:val="26"/>
          <w:szCs w:val="26"/>
        </w:rPr>
        <w:t>b</w:t>
      </w:r>
      <w:r w:rsidRPr="00C92E81">
        <w:rPr>
          <w:sz w:val="26"/>
          <w:szCs w:val="26"/>
        </w:rPr>
        <w:t>y winter 2013, the peak load on the Blooming Grove - West Damascus 138/69</w:t>
      </w:r>
      <w:r>
        <w:rPr>
          <w:sz w:val="26"/>
          <w:szCs w:val="26"/>
        </w:rPr>
        <w:t xml:space="preserve"> </w:t>
      </w:r>
      <w:r w:rsidRPr="00C92E81">
        <w:rPr>
          <w:sz w:val="26"/>
          <w:szCs w:val="26"/>
        </w:rPr>
        <w:t>kV Line is projected to be 78 MW, and the loading on the Blooming Grove - Honesdale 138/69</w:t>
      </w:r>
      <w:r>
        <w:rPr>
          <w:sz w:val="26"/>
          <w:szCs w:val="26"/>
        </w:rPr>
        <w:t xml:space="preserve"> </w:t>
      </w:r>
      <w:r w:rsidRPr="00C92E81">
        <w:rPr>
          <w:sz w:val="26"/>
          <w:szCs w:val="26"/>
        </w:rPr>
        <w:t>kV Line is projected to be 46 MW. The loading on those lines excludes any generation output</w:t>
      </w:r>
      <w:r>
        <w:rPr>
          <w:sz w:val="26"/>
          <w:szCs w:val="26"/>
        </w:rPr>
        <w:t xml:space="preserve"> </w:t>
      </w:r>
      <w:r w:rsidRPr="00C92E81">
        <w:rPr>
          <w:sz w:val="26"/>
          <w:szCs w:val="26"/>
        </w:rPr>
        <w:t>from the Wallenpaupack Hydroelectric Plant. A single circuit outage of the Blooming Grove -</w:t>
      </w:r>
      <w:r>
        <w:rPr>
          <w:sz w:val="26"/>
          <w:szCs w:val="26"/>
        </w:rPr>
        <w:t xml:space="preserve"> </w:t>
      </w:r>
      <w:r w:rsidRPr="00C92E81">
        <w:rPr>
          <w:sz w:val="26"/>
          <w:szCs w:val="26"/>
        </w:rPr>
        <w:t>West Damascus 138/69 kV Line, with the interruption occurring between Blooming Grove and</w:t>
      </w:r>
      <w:r>
        <w:rPr>
          <w:sz w:val="26"/>
          <w:szCs w:val="26"/>
        </w:rPr>
        <w:t xml:space="preserve"> </w:t>
      </w:r>
      <w:r w:rsidRPr="00C92E81">
        <w:rPr>
          <w:sz w:val="26"/>
          <w:szCs w:val="26"/>
        </w:rPr>
        <w:t>Tafton substations, would initially interrupt 78 MW of load.</w:t>
      </w:r>
      <w:r w:rsidR="009B1796">
        <w:rPr>
          <w:sz w:val="26"/>
          <w:szCs w:val="26"/>
        </w:rPr>
        <w:t xml:space="preserve"> </w:t>
      </w:r>
      <w:r w:rsidRPr="00C92E81">
        <w:rPr>
          <w:sz w:val="26"/>
          <w:szCs w:val="26"/>
        </w:rPr>
        <w:t xml:space="preserve"> This potential load loss is</w:t>
      </w:r>
      <w:r>
        <w:rPr>
          <w:sz w:val="26"/>
          <w:szCs w:val="26"/>
        </w:rPr>
        <w:t xml:space="preserve"> </w:t>
      </w:r>
      <w:r w:rsidRPr="00C92E81">
        <w:rPr>
          <w:sz w:val="26"/>
          <w:szCs w:val="26"/>
        </w:rPr>
        <w:t>approximately 18 MW above the allowed level under th</w:t>
      </w:r>
      <w:r>
        <w:rPr>
          <w:sz w:val="26"/>
          <w:szCs w:val="26"/>
        </w:rPr>
        <w:t xml:space="preserve">e Transmission RP&amp;P guidelines. </w:t>
      </w:r>
      <w:r w:rsidRPr="00C92E81">
        <w:rPr>
          <w:sz w:val="26"/>
          <w:szCs w:val="26"/>
        </w:rPr>
        <w:t xml:space="preserve"> Load transfers from Blooming Grove to Peckville Substation are limited due to</w:t>
      </w:r>
      <w:r>
        <w:rPr>
          <w:sz w:val="26"/>
          <w:szCs w:val="26"/>
        </w:rPr>
        <w:t xml:space="preserve"> </w:t>
      </w:r>
      <w:r w:rsidRPr="00C92E81">
        <w:rPr>
          <w:sz w:val="26"/>
          <w:szCs w:val="26"/>
        </w:rPr>
        <w:t xml:space="preserve">the resulting low voltage at </w:t>
      </w:r>
      <w:r w:rsidRPr="00C92E81">
        <w:rPr>
          <w:sz w:val="26"/>
          <w:szCs w:val="26"/>
        </w:rPr>
        <w:lastRenderedPageBreak/>
        <w:t>the end of the Blooming Grove - West Damascus line and segments</w:t>
      </w:r>
      <w:r>
        <w:rPr>
          <w:sz w:val="26"/>
          <w:szCs w:val="26"/>
        </w:rPr>
        <w:t xml:space="preserve"> </w:t>
      </w:r>
      <w:r w:rsidRPr="00C92E81">
        <w:rPr>
          <w:sz w:val="26"/>
          <w:szCs w:val="26"/>
        </w:rPr>
        <w:t>of small-sized conductor on the Peckville - Varden 69 kV Line that would overload.</w:t>
      </w:r>
      <w:r>
        <w:rPr>
          <w:sz w:val="26"/>
          <w:szCs w:val="26"/>
        </w:rPr>
        <w:t xml:space="preserve">  </w:t>
      </w:r>
      <w:r w:rsidRPr="00C92E81">
        <w:rPr>
          <w:sz w:val="26"/>
          <w:szCs w:val="26"/>
        </w:rPr>
        <w:t>Approximately 59 MW would remain interrupted for an extended period of time until the outage</w:t>
      </w:r>
      <w:r>
        <w:rPr>
          <w:sz w:val="26"/>
          <w:szCs w:val="26"/>
        </w:rPr>
        <w:t xml:space="preserve"> </w:t>
      </w:r>
      <w:r w:rsidRPr="00C92E81">
        <w:rPr>
          <w:sz w:val="26"/>
          <w:szCs w:val="26"/>
        </w:rPr>
        <w:t>could be located and switching moves could be made to re-sectionalize the line. This situation</w:t>
      </w:r>
      <w:r>
        <w:rPr>
          <w:sz w:val="26"/>
          <w:szCs w:val="26"/>
        </w:rPr>
        <w:t xml:space="preserve"> </w:t>
      </w:r>
      <w:r w:rsidRPr="00C92E81">
        <w:rPr>
          <w:sz w:val="26"/>
          <w:szCs w:val="26"/>
        </w:rPr>
        <w:t>exceeds PPL Electric's Planning RP&amp;P guideline for maximum allowable load loss of 30 MW</w:t>
      </w:r>
      <w:r>
        <w:rPr>
          <w:sz w:val="26"/>
          <w:szCs w:val="26"/>
        </w:rPr>
        <w:t xml:space="preserve"> </w:t>
      </w:r>
      <w:r w:rsidRPr="00C92E81">
        <w:rPr>
          <w:sz w:val="26"/>
          <w:szCs w:val="26"/>
        </w:rPr>
        <w:t>for a single-circuit line outage.</w:t>
      </w:r>
    </w:p>
    <w:p w:rsidR="00C92E81" w:rsidRDefault="00C92E81" w:rsidP="009C2919">
      <w:pPr>
        <w:pStyle w:val="Style"/>
        <w:tabs>
          <w:tab w:val="left" w:pos="749"/>
        </w:tabs>
        <w:spacing w:line="360" w:lineRule="auto"/>
        <w:ind w:right="-90"/>
        <w:rPr>
          <w:color w:val="000000"/>
          <w:sz w:val="26"/>
          <w:szCs w:val="26"/>
        </w:rPr>
      </w:pPr>
    </w:p>
    <w:p w:rsidR="004D20ED" w:rsidRPr="004D20ED" w:rsidRDefault="006550FC" w:rsidP="004D20ED">
      <w:pPr>
        <w:spacing w:line="360" w:lineRule="auto"/>
        <w:rPr>
          <w:sz w:val="26"/>
          <w:szCs w:val="26"/>
        </w:rPr>
      </w:pPr>
      <w:r>
        <w:rPr>
          <w:color w:val="000000"/>
          <w:sz w:val="26"/>
          <w:szCs w:val="26"/>
        </w:rPr>
        <w:tab/>
      </w:r>
      <w:r>
        <w:rPr>
          <w:color w:val="000000"/>
          <w:sz w:val="26"/>
          <w:szCs w:val="26"/>
        </w:rPr>
        <w:tab/>
      </w:r>
      <w:r w:rsidRPr="004D20ED">
        <w:rPr>
          <w:color w:val="000000"/>
          <w:sz w:val="26"/>
          <w:szCs w:val="26"/>
        </w:rPr>
        <w:t xml:space="preserve">PPL Electric states that in order to </w:t>
      </w:r>
      <w:r w:rsidR="004D20ED" w:rsidRPr="004D20ED">
        <w:rPr>
          <w:sz w:val="26"/>
          <w:szCs w:val="26"/>
        </w:rPr>
        <w:t xml:space="preserve">address the issues being experienced on the Blooming Grove </w:t>
      </w:r>
      <w:r w:rsidR="004D20ED">
        <w:rPr>
          <w:sz w:val="26"/>
          <w:szCs w:val="26"/>
        </w:rPr>
        <w:t>–</w:t>
      </w:r>
      <w:r w:rsidR="004D20ED" w:rsidRPr="004D20ED">
        <w:rPr>
          <w:sz w:val="26"/>
          <w:szCs w:val="26"/>
        </w:rPr>
        <w:t xml:space="preserve"> West</w:t>
      </w:r>
      <w:r w:rsidR="004D20ED">
        <w:rPr>
          <w:sz w:val="26"/>
          <w:szCs w:val="26"/>
        </w:rPr>
        <w:t xml:space="preserve"> </w:t>
      </w:r>
      <w:r w:rsidR="004D20ED" w:rsidRPr="004D20ED">
        <w:rPr>
          <w:sz w:val="26"/>
          <w:szCs w:val="26"/>
        </w:rPr>
        <w:t>Damascus transmission line, as</w:t>
      </w:r>
      <w:r w:rsidR="00A5306C">
        <w:rPr>
          <w:sz w:val="26"/>
          <w:szCs w:val="26"/>
        </w:rPr>
        <w:t xml:space="preserve"> described above, PPL Electric </w:t>
      </w:r>
      <w:r w:rsidR="004D20ED" w:rsidRPr="004D20ED">
        <w:rPr>
          <w:sz w:val="26"/>
          <w:szCs w:val="26"/>
        </w:rPr>
        <w:t>plans to reconstruct a section of the Blooming Grove - West Damascus Line that is</w:t>
      </w:r>
      <w:r w:rsidR="004D20ED">
        <w:rPr>
          <w:sz w:val="26"/>
          <w:szCs w:val="26"/>
        </w:rPr>
        <w:t xml:space="preserve"> </w:t>
      </w:r>
      <w:r w:rsidR="004D20ED" w:rsidRPr="004D20ED">
        <w:rPr>
          <w:sz w:val="26"/>
          <w:szCs w:val="26"/>
        </w:rPr>
        <w:t>approximately 2.25 miles long and runs between the Wallenpaupack Hydro Electric Station and</w:t>
      </w:r>
      <w:r w:rsidR="004D20ED">
        <w:rPr>
          <w:sz w:val="26"/>
          <w:szCs w:val="26"/>
        </w:rPr>
        <w:t xml:space="preserve"> </w:t>
      </w:r>
      <w:r w:rsidR="004D20ED" w:rsidRPr="004D20ED">
        <w:rPr>
          <w:sz w:val="26"/>
          <w:szCs w:val="26"/>
        </w:rPr>
        <w:t>the Kimbles 69 - 12 kV Substation.</w:t>
      </w:r>
      <w:r w:rsidR="004D20ED">
        <w:rPr>
          <w:sz w:val="26"/>
          <w:szCs w:val="26"/>
        </w:rPr>
        <w:t xml:space="preserve"> </w:t>
      </w:r>
      <w:r w:rsidR="004D20ED" w:rsidRPr="004D20ED">
        <w:rPr>
          <w:sz w:val="26"/>
          <w:szCs w:val="26"/>
        </w:rPr>
        <w:t xml:space="preserve"> PPL Electric will design the new line to current 138 kV</w:t>
      </w:r>
      <w:r w:rsidR="004D20ED">
        <w:rPr>
          <w:sz w:val="26"/>
          <w:szCs w:val="26"/>
        </w:rPr>
        <w:t xml:space="preserve"> </w:t>
      </w:r>
      <w:r w:rsidR="004D20ED" w:rsidRPr="004D20ED">
        <w:rPr>
          <w:sz w:val="26"/>
          <w:szCs w:val="26"/>
        </w:rPr>
        <w:t>standards but will initially operate the line at 69 kV, until load growth in the area makes an</w:t>
      </w:r>
      <w:r w:rsidR="004D20ED">
        <w:rPr>
          <w:sz w:val="26"/>
          <w:szCs w:val="26"/>
        </w:rPr>
        <w:t xml:space="preserve"> </w:t>
      </w:r>
      <w:r w:rsidR="004D20ED" w:rsidRPr="004D20ED">
        <w:rPr>
          <w:sz w:val="26"/>
          <w:szCs w:val="26"/>
        </w:rPr>
        <w:t xml:space="preserve">increase appropriate. </w:t>
      </w:r>
      <w:r w:rsidR="000A2CCA">
        <w:rPr>
          <w:sz w:val="26"/>
          <w:szCs w:val="26"/>
        </w:rPr>
        <w:t xml:space="preserve"> </w:t>
      </w:r>
      <w:r w:rsidR="004D20ED" w:rsidRPr="004D20ED">
        <w:rPr>
          <w:sz w:val="26"/>
          <w:szCs w:val="26"/>
        </w:rPr>
        <w:t>PPL Electric will also convert the substation to a double tap-single feed</w:t>
      </w:r>
      <w:r w:rsidR="004D20ED">
        <w:rPr>
          <w:sz w:val="26"/>
          <w:szCs w:val="26"/>
        </w:rPr>
        <w:t xml:space="preserve"> </w:t>
      </w:r>
      <w:r w:rsidR="004D20ED" w:rsidRPr="004D20ED">
        <w:rPr>
          <w:sz w:val="26"/>
          <w:szCs w:val="26"/>
        </w:rPr>
        <w:t>connection at the Kimbles 69 - 12 kV Substation.</w:t>
      </w:r>
    </w:p>
    <w:p w:rsidR="004D20ED" w:rsidRDefault="004D20ED" w:rsidP="004D20ED"/>
    <w:p w:rsidR="00054C70" w:rsidRPr="00054C70" w:rsidRDefault="00DA5CE3" w:rsidP="0016756E">
      <w:pPr>
        <w:spacing w:line="360" w:lineRule="auto"/>
        <w:ind w:right="-90"/>
        <w:rPr>
          <w:sz w:val="26"/>
          <w:szCs w:val="26"/>
        </w:rPr>
      </w:pPr>
      <w:r>
        <w:rPr>
          <w:color w:val="000000"/>
          <w:sz w:val="26"/>
          <w:szCs w:val="26"/>
        </w:rPr>
        <w:tab/>
      </w:r>
      <w:r>
        <w:rPr>
          <w:color w:val="000000"/>
          <w:sz w:val="26"/>
          <w:szCs w:val="26"/>
        </w:rPr>
        <w:tab/>
      </w:r>
      <w:r w:rsidR="00AD5BA8" w:rsidRPr="00054C70">
        <w:rPr>
          <w:color w:val="000000"/>
          <w:sz w:val="26"/>
          <w:szCs w:val="26"/>
        </w:rPr>
        <w:t>F</w:t>
      </w:r>
      <w:r w:rsidRPr="00054C70">
        <w:rPr>
          <w:color w:val="000000"/>
          <w:sz w:val="26"/>
          <w:szCs w:val="26"/>
        </w:rPr>
        <w:t>urther</w:t>
      </w:r>
      <w:r w:rsidR="00AD5BA8" w:rsidRPr="00054C70">
        <w:rPr>
          <w:color w:val="000000"/>
          <w:sz w:val="26"/>
          <w:szCs w:val="26"/>
        </w:rPr>
        <w:t>,</w:t>
      </w:r>
      <w:r w:rsidRPr="00054C70">
        <w:rPr>
          <w:color w:val="000000"/>
          <w:sz w:val="26"/>
          <w:szCs w:val="26"/>
        </w:rPr>
        <w:t xml:space="preserve"> PPL Electric states that </w:t>
      </w:r>
      <w:r w:rsidR="00054C70" w:rsidRPr="00054C70">
        <w:rPr>
          <w:sz w:val="26"/>
          <w:szCs w:val="26"/>
        </w:rPr>
        <w:t xml:space="preserve">the proposed Project is </w:t>
      </w:r>
      <w:r w:rsidR="008B703C">
        <w:rPr>
          <w:sz w:val="26"/>
          <w:szCs w:val="26"/>
        </w:rPr>
        <w:t xml:space="preserve">the </w:t>
      </w:r>
      <w:r w:rsidR="0016756E">
        <w:rPr>
          <w:sz w:val="26"/>
          <w:szCs w:val="26"/>
        </w:rPr>
        <w:t>second</w:t>
      </w:r>
      <w:r w:rsidR="008B703C">
        <w:rPr>
          <w:sz w:val="26"/>
          <w:szCs w:val="26"/>
        </w:rPr>
        <w:t xml:space="preserve"> in</w:t>
      </w:r>
      <w:r w:rsidR="00054C70" w:rsidRPr="00054C70">
        <w:rPr>
          <w:sz w:val="26"/>
          <w:szCs w:val="26"/>
        </w:rPr>
        <w:t xml:space="preserve"> a series of five projects that will allow PPL Electric to meet its RP&amp;P guidelines in the Blooming Grove area. </w:t>
      </w:r>
      <w:r w:rsidR="00054C70">
        <w:rPr>
          <w:sz w:val="26"/>
          <w:szCs w:val="26"/>
        </w:rPr>
        <w:t xml:space="preserve"> </w:t>
      </w:r>
      <w:r w:rsidR="00054C70" w:rsidRPr="00054C70">
        <w:rPr>
          <w:sz w:val="26"/>
          <w:szCs w:val="26"/>
        </w:rPr>
        <w:t>For the first of the five projects, PPL Electric proposed to transfer the electric</w:t>
      </w:r>
      <w:r w:rsidR="00054C70">
        <w:rPr>
          <w:sz w:val="26"/>
          <w:szCs w:val="26"/>
        </w:rPr>
        <w:t xml:space="preserve"> </w:t>
      </w:r>
      <w:r w:rsidR="00054C70" w:rsidRPr="00054C70">
        <w:rPr>
          <w:sz w:val="26"/>
          <w:szCs w:val="26"/>
        </w:rPr>
        <w:t>service source for the Tafton 69-12 kV Substation from the Blooming Grove - West Damascus</w:t>
      </w:r>
      <w:r w:rsidR="00054C70">
        <w:rPr>
          <w:sz w:val="26"/>
          <w:szCs w:val="26"/>
        </w:rPr>
        <w:t xml:space="preserve"> </w:t>
      </w:r>
      <w:r w:rsidR="00054C70" w:rsidRPr="00054C70">
        <w:rPr>
          <w:sz w:val="26"/>
          <w:szCs w:val="26"/>
        </w:rPr>
        <w:t>138/69 kV Transmission Line to the Blooming Grove - Honesdale 138/69 kV Transmission</w:t>
      </w:r>
      <w:r w:rsidR="00054C70">
        <w:rPr>
          <w:sz w:val="26"/>
          <w:szCs w:val="26"/>
        </w:rPr>
        <w:t xml:space="preserve"> </w:t>
      </w:r>
      <w:r w:rsidR="00054C70" w:rsidRPr="00054C70">
        <w:rPr>
          <w:sz w:val="26"/>
          <w:szCs w:val="26"/>
        </w:rPr>
        <w:t xml:space="preserve">Line. </w:t>
      </w:r>
      <w:r w:rsidR="00054C70">
        <w:rPr>
          <w:sz w:val="26"/>
          <w:szCs w:val="26"/>
        </w:rPr>
        <w:t xml:space="preserve"> </w:t>
      </w:r>
      <w:r w:rsidR="00054C70" w:rsidRPr="00054C70">
        <w:rPr>
          <w:sz w:val="26"/>
          <w:szCs w:val="26"/>
        </w:rPr>
        <w:t xml:space="preserve">After that project is completed, the projected loading on the Blooming Grove </w:t>
      </w:r>
      <w:r w:rsidR="00054C70">
        <w:rPr>
          <w:sz w:val="26"/>
          <w:szCs w:val="26"/>
        </w:rPr>
        <w:t>–</w:t>
      </w:r>
      <w:r w:rsidR="00054C70" w:rsidRPr="00054C70">
        <w:rPr>
          <w:sz w:val="26"/>
          <w:szCs w:val="26"/>
        </w:rPr>
        <w:t xml:space="preserve"> West</w:t>
      </w:r>
      <w:r w:rsidR="00054C70">
        <w:rPr>
          <w:sz w:val="26"/>
          <w:szCs w:val="26"/>
        </w:rPr>
        <w:t xml:space="preserve"> </w:t>
      </w:r>
      <w:r w:rsidR="00054C70" w:rsidRPr="00054C70">
        <w:rPr>
          <w:sz w:val="26"/>
          <w:szCs w:val="26"/>
        </w:rPr>
        <w:t>Damascus line under peak winter conditions will be approximately 71 MVA; projected loading</w:t>
      </w:r>
      <w:r w:rsidR="00054C70">
        <w:rPr>
          <w:sz w:val="26"/>
          <w:szCs w:val="26"/>
        </w:rPr>
        <w:t xml:space="preserve"> </w:t>
      </w:r>
      <w:r w:rsidR="00054C70" w:rsidRPr="00054C70">
        <w:rPr>
          <w:sz w:val="26"/>
          <w:szCs w:val="26"/>
        </w:rPr>
        <w:t>on the Blooming Grove - Honesdale line will be 48 MVA. That project brought PPL Electric's</w:t>
      </w:r>
      <w:r w:rsidR="00054C70">
        <w:rPr>
          <w:sz w:val="26"/>
          <w:szCs w:val="26"/>
        </w:rPr>
        <w:t xml:space="preserve"> </w:t>
      </w:r>
      <w:r w:rsidR="00054C70" w:rsidRPr="00054C70">
        <w:rPr>
          <w:sz w:val="26"/>
          <w:szCs w:val="26"/>
        </w:rPr>
        <w:t xml:space="preserve">facilities closer to complying with the RP&amp;P guidelines. </w:t>
      </w:r>
      <w:r w:rsidR="00AF7CA4">
        <w:rPr>
          <w:sz w:val="26"/>
          <w:szCs w:val="26"/>
        </w:rPr>
        <w:t xml:space="preserve"> </w:t>
      </w:r>
      <w:r w:rsidR="00054C70" w:rsidRPr="00054C70">
        <w:rPr>
          <w:sz w:val="26"/>
          <w:szCs w:val="26"/>
        </w:rPr>
        <w:t>The first project was approved by the</w:t>
      </w:r>
      <w:r w:rsidR="00054C70">
        <w:rPr>
          <w:sz w:val="26"/>
          <w:szCs w:val="26"/>
        </w:rPr>
        <w:t xml:space="preserve"> </w:t>
      </w:r>
      <w:r w:rsidR="00054C70" w:rsidRPr="00054C70">
        <w:rPr>
          <w:sz w:val="26"/>
          <w:szCs w:val="26"/>
        </w:rPr>
        <w:t>Commission on August 25, 2011, at Docket A-2011-2269098.</w:t>
      </w:r>
      <w:r w:rsidR="00054C70">
        <w:rPr>
          <w:sz w:val="26"/>
          <w:szCs w:val="26"/>
        </w:rPr>
        <w:t xml:space="preserve">  </w:t>
      </w:r>
      <w:r w:rsidR="00054C70" w:rsidRPr="00054C70">
        <w:rPr>
          <w:sz w:val="26"/>
          <w:szCs w:val="26"/>
        </w:rPr>
        <w:t>After the</w:t>
      </w:r>
      <w:r w:rsidR="0016756E">
        <w:rPr>
          <w:sz w:val="26"/>
          <w:szCs w:val="26"/>
        </w:rPr>
        <w:t xml:space="preserve"> proposed project is completed,</w:t>
      </w:r>
      <w:r w:rsidR="00054C70">
        <w:rPr>
          <w:sz w:val="26"/>
          <w:szCs w:val="26"/>
        </w:rPr>
        <w:t xml:space="preserve"> </w:t>
      </w:r>
      <w:r w:rsidR="00054C70" w:rsidRPr="00054C70">
        <w:rPr>
          <w:sz w:val="26"/>
          <w:szCs w:val="26"/>
        </w:rPr>
        <w:t>the projected loading on the Blooming Grove - West Damascus Line under peak winter</w:t>
      </w:r>
      <w:r w:rsidR="00054C70">
        <w:rPr>
          <w:sz w:val="26"/>
          <w:szCs w:val="26"/>
        </w:rPr>
        <w:t xml:space="preserve"> </w:t>
      </w:r>
      <w:r w:rsidR="00054C70" w:rsidRPr="00054C70">
        <w:rPr>
          <w:sz w:val="26"/>
          <w:szCs w:val="26"/>
        </w:rPr>
        <w:t>conditions will be approximately 67 MVA, and the projected loading on the Blooming Grove -</w:t>
      </w:r>
      <w:r w:rsidR="00054C70">
        <w:rPr>
          <w:sz w:val="26"/>
          <w:szCs w:val="26"/>
        </w:rPr>
        <w:t xml:space="preserve"> </w:t>
      </w:r>
      <w:r w:rsidR="00054C70" w:rsidRPr="00054C70">
        <w:rPr>
          <w:sz w:val="26"/>
          <w:szCs w:val="26"/>
        </w:rPr>
        <w:t xml:space="preserve">Honesdale </w:t>
      </w:r>
      <w:r w:rsidR="00054C70" w:rsidRPr="00054C70">
        <w:rPr>
          <w:sz w:val="26"/>
          <w:szCs w:val="26"/>
        </w:rPr>
        <w:lastRenderedPageBreak/>
        <w:t>line will be 55 MVA. This project will bring PPL Electric's facilities closer to</w:t>
      </w:r>
      <w:r w:rsidR="00054C70">
        <w:rPr>
          <w:sz w:val="26"/>
          <w:szCs w:val="26"/>
        </w:rPr>
        <w:t xml:space="preserve"> </w:t>
      </w:r>
      <w:r w:rsidR="00054C70" w:rsidRPr="00054C70">
        <w:rPr>
          <w:sz w:val="26"/>
          <w:szCs w:val="26"/>
        </w:rPr>
        <w:t>complying with the RP&amp;P guidelines.</w:t>
      </w:r>
      <w:r w:rsidR="00054C70">
        <w:rPr>
          <w:sz w:val="26"/>
          <w:szCs w:val="26"/>
        </w:rPr>
        <w:t xml:space="preserve">  </w:t>
      </w:r>
      <w:r w:rsidR="00054C70" w:rsidRPr="00054C70">
        <w:rPr>
          <w:sz w:val="26"/>
          <w:szCs w:val="26"/>
        </w:rPr>
        <w:t xml:space="preserve"> </w:t>
      </w:r>
      <w:r w:rsidR="008B703C">
        <w:rPr>
          <w:sz w:val="26"/>
          <w:szCs w:val="26"/>
        </w:rPr>
        <w:t>PPL Electric indicated that i</w:t>
      </w:r>
      <w:r w:rsidR="00054C70" w:rsidRPr="00054C70">
        <w:rPr>
          <w:sz w:val="26"/>
          <w:szCs w:val="26"/>
        </w:rPr>
        <w:t>n the filing for the third pro</w:t>
      </w:r>
      <w:r w:rsidR="008B703C">
        <w:rPr>
          <w:sz w:val="26"/>
          <w:szCs w:val="26"/>
        </w:rPr>
        <w:t xml:space="preserve">ject, it </w:t>
      </w:r>
      <w:r w:rsidR="00054C70" w:rsidRPr="00054C70">
        <w:rPr>
          <w:sz w:val="26"/>
          <w:szCs w:val="26"/>
        </w:rPr>
        <w:t>will seek Commission approval for</w:t>
      </w:r>
      <w:r w:rsidR="00054C70">
        <w:rPr>
          <w:sz w:val="26"/>
          <w:szCs w:val="26"/>
        </w:rPr>
        <w:t xml:space="preserve"> </w:t>
      </w:r>
      <w:r w:rsidR="00054C70" w:rsidRPr="00054C70">
        <w:rPr>
          <w:sz w:val="26"/>
          <w:szCs w:val="26"/>
        </w:rPr>
        <w:t>the reconstruction of a portion of the Peckville - Varden 69 kV Line and a portion of the existing</w:t>
      </w:r>
      <w:r w:rsidR="00054C70">
        <w:rPr>
          <w:sz w:val="26"/>
          <w:szCs w:val="26"/>
        </w:rPr>
        <w:t xml:space="preserve"> </w:t>
      </w:r>
      <w:r w:rsidR="00054C70" w:rsidRPr="00054C70">
        <w:rPr>
          <w:sz w:val="26"/>
          <w:szCs w:val="26"/>
        </w:rPr>
        <w:t>Blooming Grove - Honesdale 138/69 kV Line. These line sections will be reconstructed from</w:t>
      </w:r>
      <w:r w:rsidR="00054C70">
        <w:rPr>
          <w:sz w:val="26"/>
          <w:szCs w:val="26"/>
        </w:rPr>
        <w:t xml:space="preserve"> </w:t>
      </w:r>
      <w:r w:rsidR="00054C70" w:rsidRPr="00054C70">
        <w:rPr>
          <w:sz w:val="26"/>
          <w:szCs w:val="26"/>
        </w:rPr>
        <w:t>single circuit 138/69 kV lines to double circuit 138/69 kV lines.</w:t>
      </w:r>
      <w:r w:rsidR="00054C70">
        <w:rPr>
          <w:sz w:val="26"/>
          <w:szCs w:val="26"/>
        </w:rPr>
        <w:t xml:space="preserve"> </w:t>
      </w:r>
      <w:r w:rsidR="00054C70" w:rsidRPr="00054C70">
        <w:rPr>
          <w:sz w:val="26"/>
          <w:szCs w:val="26"/>
        </w:rPr>
        <w:t xml:space="preserve"> </w:t>
      </w:r>
      <w:r w:rsidR="008B703C">
        <w:rPr>
          <w:sz w:val="26"/>
          <w:szCs w:val="26"/>
        </w:rPr>
        <w:t xml:space="preserve">PPL Electric also indicated that in the </w:t>
      </w:r>
      <w:r w:rsidR="00054C70" w:rsidRPr="00054C70">
        <w:rPr>
          <w:sz w:val="26"/>
          <w:szCs w:val="26"/>
        </w:rPr>
        <w:t>fourth filing,</w:t>
      </w:r>
      <w:r w:rsidR="008B703C">
        <w:rPr>
          <w:sz w:val="26"/>
          <w:szCs w:val="26"/>
        </w:rPr>
        <w:t xml:space="preserve"> it</w:t>
      </w:r>
      <w:r w:rsidR="00054C70" w:rsidRPr="00054C70">
        <w:rPr>
          <w:sz w:val="26"/>
          <w:szCs w:val="26"/>
        </w:rPr>
        <w:t xml:space="preserve"> will seek Commission approval for the</w:t>
      </w:r>
      <w:r w:rsidR="00054C70">
        <w:rPr>
          <w:sz w:val="26"/>
          <w:szCs w:val="26"/>
        </w:rPr>
        <w:t xml:space="preserve"> </w:t>
      </w:r>
      <w:r w:rsidR="00054C70" w:rsidRPr="00054C70">
        <w:rPr>
          <w:sz w:val="26"/>
          <w:szCs w:val="26"/>
        </w:rPr>
        <w:t>construction of 1.8 miles of new 230 kV line to provide a power source to a new substation, to be</w:t>
      </w:r>
      <w:r w:rsidR="00054C70">
        <w:rPr>
          <w:sz w:val="26"/>
          <w:szCs w:val="26"/>
        </w:rPr>
        <w:t xml:space="preserve"> </w:t>
      </w:r>
      <w:r w:rsidR="00054C70" w:rsidRPr="00054C70">
        <w:rPr>
          <w:sz w:val="26"/>
          <w:szCs w:val="26"/>
        </w:rPr>
        <w:t>named the Paupack 230-69 kV Substation.</w:t>
      </w:r>
      <w:r w:rsidR="0016756E">
        <w:rPr>
          <w:sz w:val="26"/>
          <w:szCs w:val="26"/>
        </w:rPr>
        <w:t xml:space="preserve">  </w:t>
      </w:r>
      <w:r w:rsidR="008B703C">
        <w:rPr>
          <w:sz w:val="26"/>
          <w:szCs w:val="26"/>
        </w:rPr>
        <w:t xml:space="preserve">And in </w:t>
      </w:r>
      <w:r w:rsidR="00054C70" w:rsidRPr="00054C70">
        <w:rPr>
          <w:sz w:val="26"/>
          <w:szCs w:val="26"/>
        </w:rPr>
        <w:t>the filing for the fifth project, PPL Electric will seek Commission approval for</w:t>
      </w:r>
      <w:r w:rsidR="0016756E">
        <w:rPr>
          <w:sz w:val="26"/>
          <w:szCs w:val="26"/>
        </w:rPr>
        <w:t xml:space="preserve"> </w:t>
      </w:r>
      <w:r w:rsidR="00054C70" w:rsidRPr="00054C70">
        <w:rPr>
          <w:sz w:val="26"/>
          <w:szCs w:val="26"/>
        </w:rPr>
        <w:t>the reconstruction of a portion of the Lakeville 138/69 kV Tap and a portion of the existing</w:t>
      </w:r>
      <w:r w:rsidR="00054C70">
        <w:rPr>
          <w:sz w:val="26"/>
          <w:szCs w:val="26"/>
        </w:rPr>
        <w:t xml:space="preserve"> </w:t>
      </w:r>
      <w:r w:rsidR="00054C70" w:rsidRPr="00054C70">
        <w:rPr>
          <w:sz w:val="26"/>
          <w:szCs w:val="26"/>
        </w:rPr>
        <w:t>Blooming Grove - Honesdale 138/69 kV Line. These line sections will be reconstructed from</w:t>
      </w:r>
      <w:r w:rsidR="00054C70">
        <w:rPr>
          <w:sz w:val="26"/>
          <w:szCs w:val="26"/>
        </w:rPr>
        <w:t xml:space="preserve"> </w:t>
      </w:r>
      <w:r w:rsidR="00054C70" w:rsidRPr="00054C70">
        <w:rPr>
          <w:sz w:val="26"/>
          <w:szCs w:val="26"/>
        </w:rPr>
        <w:t>single circuit 138/69 kV lines to double circuit 138/69 kV lines.</w:t>
      </w:r>
      <w:r w:rsidR="005103AA">
        <w:rPr>
          <w:sz w:val="26"/>
          <w:szCs w:val="26"/>
        </w:rPr>
        <w:t xml:space="preserve">  These reconstructed line sections are also needed to resolve the violation of PPL Electric’s RP&amp;P guidelines and reinforce the 69 kV systems in Lakawanna and Wayne Counties.</w:t>
      </w:r>
    </w:p>
    <w:p w:rsidR="002E0922" w:rsidRDefault="002E0922" w:rsidP="002E0922">
      <w:pPr>
        <w:spacing w:line="360" w:lineRule="auto"/>
        <w:rPr>
          <w:color w:val="000000"/>
          <w:sz w:val="26"/>
          <w:szCs w:val="26"/>
        </w:rPr>
      </w:pPr>
    </w:p>
    <w:p w:rsidR="002E0922" w:rsidRPr="002E0922" w:rsidRDefault="00EB7483" w:rsidP="002E0922">
      <w:pPr>
        <w:spacing w:line="360" w:lineRule="auto"/>
        <w:rPr>
          <w:sz w:val="26"/>
          <w:szCs w:val="26"/>
        </w:rPr>
      </w:pPr>
      <w:r>
        <w:rPr>
          <w:color w:val="000000"/>
          <w:sz w:val="26"/>
          <w:szCs w:val="26"/>
        </w:rPr>
        <w:tab/>
      </w:r>
      <w:r w:rsidR="00174860" w:rsidRPr="00174860">
        <w:rPr>
          <w:color w:val="000000"/>
          <w:sz w:val="26"/>
          <w:szCs w:val="26"/>
        </w:rPr>
        <w:tab/>
      </w:r>
      <w:r w:rsidR="00D76F9A" w:rsidRPr="002E0922">
        <w:rPr>
          <w:color w:val="000000"/>
          <w:sz w:val="26"/>
          <w:szCs w:val="26"/>
        </w:rPr>
        <w:t>PPL Electric states that t</w:t>
      </w:r>
      <w:r w:rsidR="00F43894" w:rsidRPr="002E0922">
        <w:rPr>
          <w:color w:val="000000"/>
          <w:sz w:val="26"/>
          <w:szCs w:val="26"/>
        </w:rPr>
        <w:t xml:space="preserve">he proposed reconstruction </w:t>
      </w:r>
      <w:r w:rsidR="00D73F17" w:rsidRPr="002E0922">
        <w:rPr>
          <w:color w:val="000000"/>
          <w:sz w:val="26"/>
          <w:szCs w:val="26"/>
        </w:rPr>
        <w:t xml:space="preserve">of the </w:t>
      </w:r>
      <w:r w:rsidR="002E0922" w:rsidRPr="002E0922">
        <w:rPr>
          <w:sz w:val="26"/>
          <w:szCs w:val="26"/>
        </w:rPr>
        <w:t>Blooming Grove - West Damascus, Kimbles</w:t>
      </w:r>
      <w:r w:rsidR="002E0922">
        <w:rPr>
          <w:sz w:val="26"/>
          <w:szCs w:val="26"/>
        </w:rPr>
        <w:t xml:space="preserve"> </w:t>
      </w:r>
      <w:r w:rsidR="002E0922" w:rsidRPr="002E0922">
        <w:rPr>
          <w:sz w:val="26"/>
          <w:szCs w:val="26"/>
        </w:rPr>
        <w:t>138/69 kV Tap Line</w:t>
      </w:r>
      <w:r w:rsidR="002E0922">
        <w:rPr>
          <w:sz w:val="26"/>
          <w:szCs w:val="26"/>
        </w:rPr>
        <w:t xml:space="preserve"> will replace 43 deteriorating c</w:t>
      </w:r>
      <w:r w:rsidR="002E0922" w:rsidRPr="002E0922">
        <w:rPr>
          <w:sz w:val="26"/>
          <w:szCs w:val="26"/>
        </w:rPr>
        <w:t>ellon-treated wood poles with 43 single-shaft</w:t>
      </w:r>
      <w:r w:rsidR="002E0922">
        <w:rPr>
          <w:sz w:val="26"/>
          <w:szCs w:val="26"/>
        </w:rPr>
        <w:t xml:space="preserve"> </w:t>
      </w:r>
      <w:r w:rsidR="002E0922" w:rsidRPr="002E0922">
        <w:rPr>
          <w:sz w:val="26"/>
          <w:szCs w:val="26"/>
        </w:rPr>
        <w:t>steel monopoles and will also add a second circuit to the tap with 4 additional steel poles.</w:t>
      </w:r>
      <w:r w:rsidR="002E0922">
        <w:rPr>
          <w:sz w:val="26"/>
          <w:szCs w:val="26"/>
        </w:rPr>
        <w:t xml:space="preserve"> </w:t>
      </w:r>
      <w:r w:rsidR="002E0922" w:rsidRPr="002E0922">
        <w:rPr>
          <w:sz w:val="26"/>
          <w:szCs w:val="26"/>
        </w:rPr>
        <w:t xml:space="preserve"> In</w:t>
      </w:r>
      <w:r w:rsidR="002E0922">
        <w:rPr>
          <w:sz w:val="26"/>
          <w:szCs w:val="26"/>
        </w:rPr>
        <w:t xml:space="preserve"> </w:t>
      </w:r>
      <w:r w:rsidR="002E0922" w:rsidRPr="002E0922">
        <w:rPr>
          <w:sz w:val="26"/>
          <w:szCs w:val="26"/>
        </w:rPr>
        <w:t>addition, two 138 kV Load Sectionalizing Air Break ("LSAB") switches will be installed.</w:t>
      </w:r>
      <w:r w:rsidR="002E0922">
        <w:rPr>
          <w:sz w:val="26"/>
          <w:szCs w:val="26"/>
        </w:rPr>
        <w:t xml:space="preserve">  </w:t>
      </w:r>
      <w:r w:rsidR="002E0922" w:rsidRPr="002E0922">
        <w:rPr>
          <w:sz w:val="26"/>
          <w:szCs w:val="26"/>
        </w:rPr>
        <w:t xml:space="preserve">The </w:t>
      </w:r>
      <w:r w:rsidR="000D732C">
        <w:rPr>
          <w:sz w:val="26"/>
          <w:szCs w:val="26"/>
        </w:rPr>
        <w:t xml:space="preserve">existing </w:t>
      </w:r>
      <w:proofErr w:type="spellStart"/>
      <w:r w:rsidR="000D732C">
        <w:rPr>
          <w:sz w:val="26"/>
          <w:szCs w:val="26"/>
        </w:rPr>
        <w:t>cellon</w:t>
      </w:r>
      <w:proofErr w:type="spellEnd"/>
      <w:r w:rsidR="000D732C">
        <w:rPr>
          <w:sz w:val="26"/>
          <w:szCs w:val="26"/>
        </w:rPr>
        <w:t xml:space="preserve">-treated wood poles range in height from 75 to 100 feet, with an average height of 90 feet.  The replacement </w:t>
      </w:r>
      <w:r w:rsidR="002E0922" w:rsidRPr="002E0922">
        <w:rPr>
          <w:sz w:val="26"/>
          <w:szCs w:val="26"/>
        </w:rPr>
        <w:t>steel monopoles will range in height from approximately 75 to 105 feet</w:t>
      </w:r>
      <w:r w:rsidR="000D732C">
        <w:rPr>
          <w:sz w:val="26"/>
          <w:szCs w:val="26"/>
        </w:rPr>
        <w:t xml:space="preserve"> and will be place in approximately the same location as the existing wood poles</w:t>
      </w:r>
      <w:r w:rsidR="002E0922" w:rsidRPr="002E0922">
        <w:rPr>
          <w:sz w:val="26"/>
          <w:szCs w:val="26"/>
        </w:rPr>
        <w:t xml:space="preserve">. </w:t>
      </w:r>
      <w:r w:rsidR="002E0922">
        <w:rPr>
          <w:sz w:val="26"/>
          <w:szCs w:val="26"/>
        </w:rPr>
        <w:t xml:space="preserve"> </w:t>
      </w:r>
      <w:r w:rsidR="002E0922" w:rsidRPr="002E0922">
        <w:rPr>
          <w:sz w:val="26"/>
          <w:szCs w:val="26"/>
        </w:rPr>
        <w:t>The</w:t>
      </w:r>
      <w:r w:rsidR="002E0922">
        <w:rPr>
          <w:sz w:val="26"/>
          <w:szCs w:val="26"/>
        </w:rPr>
        <w:t xml:space="preserve"> </w:t>
      </w:r>
      <w:r w:rsidR="002E0922" w:rsidRPr="002E0922">
        <w:rPr>
          <w:sz w:val="26"/>
          <w:szCs w:val="26"/>
        </w:rPr>
        <w:t>steel monopoles will be direct-embedded, and they will be equipped with 7-foot-long steel</w:t>
      </w:r>
      <w:r w:rsidR="002E0922">
        <w:rPr>
          <w:sz w:val="26"/>
          <w:szCs w:val="26"/>
        </w:rPr>
        <w:t xml:space="preserve"> </w:t>
      </w:r>
      <w:r w:rsidR="002E0922" w:rsidRPr="002E0922">
        <w:rPr>
          <w:sz w:val="26"/>
          <w:szCs w:val="26"/>
        </w:rPr>
        <w:t>upswept conductor support arms for the top and bottom phases and 11 foot-long upswept</w:t>
      </w:r>
      <w:r w:rsidR="002E0922">
        <w:rPr>
          <w:sz w:val="26"/>
          <w:szCs w:val="26"/>
        </w:rPr>
        <w:t xml:space="preserve"> </w:t>
      </w:r>
      <w:r w:rsidR="002E0922" w:rsidRPr="002E0922">
        <w:rPr>
          <w:sz w:val="26"/>
          <w:szCs w:val="26"/>
        </w:rPr>
        <w:t>conductor support arms for the middle phase.</w:t>
      </w:r>
      <w:r w:rsidR="002E0922">
        <w:rPr>
          <w:sz w:val="26"/>
          <w:szCs w:val="26"/>
        </w:rPr>
        <w:t xml:space="preserve">  </w:t>
      </w:r>
      <w:r w:rsidR="002E0922" w:rsidRPr="002E0922">
        <w:rPr>
          <w:sz w:val="26"/>
          <w:szCs w:val="26"/>
        </w:rPr>
        <w:t>Each switch will be on a direct-embedded</w:t>
      </w:r>
      <w:r w:rsidR="002E0922">
        <w:rPr>
          <w:sz w:val="26"/>
          <w:szCs w:val="26"/>
        </w:rPr>
        <w:t xml:space="preserve"> </w:t>
      </w:r>
      <w:r w:rsidR="002E0922" w:rsidRPr="002E0922">
        <w:rPr>
          <w:sz w:val="26"/>
          <w:szCs w:val="26"/>
        </w:rPr>
        <w:t xml:space="preserve">steel monopole approximately 75 feet tall. </w:t>
      </w:r>
      <w:r w:rsidR="002E0922">
        <w:rPr>
          <w:sz w:val="26"/>
          <w:szCs w:val="26"/>
        </w:rPr>
        <w:t xml:space="preserve"> </w:t>
      </w:r>
      <w:r w:rsidR="002E0922" w:rsidRPr="002E0922">
        <w:rPr>
          <w:sz w:val="26"/>
          <w:szCs w:val="26"/>
        </w:rPr>
        <w:t>The LSAB switch poles will be connected by an X</w:t>
      </w:r>
      <w:r w:rsidR="002E0922">
        <w:rPr>
          <w:sz w:val="26"/>
          <w:szCs w:val="26"/>
        </w:rPr>
        <w:t>-</w:t>
      </w:r>
      <w:r w:rsidR="002E0922" w:rsidRPr="002E0922">
        <w:rPr>
          <w:sz w:val="26"/>
          <w:szCs w:val="26"/>
        </w:rPr>
        <w:t>brace</w:t>
      </w:r>
      <w:r w:rsidR="002E0922">
        <w:rPr>
          <w:sz w:val="26"/>
          <w:szCs w:val="26"/>
        </w:rPr>
        <w:t xml:space="preserve"> </w:t>
      </w:r>
      <w:r w:rsidR="002E0922" w:rsidRPr="002E0922">
        <w:rPr>
          <w:sz w:val="26"/>
          <w:szCs w:val="26"/>
        </w:rPr>
        <w:t xml:space="preserve">for structural integrity. </w:t>
      </w:r>
      <w:r w:rsidR="002E0922">
        <w:rPr>
          <w:sz w:val="26"/>
          <w:szCs w:val="26"/>
        </w:rPr>
        <w:t xml:space="preserve"> </w:t>
      </w:r>
      <w:r w:rsidR="002E0922" w:rsidRPr="002E0922">
        <w:rPr>
          <w:sz w:val="26"/>
          <w:szCs w:val="26"/>
        </w:rPr>
        <w:t>There will be three power conductors from the existing circuit, three new power</w:t>
      </w:r>
      <w:r w:rsidR="002E0922">
        <w:rPr>
          <w:sz w:val="26"/>
          <w:szCs w:val="26"/>
        </w:rPr>
        <w:t xml:space="preserve"> </w:t>
      </w:r>
      <w:r w:rsidR="002E0922" w:rsidRPr="002E0922">
        <w:rPr>
          <w:sz w:val="26"/>
          <w:szCs w:val="26"/>
        </w:rPr>
        <w:t xml:space="preserve">conductors for the additional circuit, and one </w:t>
      </w:r>
      <w:r w:rsidR="002E0922" w:rsidRPr="002E0922">
        <w:rPr>
          <w:sz w:val="26"/>
          <w:szCs w:val="26"/>
        </w:rPr>
        <w:lastRenderedPageBreak/>
        <w:t xml:space="preserve">overhead ground wire. </w:t>
      </w:r>
      <w:r w:rsidR="002E0922">
        <w:rPr>
          <w:sz w:val="26"/>
          <w:szCs w:val="26"/>
        </w:rPr>
        <w:t xml:space="preserve"> </w:t>
      </w:r>
      <w:r w:rsidR="002E0922" w:rsidRPr="002E0922">
        <w:rPr>
          <w:sz w:val="26"/>
          <w:szCs w:val="26"/>
        </w:rPr>
        <w:t>The power conductors will</w:t>
      </w:r>
      <w:r w:rsidR="002E0922">
        <w:rPr>
          <w:sz w:val="26"/>
          <w:szCs w:val="26"/>
        </w:rPr>
        <w:t xml:space="preserve"> be 556.5 kcmil</w:t>
      </w:r>
      <w:r w:rsidR="002E0922">
        <w:rPr>
          <w:rStyle w:val="FootnoteReference"/>
          <w:sz w:val="26"/>
          <w:szCs w:val="26"/>
        </w:rPr>
        <w:footnoteReference w:id="1"/>
      </w:r>
      <w:r w:rsidR="002E0922">
        <w:rPr>
          <w:sz w:val="26"/>
          <w:szCs w:val="26"/>
        </w:rPr>
        <w:t xml:space="preserve"> </w:t>
      </w:r>
      <w:r w:rsidR="002E0922" w:rsidRPr="002E0922">
        <w:rPr>
          <w:sz w:val="26"/>
          <w:szCs w:val="26"/>
        </w:rPr>
        <w:t>24/7 stranding, ACSR</w:t>
      </w:r>
      <w:r w:rsidR="00B6746C">
        <w:rPr>
          <w:sz w:val="26"/>
          <w:szCs w:val="26"/>
        </w:rPr>
        <w:t xml:space="preserve"> </w:t>
      </w:r>
      <w:r w:rsidR="00B6746C">
        <w:rPr>
          <w:color w:val="000000"/>
          <w:sz w:val="26"/>
          <w:szCs w:val="26"/>
        </w:rPr>
        <w:t>(“Aluminum Conductor</w:t>
      </w:r>
      <w:r w:rsidR="00B6746C" w:rsidRPr="0031630D">
        <w:rPr>
          <w:color w:val="000000"/>
          <w:sz w:val="26"/>
          <w:szCs w:val="26"/>
        </w:rPr>
        <w:t xml:space="preserve"> </w:t>
      </w:r>
      <w:r w:rsidR="00B6746C">
        <w:rPr>
          <w:color w:val="000000"/>
          <w:sz w:val="26"/>
          <w:szCs w:val="26"/>
        </w:rPr>
        <w:t xml:space="preserve">Steel Reinforced”) </w:t>
      </w:r>
      <w:r w:rsidR="002E0922" w:rsidRPr="002E0922">
        <w:rPr>
          <w:sz w:val="26"/>
          <w:szCs w:val="26"/>
        </w:rPr>
        <w:t xml:space="preserve">power conductors. </w:t>
      </w:r>
      <w:r w:rsidR="00B6746C">
        <w:rPr>
          <w:sz w:val="26"/>
          <w:szCs w:val="26"/>
        </w:rPr>
        <w:t xml:space="preserve"> </w:t>
      </w:r>
      <w:r w:rsidR="002E0922" w:rsidRPr="002E0922">
        <w:rPr>
          <w:sz w:val="26"/>
          <w:szCs w:val="26"/>
        </w:rPr>
        <w:t>The existing 3/8 inch steel overhead</w:t>
      </w:r>
      <w:r w:rsidR="00B6746C">
        <w:rPr>
          <w:sz w:val="26"/>
          <w:szCs w:val="26"/>
        </w:rPr>
        <w:t xml:space="preserve"> </w:t>
      </w:r>
      <w:r w:rsidR="002E0922" w:rsidRPr="002E0922">
        <w:rPr>
          <w:sz w:val="26"/>
          <w:szCs w:val="26"/>
        </w:rPr>
        <w:t>ground wire will be replaced with one 0.567" optical ground wire.</w:t>
      </w:r>
    </w:p>
    <w:p w:rsidR="009C20FF" w:rsidRDefault="009C20FF" w:rsidP="00D71D0B">
      <w:pPr>
        <w:pStyle w:val="Style"/>
        <w:tabs>
          <w:tab w:val="left" w:pos="749"/>
        </w:tabs>
        <w:spacing w:line="360" w:lineRule="auto"/>
        <w:ind w:right="-90"/>
        <w:rPr>
          <w:color w:val="000000"/>
          <w:sz w:val="26"/>
          <w:szCs w:val="26"/>
        </w:rPr>
      </w:pPr>
    </w:p>
    <w:p w:rsidR="00703582" w:rsidRPr="00703582" w:rsidRDefault="00E21DF1" w:rsidP="00703582">
      <w:pPr>
        <w:spacing w:line="360" w:lineRule="auto"/>
        <w:rPr>
          <w:sz w:val="26"/>
          <w:szCs w:val="26"/>
        </w:rPr>
      </w:pPr>
      <w:r>
        <w:rPr>
          <w:color w:val="000000"/>
          <w:sz w:val="26"/>
          <w:szCs w:val="26"/>
        </w:rPr>
        <w:tab/>
      </w:r>
      <w:r>
        <w:rPr>
          <w:color w:val="000000"/>
          <w:sz w:val="26"/>
          <w:szCs w:val="26"/>
        </w:rPr>
        <w:tab/>
      </w:r>
      <w:r w:rsidRPr="00703582">
        <w:rPr>
          <w:color w:val="000000"/>
          <w:sz w:val="26"/>
          <w:szCs w:val="26"/>
        </w:rPr>
        <w:t>PPL Electric states that the</w:t>
      </w:r>
      <w:r w:rsidR="00A65B71" w:rsidRPr="00703582">
        <w:rPr>
          <w:color w:val="000000"/>
          <w:sz w:val="26"/>
          <w:szCs w:val="26"/>
        </w:rPr>
        <w:t xml:space="preserve"> proposed</w:t>
      </w:r>
      <w:r w:rsidRPr="00703582">
        <w:rPr>
          <w:color w:val="000000"/>
          <w:sz w:val="26"/>
          <w:szCs w:val="26"/>
        </w:rPr>
        <w:t xml:space="preserve"> </w:t>
      </w:r>
      <w:r w:rsidR="00B6746C" w:rsidRPr="00703582">
        <w:rPr>
          <w:color w:val="000000"/>
          <w:sz w:val="26"/>
          <w:szCs w:val="26"/>
        </w:rPr>
        <w:t>reconstruction</w:t>
      </w:r>
      <w:r w:rsidRPr="00703582">
        <w:rPr>
          <w:color w:val="000000"/>
          <w:sz w:val="26"/>
          <w:szCs w:val="26"/>
        </w:rPr>
        <w:t xml:space="preserve"> will be constructed </w:t>
      </w:r>
      <w:r w:rsidR="00A65B71" w:rsidRPr="00703582">
        <w:rPr>
          <w:color w:val="000000"/>
          <w:sz w:val="26"/>
          <w:szCs w:val="26"/>
        </w:rPr>
        <w:t>entirely within</w:t>
      </w:r>
      <w:r w:rsidRPr="00703582">
        <w:rPr>
          <w:color w:val="000000"/>
          <w:sz w:val="26"/>
          <w:szCs w:val="26"/>
        </w:rPr>
        <w:t xml:space="preserve"> </w:t>
      </w:r>
      <w:r w:rsidR="008B703C">
        <w:rPr>
          <w:color w:val="000000"/>
          <w:sz w:val="26"/>
          <w:szCs w:val="26"/>
        </w:rPr>
        <w:t>a</w:t>
      </w:r>
      <w:r w:rsidR="00B6746C" w:rsidRPr="00703582">
        <w:rPr>
          <w:color w:val="000000"/>
          <w:sz w:val="26"/>
          <w:szCs w:val="26"/>
        </w:rPr>
        <w:t xml:space="preserve">n </w:t>
      </w:r>
      <w:r w:rsidRPr="00703582">
        <w:rPr>
          <w:color w:val="000000"/>
          <w:sz w:val="26"/>
          <w:szCs w:val="26"/>
        </w:rPr>
        <w:t xml:space="preserve">existing </w:t>
      </w:r>
      <w:r w:rsidR="00B6746C" w:rsidRPr="00703582">
        <w:rPr>
          <w:color w:val="000000"/>
          <w:sz w:val="26"/>
          <w:szCs w:val="26"/>
        </w:rPr>
        <w:t xml:space="preserve">maintained </w:t>
      </w:r>
      <w:r w:rsidRPr="00703582">
        <w:rPr>
          <w:color w:val="000000"/>
          <w:sz w:val="26"/>
          <w:szCs w:val="26"/>
        </w:rPr>
        <w:t>ri</w:t>
      </w:r>
      <w:r w:rsidR="00A65B71" w:rsidRPr="00703582">
        <w:rPr>
          <w:color w:val="000000"/>
          <w:sz w:val="26"/>
          <w:szCs w:val="26"/>
        </w:rPr>
        <w:t>ght-of-way,</w:t>
      </w:r>
      <w:r w:rsidRPr="00703582">
        <w:rPr>
          <w:color w:val="000000"/>
          <w:sz w:val="26"/>
          <w:szCs w:val="26"/>
        </w:rPr>
        <w:t xml:space="preserve"> which </w:t>
      </w:r>
      <w:r w:rsidR="00B6746C" w:rsidRPr="00703582">
        <w:rPr>
          <w:color w:val="000000"/>
          <w:sz w:val="26"/>
          <w:szCs w:val="26"/>
        </w:rPr>
        <w:t>is 2.25 miles in length.  Of this total,</w:t>
      </w:r>
      <w:r w:rsidR="00AF7CA4">
        <w:rPr>
          <w:sz w:val="26"/>
          <w:szCs w:val="26"/>
        </w:rPr>
        <w:t xml:space="preserve"> 0.6 miles of right-of-</w:t>
      </w:r>
      <w:r w:rsidR="00B6746C" w:rsidRPr="00703582">
        <w:rPr>
          <w:sz w:val="26"/>
          <w:szCs w:val="26"/>
        </w:rPr>
        <w:t>way is on land owned in fee by PPL Electric affiliates and 1.65 miles of right-of-way is on land owned by others.  PPL Electric does not need any additional right of way to complete the Project.</w:t>
      </w:r>
      <w:r w:rsidR="00703582" w:rsidRPr="00703582">
        <w:rPr>
          <w:sz w:val="26"/>
          <w:szCs w:val="26"/>
        </w:rPr>
        <w:t xml:space="preserve">  Further PPL Electric states that it is anticipated that the proposed construction will have minimal incremental impacts on the surrounding area because the proposed reconstruction of the Blooming Grove - West Damascus, Kimbles 138/69 kV Tap Line crosses approximately 0.6 miles of undeveloped land owned by affiliates and then runs through approximately 1.65 miles of undeveloped and low density residential property until it terminates at the Kimbles Substation. </w:t>
      </w:r>
      <w:r w:rsidR="00105D44">
        <w:rPr>
          <w:sz w:val="26"/>
          <w:szCs w:val="26"/>
        </w:rPr>
        <w:t xml:space="preserve"> </w:t>
      </w:r>
    </w:p>
    <w:p w:rsidR="00B6746C" w:rsidRPr="00703582" w:rsidRDefault="00B6746C" w:rsidP="00703582">
      <w:pPr>
        <w:spacing w:line="360" w:lineRule="auto"/>
        <w:rPr>
          <w:sz w:val="26"/>
          <w:szCs w:val="26"/>
        </w:rPr>
      </w:pPr>
    </w:p>
    <w:p w:rsidR="00D71D0B" w:rsidRDefault="00D71D0B" w:rsidP="00D71D0B">
      <w:pPr>
        <w:pStyle w:val="Style"/>
        <w:tabs>
          <w:tab w:val="right" w:pos="1015"/>
        </w:tabs>
        <w:spacing w:line="360" w:lineRule="auto"/>
        <w:rPr>
          <w:sz w:val="26"/>
          <w:szCs w:val="26"/>
        </w:rPr>
      </w:pPr>
      <w:r>
        <w:rPr>
          <w:sz w:val="26"/>
          <w:szCs w:val="26"/>
        </w:rPr>
        <w:tab/>
      </w:r>
      <w:r>
        <w:rPr>
          <w:sz w:val="26"/>
          <w:szCs w:val="26"/>
        </w:rPr>
        <w:tab/>
        <w:t xml:space="preserve">PPL Electric </w:t>
      </w:r>
      <w:r w:rsidR="00B54331">
        <w:rPr>
          <w:sz w:val="26"/>
          <w:szCs w:val="26"/>
        </w:rPr>
        <w:t xml:space="preserve">also </w:t>
      </w:r>
      <w:r>
        <w:rPr>
          <w:sz w:val="26"/>
          <w:szCs w:val="26"/>
        </w:rPr>
        <w:t xml:space="preserve">states that the </w:t>
      </w:r>
      <w:r w:rsidR="001970F3">
        <w:rPr>
          <w:sz w:val="26"/>
          <w:szCs w:val="26"/>
        </w:rPr>
        <w:t xml:space="preserve">proposed </w:t>
      </w:r>
      <w:r>
        <w:rPr>
          <w:sz w:val="26"/>
          <w:szCs w:val="26"/>
        </w:rPr>
        <w:t xml:space="preserve">project was reviewed with representatives of </w:t>
      </w:r>
      <w:r w:rsidR="00850742">
        <w:rPr>
          <w:sz w:val="26"/>
          <w:szCs w:val="26"/>
        </w:rPr>
        <w:t>Palmyra and Lackawaxen</w:t>
      </w:r>
      <w:r w:rsidR="00C537FE">
        <w:rPr>
          <w:sz w:val="26"/>
          <w:szCs w:val="26"/>
        </w:rPr>
        <w:t xml:space="preserve"> Township</w:t>
      </w:r>
      <w:r w:rsidR="00850742">
        <w:rPr>
          <w:sz w:val="26"/>
          <w:szCs w:val="26"/>
        </w:rPr>
        <w:t>s</w:t>
      </w:r>
      <w:r w:rsidR="001970F3">
        <w:rPr>
          <w:sz w:val="26"/>
          <w:szCs w:val="26"/>
        </w:rPr>
        <w:t xml:space="preserve"> and </w:t>
      </w:r>
      <w:r w:rsidR="00850742">
        <w:rPr>
          <w:sz w:val="26"/>
          <w:szCs w:val="26"/>
        </w:rPr>
        <w:t>Pike</w:t>
      </w:r>
      <w:r>
        <w:rPr>
          <w:sz w:val="26"/>
          <w:szCs w:val="26"/>
        </w:rPr>
        <w:t xml:space="preserve"> County, </w:t>
      </w:r>
      <w:r w:rsidR="001970F3">
        <w:rPr>
          <w:sz w:val="26"/>
          <w:szCs w:val="26"/>
        </w:rPr>
        <w:t xml:space="preserve">and neither </w:t>
      </w:r>
      <w:r w:rsidR="00C537FE">
        <w:rPr>
          <w:sz w:val="26"/>
          <w:szCs w:val="26"/>
        </w:rPr>
        <w:t>the Township</w:t>
      </w:r>
      <w:r>
        <w:rPr>
          <w:sz w:val="26"/>
          <w:szCs w:val="26"/>
        </w:rPr>
        <w:t xml:space="preserve"> nor the County had any objection to</w:t>
      </w:r>
      <w:r w:rsidR="001970F3">
        <w:rPr>
          <w:sz w:val="26"/>
          <w:szCs w:val="26"/>
        </w:rPr>
        <w:t xml:space="preserve"> the P</w:t>
      </w:r>
      <w:r>
        <w:rPr>
          <w:sz w:val="26"/>
          <w:szCs w:val="26"/>
        </w:rPr>
        <w:t>roject.</w:t>
      </w:r>
      <w:r w:rsidR="00EC1692">
        <w:rPr>
          <w:sz w:val="26"/>
          <w:szCs w:val="26"/>
        </w:rPr>
        <w:t xml:space="preserve">  </w:t>
      </w:r>
      <w:r w:rsidR="00F535F1">
        <w:rPr>
          <w:sz w:val="26"/>
          <w:szCs w:val="26"/>
        </w:rPr>
        <w:t>All the land owners were serviced with copies of this LON.</w:t>
      </w:r>
    </w:p>
    <w:p w:rsidR="00D71D0B" w:rsidRDefault="00D71D0B" w:rsidP="00D71D0B">
      <w:pPr>
        <w:pStyle w:val="Style"/>
        <w:tabs>
          <w:tab w:val="right" w:pos="1015"/>
        </w:tabs>
        <w:spacing w:line="360" w:lineRule="auto"/>
        <w:rPr>
          <w:sz w:val="26"/>
          <w:szCs w:val="26"/>
        </w:rPr>
      </w:pPr>
    </w:p>
    <w:p w:rsidR="00D71D0B" w:rsidRDefault="00D71D0B" w:rsidP="00194622">
      <w:pPr>
        <w:pStyle w:val="Style"/>
        <w:tabs>
          <w:tab w:val="right" w:pos="1015"/>
        </w:tabs>
        <w:spacing w:line="360" w:lineRule="auto"/>
        <w:rPr>
          <w:color w:val="000000"/>
          <w:sz w:val="26"/>
          <w:szCs w:val="26"/>
        </w:rPr>
      </w:pPr>
      <w:r>
        <w:rPr>
          <w:color w:val="000000"/>
          <w:sz w:val="26"/>
          <w:szCs w:val="26"/>
        </w:rPr>
        <w:tab/>
      </w:r>
      <w:r>
        <w:rPr>
          <w:color w:val="000000"/>
          <w:sz w:val="26"/>
          <w:szCs w:val="26"/>
        </w:rPr>
        <w:tab/>
        <w:t xml:space="preserve">The total estimated cost </w:t>
      </w:r>
      <w:r w:rsidR="00434B43">
        <w:rPr>
          <w:color w:val="000000"/>
          <w:sz w:val="26"/>
          <w:szCs w:val="26"/>
        </w:rPr>
        <w:t xml:space="preserve">to </w:t>
      </w:r>
      <w:r w:rsidR="001970F3">
        <w:rPr>
          <w:color w:val="000000"/>
          <w:sz w:val="26"/>
          <w:szCs w:val="26"/>
        </w:rPr>
        <w:t xml:space="preserve">site, </w:t>
      </w:r>
      <w:r w:rsidR="00434B43">
        <w:rPr>
          <w:color w:val="000000"/>
          <w:sz w:val="26"/>
          <w:szCs w:val="26"/>
        </w:rPr>
        <w:t xml:space="preserve">design and </w:t>
      </w:r>
      <w:r w:rsidR="001970F3">
        <w:rPr>
          <w:color w:val="000000"/>
          <w:sz w:val="26"/>
          <w:szCs w:val="26"/>
        </w:rPr>
        <w:t>re</w:t>
      </w:r>
      <w:r w:rsidR="00434B43">
        <w:rPr>
          <w:color w:val="000000"/>
          <w:sz w:val="26"/>
          <w:szCs w:val="26"/>
        </w:rPr>
        <w:t xml:space="preserve">construct the </w:t>
      </w:r>
      <w:r w:rsidR="001970F3">
        <w:rPr>
          <w:color w:val="000000"/>
          <w:sz w:val="26"/>
          <w:szCs w:val="26"/>
        </w:rPr>
        <w:t>transmission line</w:t>
      </w:r>
      <w:r w:rsidR="00434B43">
        <w:rPr>
          <w:color w:val="000000"/>
          <w:sz w:val="26"/>
          <w:szCs w:val="26"/>
        </w:rPr>
        <w:t xml:space="preserve"> is</w:t>
      </w:r>
      <w:r w:rsidR="008B569F">
        <w:rPr>
          <w:color w:val="000000"/>
          <w:sz w:val="26"/>
          <w:szCs w:val="26"/>
        </w:rPr>
        <w:t xml:space="preserve"> approximately $2,380,0</w:t>
      </w:r>
      <w:r>
        <w:rPr>
          <w:color w:val="000000"/>
          <w:sz w:val="26"/>
          <w:szCs w:val="26"/>
        </w:rPr>
        <w:t>00</w:t>
      </w:r>
      <w:r w:rsidR="008B703C">
        <w:rPr>
          <w:color w:val="000000"/>
          <w:sz w:val="26"/>
          <w:szCs w:val="26"/>
        </w:rPr>
        <w:t>, which will be borne by PPL Electric</w:t>
      </w:r>
      <w:r>
        <w:rPr>
          <w:color w:val="000000"/>
          <w:sz w:val="26"/>
          <w:szCs w:val="26"/>
        </w:rPr>
        <w:t xml:space="preserve">.  </w:t>
      </w:r>
      <w:r w:rsidR="008B703C">
        <w:rPr>
          <w:color w:val="000000"/>
          <w:sz w:val="26"/>
          <w:szCs w:val="26"/>
        </w:rPr>
        <w:t xml:space="preserve">PPL Electric noted that </w:t>
      </w:r>
      <w:r>
        <w:rPr>
          <w:color w:val="000000"/>
          <w:sz w:val="26"/>
          <w:szCs w:val="26"/>
        </w:rPr>
        <w:t xml:space="preserve">construction is scheduled to </w:t>
      </w:r>
      <w:r w:rsidR="00194622">
        <w:rPr>
          <w:color w:val="000000"/>
          <w:sz w:val="26"/>
          <w:szCs w:val="26"/>
        </w:rPr>
        <w:t>begin</w:t>
      </w:r>
      <w:r>
        <w:rPr>
          <w:color w:val="000000"/>
          <w:sz w:val="26"/>
          <w:szCs w:val="26"/>
        </w:rPr>
        <w:t xml:space="preserve"> </w:t>
      </w:r>
      <w:r w:rsidR="001970F3">
        <w:rPr>
          <w:color w:val="000000"/>
          <w:sz w:val="26"/>
          <w:szCs w:val="26"/>
        </w:rPr>
        <w:t>as soon as</w:t>
      </w:r>
      <w:r w:rsidR="00194622">
        <w:rPr>
          <w:color w:val="000000"/>
          <w:sz w:val="26"/>
          <w:szCs w:val="26"/>
        </w:rPr>
        <w:t xml:space="preserve"> </w:t>
      </w:r>
      <w:r w:rsidR="001970F3">
        <w:rPr>
          <w:color w:val="000000"/>
          <w:sz w:val="26"/>
          <w:szCs w:val="26"/>
        </w:rPr>
        <w:t>practi</w:t>
      </w:r>
      <w:r w:rsidR="00194622">
        <w:rPr>
          <w:color w:val="000000"/>
          <w:sz w:val="26"/>
          <w:szCs w:val="26"/>
        </w:rPr>
        <w:t>cal following Commission’s approval</w:t>
      </w:r>
      <w:r w:rsidR="00B54331">
        <w:rPr>
          <w:color w:val="000000"/>
          <w:sz w:val="26"/>
          <w:szCs w:val="26"/>
        </w:rPr>
        <w:t>,</w:t>
      </w:r>
      <w:r w:rsidR="001970F3">
        <w:rPr>
          <w:color w:val="000000"/>
          <w:sz w:val="26"/>
          <w:szCs w:val="26"/>
        </w:rPr>
        <w:t xml:space="preserve"> </w:t>
      </w:r>
      <w:r>
        <w:rPr>
          <w:color w:val="000000"/>
          <w:sz w:val="26"/>
          <w:szCs w:val="26"/>
        </w:rPr>
        <w:t xml:space="preserve">to meet </w:t>
      </w:r>
      <w:r w:rsidR="00194622">
        <w:rPr>
          <w:color w:val="000000"/>
          <w:sz w:val="26"/>
          <w:szCs w:val="26"/>
        </w:rPr>
        <w:t>a required</w:t>
      </w:r>
      <w:r>
        <w:rPr>
          <w:color w:val="000000"/>
          <w:sz w:val="26"/>
          <w:szCs w:val="26"/>
        </w:rPr>
        <w:t xml:space="preserve"> </w:t>
      </w:r>
      <w:r w:rsidR="00434B43">
        <w:rPr>
          <w:color w:val="000000"/>
          <w:sz w:val="26"/>
          <w:szCs w:val="26"/>
        </w:rPr>
        <w:t xml:space="preserve">in-service date of </w:t>
      </w:r>
      <w:r w:rsidR="008B569F">
        <w:rPr>
          <w:color w:val="000000"/>
          <w:sz w:val="26"/>
          <w:szCs w:val="26"/>
        </w:rPr>
        <w:t>November</w:t>
      </w:r>
      <w:r w:rsidR="00194622">
        <w:rPr>
          <w:color w:val="000000"/>
          <w:sz w:val="26"/>
          <w:szCs w:val="26"/>
        </w:rPr>
        <w:t xml:space="preserve"> </w:t>
      </w:r>
      <w:r>
        <w:rPr>
          <w:color w:val="000000"/>
          <w:sz w:val="26"/>
          <w:szCs w:val="26"/>
        </w:rPr>
        <w:t>2013.</w:t>
      </w:r>
    </w:p>
    <w:p w:rsidR="00194622" w:rsidRDefault="00194622" w:rsidP="00D71D0B">
      <w:pPr>
        <w:spacing w:line="360" w:lineRule="auto"/>
        <w:ind w:firstLine="1440"/>
        <w:rPr>
          <w:sz w:val="26"/>
          <w:szCs w:val="26"/>
        </w:rPr>
      </w:pPr>
    </w:p>
    <w:p w:rsidR="00D71D0B" w:rsidRDefault="00D71D0B" w:rsidP="00194622">
      <w:pPr>
        <w:spacing w:line="360" w:lineRule="auto"/>
        <w:ind w:right="-90" w:firstLine="1440"/>
      </w:pPr>
      <w:r>
        <w:rPr>
          <w:sz w:val="26"/>
          <w:szCs w:val="26"/>
        </w:rPr>
        <w:t xml:space="preserve">Upon review, the Commission finds that the PPL Electric’s Letter of Notification and manner in which it was filed conform to the requirements of 52 Pa. </w:t>
      </w:r>
      <w:r>
        <w:rPr>
          <w:sz w:val="26"/>
          <w:szCs w:val="26"/>
        </w:rPr>
        <w:lastRenderedPageBreak/>
        <w:t>Code § 57.72(d)(1)(</w:t>
      </w:r>
      <w:r w:rsidR="008B703C">
        <w:rPr>
          <w:sz w:val="26"/>
          <w:szCs w:val="26"/>
        </w:rPr>
        <w:t>i</w:t>
      </w:r>
      <w:r w:rsidR="00B54331">
        <w:rPr>
          <w:sz w:val="26"/>
          <w:szCs w:val="26"/>
        </w:rPr>
        <w:t xml:space="preserve">) because the </w:t>
      </w:r>
      <w:r w:rsidR="00A658E4">
        <w:rPr>
          <w:sz w:val="26"/>
          <w:szCs w:val="26"/>
        </w:rPr>
        <w:t>transmission line</w:t>
      </w:r>
      <w:r w:rsidR="005E18BE">
        <w:rPr>
          <w:sz w:val="26"/>
          <w:szCs w:val="26"/>
        </w:rPr>
        <w:t xml:space="preserve"> will be </w:t>
      </w:r>
      <w:r w:rsidR="00A658E4">
        <w:rPr>
          <w:sz w:val="26"/>
          <w:szCs w:val="26"/>
        </w:rPr>
        <w:t>re</w:t>
      </w:r>
      <w:r w:rsidR="005E18BE">
        <w:rPr>
          <w:color w:val="000000"/>
          <w:sz w:val="26"/>
          <w:szCs w:val="26"/>
        </w:rPr>
        <w:t xml:space="preserve">constructed entirely within </w:t>
      </w:r>
      <w:r w:rsidR="00A658E4">
        <w:rPr>
          <w:color w:val="000000"/>
          <w:sz w:val="26"/>
          <w:szCs w:val="26"/>
        </w:rPr>
        <w:t>an</w:t>
      </w:r>
      <w:r w:rsidR="005E18BE">
        <w:rPr>
          <w:color w:val="000000"/>
          <w:sz w:val="26"/>
          <w:szCs w:val="26"/>
        </w:rPr>
        <w:t xml:space="preserve"> existing </w:t>
      </w:r>
      <w:r w:rsidR="00A658E4">
        <w:rPr>
          <w:color w:val="000000"/>
          <w:sz w:val="26"/>
          <w:szCs w:val="26"/>
        </w:rPr>
        <w:t xml:space="preserve">transmission line </w:t>
      </w:r>
      <w:r w:rsidR="005E18BE">
        <w:rPr>
          <w:color w:val="000000"/>
          <w:sz w:val="26"/>
          <w:szCs w:val="26"/>
        </w:rPr>
        <w:t xml:space="preserve">right-of-way and </w:t>
      </w:r>
      <w:r w:rsidR="00A658E4">
        <w:rPr>
          <w:color w:val="000000"/>
          <w:sz w:val="26"/>
          <w:szCs w:val="26"/>
        </w:rPr>
        <w:t>because the Project will not substantially alter the right-of-way.  T</w:t>
      </w:r>
      <w:r w:rsidR="005E18BE">
        <w:rPr>
          <w:color w:val="000000"/>
          <w:sz w:val="26"/>
          <w:szCs w:val="26"/>
        </w:rPr>
        <w:t>he structures for the rebuilt Line will be in substantially the same locations as the existing structures</w:t>
      </w:r>
      <w:r w:rsidR="00457D7B">
        <w:rPr>
          <w:color w:val="000000"/>
          <w:sz w:val="26"/>
          <w:szCs w:val="26"/>
        </w:rPr>
        <w:t xml:space="preserve"> and approximately of the same height</w:t>
      </w:r>
      <w:r w:rsidR="005E18BE">
        <w:rPr>
          <w:color w:val="000000"/>
          <w:sz w:val="26"/>
          <w:szCs w:val="26"/>
        </w:rPr>
        <w:t xml:space="preserve">.  </w:t>
      </w:r>
      <w:r w:rsidR="00457D7B">
        <w:rPr>
          <w:color w:val="000000"/>
          <w:sz w:val="26"/>
          <w:szCs w:val="26"/>
        </w:rPr>
        <w:t>Except at the ends of the rebuilt section of the transmission line</w:t>
      </w:r>
      <w:r w:rsidR="00A658E4">
        <w:rPr>
          <w:color w:val="000000"/>
          <w:sz w:val="26"/>
          <w:szCs w:val="26"/>
        </w:rPr>
        <w:t>,</w:t>
      </w:r>
      <w:r w:rsidR="00457D7B">
        <w:rPr>
          <w:color w:val="000000"/>
          <w:sz w:val="26"/>
          <w:szCs w:val="26"/>
        </w:rPr>
        <w:t xml:space="preserve"> no property will have more structures on it than are there presently. </w:t>
      </w:r>
      <w:r w:rsidR="00A658E4">
        <w:rPr>
          <w:color w:val="000000"/>
          <w:sz w:val="26"/>
          <w:szCs w:val="26"/>
        </w:rPr>
        <w:t xml:space="preserve"> </w:t>
      </w:r>
      <w:r>
        <w:rPr>
          <w:sz w:val="26"/>
          <w:szCs w:val="26"/>
        </w:rPr>
        <w:t xml:space="preserve">Above all, the Commission has reviewed the filing and finds it to be consistent with applicable law and Commission policy regarding transmission line siting, and therefore to be in the public interest.  We note that our approval of the Letter of Notification does not reach to the issues of accounting treatment and cost recovery; </w:t>
      </w:r>
      <w:r>
        <w:rPr>
          <w:b/>
        </w:rPr>
        <w:t>THEREFORE</w:t>
      </w:r>
      <w:r>
        <w:t>,</w:t>
      </w:r>
    </w:p>
    <w:p w:rsidR="00D3486E" w:rsidRDefault="00D3486E" w:rsidP="00D71D0B">
      <w:pPr>
        <w:spacing w:line="360" w:lineRule="auto"/>
        <w:ind w:firstLine="1440"/>
      </w:pPr>
    </w:p>
    <w:p w:rsidR="00D71D0B" w:rsidRDefault="00D71D0B" w:rsidP="00D71D0B">
      <w:pPr>
        <w:pStyle w:val="p2"/>
        <w:spacing w:line="360" w:lineRule="auto"/>
        <w:outlineLvl w:val="0"/>
        <w:rPr>
          <w:b/>
          <w:sz w:val="26"/>
          <w:szCs w:val="26"/>
        </w:rPr>
      </w:pPr>
      <w:r>
        <w:rPr>
          <w:b/>
          <w:sz w:val="26"/>
          <w:szCs w:val="26"/>
        </w:rPr>
        <w:t>IT IS ORDERED:</w:t>
      </w:r>
    </w:p>
    <w:p w:rsidR="00D71D0B" w:rsidRDefault="00D71D0B" w:rsidP="00D71D0B">
      <w:pPr>
        <w:tabs>
          <w:tab w:val="left" w:pos="1491"/>
        </w:tabs>
        <w:spacing w:line="360" w:lineRule="auto"/>
        <w:rPr>
          <w:sz w:val="26"/>
          <w:szCs w:val="26"/>
        </w:rPr>
      </w:pPr>
    </w:p>
    <w:p w:rsidR="00D71D0B" w:rsidRDefault="00D71D0B" w:rsidP="00D71D0B">
      <w:pPr>
        <w:pStyle w:val="p4"/>
        <w:numPr>
          <w:ilvl w:val="0"/>
          <w:numId w:val="3"/>
        </w:numPr>
        <w:tabs>
          <w:tab w:val="clear" w:pos="204"/>
          <w:tab w:val="left" w:pos="720"/>
        </w:tabs>
        <w:spacing w:line="360" w:lineRule="auto"/>
        <w:ind w:left="0" w:firstLine="1440"/>
        <w:outlineLvl w:val="0"/>
        <w:rPr>
          <w:sz w:val="26"/>
          <w:szCs w:val="26"/>
        </w:rPr>
      </w:pPr>
      <w:r>
        <w:rPr>
          <w:sz w:val="26"/>
          <w:szCs w:val="26"/>
        </w:rPr>
        <w:t xml:space="preserve"> That the Letter of Notification filed by PPL Electric Utilities Corporation with respect to </w:t>
      </w:r>
      <w:r w:rsidR="005E18BE">
        <w:rPr>
          <w:sz w:val="26"/>
          <w:szCs w:val="26"/>
        </w:rPr>
        <w:t>re</w:t>
      </w:r>
      <w:r w:rsidR="00D3486E">
        <w:rPr>
          <w:sz w:val="26"/>
          <w:szCs w:val="26"/>
        </w:rPr>
        <w:t>construction</w:t>
      </w:r>
      <w:r>
        <w:rPr>
          <w:sz w:val="26"/>
          <w:szCs w:val="26"/>
        </w:rPr>
        <w:t xml:space="preserve"> of </w:t>
      </w:r>
      <w:r w:rsidR="00394AC5">
        <w:rPr>
          <w:color w:val="000000"/>
          <w:sz w:val="26"/>
          <w:szCs w:val="26"/>
          <w:lang w:bidi="he-IL"/>
        </w:rPr>
        <w:t xml:space="preserve">the </w:t>
      </w:r>
      <w:r w:rsidR="0052723D">
        <w:rPr>
          <w:color w:val="000000"/>
          <w:sz w:val="26"/>
          <w:szCs w:val="26"/>
          <w:lang w:bidi="he-IL"/>
        </w:rPr>
        <w:t>Blooming Grove-West Damascus, Kimbles Tap</w:t>
      </w:r>
      <w:r>
        <w:rPr>
          <w:color w:val="000000"/>
          <w:sz w:val="26"/>
          <w:szCs w:val="26"/>
          <w:lang w:bidi="he-IL"/>
        </w:rPr>
        <w:t xml:space="preserve"> </w:t>
      </w:r>
      <w:r w:rsidR="009248C9">
        <w:rPr>
          <w:color w:val="000000"/>
          <w:sz w:val="26"/>
          <w:szCs w:val="26"/>
          <w:lang w:bidi="he-IL"/>
        </w:rPr>
        <w:t>13</w:t>
      </w:r>
      <w:r w:rsidR="00D3486E">
        <w:rPr>
          <w:color w:val="000000"/>
          <w:sz w:val="26"/>
          <w:szCs w:val="26"/>
          <w:lang w:bidi="he-IL"/>
        </w:rPr>
        <w:t>8/69</w:t>
      </w:r>
      <w:r>
        <w:rPr>
          <w:color w:val="000000"/>
          <w:sz w:val="26"/>
          <w:szCs w:val="26"/>
          <w:lang w:bidi="he-IL"/>
        </w:rPr>
        <w:t xml:space="preserve"> kV </w:t>
      </w:r>
      <w:r>
        <w:rPr>
          <w:sz w:val="26"/>
          <w:szCs w:val="26"/>
        </w:rPr>
        <w:t xml:space="preserve">Transmission Line in </w:t>
      </w:r>
      <w:r w:rsidR="0052723D">
        <w:rPr>
          <w:sz w:val="26"/>
          <w:szCs w:val="26"/>
        </w:rPr>
        <w:t>Palmyra and Lackawaxen</w:t>
      </w:r>
      <w:r>
        <w:rPr>
          <w:sz w:val="26"/>
          <w:szCs w:val="26"/>
        </w:rPr>
        <w:t xml:space="preserve"> </w:t>
      </w:r>
      <w:r w:rsidR="00D3486E">
        <w:rPr>
          <w:kern w:val="2"/>
          <w:sz w:val="26"/>
          <w:szCs w:val="26"/>
        </w:rPr>
        <w:t>Township</w:t>
      </w:r>
      <w:r w:rsidR="0052723D">
        <w:rPr>
          <w:kern w:val="2"/>
          <w:sz w:val="26"/>
          <w:szCs w:val="26"/>
        </w:rPr>
        <w:t>s</w:t>
      </w:r>
      <w:r>
        <w:rPr>
          <w:kern w:val="2"/>
          <w:sz w:val="26"/>
          <w:szCs w:val="26"/>
        </w:rPr>
        <w:t xml:space="preserve">, </w:t>
      </w:r>
      <w:r w:rsidR="0052723D">
        <w:rPr>
          <w:kern w:val="2"/>
          <w:sz w:val="26"/>
          <w:szCs w:val="26"/>
        </w:rPr>
        <w:t>Pike</w:t>
      </w:r>
      <w:r>
        <w:rPr>
          <w:sz w:val="26"/>
          <w:szCs w:val="26"/>
        </w:rPr>
        <w:t xml:space="preserve"> County, PA is hereby approved.</w:t>
      </w:r>
    </w:p>
    <w:p w:rsidR="00D71D0B" w:rsidRDefault="00D71D0B" w:rsidP="00D71D0B">
      <w:pPr>
        <w:tabs>
          <w:tab w:val="left" w:pos="1491"/>
        </w:tabs>
        <w:spacing w:line="360" w:lineRule="auto"/>
        <w:jc w:val="both"/>
        <w:rPr>
          <w:sz w:val="26"/>
          <w:szCs w:val="26"/>
        </w:rPr>
      </w:pPr>
    </w:p>
    <w:p w:rsidR="00D71D0B" w:rsidRDefault="00D71D0B" w:rsidP="00D71D0B">
      <w:pPr>
        <w:numPr>
          <w:ilvl w:val="0"/>
          <w:numId w:val="3"/>
        </w:numPr>
        <w:tabs>
          <w:tab w:val="left" w:pos="1491"/>
        </w:tabs>
        <w:spacing w:line="360" w:lineRule="auto"/>
        <w:jc w:val="both"/>
        <w:rPr>
          <w:sz w:val="26"/>
          <w:szCs w:val="26"/>
        </w:rPr>
      </w:pPr>
      <w:r>
        <w:rPr>
          <w:sz w:val="26"/>
          <w:szCs w:val="26"/>
        </w:rPr>
        <w:t xml:space="preserve">      That this proceed</w:t>
      </w:r>
      <w:r w:rsidR="00394AC5">
        <w:rPr>
          <w:sz w:val="26"/>
          <w:szCs w:val="26"/>
        </w:rPr>
        <w:t>i</w:t>
      </w:r>
      <w:r w:rsidR="0052723D">
        <w:rPr>
          <w:sz w:val="26"/>
          <w:szCs w:val="26"/>
        </w:rPr>
        <w:t>ng at Docket No. A-2012-23</w:t>
      </w:r>
      <w:r w:rsidR="008B703C">
        <w:rPr>
          <w:sz w:val="26"/>
          <w:szCs w:val="26"/>
        </w:rPr>
        <w:t>1</w:t>
      </w:r>
      <w:r w:rsidR="0052723D">
        <w:rPr>
          <w:sz w:val="26"/>
          <w:szCs w:val="26"/>
        </w:rPr>
        <w:t>9704</w:t>
      </w:r>
      <w:r>
        <w:rPr>
          <w:sz w:val="26"/>
          <w:szCs w:val="26"/>
        </w:rPr>
        <w:t xml:space="preserve"> be closed.</w:t>
      </w:r>
    </w:p>
    <w:p w:rsidR="00D71D0B" w:rsidRDefault="00D71D0B" w:rsidP="00D71D0B">
      <w:pPr>
        <w:pStyle w:val="ListParagraph"/>
        <w:rPr>
          <w:sz w:val="26"/>
          <w:szCs w:val="26"/>
        </w:rPr>
      </w:pPr>
    </w:p>
    <w:p w:rsidR="00D71D0B" w:rsidRDefault="00D345C8" w:rsidP="00D71D0B">
      <w:pPr>
        <w:tabs>
          <w:tab w:val="left" w:pos="1491"/>
        </w:tabs>
        <w:spacing w:line="360" w:lineRule="auto"/>
        <w:ind w:left="1800"/>
        <w:jc w:val="both"/>
        <w:rPr>
          <w:sz w:val="26"/>
          <w:szCs w:val="26"/>
        </w:rPr>
      </w:pPr>
      <w:bookmarkStart w:id="0" w:name="_GoBack"/>
      <w:r>
        <w:rPr>
          <w:noProof/>
        </w:rPr>
        <w:drawing>
          <wp:anchor distT="0" distB="0" distL="114300" distR="114300" simplePos="0" relativeHeight="251659264" behindDoc="1" locked="0" layoutInCell="1" allowOverlap="1" wp14:anchorId="07990D78" wp14:editId="15A65770">
            <wp:simplePos x="0" y="0"/>
            <wp:positionH relativeFrom="column">
              <wp:posOffset>2895600</wp:posOffset>
            </wp:positionH>
            <wp:positionV relativeFrom="paragraph">
              <wp:posOffset>250825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71D0B" w:rsidRDefault="00D71D0B" w:rsidP="00D71D0B">
      <w:pPr>
        <w:pStyle w:val="p3"/>
        <w:spacing w:line="360" w:lineRule="auto"/>
        <w:ind w:left="5119"/>
        <w:jc w:val="both"/>
        <w:rPr>
          <w:b/>
          <w:bCs/>
          <w:sz w:val="26"/>
          <w:szCs w:val="26"/>
        </w:rPr>
      </w:pPr>
      <w:r>
        <w:rPr>
          <w:b/>
          <w:bCs/>
          <w:sz w:val="26"/>
          <w:szCs w:val="26"/>
        </w:rPr>
        <w:t>BY THE COMMISSION,</w:t>
      </w:r>
    </w:p>
    <w:p w:rsidR="00D71D0B" w:rsidRDefault="00D71D0B" w:rsidP="00D71D0B">
      <w:pPr>
        <w:tabs>
          <w:tab w:val="left" w:pos="5119"/>
        </w:tabs>
        <w:spacing w:line="360" w:lineRule="auto"/>
        <w:jc w:val="both"/>
        <w:rPr>
          <w:bCs/>
          <w:sz w:val="26"/>
          <w:szCs w:val="26"/>
        </w:rPr>
      </w:pPr>
    </w:p>
    <w:p w:rsidR="00D71D0B" w:rsidRDefault="00D71D0B" w:rsidP="00D71D0B">
      <w:pPr>
        <w:pStyle w:val="p4"/>
        <w:ind w:left="5126"/>
        <w:jc w:val="both"/>
        <w:outlineLvl w:val="0"/>
        <w:rPr>
          <w:sz w:val="26"/>
          <w:szCs w:val="26"/>
        </w:rPr>
      </w:pPr>
      <w:r>
        <w:rPr>
          <w:sz w:val="26"/>
          <w:szCs w:val="26"/>
        </w:rPr>
        <w:t>Rosemary Chiavetta</w:t>
      </w:r>
    </w:p>
    <w:p w:rsidR="00D71D0B" w:rsidRDefault="00D71D0B" w:rsidP="00D71D0B">
      <w:pPr>
        <w:pStyle w:val="p4"/>
        <w:ind w:left="5126"/>
        <w:jc w:val="both"/>
        <w:rPr>
          <w:sz w:val="26"/>
          <w:szCs w:val="26"/>
        </w:rPr>
      </w:pPr>
      <w:r>
        <w:rPr>
          <w:sz w:val="26"/>
          <w:szCs w:val="26"/>
        </w:rPr>
        <w:t>Secretary</w:t>
      </w:r>
    </w:p>
    <w:p w:rsidR="00D71D0B" w:rsidRDefault="00D71D0B" w:rsidP="00D71D0B">
      <w:pPr>
        <w:pStyle w:val="p4"/>
        <w:spacing w:line="360" w:lineRule="auto"/>
        <w:ind w:left="5130"/>
        <w:jc w:val="both"/>
        <w:rPr>
          <w:sz w:val="26"/>
          <w:szCs w:val="26"/>
        </w:rPr>
      </w:pPr>
    </w:p>
    <w:p w:rsidR="00AF7CA4" w:rsidRDefault="00AF7CA4" w:rsidP="00D71D0B">
      <w:pPr>
        <w:pStyle w:val="p4"/>
        <w:spacing w:line="360" w:lineRule="auto"/>
        <w:ind w:left="5130"/>
        <w:jc w:val="both"/>
        <w:rPr>
          <w:sz w:val="26"/>
          <w:szCs w:val="26"/>
        </w:rPr>
      </w:pPr>
    </w:p>
    <w:p w:rsidR="00D71D0B" w:rsidRDefault="00D71D0B" w:rsidP="00D71D0B">
      <w:pPr>
        <w:pStyle w:val="p1"/>
        <w:spacing w:line="360" w:lineRule="auto"/>
        <w:ind w:hanging="1054"/>
        <w:jc w:val="both"/>
        <w:rPr>
          <w:sz w:val="26"/>
          <w:szCs w:val="26"/>
        </w:rPr>
      </w:pPr>
      <w:r>
        <w:rPr>
          <w:sz w:val="26"/>
          <w:szCs w:val="26"/>
        </w:rPr>
        <w:t>(SEAL)</w:t>
      </w:r>
      <w:r>
        <w:t xml:space="preserve"> </w:t>
      </w:r>
    </w:p>
    <w:p w:rsidR="00D71D0B" w:rsidRDefault="00D71D0B" w:rsidP="00D71D0B">
      <w:pPr>
        <w:pStyle w:val="p1"/>
        <w:spacing w:line="360" w:lineRule="auto"/>
        <w:ind w:hanging="1054"/>
        <w:jc w:val="both"/>
        <w:outlineLvl w:val="0"/>
        <w:rPr>
          <w:sz w:val="26"/>
          <w:szCs w:val="26"/>
        </w:rPr>
      </w:pPr>
      <w:r>
        <w:rPr>
          <w:sz w:val="26"/>
          <w:szCs w:val="26"/>
        </w:rPr>
        <w:t xml:space="preserve">ORDER ADOPTED: </w:t>
      </w:r>
      <w:r w:rsidR="00F1678C">
        <w:rPr>
          <w:sz w:val="26"/>
          <w:szCs w:val="26"/>
        </w:rPr>
        <w:t>October 24</w:t>
      </w:r>
      <w:r>
        <w:rPr>
          <w:sz w:val="26"/>
          <w:szCs w:val="26"/>
        </w:rPr>
        <w:t>, 2012</w:t>
      </w:r>
    </w:p>
    <w:p w:rsidR="00541A14" w:rsidRDefault="00D71D0B" w:rsidP="0052723D">
      <w:pPr>
        <w:pStyle w:val="p1"/>
        <w:tabs>
          <w:tab w:val="clear" w:pos="691"/>
          <w:tab w:val="clear" w:pos="1054"/>
          <w:tab w:val="left" w:pos="1440"/>
        </w:tabs>
        <w:spacing w:line="360" w:lineRule="auto"/>
        <w:ind w:hanging="1054"/>
        <w:jc w:val="both"/>
        <w:outlineLvl w:val="0"/>
      </w:pPr>
      <w:r>
        <w:rPr>
          <w:sz w:val="26"/>
          <w:szCs w:val="26"/>
        </w:rPr>
        <w:t xml:space="preserve">ORDER ENTERED: </w:t>
      </w:r>
      <w:r w:rsidR="00D345C8">
        <w:rPr>
          <w:sz w:val="26"/>
          <w:szCs w:val="26"/>
        </w:rPr>
        <w:t xml:space="preserve"> October 24, 2012</w:t>
      </w:r>
    </w:p>
    <w:sectPr w:rsidR="00541A14" w:rsidSect="003141CD">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F33" w:rsidRDefault="001B2F33" w:rsidP="001A34AF">
      <w:r>
        <w:separator/>
      </w:r>
    </w:p>
  </w:endnote>
  <w:endnote w:type="continuationSeparator" w:id="0">
    <w:p w:rsidR="001B2F33" w:rsidRDefault="001B2F33"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859133"/>
      <w:docPartObj>
        <w:docPartGallery w:val="Page Numbers (Bottom of Page)"/>
        <w:docPartUnique/>
      </w:docPartObj>
    </w:sdtPr>
    <w:sdtEndPr>
      <w:rPr>
        <w:noProof/>
      </w:rPr>
    </w:sdtEndPr>
    <w:sdtContent>
      <w:p w:rsidR="003141CD" w:rsidRDefault="003141CD">
        <w:pPr>
          <w:pStyle w:val="Footer"/>
          <w:jc w:val="center"/>
        </w:pPr>
        <w:r>
          <w:fldChar w:fldCharType="begin"/>
        </w:r>
        <w:r>
          <w:instrText xml:space="preserve"> PAGE   \* MERGEFORMAT </w:instrText>
        </w:r>
        <w:r>
          <w:fldChar w:fldCharType="separate"/>
        </w:r>
        <w:r w:rsidR="00D345C8">
          <w:rPr>
            <w:noProof/>
          </w:rPr>
          <w:t>7</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F33" w:rsidRDefault="001B2F33" w:rsidP="001A34AF">
      <w:r>
        <w:separator/>
      </w:r>
    </w:p>
  </w:footnote>
  <w:footnote w:type="continuationSeparator" w:id="0">
    <w:p w:rsidR="001B2F33" w:rsidRDefault="001B2F33" w:rsidP="001A34AF">
      <w:r>
        <w:continuationSeparator/>
      </w:r>
    </w:p>
  </w:footnote>
  <w:footnote w:id="1">
    <w:p w:rsidR="002E0922" w:rsidRPr="002E0922" w:rsidRDefault="002E0922" w:rsidP="00A839F5">
      <w:pPr>
        <w:rPr>
          <w:sz w:val="20"/>
          <w:szCs w:val="20"/>
        </w:rPr>
      </w:pPr>
      <w:r w:rsidRPr="002E0922">
        <w:rPr>
          <w:rStyle w:val="FootnoteReference"/>
          <w:sz w:val="20"/>
          <w:szCs w:val="20"/>
        </w:rPr>
        <w:footnoteRef/>
      </w:r>
      <w:r w:rsidRPr="002E0922">
        <w:rPr>
          <w:sz w:val="20"/>
          <w:szCs w:val="20"/>
        </w:rPr>
        <w:t xml:space="preserve"> Kcmil stands for "thousand circular mils." A circular mil is the</w:t>
      </w:r>
      <w:r>
        <w:rPr>
          <w:sz w:val="20"/>
          <w:szCs w:val="20"/>
        </w:rPr>
        <w:t xml:space="preserve"> cross-sectional area of a wire </w:t>
      </w:r>
      <w:r w:rsidRPr="002E0922">
        <w:rPr>
          <w:sz w:val="20"/>
          <w:szCs w:val="20"/>
        </w:rPr>
        <w:t>one mil in diameter,</w:t>
      </w:r>
    </w:p>
    <w:p w:rsidR="002E0922" w:rsidRPr="002E0922" w:rsidRDefault="002E0922" w:rsidP="00A839F5">
      <w:pPr>
        <w:rPr>
          <w:sz w:val="20"/>
          <w:szCs w:val="20"/>
        </w:rPr>
      </w:pPr>
      <w:r>
        <w:rPr>
          <w:sz w:val="20"/>
          <w:szCs w:val="20"/>
        </w:rPr>
        <w:t>where 1 kcmil = 0.5067 mm2.</w:t>
      </w:r>
      <w:r w:rsidRPr="002E0922">
        <w:rPr>
          <w:sz w:val="20"/>
          <w:szCs w:val="20"/>
        </w:rPr>
        <w:t>.</w:t>
      </w:r>
    </w:p>
    <w:p w:rsidR="002E0922" w:rsidRDefault="002E092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3">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1216A"/>
    <w:rsid w:val="00020798"/>
    <w:rsid w:val="000363B2"/>
    <w:rsid w:val="00040BF9"/>
    <w:rsid w:val="0004351B"/>
    <w:rsid w:val="00050508"/>
    <w:rsid w:val="0005379B"/>
    <w:rsid w:val="00054C70"/>
    <w:rsid w:val="00055AA7"/>
    <w:rsid w:val="000828C6"/>
    <w:rsid w:val="00083548"/>
    <w:rsid w:val="000A2CCA"/>
    <w:rsid w:val="000D732C"/>
    <w:rsid w:val="000E504B"/>
    <w:rsid w:val="00105D44"/>
    <w:rsid w:val="00107589"/>
    <w:rsid w:val="00123DE2"/>
    <w:rsid w:val="001256FB"/>
    <w:rsid w:val="00154025"/>
    <w:rsid w:val="001629DC"/>
    <w:rsid w:val="00163D23"/>
    <w:rsid w:val="0016756E"/>
    <w:rsid w:val="001708C0"/>
    <w:rsid w:val="00174860"/>
    <w:rsid w:val="00183E61"/>
    <w:rsid w:val="00192322"/>
    <w:rsid w:val="00194622"/>
    <w:rsid w:val="001970F3"/>
    <w:rsid w:val="001A34AF"/>
    <w:rsid w:val="001A7CCE"/>
    <w:rsid w:val="001B2F33"/>
    <w:rsid w:val="001C0517"/>
    <w:rsid w:val="001C3D0E"/>
    <w:rsid w:val="001D506A"/>
    <w:rsid w:val="00205A69"/>
    <w:rsid w:val="00222089"/>
    <w:rsid w:val="00223A62"/>
    <w:rsid w:val="002353EA"/>
    <w:rsid w:val="002609FA"/>
    <w:rsid w:val="00260C8C"/>
    <w:rsid w:val="0026203C"/>
    <w:rsid w:val="00275447"/>
    <w:rsid w:val="00285D59"/>
    <w:rsid w:val="002B1574"/>
    <w:rsid w:val="002B4021"/>
    <w:rsid w:val="002B5FAB"/>
    <w:rsid w:val="002E0922"/>
    <w:rsid w:val="002E3423"/>
    <w:rsid w:val="003141CD"/>
    <w:rsid w:val="0031630D"/>
    <w:rsid w:val="00321781"/>
    <w:rsid w:val="0032210D"/>
    <w:rsid w:val="00330004"/>
    <w:rsid w:val="00330C72"/>
    <w:rsid w:val="003329EE"/>
    <w:rsid w:val="00344A7E"/>
    <w:rsid w:val="0034786B"/>
    <w:rsid w:val="003521F2"/>
    <w:rsid w:val="0035612C"/>
    <w:rsid w:val="0037216B"/>
    <w:rsid w:val="003829A3"/>
    <w:rsid w:val="00383CDD"/>
    <w:rsid w:val="003943E2"/>
    <w:rsid w:val="00394AC5"/>
    <w:rsid w:val="003A2568"/>
    <w:rsid w:val="003C3BE4"/>
    <w:rsid w:val="003C5B9F"/>
    <w:rsid w:val="003D5394"/>
    <w:rsid w:val="004170AB"/>
    <w:rsid w:val="00422734"/>
    <w:rsid w:val="00426AD3"/>
    <w:rsid w:val="00434B43"/>
    <w:rsid w:val="0044136D"/>
    <w:rsid w:val="00446B9E"/>
    <w:rsid w:val="00457D7B"/>
    <w:rsid w:val="00464D06"/>
    <w:rsid w:val="0049072C"/>
    <w:rsid w:val="004D20ED"/>
    <w:rsid w:val="004D5510"/>
    <w:rsid w:val="004E6CD9"/>
    <w:rsid w:val="004F62AB"/>
    <w:rsid w:val="00502234"/>
    <w:rsid w:val="005103AA"/>
    <w:rsid w:val="00517A6F"/>
    <w:rsid w:val="00524089"/>
    <w:rsid w:val="005245A5"/>
    <w:rsid w:val="00526446"/>
    <w:rsid w:val="00526937"/>
    <w:rsid w:val="0052723D"/>
    <w:rsid w:val="00527C67"/>
    <w:rsid w:val="00541A14"/>
    <w:rsid w:val="00547D84"/>
    <w:rsid w:val="00572E94"/>
    <w:rsid w:val="00575156"/>
    <w:rsid w:val="00586ECA"/>
    <w:rsid w:val="005A1BB0"/>
    <w:rsid w:val="005A690C"/>
    <w:rsid w:val="005B7FDE"/>
    <w:rsid w:val="005D0E97"/>
    <w:rsid w:val="005D2CE8"/>
    <w:rsid w:val="005D72F0"/>
    <w:rsid w:val="005E18BE"/>
    <w:rsid w:val="005E3A56"/>
    <w:rsid w:val="00600C3E"/>
    <w:rsid w:val="00621E6A"/>
    <w:rsid w:val="00631B3E"/>
    <w:rsid w:val="006550FC"/>
    <w:rsid w:val="006954DA"/>
    <w:rsid w:val="006A5019"/>
    <w:rsid w:val="006A7FB9"/>
    <w:rsid w:val="006B7111"/>
    <w:rsid w:val="006F0A58"/>
    <w:rsid w:val="0070093D"/>
    <w:rsid w:val="00703582"/>
    <w:rsid w:val="00745044"/>
    <w:rsid w:val="00764321"/>
    <w:rsid w:val="007654B3"/>
    <w:rsid w:val="00765FF0"/>
    <w:rsid w:val="007749B1"/>
    <w:rsid w:val="007833DD"/>
    <w:rsid w:val="00793038"/>
    <w:rsid w:val="007B2F77"/>
    <w:rsid w:val="007C580D"/>
    <w:rsid w:val="007D2053"/>
    <w:rsid w:val="007F4B91"/>
    <w:rsid w:val="007F6577"/>
    <w:rsid w:val="0081100A"/>
    <w:rsid w:val="00813E3C"/>
    <w:rsid w:val="0082121F"/>
    <w:rsid w:val="00822E2A"/>
    <w:rsid w:val="00850742"/>
    <w:rsid w:val="008706D5"/>
    <w:rsid w:val="00874708"/>
    <w:rsid w:val="00875B9B"/>
    <w:rsid w:val="00882D61"/>
    <w:rsid w:val="00890AFF"/>
    <w:rsid w:val="008B1854"/>
    <w:rsid w:val="008B40B5"/>
    <w:rsid w:val="008B569F"/>
    <w:rsid w:val="008B703C"/>
    <w:rsid w:val="008C27FB"/>
    <w:rsid w:val="008C63C6"/>
    <w:rsid w:val="008D2ED6"/>
    <w:rsid w:val="008D4216"/>
    <w:rsid w:val="00916F10"/>
    <w:rsid w:val="00921CAA"/>
    <w:rsid w:val="009248C9"/>
    <w:rsid w:val="00943224"/>
    <w:rsid w:val="009619AD"/>
    <w:rsid w:val="009758D3"/>
    <w:rsid w:val="00982C39"/>
    <w:rsid w:val="0098495C"/>
    <w:rsid w:val="00996676"/>
    <w:rsid w:val="009A03D5"/>
    <w:rsid w:val="009A3B80"/>
    <w:rsid w:val="009B1796"/>
    <w:rsid w:val="009C20FF"/>
    <w:rsid w:val="009C2919"/>
    <w:rsid w:val="009C6791"/>
    <w:rsid w:val="009E0AC5"/>
    <w:rsid w:val="009F3EC4"/>
    <w:rsid w:val="00A006E9"/>
    <w:rsid w:val="00A02A76"/>
    <w:rsid w:val="00A42FAD"/>
    <w:rsid w:val="00A45EAA"/>
    <w:rsid w:val="00A5306C"/>
    <w:rsid w:val="00A53E29"/>
    <w:rsid w:val="00A658E4"/>
    <w:rsid w:val="00A65B71"/>
    <w:rsid w:val="00A67DCB"/>
    <w:rsid w:val="00A839F5"/>
    <w:rsid w:val="00A84D6A"/>
    <w:rsid w:val="00A859EE"/>
    <w:rsid w:val="00A92738"/>
    <w:rsid w:val="00AC26C9"/>
    <w:rsid w:val="00AD0743"/>
    <w:rsid w:val="00AD5BA8"/>
    <w:rsid w:val="00AD72EA"/>
    <w:rsid w:val="00AF300A"/>
    <w:rsid w:val="00AF79DF"/>
    <w:rsid w:val="00AF7CA4"/>
    <w:rsid w:val="00B02D5D"/>
    <w:rsid w:val="00B16FF6"/>
    <w:rsid w:val="00B37F16"/>
    <w:rsid w:val="00B43293"/>
    <w:rsid w:val="00B50AB6"/>
    <w:rsid w:val="00B54331"/>
    <w:rsid w:val="00B6746C"/>
    <w:rsid w:val="00B83710"/>
    <w:rsid w:val="00B958BB"/>
    <w:rsid w:val="00B95E84"/>
    <w:rsid w:val="00BC12B7"/>
    <w:rsid w:val="00BC2497"/>
    <w:rsid w:val="00BC51F2"/>
    <w:rsid w:val="00BD288A"/>
    <w:rsid w:val="00BF24CA"/>
    <w:rsid w:val="00C045CE"/>
    <w:rsid w:val="00C159BE"/>
    <w:rsid w:val="00C21D0E"/>
    <w:rsid w:val="00C22155"/>
    <w:rsid w:val="00C3009C"/>
    <w:rsid w:val="00C537FE"/>
    <w:rsid w:val="00C57267"/>
    <w:rsid w:val="00C57993"/>
    <w:rsid w:val="00C7066B"/>
    <w:rsid w:val="00C736A3"/>
    <w:rsid w:val="00C73961"/>
    <w:rsid w:val="00C77791"/>
    <w:rsid w:val="00C85D89"/>
    <w:rsid w:val="00C926A3"/>
    <w:rsid w:val="00C92E81"/>
    <w:rsid w:val="00CA1D66"/>
    <w:rsid w:val="00CA1D84"/>
    <w:rsid w:val="00CA4C09"/>
    <w:rsid w:val="00CB1694"/>
    <w:rsid w:val="00D0280E"/>
    <w:rsid w:val="00D16732"/>
    <w:rsid w:val="00D345C8"/>
    <w:rsid w:val="00D3486E"/>
    <w:rsid w:val="00D43132"/>
    <w:rsid w:val="00D44D2B"/>
    <w:rsid w:val="00D51535"/>
    <w:rsid w:val="00D54887"/>
    <w:rsid w:val="00D65B84"/>
    <w:rsid w:val="00D66E14"/>
    <w:rsid w:val="00D71D0B"/>
    <w:rsid w:val="00D73F17"/>
    <w:rsid w:val="00D74B18"/>
    <w:rsid w:val="00D76F9A"/>
    <w:rsid w:val="00D861B4"/>
    <w:rsid w:val="00DA5CE3"/>
    <w:rsid w:val="00DC2E51"/>
    <w:rsid w:val="00DD305B"/>
    <w:rsid w:val="00DD6958"/>
    <w:rsid w:val="00DF35F5"/>
    <w:rsid w:val="00E04AF7"/>
    <w:rsid w:val="00E21DF1"/>
    <w:rsid w:val="00E23ABB"/>
    <w:rsid w:val="00E34115"/>
    <w:rsid w:val="00E37C0B"/>
    <w:rsid w:val="00E63982"/>
    <w:rsid w:val="00E66AD3"/>
    <w:rsid w:val="00E67C2C"/>
    <w:rsid w:val="00E82BCB"/>
    <w:rsid w:val="00E868BF"/>
    <w:rsid w:val="00EB1CD5"/>
    <w:rsid w:val="00EB7483"/>
    <w:rsid w:val="00EC1692"/>
    <w:rsid w:val="00ED04EE"/>
    <w:rsid w:val="00EE325D"/>
    <w:rsid w:val="00EF625C"/>
    <w:rsid w:val="00F055E0"/>
    <w:rsid w:val="00F07D7C"/>
    <w:rsid w:val="00F1678C"/>
    <w:rsid w:val="00F425F8"/>
    <w:rsid w:val="00F43894"/>
    <w:rsid w:val="00F4783A"/>
    <w:rsid w:val="00F535F1"/>
    <w:rsid w:val="00F553C8"/>
    <w:rsid w:val="00F86313"/>
    <w:rsid w:val="00F91A2F"/>
    <w:rsid w:val="00F957D3"/>
    <w:rsid w:val="00FA5B59"/>
    <w:rsid w:val="00FA6351"/>
    <w:rsid w:val="00FB5A9E"/>
    <w:rsid w:val="00FC480F"/>
    <w:rsid w:val="00FD0284"/>
    <w:rsid w:val="00FD5653"/>
    <w:rsid w:val="00FE32C9"/>
    <w:rsid w:val="00FE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11BB-7E6A-487A-955B-656B2B1D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Miller, Sara</cp:lastModifiedBy>
  <cp:revision>44</cp:revision>
  <cp:lastPrinted>2012-10-24T12:41:00Z</cp:lastPrinted>
  <dcterms:created xsi:type="dcterms:W3CDTF">2012-10-16T15:35:00Z</dcterms:created>
  <dcterms:modified xsi:type="dcterms:W3CDTF">2012-10-24T12:41:00Z</dcterms:modified>
</cp:coreProperties>
</file>