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2448"/>
        <w:gridCol w:w="5040"/>
        <w:gridCol w:w="2790"/>
      </w:tblGrid>
      <w:tr w:rsidR="00106DC4" w:rsidRPr="00CD6C97" w:rsidTr="00275005">
        <w:tc>
          <w:tcPr>
            <w:tcW w:w="2448" w:type="dxa"/>
          </w:tcPr>
          <w:p w:rsidR="00106DC4" w:rsidRPr="00CD6C97" w:rsidRDefault="00106DC4" w:rsidP="00275005">
            <w:pPr>
              <w:rPr>
                <w:color w:val="auto"/>
              </w:rPr>
            </w:pPr>
          </w:p>
        </w:tc>
        <w:tc>
          <w:tcPr>
            <w:tcW w:w="5040" w:type="dxa"/>
          </w:tcPr>
          <w:p w:rsidR="00106DC4" w:rsidRPr="00CD6C97" w:rsidRDefault="00106DC4" w:rsidP="00275005">
            <w:pPr>
              <w:jc w:val="center"/>
              <w:rPr>
                <w:b/>
                <w:color w:val="auto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CD6C97">
                  <w:rPr>
                    <w:b/>
                    <w:color w:val="auto"/>
                    <w:sz w:val="26"/>
                  </w:rPr>
                  <w:t>PENNSYLVANIA</w:t>
                </w:r>
              </w:smartTag>
            </w:smartTag>
          </w:p>
          <w:p w:rsidR="00106DC4" w:rsidRPr="00CD6C97" w:rsidRDefault="00106DC4" w:rsidP="00275005">
            <w:pPr>
              <w:jc w:val="center"/>
              <w:rPr>
                <w:b/>
                <w:color w:val="auto"/>
                <w:sz w:val="26"/>
              </w:rPr>
            </w:pPr>
            <w:r w:rsidRPr="00CD6C97">
              <w:rPr>
                <w:b/>
                <w:color w:val="auto"/>
                <w:sz w:val="26"/>
              </w:rPr>
              <w:t>PUBLIC UTILITY COMMISSION</w:t>
            </w:r>
          </w:p>
          <w:p w:rsidR="00106DC4" w:rsidRPr="00CD6C97" w:rsidRDefault="00106DC4" w:rsidP="00275005">
            <w:pPr>
              <w:jc w:val="center"/>
              <w:rPr>
                <w:color w:val="auto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CD6C97">
                  <w:rPr>
                    <w:b/>
                    <w:color w:val="auto"/>
                    <w:sz w:val="26"/>
                  </w:rPr>
                  <w:t>Harrisburg</w:t>
                </w:r>
              </w:smartTag>
              <w:r w:rsidRPr="00CD6C97">
                <w:rPr>
                  <w:b/>
                  <w:color w:val="auto"/>
                  <w:sz w:val="26"/>
                </w:rPr>
                <w:t xml:space="preserve">, </w:t>
              </w:r>
              <w:smartTag w:uri="urn:schemas-microsoft-com:office:smarttags" w:element="State">
                <w:r w:rsidRPr="00CD6C97">
                  <w:rPr>
                    <w:b/>
                    <w:color w:val="auto"/>
                    <w:sz w:val="26"/>
                  </w:rPr>
                  <w:t>PA.</w:t>
                </w:r>
              </w:smartTag>
            </w:smartTag>
            <w:r w:rsidRPr="00CD6C97">
              <w:rPr>
                <w:b/>
                <w:color w:val="auto"/>
                <w:sz w:val="26"/>
              </w:rPr>
              <w:t xml:space="preserve">  17105-3265</w:t>
            </w:r>
          </w:p>
        </w:tc>
        <w:tc>
          <w:tcPr>
            <w:tcW w:w="2790" w:type="dxa"/>
          </w:tcPr>
          <w:p w:rsidR="00106DC4" w:rsidRPr="00CD6C97" w:rsidRDefault="00106DC4" w:rsidP="00275005">
            <w:pPr>
              <w:rPr>
                <w:color w:val="auto"/>
              </w:rPr>
            </w:pPr>
          </w:p>
        </w:tc>
      </w:tr>
    </w:tbl>
    <w:p w:rsidR="00106DC4" w:rsidRPr="00CD6C97" w:rsidRDefault="00106DC4" w:rsidP="00106DC4">
      <w:pPr>
        <w:rPr>
          <w:color w:val="auto"/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106DC4" w:rsidRPr="00CD6C97" w:rsidTr="00275005">
        <w:tc>
          <w:tcPr>
            <w:tcW w:w="5148" w:type="dxa"/>
          </w:tcPr>
          <w:p w:rsidR="00106DC4" w:rsidRPr="00CD6C97" w:rsidRDefault="00106DC4" w:rsidP="00275005">
            <w:pPr>
              <w:rPr>
                <w:color w:val="auto"/>
                <w:sz w:val="26"/>
              </w:rPr>
            </w:pPr>
          </w:p>
        </w:tc>
        <w:tc>
          <w:tcPr>
            <w:tcW w:w="5148" w:type="dxa"/>
          </w:tcPr>
          <w:p w:rsidR="00106DC4" w:rsidRPr="00CD6C97" w:rsidRDefault="00106DC4" w:rsidP="000216D5">
            <w:pPr>
              <w:ind w:firstLine="612"/>
              <w:rPr>
                <w:color w:val="auto"/>
                <w:sz w:val="26"/>
              </w:rPr>
            </w:pPr>
            <w:r w:rsidRPr="00CD6C97">
              <w:rPr>
                <w:color w:val="auto"/>
                <w:sz w:val="26"/>
              </w:rPr>
              <w:t xml:space="preserve">Public Meeting held </w:t>
            </w:r>
            <w:r w:rsidR="003178E1">
              <w:rPr>
                <w:color w:val="auto"/>
                <w:sz w:val="26"/>
              </w:rPr>
              <w:t>October 2</w:t>
            </w:r>
            <w:r w:rsidR="000216D5">
              <w:rPr>
                <w:color w:val="auto"/>
                <w:sz w:val="26"/>
              </w:rPr>
              <w:t>4</w:t>
            </w:r>
            <w:r>
              <w:rPr>
                <w:color w:val="auto"/>
                <w:sz w:val="26"/>
              </w:rPr>
              <w:t>, 2012</w:t>
            </w:r>
          </w:p>
        </w:tc>
      </w:tr>
      <w:tr w:rsidR="00106DC4" w:rsidRPr="00CD6C97" w:rsidTr="00275005">
        <w:tc>
          <w:tcPr>
            <w:tcW w:w="5148" w:type="dxa"/>
          </w:tcPr>
          <w:p w:rsidR="00106DC4" w:rsidRPr="00CD6C97" w:rsidRDefault="00106DC4" w:rsidP="00275005">
            <w:pPr>
              <w:rPr>
                <w:color w:val="auto"/>
                <w:sz w:val="26"/>
              </w:rPr>
            </w:pPr>
            <w:r w:rsidRPr="00CD6C97">
              <w:rPr>
                <w:color w:val="auto"/>
                <w:sz w:val="26"/>
              </w:rPr>
              <w:t>Commissioners Present:</w:t>
            </w:r>
          </w:p>
        </w:tc>
        <w:tc>
          <w:tcPr>
            <w:tcW w:w="5148" w:type="dxa"/>
          </w:tcPr>
          <w:p w:rsidR="00106DC4" w:rsidRPr="00CD6C97" w:rsidRDefault="00106DC4" w:rsidP="00275005">
            <w:pPr>
              <w:rPr>
                <w:color w:val="auto"/>
                <w:sz w:val="26"/>
              </w:rPr>
            </w:pPr>
          </w:p>
        </w:tc>
      </w:tr>
    </w:tbl>
    <w:p w:rsidR="00106DC4" w:rsidRPr="00CD6C97" w:rsidRDefault="00106DC4" w:rsidP="00106DC4">
      <w:pPr>
        <w:rPr>
          <w:color w:val="auto"/>
          <w:sz w:val="26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9558"/>
        <w:gridCol w:w="738"/>
      </w:tblGrid>
      <w:tr w:rsidR="00106DC4" w:rsidRPr="00CD6C97" w:rsidTr="00275005">
        <w:tc>
          <w:tcPr>
            <w:tcW w:w="9558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468"/>
            </w:tblGrid>
            <w:tr w:rsidR="00106DC4" w:rsidRPr="002623BD" w:rsidTr="00275005">
              <w:tc>
                <w:tcPr>
                  <w:tcW w:w="9468" w:type="dxa"/>
                </w:tcPr>
                <w:p w:rsidR="00106DC4" w:rsidRPr="002623BD" w:rsidRDefault="00106DC4" w:rsidP="00275005">
                  <w:pPr>
                    <w:rPr>
                      <w:color w:val="auto"/>
                      <w:sz w:val="26"/>
                      <w:szCs w:val="26"/>
                    </w:rPr>
                  </w:pPr>
                  <w:r w:rsidRPr="002623BD">
                    <w:rPr>
                      <w:color w:val="auto"/>
                      <w:sz w:val="26"/>
                      <w:szCs w:val="26"/>
                    </w:rPr>
                    <w:tab/>
                    <w:t>Robert F. Powelson, Chairman</w:t>
                  </w:r>
                </w:p>
              </w:tc>
            </w:tr>
            <w:tr w:rsidR="00106DC4" w:rsidRPr="002623BD" w:rsidTr="00275005">
              <w:tc>
                <w:tcPr>
                  <w:tcW w:w="9468" w:type="dxa"/>
                </w:tcPr>
                <w:p w:rsidR="00106DC4" w:rsidRPr="002623BD" w:rsidRDefault="00106DC4" w:rsidP="00275005">
                  <w:pPr>
                    <w:rPr>
                      <w:color w:val="auto"/>
                      <w:sz w:val="26"/>
                      <w:szCs w:val="26"/>
                    </w:rPr>
                  </w:pPr>
                  <w:r w:rsidRPr="002623BD">
                    <w:rPr>
                      <w:color w:val="auto"/>
                      <w:sz w:val="26"/>
                      <w:szCs w:val="26"/>
                    </w:rPr>
                    <w:tab/>
                    <w:t xml:space="preserve">John F. Coleman, Jr., Vice Chairman                        </w:t>
                  </w:r>
                </w:p>
                <w:p w:rsidR="00106DC4" w:rsidRPr="002623BD" w:rsidRDefault="00106DC4" w:rsidP="00275005">
                  <w:pPr>
                    <w:rPr>
                      <w:color w:val="auto"/>
                      <w:sz w:val="26"/>
                      <w:szCs w:val="26"/>
                    </w:rPr>
                  </w:pPr>
                  <w:r w:rsidRPr="002623BD">
                    <w:rPr>
                      <w:color w:val="auto"/>
                      <w:sz w:val="26"/>
                      <w:szCs w:val="26"/>
                    </w:rPr>
                    <w:t xml:space="preserve">           Wayne E. Gardner                                                      </w:t>
                  </w:r>
                </w:p>
                <w:p w:rsidR="00106DC4" w:rsidRPr="002623BD" w:rsidRDefault="00106DC4" w:rsidP="00275005">
                  <w:pPr>
                    <w:rPr>
                      <w:color w:val="auto"/>
                      <w:sz w:val="26"/>
                      <w:szCs w:val="26"/>
                    </w:rPr>
                  </w:pPr>
                  <w:r w:rsidRPr="002623BD">
                    <w:rPr>
                      <w:color w:val="auto"/>
                      <w:sz w:val="26"/>
                      <w:szCs w:val="26"/>
                    </w:rPr>
                    <w:t xml:space="preserve">           James H. Cawley</w:t>
                  </w:r>
                </w:p>
              </w:tc>
            </w:tr>
            <w:tr w:rsidR="00106DC4" w:rsidRPr="002623BD" w:rsidTr="00275005">
              <w:tc>
                <w:tcPr>
                  <w:tcW w:w="9468" w:type="dxa"/>
                </w:tcPr>
                <w:p w:rsidR="00106DC4" w:rsidRPr="002623BD" w:rsidRDefault="00106DC4" w:rsidP="00275005">
                  <w:pPr>
                    <w:rPr>
                      <w:color w:val="auto"/>
                      <w:sz w:val="26"/>
                    </w:rPr>
                  </w:pPr>
                  <w:r w:rsidRPr="002623BD">
                    <w:rPr>
                      <w:color w:val="auto"/>
                      <w:sz w:val="26"/>
                    </w:rPr>
                    <w:t xml:space="preserve">           Pamela A. Witmer</w:t>
                  </w:r>
                </w:p>
              </w:tc>
            </w:tr>
          </w:tbl>
          <w:p w:rsidR="00106DC4" w:rsidRDefault="00106DC4" w:rsidP="00275005"/>
        </w:tc>
        <w:tc>
          <w:tcPr>
            <w:tcW w:w="738" w:type="dxa"/>
          </w:tcPr>
          <w:p w:rsidR="00106DC4" w:rsidRPr="00CD6C97" w:rsidRDefault="00106DC4" w:rsidP="00275005">
            <w:pPr>
              <w:rPr>
                <w:color w:val="auto"/>
                <w:sz w:val="26"/>
              </w:rPr>
            </w:pPr>
          </w:p>
        </w:tc>
      </w:tr>
    </w:tbl>
    <w:p w:rsidR="00106DC4" w:rsidRPr="00CD6C97" w:rsidRDefault="00106DC4" w:rsidP="00106DC4">
      <w:pPr>
        <w:rPr>
          <w:color w:val="auto"/>
          <w:sz w:val="26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508"/>
        <w:gridCol w:w="4140"/>
      </w:tblGrid>
      <w:tr w:rsidR="00106DC4" w:rsidRPr="00CD6C97" w:rsidTr="00275005">
        <w:tc>
          <w:tcPr>
            <w:tcW w:w="5508" w:type="dxa"/>
          </w:tcPr>
          <w:p w:rsidR="00106DC4" w:rsidRPr="00CD6C97" w:rsidRDefault="001467A7" w:rsidP="00275005">
            <w:pPr>
              <w:rPr>
                <w:color w:val="auto"/>
                <w:sz w:val="26"/>
              </w:rPr>
            </w:pPr>
            <w:r w:rsidRPr="00BA16B1">
              <w:rPr>
                <w:color w:val="auto"/>
                <w:sz w:val="26"/>
                <w:szCs w:val="26"/>
              </w:rPr>
              <w:t>License Ap</w:t>
            </w:r>
            <w:r>
              <w:rPr>
                <w:color w:val="auto"/>
                <w:sz w:val="26"/>
                <w:szCs w:val="26"/>
              </w:rPr>
              <w:t xml:space="preserve">plication of XOOM Energy Pennsylvania, LLC </w:t>
            </w:r>
            <w:r w:rsidRPr="00BA16B1">
              <w:rPr>
                <w:color w:val="auto"/>
                <w:sz w:val="26"/>
                <w:szCs w:val="26"/>
              </w:rPr>
              <w:t>for Approval to Offer, Render, Furnish or Supply Electricity or Electric Generation Services as a Supplier of Retail Electric Power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4140" w:type="dxa"/>
          </w:tcPr>
          <w:p w:rsidR="00106DC4" w:rsidRPr="00CD6C97" w:rsidRDefault="00106DC4" w:rsidP="00275005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Docket No</w:t>
            </w:r>
            <w:r w:rsidR="003178E1">
              <w:rPr>
                <w:color w:val="auto"/>
                <w:sz w:val="26"/>
              </w:rPr>
              <w:t>. A-2012-2283821</w:t>
            </w:r>
          </w:p>
        </w:tc>
      </w:tr>
    </w:tbl>
    <w:p w:rsidR="00106DC4" w:rsidRDefault="00106DC4" w:rsidP="00106DC4">
      <w:pPr>
        <w:spacing w:line="360" w:lineRule="auto"/>
        <w:rPr>
          <w:color w:val="auto"/>
          <w:sz w:val="26"/>
        </w:rPr>
      </w:pPr>
    </w:p>
    <w:p w:rsidR="00106DC4" w:rsidRPr="00AA1483" w:rsidRDefault="00106DC4" w:rsidP="00106DC4">
      <w:pPr>
        <w:spacing w:line="360" w:lineRule="auto"/>
        <w:jc w:val="center"/>
        <w:rPr>
          <w:b/>
          <w:color w:val="auto"/>
          <w:sz w:val="26"/>
        </w:rPr>
      </w:pPr>
      <w:r>
        <w:rPr>
          <w:b/>
          <w:color w:val="auto"/>
          <w:sz w:val="26"/>
        </w:rPr>
        <w:t xml:space="preserve">SECTION 703(G) ORDER </w:t>
      </w:r>
    </w:p>
    <w:p w:rsidR="00106DC4" w:rsidRDefault="00106DC4" w:rsidP="00106DC4">
      <w:pPr>
        <w:spacing w:line="360" w:lineRule="auto"/>
        <w:jc w:val="center"/>
        <w:rPr>
          <w:color w:val="auto"/>
          <w:sz w:val="26"/>
        </w:rPr>
      </w:pPr>
    </w:p>
    <w:p w:rsidR="00106DC4" w:rsidRDefault="00106DC4" w:rsidP="00106DC4">
      <w:pPr>
        <w:pStyle w:val="p3"/>
        <w:spacing w:line="360" w:lineRule="auto"/>
        <w:rPr>
          <w:b/>
          <w:sz w:val="26"/>
          <w:szCs w:val="26"/>
        </w:rPr>
      </w:pPr>
      <w:r w:rsidRPr="00CD6C97">
        <w:rPr>
          <w:b/>
          <w:sz w:val="26"/>
          <w:szCs w:val="26"/>
        </w:rPr>
        <w:t>BY THE COMMISSION:</w:t>
      </w:r>
    </w:p>
    <w:p w:rsidR="00106DC4" w:rsidRDefault="00106DC4" w:rsidP="00106DC4">
      <w:pPr>
        <w:pStyle w:val="p3"/>
        <w:spacing w:line="360" w:lineRule="auto"/>
        <w:rPr>
          <w:b/>
          <w:sz w:val="26"/>
          <w:szCs w:val="26"/>
        </w:rPr>
      </w:pPr>
    </w:p>
    <w:p w:rsidR="00975931" w:rsidRPr="00385F6C" w:rsidRDefault="00975931" w:rsidP="00975931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color w:val="auto"/>
          <w:sz w:val="26"/>
          <w:szCs w:val="26"/>
        </w:rPr>
      </w:pPr>
      <w:r w:rsidRPr="00BA16B1">
        <w:rPr>
          <w:color w:val="auto"/>
          <w:sz w:val="26"/>
          <w:szCs w:val="26"/>
        </w:rPr>
        <w:t xml:space="preserve">On </w:t>
      </w:r>
      <w:r>
        <w:rPr>
          <w:color w:val="auto"/>
          <w:sz w:val="26"/>
          <w:szCs w:val="26"/>
        </w:rPr>
        <w:t>December 16, 2011</w:t>
      </w:r>
      <w:r w:rsidRPr="00BA16B1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XOOM Energy Pennsylvania, LLC (XOOM</w:t>
      </w:r>
      <w:r w:rsidRPr="00BA16B1">
        <w:rPr>
          <w:color w:val="auto"/>
          <w:sz w:val="26"/>
          <w:szCs w:val="26"/>
        </w:rPr>
        <w:t xml:space="preserve">) filed an application seeking to become a licensed electric generation supplier (EGS) in the service </w:t>
      </w:r>
      <w:r>
        <w:rPr>
          <w:color w:val="auto"/>
          <w:sz w:val="26"/>
          <w:szCs w:val="26"/>
        </w:rPr>
        <w:t>territories of Duquesne Light Company, Metropolitan Edison Company, Pennsylvania Electric Company,</w:t>
      </w:r>
      <w:r w:rsidR="009B62AA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and PPL Electric Utilities, Inc., within</w:t>
      </w:r>
      <w:r w:rsidRPr="00BA16B1">
        <w:rPr>
          <w:color w:val="auto"/>
          <w:sz w:val="26"/>
          <w:szCs w:val="26"/>
        </w:rPr>
        <w:t xml:space="preserve"> the Commonwealth of Pennsylvania.  The application was filed pursuant to the Commission’s regulations at 52 Pa. Code §§54.31-54.43, which became effective on August 8, 1998, and which were established under Section 2809 of the Public Utility Code, 66 Pa. C.S. §2809.</w:t>
      </w:r>
      <w:r>
        <w:rPr>
          <w:color w:val="auto"/>
          <w:sz w:val="26"/>
          <w:szCs w:val="26"/>
        </w:rPr>
        <w:t xml:space="preserve">  The Commission approved XOOM’s electric generation supplier (EGS) application, at Docket No. A-2012-2283821, Order Entered July 20, 2012.</w:t>
      </w:r>
    </w:p>
    <w:p w:rsidR="009451FA" w:rsidRDefault="00786A3A" w:rsidP="00106DC4">
      <w:pPr>
        <w:tabs>
          <w:tab w:val="left" w:pos="0"/>
        </w:tabs>
        <w:suppressAutoHyphens/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000000"/>
          <w:sz w:val="26"/>
          <w:szCs w:val="26"/>
        </w:rPr>
        <w:t>An amended application was filed February 7, 2012</w:t>
      </w:r>
      <w:r w:rsidR="000375CC">
        <w:rPr>
          <w:color w:val="000000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for the authority to operate</w:t>
      </w:r>
      <w:r>
        <w:rPr>
          <w:color w:val="000000"/>
          <w:sz w:val="26"/>
          <w:szCs w:val="26"/>
        </w:rPr>
        <w:t xml:space="preserve"> in the additional electric company service territories of PECO</w:t>
      </w:r>
      <w:r w:rsidR="009B62AA">
        <w:rPr>
          <w:color w:val="000000"/>
          <w:sz w:val="26"/>
          <w:szCs w:val="26"/>
        </w:rPr>
        <w:t xml:space="preserve"> Energy</w:t>
      </w:r>
      <w:r>
        <w:rPr>
          <w:color w:val="000000"/>
          <w:sz w:val="26"/>
          <w:szCs w:val="26"/>
        </w:rPr>
        <w:t xml:space="preserve"> and West </w:t>
      </w:r>
      <w:r>
        <w:rPr>
          <w:color w:val="000000"/>
          <w:sz w:val="26"/>
          <w:szCs w:val="26"/>
        </w:rPr>
        <w:lastRenderedPageBreak/>
        <w:t>Penn Power.</w:t>
      </w:r>
      <w:r w:rsidR="003247A2">
        <w:rPr>
          <w:color w:val="000000"/>
          <w:sz w:val="26"/>
          <w:szCs w:val="26"/>
        </w:rPr>
        <w:t xml:space="preserve">  However, the July 29, 2012 Order approving Xoom’s EGS application, did not include the above additional EDC service territories.</w:t>
      </w:r>
      <w:r>
        <w:rPr>
          <w:color w:val="000000"/>
          <w:sz w:val="26"/>
          <w:szCs w:val="26"/>
        </w:rPr>
        <w:t xml:space="preserve">  </w:t>
      </w:r>
      <w:r w:rsidR="00106DC4" w:rsidRPr="00383E47">
        <w:rPr>
          <w:color w:val="000000"/>
          <w:sz w:val="26"/>
          <w:szCs w:val="26"/>
        </w:rPr>
        <w:t>After</w:t>
      </w:r>
      <w:r>
        <w:rPr>
          <w:color w:val="auto"/>
          <w:spacing w:val="-3"/>
          <w:kern w:val="1"/>
          <w:sz w:val="26"/>
          <w:szCs w:val="26"/>
        </w:rPr>
        <w:t xml:space="preserve"> review, </w:t>
      </w:r>
      <w:r w:rsidR="00106DC4">
        <w:rPr>
          <w:color w:val="auto"/>
          <w:spacing w:val="-3"/>
          <w:kern w:val="1"/>
          <w:sz w:val="26"/>
          <w:szCs w:val="26"/>
        </w:rPr>
        <w:t>it has b</w:t>
      </w:r>
      <w:r w:rsidR="0030232F">
        <w:rPr>
          <w:color w:val="auto"/>
          <w:spacing w:val="-3"/>
          <w:kern w:val="1"/>
          <w:sz w:val="26"/>
          <w:szCs w:val="26"/>
        </w:rPr>
        <w:t xml:space="preserve">een determined that XOOM did </w:t>
      </w:r>
      <w:r w:rsidR="00106DC4">
        <w:rPr>
          <w:color w:val="auto"/>
          <w:sz w:val="26"/>
          <w:szCs w:val="26"/>
        </w:rPr>
        <w:t>furnish the</w:t>
      </w:r>
      <w:r w:rsidR="009451FA">
        <w:rPr>
          <w:color w:val="auto"/>
          <w:sz w:val="26"/>
          <w:szCs w:val="26"/>
        </w:rPr>
        <w:t xml:space="preserve"> </w:t>
      </w:r>
      <w:r w:rsidR="00106DC4" w:rsidRPr="006C2834">
        <w:rPr>
          <w:color w:val="auto"/>
          <w:sz w:val="26"/>
          <w:szCs w:val="26"/>
        </w:rPr>
        <w:t>documentation</w:t>
      </w:r>
      <w:r w:rsidR="00106DC4">
        <w:rPr>
          <w:color w:val="auto"/>
          <w:sz w:val="26"/>
          <w:szCs w:val="26"/>
        </w:rPr>
        <w:t xml:space="preserve"> required</w:t>
      </w:r>
      <w:r w:rsidR="00106DC4" w:rsidRPr="006C2834">
        <w:rPr>
          <w:color w:val="auto"/>
          <w:sz w:val="26"/>
          <w:szCs w:val="26"/>
        </w:rPr>
        <w:t xml:space="preserve"> to evidence its comp</w:t>
      </w:r>
      <w:r w:rsidR="008534BE">
        <w:rPr>
          <w:color w:val="auto"/>
          <w:sz w:val="26"/>
          <w:szCs w:val="26"/>
        </w:rPr>
        <w:t>liance with the proofs of publication and service to the interested parties in</w:t>
      </w:r>
      <w:r w:rsidR="00106DC4">
        <w:rPr>
          <w:color w:val="auto"/>
          <w:sz w:val="26"/>
          <w:szCs w:val="26"/>
        </w:rPr>
        <w:t xml:space="preserve"> the</w:t>
      </w:r>
      <w:r>
        <w:rPr>
          <w:color w:val="auto"/>
          <w:sz w:val="26"/>
          <w:szCs w:val="26"/>
        </w:rPr>
        <w:t>se</w:t>
      </w:r>
      <w:r w:rsidR="008534BE">
        <w:rPr>
          <w:color w:val="auto"/>
          <w:sz w:val="26"/>
          <w:szCs w:val="26"/>
        </w:rPr>
        <w:t xml:space="preserve"> additional</w:t>
      </w:r>
      <w:r w:rsidR="0030232F">
        <w:rPr>
          <w:color w:val="auto"/>
          <w:sz w:val="26"/>
          <w:szCs w:val="26"/>
        </w:rPr>
        <w:t xml:space="preserve"> service territories</w:t>
      </w:r>
      <w:r w:rsidR="003247A2">
        <w:rPr>
          <w:color w:val="auto"/>
          <w:sz w:val="26"/>
          <w:szCs w:val="26"/>
        </w:rPr>
        <w:t xml:space="preserve">, </w:t>
      </w:r>
      <w:r w:rsidR="009451FA">
        <w:rPr>
          <w:color w:val="auto"/>
          <w:sz w:val="26"/>
          <w:szCs w:val="26"/>
        </w:rPr>
        <w:t>has supplied the</w:t>
      </w:r>
      <w:r w:rsidR="003247A2">
        <w:rPr>
          <w:color w:val="auto"/>
          <w:sz w:val="26"/>
          <w:szCs w:val="26"/>
        </w:rPr>
        <w:t xml:space="preserve"> requisite bonding requirements, and has shown sufficient financial and technical fitness to be licensed in the additional electric distribution company service territories of PECO Energy and West Penn Power.</w:t>
      </w:r>
    </w:p>
    <w:p w:rsidR="00B464EF" w:rsidRDefault="009451FA" w:rsidP="00106DC4">
      <w:pPr>
        <w:tabs>
          <w:tab w:val="left" w:pos="0"/>
        </w:tabs>
        <w:suppressAutoHyphens/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:rsidR="00B464EF" w:rsidRDefault="00B464EF" w:rsidP="00102801">
      <w:pPr>
        <w:suppressAutoHyphens/>
        <w:spacing w:line="360" w:lineRule="auto"/>
        <w:ind w:firstLine="1440"/>
        <w:jc w:val="both"/>
        <w:rPr>
          <w:color w:val="000000"/>
          <w:spacing w:val="-3"/>
          <w:sz w:val="26"/>
          <w:u w:color="000000"/>
        </w:rPr>
      </w:pPr>
      <w:r>
        <w:rPr>
          <w:color w:val="000000"/>
          <w:spacing w:val="-3"/>
          <w:sz w:val="26"/>
          <w:u w:color="000000"/>
        </w:rPr>
        <w:t xml:space="preserve">Section 703(g) of the Public Utility Code (Code), 66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pacing w:val="-3"/>
              <w:sz w:val="26"/>
              <w:u w:color="000000"/>
            </w:rPr>
            <w:t>Pa.</w:t>
          </w:r>
        </w:smartTag>
      </w:smartTag>
      <w:r>
        <w:rPr>
          <w:color w:val="000000"/>
          <w:spacing w:val="-3"/>
          <w:sz w:val="26"/>
          <w:u w:color="000000"/>
        </w:rPr>
        <w:t xml:space="preserve"> C.S. § 703(g), relating to rescission and amendment of orders, establishes a party’s right to seek relief following the issuance of a final Commission decision.  Such requests for relief must be consistent with Section 5.572(b) of our Regulations, 52 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  <w:spacing w:val="-3"/>
              <w:sz w:val="26"/>
              <w:u w:color="000000"/>
            </w:rPr>
            <w:t>Pa.</w:t>
          </w:r>
        </w:smartTag>
      </w:smartTag>
      <w:r>
        <w:rPr>
          <w:color w:val="000000"/>
          <w:spacing w:val="-3"/>
          <w:sz w:val="26"/>
          <w:u w:color="000000"/>
        </w:rPr>
        <w:t xml:space="preserve"> Code § 5.572(b), relating to petitions for relief following the issuance of a final decision.  Also, the standards for our consideration of a petition for relief following the issuance of a final decision are well settled.  </w:t>
      </w:r>
      <w:r>
        <w:rPr>
          <w:i/>
          <w:color w:val="000000"/>
          <w:spacing w:val="-3"/>
          <w:sz w:val="26"/>
          <w:u w:color="000000"/>
        </w:rPr>
        <w:t>See Duick v. PG&amp;W</w:t>
      </w:r>
      <w:r>
        <w:rPr>
          <w:color w:val="000000"/>
          <w:spacing w:val="-3"/>
          <w:sz w:val="26"/>
          <w:u w:color="000000"/>
        </w:rPr>
        <w:t xml:space="preserve">, 56 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  <w:spacing w:val="-3"/>
              <w:sz w:val="26"/>
              <w:u w:color="000000"/>
            </w:rPr>
            <w:t>Pa.</w:t>
          </w:r>
        </w:smartTag>
      </w:smartTag>
      <w:r>
        <w:rPr>
          <w:color w:val="000000"/>
          <w:spacing w:val="-3"/>
          <w:sz w:val="26"/>
          <w:u w:color="000000"/>
        </w:rPr>
        <w:t xml:space="preserve"> P.U.C. 553 (1982) (</w:t>
      </w:r>
      <w:r>
        <w:rPr>
          <w:i/>
          <w:color w:val="000000"/>
          <w:spacing w:val="-3"/>
          <w:sz w:val="26"/>
          <w:u w:color="000000"/>
        </w:rPr>
        <w:t>Duick</w:t>
      </w:r>
      <w:r>
        <w:rPr>
          <w:color w:val="000000"/>
          <w:spacing w:val="-3"/>
          <w:sz w:val="26"/>
          <w:u w:color="000000"/>
        </w:rPr>
        <w:t>).</w:t>
      </w:r>
    </w:p>
    <w:p w:rsidR="00106DC4" w:rsidRDefault="00106DC4" w:rsidP="00106DC4">
      <w:pPr>
        <w:pStyle w:val="p3"/>
        <w:tabs>
          <w:tab w:val="clear" w:pos="204"/>
          <w:tab w:val="left" w:pos="720"/>
        </w:tabs>
        <w:spacing w:line="360" w:lineRule="auto"/>
        <w:rPr>
          <w:sz w:val="26"/>
          <w:szCs w:val="26"/>
        </w:rPr>
      </w:pPr>
    </w:p>
    <w:p w:rsidR="00106DC4" w:rsidRDefault="00106DC4" w:rsidP="00106DC4">
      <w:pPr>
        <w:pStyle w:val="p3"/>
        <w:tabs>
          <w:tab w:val="clear" w:pos="204"/>
          <w:tab w:val="left" w:pos="72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102801">
        <w:rPr>
          <w:sz w:val="26"/>
          <w:szCs w:val="26"/>
        </w:rPr>
        <w:t xml:space="preserve">        </w:t>
      </w:r>
      <w:r w:rsidR="009451FA">
        <w:rPr>
          <w:sz w:val="26"/>
          <w:szCs w:val="26"/>
        </w:rPr>
        <w:t xml:space="preserve">  </w:t>
      </w:r>
      <w:r w:rsidR="001028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According to Section 703(g) of the Public Utility Code, 66 Pa. C.S. §703(g), “[t]he Commission may, at any time, after notice and after opportunity to be heard as provided in this chapter, rescind or amend any order made by it.”  </w:t>
      </w:r>
      <w:r>
        <w:rPr>
          <w:i/>
          <w:sz w:val="26"/>
          <w:szCs w:val="26"/>
        </w:rPr>
        <w:t xml:space="preserve">Tranter v. Pennsylvania Public Utility Commission, </w:t>
      </w:r>
      <w:r>
        <w:rPr>
          <w:sz w:val="26"/>
          <w:szCs w:val="26"/>
        </w:rPr>
        <w:t xml:space="preserve">288 A.2d 837 (Pa. Comwlth. 1972).  </w:t>
      </w:r>
    </w:p>
    <w:p w:rsidR="00106DC4" w:rsidRDefault="00106DC4" w:rsidP="00106DC4">
      <w:pPr>
        <w:pStyle w:val="p3"/>
        <w:tabs>
          <w:tab w:val="clear" w:pos="204"/>
          <w:tab w:val="left" w:pos="72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106DC4" w:rsidRDefault="00106DC4" w:rsidP="00106DC4">
      <w:pPr>
        <w:pStyle w:val="p3"/>
        <w:tabs>
          <w:tab w:val="clear" w:pos="204"/>
          <w:tab w:val="left" w:pos="720"/>
        </w:tabs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102801">
        <w:rPr>
          <w:sz w:val="26"/>
          <w:szCs w:val="26"/>
        </w:rPr>
        <w:t xml:space="preserve">        </w:t>
      </w:r>
      <w:r w:rsidR="009451FA">
        <w:rPr>
          <w:sz w:val="26"/>
          <w:szCs w:val="26"/>
        </w:rPr>
        <w:t xml:space="preserve">  </w:t>
      </w:r>
      <w:r w:rsidR="00102801">
        <w:rPr>
          <w:sz w:val="26"/>
          <w:szCs w:val="26"/>
        </w:rPr>
        <w:t xml:space="preserve"> </w:t>
      </w:r>
      <w:r>
        <w:rPr>
          <w:sz w:val="26"/>
          <w:szCs w:val="26"/>
        </w:rPr>
        <w:t>Upon our review, we fi</w:t>
      </w:r>
      <w:r w:rsidR="00102801">
        <w:rPr>
          <w:sz w:val="26"/>
          <w:szCs w:val="26"/>
        </w:rPr>
        <w:t xml:space="preserve">nd </w:t>
      </w:r>
      <w:r>
        <w:rPr>
          <w:sz w:val="26"/>
          <w:szCs w:val="26"/>
        </w:rPr>
        <w:t>that the Company provide</w:t>
      </w:r>
      <w:r w:rsidR="00102801">
        <w:rPr>
          <w:sz w:val="26"/>
          <w:szCs w:val="26"/>
        </w:rPr>
        <w:t>d</w:t>
      </w:r>
      <w:r>
        <w:rPr>
          <w:sz w:val="26"/>
          <w:szCs w:val="26"/>
        </w:rPr>
        <w:t xml:space="preserve"> to the Commission the supporting documentation as described in this Order; </w:t>
      </w:r>
      <w:r w:rsidRPr="00F24230">
        <w:rPr>
          <w:b/>
          <w:sz w:val="26"/>
          <w:szCs w:val="26"/>
        </w:rPr>
        <w:t>THEREFORE,</w:t>
      </w:r>
    </w:p>
    <w:p w:rsidR="00106DC4" w:rsidRPr="00F24230" w:rsidRDefault="00106DC4" w:rsidP="00106DC4">
      <w:pPr>
        <w:pStyle w:val="p3"/>
        <w:tabs>
          <w:tab w:val="clear" w:pos="204"/>
          <w:tab w:val="left" w:pos="720"/>
        </w:tabs>
        <w:spacing w:line="360" w:lineRule="auto"/>
        <w:rPr>
          <w:b/>
          <w:sz w:val="26"/>
          <w:szCs w:val="26"/>
        </w:rPr>
      </w:pPr>
    </w:p>
    <w:p w:rsidR="00106DC4" w:rsidRDefault="00106DC4" w:rsidP="00106DC4">
      <w:pPr>
        <w:spacing w:line="360" w:lineRule="auto"/>
        <w:rPr>
          <w:b/>
          <w:bCs/>
          <w:color w:val="auto"/>
          <w:sz w:val="26"/>
          <w:szCs w:val="26"/>
        </w:rPr>
      </w:pPr>
      <w:r w:rsidRPr="00CD6C97">
        <w:rPr>
          <w:b/>
          <w:bCs/>
          <w:color w:val="auto"/>
          <w:sz w:val="26"/>
          <w:szCs w:val="26"/>
        </w:rPr>
        <w:t>IT IS ORDERED:</w:t>
      </w:r>
    </w:p>
    <w:p w:rsidR="00106DC4" w:rsidRDefault="00106DC4" w:rsidP="00106DC4">
      <w:pPr>
        <w:spacing w:line="360" w:lineRule="auto"/>
        <w:rPr>
          <w:b/>
          <w:bCs/>
          <w:color w:val="auto"/>
          <w:sz w:val="26"/>
          <w:szCs w:val="26"/>
        </w:rPr>
      </w:pPr>
    </w:p>
    <w:p w:rsidR="00106DC4" w:rsidRDefault="00106DC4" w:rsidP="00106DC4">
      <w:pPr>
        <w:spacing w:line="360" w:lineRule="auto"/>
        <w:rPr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>1.</w:t>
      </w:r>
      <w:r>
        <w:rPr>
          <w:bCs/>
          <w:color w:val="auto"/>
          <w:sz w:val="26"/>
          <w:szCs w:val="26"/>
        </w:rPr>
        <w:tab/>
        <w:t>That the</w:t>
      </w:r>
      <w:r w:rsidR="00B464EF">
        <w:rPr>
          <w:bCs/>
          <w:color w:val="auto"/>
          <w:sz w:val="26"/>
          <w:szCs w:val="26"/>
        </w:rPr>
        <w:t xml:space="preserve"> amended application of </w:t>
      </w:r>
      <w:r w:rsidR="00B464EF">
        <w:rPr>
          <w:color w:val="auto"/>
          <w:sz w:val="26"/>
          <w:szCs w:val="26"/>
        </w:rPr>
        <w:t>XOOM Energy Pennsylvania, LLC is hereby approved, consistent with this Order</w:t>
      </w:r>
      <w:r w:rsidR="00B464EF">
        <w:rPr>
          <w:bCs/>
          <w:color w:val="auto"/>
          <w:sz w:val="26"/>
          <w:szCs w:val="26"/>
        </w:rPr>
        <w:t>.</w:t>
      </w:r>
    </w:p>
    <w:p w:rsidR="00106DC4" w:rsidRDefault="00106DC4" w:rsidP="00106DC4">
      <w:pPr>
        <w:spacing w:line="360" w:lineRule="auto"/>
        <w:rPr>
          <w:bCs/>
          <w:color w:val="auto"/>
          <w:sz w:val="26"/>
          <w:szCs w:val="26"/>
        </w:rPr>
      </w:pPr>
    </w:p>
    <w:p w:rsidR="00106DC4" w:rsidRDefault="00106DC4" w:rsidP="00106DC4">
      <w:pPr>
        <w:spacing w:line="360" w:lineRule="auto"/>
        <w:rPr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lastRenderedPageBreak/>
        <w:tab/>
        <w:t>2.</w:t>
      </w:r>
      <w:r>
        <w:rPr>
          <w:bCs/>
          <w:color w:val="auto"/>
          <w:sz w:val="26"/>
          <w:szCs w:val="26"/>
        </w:rPr>
        <w:tab/>
      </w:r>
      <w:r w:rsidR="00102801" w:rsidRPr="00BA16B1">
        <w:rPr>
          <w:color w:val="auto"/>
          <w:sz w:val="26"/>
          <w:szCs w:val="26"/>
        </w:rPr>
        <w:t xml:space="preserve">That a license be issued authorizing </w:t>
      </w:r>
      <w:r w:rsidR="00102801">
        <w:rPr>
          <w:color w:val="auto"/>
          <w:sz w:val="26"/>
          <w:szCs w:val="26"/>
        </w:rPr>
        <w:t xml:space="preserve">XOOM Energy Pennsylvania, LLC </w:t>
      </w:r>
      <w:r w:rsidR="00102801" w:rsidRPr="00BA16B1">
        <w:rPr>
          <w:color w:val="auto"/>
          <w:sz w:val="26"/>
          <w:szCs w:val="26"/>
        </w:rPr>
        <w:t>to begin to offer, render, furnish or supply electric generation supplier services to</w:t>
      </w:r>
      <w:r w:rsidR="00102801" w:rsidRPr="006A7782">
        <w:rPr>
          <w:color w:val="auto"/>
          <w:sz w:val="26"/>
          <w:szCs w:val="26"/>
        </w:rPr>
        <w:t xml:space="preserve"> </w:t>
      </w:r>
      <w:r w:rsidR="00102801">
        <w:rPr>
          <w:color w:val="auto"/>
          <w:sz w:val="26"/>
          <w:szCs w:val="26"/>
        </w:rPr>
        <w:t xml:space="preserve">residential, large commercial (over 25 kw demand), small </w:t>
      </w:r>
      <w:r w:rsidR="00102801" w:rsidRPr="00BA16B1">
        <w:rPr>
          <w:color w:val="auto"/>
          <w:sz w:val="26"/>
          <w:szCs w:val="26"/>
        </w:rPr>
        <w:t>commercial</w:t>
      </w:r>
      <w:r w:rsidR="00102801">
        <w:rPr>
          <w:color w:val="auto"/>
          <w:sz w:val="26"/>
          <w:szCs w:val="26"/>
        </w:rPr>
        <w:t xml:space="preserve"> (25 kw and under demand)</w:t>
      </w:r>
      <w:r w:rsidR="00102801" w:rsidRPr="00BA16B1">
        <w:rPr>
          <w:color w:val="auto"/>
          <w:sz w:val="26"/>
          <w:szCs w:val="26"/>
        </w:rPr>
        <w:t>,</w:t>
      </w:r>
      <w:r w:rsidR="00102801">
        <w:rPr>
          <w:color w:val="auto"/>
          <w:sz w:val="26"/>
          <w:szCs w:val="26"/>
        </w:rPr>
        <w:t xml:space="preserve"> and industrial</w:t>
      </w:r>
      <w:r w:rsidR="00102801" w:rsidRPr="00BA16B1">
        <w:rPr>
          <w:color w:val="auto"/>
          <w:sz w:val="26"/>
          <w:szCs w:val="26"/>
        </w:rPr>
        <w:t xml:space="preserve"> customers</w:t>
      </w:r>
      <w:r w:rsidR="00102801">
        <w:rPr>
          <w:color w:val="auto"/>
          <w:sz w:val="26"/>
          <w:szCs w:val="26"/>
        </w:rPr>
        <w:t xml:space="preserve"> in the </w:t>
      </w:r>
      <w:r w:rsidR="003247A2">
        <w:rPr>
          <w:color w:val="auto"/>
          <w:sz w:val="26"/>
          <w:szCs w:val="26"/>
        </w:rPr>
        <w:t xml:space="preserve">electric distribution company </w:t>
      </w:r>
      <w:r w:rsidR="00102801">
        <w:rPr>
          <w:color w:val="auto"/>
          <w:sz w:val="26"/>
          <w:szCs w:val="26"/>
        </w:rPr>
        <w:t xml:space="preserve">service territories </w:t>
      </w:r>
      <w:r w:rsidR="003247A2">
        <w:rPr>
          <w:color w:val="auto"/>
          <w:sz w:val="26"/>
          <w:szCs w:val="26"/>
        </w:rPr>
        <w:t>of PECO Energy</w:t>
      </w:r>
      <w:r w:rsidR="008E5130">
        <w:rPr>
          <w:color w:val="auto"/>
          <w:sz w:val="26"/>
          <w:szCs w:val="26"/>
        </w:rPr>
        <w:t xml:space="preserve"> Company</w:t>
      </w:r>
      <w:r w:rsidR="003247A2">
        <w:rPr>
          <w:color w:val="auto"/>
          <w:sz w:val="26"/>
          <w:szCs w:val="26"/>
        </w:rPr>
        <w:t>, West Penn Power, Duquesne Light</w:t>
      </w:r>
      <w:r w:rsidR="008E5130">
        <w:rPr>
          <w:color w:val="auto"/>
          <w:sz w:val="26"/>
          <w:szCs w:val="26"/>
        </w:rPr>
        <w:t xml:space="preserve"> Company</w:t>
      </w:r>
      <w:r w:rsidR="003247A2">
        <w:rPr>
          <w:color w:val="auto"/>
          <w:sz w:val="26"/>
          <w:szCs w:val="26"/>
        </w:rPr>
        <w:t>, Metropolitan Edison</w:t>
      </w:r>
      <w:r w:rsidR="008E5130">
        <w:rPr>
          <w:color w:val="auto"/>
          <w:sz w:val="26"/>
          <w:szCs w:val="26"/>
        </w:rPr>
        <w:t xml:space="preserve"> Company</w:t>
      </w:r>
      <w:r w:rsidR="003247A2">
        <w:rPr>
          <w:color w:val="auto"/>
          <w:sz w:val="26"/>
          <w:szCs w:val="26"/>
        </w:rPr>
        <w:t>, Pennsylvania Electric</w:t>
      </w:r>
      <w:r w:rsidR="008E5130">
        <w:rPr>
          <w:color w:val="auto"/>
          <w:sz w:val="26"/>
          <w:szCs w:val="26"/>
        </w:rPr>
        <w:t xml:space="preserve"> Company</w:t>
      </w:r>
      <w:r w:rsidR="003247A2">
        <w:rPr>
          <w:color w:val="auto"/>
          <w:sz w:val="26"/>
          <w:szCs w:val="26"/>
        </w:rPr>
        <w:t>, and PPL Electric</w:t>
      </w:r>
      <w:r w:rsidR="008E5130">
        <w:rPr>
          <w:color w:val="auto"/>
          <w:sz w:val="26"/>
          <w:szCs w:val="26"/>
        </w:rPr>
        <w:t xml:space="preserve"> Utilities, Inc.</w:t>
      </w:r>
      <w:r w:rsidR="003247A2">
        <w:rPr>
          <w:color w:val="auto"/>
          <w:sz w:val="26"/>
          <w:szCs w:val="26"/>
        </w:rPr>
        <w:t>, within the Commonwealth of Pennsylvania.</w:t>
      </w:r>
    </w:p>
    <w:p w:rsidR="00106DC4" w:rsidRDefault="00106DC4" w:rsidP="00106DC4">
      <w:pPr>
        <w:spacing w:line="360" w:lineRule="auto"/>
        <w:rPr>
          <w:bCs/>
          <w:color w:val="auto"/>
          <w:sz w:val="26"/>
          <w:szCs w:val="26"/>
        </w:rPr>
      </w:pPr>
    </w:p>
    <w:p w:rsidR="00102801" w:rsidRPr="00BA16B1" w:rsidRDefault="00106DC4" w:rsidP="00102801">
      <w:pPr>
        <w:suppressAutoHyphens/>
        <w:spacing w:line="360" w:lineRule="auto"/>
        <w:rPr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ab/>
      </w:r>
      <w:r w:rsidR="00102801">
        <w:rPr>
          <w:bCs/>
          <w:color w:val="auto"/>
          <w:sz w:val="26"/>
          <w:szCs w:val="26"/>
        </w:rPr>
        <w:t xml:space="preserve"> </w:t>
      </w:r>
      <w:r>
        <w:rPr>
          <w:bCs/>
          <w:color w:val="auto"/>
          <w:sz w:val="26"/>
          <w:szCs w:val="26"/>
        </w:rPr>
        <w:t>3.</w:t>
      </w:r>
      <w:r>
        <w:rPr>
          <w:bCs/>
          <w:color w:val="auto"/>
          <w:sz w:val="26"/>
          <w:szCs w:val="26"/>
        </w:rPr>
        <w:tab/>
      </w:r>
      <w:r w:rsidR="00102801" w:rsidRPr="00BA16B1">
        <w:rPr>
          <w:color w:val="auto"/>
          <w:sz w:val="26"/>
          <w:szCs w:val="26"/>
        </w:rPr>
        <w:t>That this proceeding at Docket No. A-20</w:t>
      </w:r>
      <w:r w:rsidR="00102801">
        <w:rPr>
          <w:color w:val="auto"/>
          <w:sz w:val="26"/>
          <w:szCs w:val="26"/>
        </w:rPr>
        <w:t xml:space="preserve">12-2283821 </w:t>
      </w:r>
      <w:r w:rsidR="00102801" w:rsidRPr="00BA16B1">
        <w:rPr>
          <w:color w:val="auto"/>
          <w:sz w:val="26"/>
          <w:szCs w:val="26"/>
        </w:rPr>
        <w:t>be</w:t>
      </w:r>
      <w:r w:rsidR="00102801">
        <w:rPr>
          <w:color w:val="auto"/>
          <w:sz w:val="26"/>
          <w:szCs w:val="26"/>
        </w:rPr>
        <w:t xml:space="preserve"> </w:t>
      </w:r>
      <w:r w:rsidR="00102801" w:rsidRPr="00BA16B1">
        <w:rPr>
          <w:color w:val="auto"/>
          <w:sz w:val="26"/>
          <w:szCs w:val="26"/>
        </w:rPr>
        <w:t>closed.</w:t>
      </w:r>
    </w:p>
    <w:p w:rsidR="00106DC4" w:rsidRPr="008A63E1" w:rsidRDefault="00106DC4" w:rsidP="00106DC4">
      <w:pPr>
        <w:spacing w:line="360" w:lineRule="auto"/>
        <w:rPr>
          <w:bCs/>
          <w:color w:val="auto"/>
          <w:sz w:val="26"/>
          <w:szCs w:val="26"/>
        </w:rPr>
      </w:pPr>
    </w:p>
    <w:p w:rsidR="00106DC4" w:rsidRPr="00CD6C97" w:rsidRDefault="00106DC4" w:rsidP="00106DC4">
      <w:pPr>
        <w:tabs>
          <w:tab w:val="left" w:pos="4320"/>
        </w:tabs>
        <w:rPr>
          <w:color w:val="auto"/>
          <w:sz w:val="26"/>
        </w:rPr>
      </w:pPr>
      <w:r w:rsidRPr="00CD6C97">
        <w:rPr>
          <w:color w:val="auto"/>
          <w:sz w:val="26"/>
          <w:szCs w:val="26"/>
        </w:rPr>
        <w:tab/>
      </w:r>
      <w:r w:rsidRPr="00CD6C97">
        <w:rPr>
          <w:color w:val="auto"/>
          <w:sz w:val="26"/>
        </w:rPr>
        <w:tab/>
      </w:r>
      <w:r w:rsidRPr="00CD6C97">
        <w:rPr>
          <w:color w:val="auto"/>
          <w:sz w:val="26"/>
        </w:rPr>
        <w:tab/>
      </w:r>
    </w:p>
    <w:p w:rsidR="00106DC4" w:rsidRPr="00CD6C97" w:rsidRDefault="00106DC4" w:rsidP="00106DC4">
      <w:pPr>
        <w:tabs>
          <w:tab w:val="left" w:pos="742"/>
        </w:tabs>
        <w:rPr>
          <w:color w:val="auto"/>
          <w:sz w:val="26"/>
          <w:szCs w:val="26"/>
        </w:rPr>
      </w:pPr>
    </w:p>
    <w:p w:rsidR="00106DC4" w:rsidRPr="00CD6C97" w:rsidRDefault="009A3C98" w:rsidP="00106DC4">
      <w:pPr>
        <w:pStyle w:val="p17"/>
        <w:ind w:left="5057"/>
        <w:rPr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5E2408" wp14:editId="56990A44">
            <wp:simplePos x="0" y="0"/>
            <wp:positionH relativeFrom="column">
              <wp:posOffset>2901950</wp:posOffset>
            </wp:positionH>
            <wp:positionV relativeFrom="paragraph">
              <wp:posOffset>-1905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DC4" w:rsidRPr="00CD6C97">
        <w:rPr>
          <w:bCs/>
          <w:sz w:val="26"/>
          <w:szCs w:val="26"/>
        </w:rPr>
        <w:t>BY THE COMMISSION</w:t>
      </w:r>
    </w:p>
    <w:p w:rsidR="00106DC4" w:rsidRPr="00CD6C97" w:rsidRDefault="00106DC4" w:rsidP="00106DC4">
      <w:pPr>
        <w:tabs>
          <w:tab w:val="left" w:pos="5057"/>
        </w:tabs>
        <w:rPr>
          <w:bCs/>
          <w:color w:val="auto"/>
          <w:sz w:val="26"/>
          <w:szCs w:val="26"/>
        </w:rPr>
      </w:pPr>
    </w:p>
    <w:p w:rsidR="00106DC4" w:rsidRPr="00CD6C97" w:rsidRDefault="00106DC4" w:rsidP="00106DC4">
      <w:pPr>
        <w:tabs>
          <w:tab w:val="left" w:pos="5057"/>
        </w:tabs>
        <w:rPr>
          <w:b/>
          <w:bCs/>
          <w:color w:val="auto"/>
          <w:sz w:val="26"/>
          <w:szCs w:val="26"/>
        </w:rPr>
      </w:pPr>
    </w:p>
    <w:p w:rsidR="00106DC4" w:rsidRPr="00CD6C97" w:rsidRDefault="00106DC4" w:rsidP="00106DC4">
      <w:pPr>
        <w:tabs>
          <w:tab w:val="left" w:pos="5057"/>
        </w:tabs>
        <w:rPr>
          <w:b/>
          <w:bCs/>
          <w:color w:val="auto"/>
          <w:sz w:val="26"/>
          <w:szCs w:val="26"/>
        </w:rPr>
      </w:pPr>
    </w:p>
    <w:p w:rsidR="00106DC4" w:rsidRPr="00CD6C97" w:rsidRDefault="00106DC4" w:rsidP="00106DC4">
      <w:pPr>
        <w:pStyle w:val="p18"/>
        <w:ind w:left="5062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106DC4" w:rsidRPr="00CD6C97" w:rsidRDefault="00106DC4" w:rsidP="00106DC4">
      <w:pPr>
        <w:pStyle w:val="p18"/>
        <w:ind w:left="5062"/>
        <w:rPr>
          <w:sz w:val="26"/>
          <w:szCs w:val="26"/>
        </w:rPr>
      </w:pPr>
      <w:r w:rsidRPr="00CD6C97">
        <w:rPr>
          <w:sz w:val="26"/>
          <w:szCs w:val="26"/>
        </w:rPr>
        <w:t>Secretary</w:t>
      </w:r>
    </w:p>
    <w:p w:rsidR="00106DC4" w:rsidRDefault="00106DC4" w:rsidP="00106DC4">
      <w:pPr>
        <w:tabs>
          <w:tab w:val="left" w:pos="5062"/>
        </w:tabs>
        <w:rPr>
          <w:color w:val="auto"/>
          <w:sz w:val="26"/>
          <w:szCs w:val="26"/>
        </w:rPr>
      </w:pPr>
    </w:p>
    <w:p w:rsidR="00106DC4" w:rsidRPr="00CD6C97" w:rsidRDefault="00106DC4" w:rsidP="00106DC4">
      <w:pPr>
        <w:tabs>
          <w:tab w:val="left" w:pos="5062"/>
        </w:tabs>
        <w:rPr>
          <w:color w:val="auto"/>
          <w:sz w:val="26"/>
          <w:szCs w:val="26"/>
        </w:rPr>
      </w:pPr>
    </w:p>
    <w:p w:rsidR="00106DC4" w:rsidRPr="00CD6C97" w:rsidRDefault="00106DC4" w:rsidP="00106DC4">
      <w:pPr>
        <w:pStyle w:val="p14"/>
        <w:rPr>
          <w:sz w:val="26"/>
          <w:szCs w:val="26"/>
        </w:rPr>
      </w:pPr>
      <w:r w:rsidRPr="00CD6C97">
        <w:rPr>
          <w:sz w:val="26"/>
          <w:szCs w:val="26"/>
        </w:rPr>
        <w:t>(SEAL)</w:t>
      </w:r>
    </w:p>
    <w:p w:rsidR="00106DC4" w:rsidRPr="00CD6C97" w:rsidRDefault="00106DC4" w:rsidP="00106DC4">
      <w:pPr>
        <w:tabs>
          <w:tab w:val="left" w:pos="204"/>
        </w:tabs>
        <w:rPr>
          <w:color w:val="auto"/>
          <w:sz w:val="26"/>
          <w:szCs w:val="26"/>
        </w:rPr>
      </w:pPr>
    </w:p>
    <w:p w:rsidR="00106DC4" w:rsidRDefault="00106DC4" w:rsidP="00106DC4">
      <w:pPr>
        <w:pStyle w:val="p14"/>
        <w:rPr>
          <w:sz w:val="26"/>
          <w:szCs w:val="26"/>
        </w:rPr>
      </w:pPr>
      <w:r w:rsidRPr="00CD6C97">
        <w:rPr>
          <w:sz w:val="26"/>
          <w:szCs w:val="26"/>
        </w:rPr>
        <w:t xml:space="preserve">ORDER ADOPTED:  </w:t>
      </w:r>
      <w:r w:rsidR="00102801">
        <w:rPr>
          <w:sz w:val="26"/>
          <w:szCs w:val="26"/>
        </w:rPr>
        <w:t>October 2</w:t>
      </w:r>
      <w:r w:rsidR="003247A2">
        <w:rPr>
          <w:sz w:val="26"/>
          <w:szCs w:val="26"/>
        </w:rPr>
        <w:t>4</w:t>
      </w:r>
      <w:r>
        <w:rPr>
          <w:sz w:val="26"/>
          <w:szCs w:val="26"/>
        </w:rPr>
        <w:t>, 2012</w:t>
      </w:r>
    </w:p>
    <w:p w:rsidR="00102801" w:rsidRPr="00CD6C97" w:rsidRDefault="00102801" w:rsidP="00106DC4">
      <w:pPr>
        <w:pStyle w:val="p14"/>
        <w:rPr>
          <w:sz w:val="26"/>
          <w:szCs w:val="26"/>
        </w:rPr>
      </w:pPr>
    </w:p>
    <w:p w:rsidR="00106DC4" w:rsidRPr="00CD6C97" w:rsidRDefault="00106DC4" w:rsidP="00106DC4">
      <w:pPr>
        <w:pStyle w:val="p14"/>
        <w:rPr>
          <w:sz w:val="26"/>
          <w:szCs w:val="26"/>
        </w:rPr>
      </w:pPr>
      <w:r w:rsidRPr="00CD6C97">
        <w:rPr>
          <w:sz w:val="26"/>
          <w:szCs w:val="26"/>
        </w:rPr>
        <w:t xml:space="preserve">ORDER ENTERED:  </w:t>
      </w:r>
      <w:r w:rsidR="009A3C98">
        <w:rPr>
          <w:sz w:val="26"/>
          <w:szCs w:val="26"/>
        </w:rPr>
        <w:t>October 24, 2012</w:t>
      </w:r>
      <w:bookmarkStart w:id="0" w:name="_GoBack"/>
      <w:bookmarkEnd w:id="0"/>
    </w:p>
    <w:p w:rsidR="008673FC" w:rsidRDefault="00835B35"/>
    <w:sectPr w:rsidR="008673FC" w:rsidSect="00102801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35" w:rsidRDefault="00835B35" w:rsidP="00102801">
      <w:r>
        <w:separator/>
      </w:r>
    </w:p>
  </w:endnote>
  <w:endnote w:type="continuationSeparator" w:id="0">
    <w:p w:rsidR="00835B35" w:rsidRDefault="00835B35" w:rsidP="0010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703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2801" w:rsidRDefault="001028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C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2801" w:rsidRDefault="00102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35" w:rsidRDefault="00835B35" w:rsidP="00102801">
      <w:r>
        <w:separator/>
      </w:r>
    </w:p>
  </w:footnote>
  <w:footnote w:type="continuationSeparator" w:id="0">
    <w:p w:rsidR="00835B35" w:rsidRDefault="00835B35" w:rsidP="00102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C4"/>
    <w:rsid w:val="000216D5"/>
    <w:rsid w:val="000375CC"/>
    <w:rsid w:val="000A7872"/>
    <w:rsid w:val="00102801"/>
    <w:rsid w:val="00106DC4"/>
    <w:rsid w:val="001467A7"/>
    <w:rsid w:val="0030232F"/>
    <w:rsid w:val="003178E1"/>
    <w:rsid w:val="003247A2"/>
    <w:rsid w:val="004158CF"/>
    <w:rsid w:val="0073015B"/>
    <w:rsid w:val="00786A3A"/>
    <w:rsid w:val="00835B35"/>
    <w:rsid w:val="008534BE"/>
    <w:rsid w:val="00865097"/>
    <w:rsid w:val="008E5130"/>
    <w:rsid w:val="009451FA"/>
    <w:rsid w:val="00975931"/>
    <w:rsid w:val="009A3C98"/>
    <w:rsid w:val="009B62AA"/>
    <w:rsid w:val="00A2333A"/>
    <w:rsid w:val="00AA58B4"/>
    <w:rsid w:val="00B464EF"/>
    <w:rsid w:val="00B84E07"/>
    <w:rsid w:val="00C30392"/>
    <w:rsid w:val="00CE091A"/>
    <w:rsid w:val="00D008C7"/>
    <w:rsid w:val="00E92AAD"/>
    <w:rsid w:val="00E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D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106DC4"/>
    <w:pPr>
      <w:widowControl w:val="0"/>
      <w:tabs>
        <w:tab w:val="left" w:pos="204"/>
      </w:tabs>
      <w:overflowPunct/>
      <w:textAlignment w:val="auto"/>
    </w:pPr>
    <w:rPr>
      <w:color w:val="auto"/>
      <w:szCs w:val="24"/>
    </w:rPr>
  </w:style>
  <w:style w:type="paragraph" w:customStyle="1" w:styleId="p14">
    <w:name w:val="p14"/>
    <w:basedOn w:val="Normal"/>
    <w:rsid w:val="00106DC4"/>
    <w:pPr>
      <w:widowControl w:val="0"/>
      <w:tabs>
        <w:tab w:val="left" w:pos="204"/>
      </w:tabs>
      <w:overflowPunct/>
      <w:textAlignment w:val="auto"/>
    </w:pPr>
    <w:rPr>
      <w:color w:val="auto"/>
      <w:szCs w:val="24"/>
    </w:rPr>
  </w:style>
  <w:style w:type="paragraph" w:customStyle="1" w:styleId="p17">
    <w:name w:val="p17"/>
    <w:basedOn w:val="Normal"/>
    <w:rsid w:val="00106DC4"/>
    <w:pPr>
      <w:widowControl w:val="0"/>
      <w:tabs>
        <w:tab w:val="left" w:pos="5057"/>
      </w:tabs>
      <w:overflowPunct/>
      <w:ind w:left="3617"/>
      <w:textAlignment w:val="auto"/>
    </w:pPr>
    <w:rPr>
      <w:color w:val="auto"/>
      <w:szCs w:val="24"/>
    </w:rPr>
  </w:style>
  <w:style w:type="paragraph" w:customStyle="1" w:styleId="p18">
    <w:name w:val="p18"/>
    <w:basedOn w:val="Normal"/>
    <w:rsid w:val="00106DC4"/>
    <w:pPr>
      <w:widowControl w:val="0"/>
      <w:tabs>
        <w:tab w:val="left" w:pos="5062"/>
      </w:tabs>
      <w:overflowPunct/>
      <w:ind w:left="3622"/>
      <w:textAlignment w:val="auto"/>
    </w:pPr>
    <w:rPr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102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801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2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801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FA"/>
    <w:rPr>
      <w:rFonts w:ascii="Tahoma" w:eastAsia="Times New Roman" w:hAnsi="Tahoma" w:cs="Tahoma"/>
      <w:color w:val="0000F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D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106DC4"/>
    <w:pPr>
      <w:widowControl w:val="0"/>
      <w:tabs>
        <w:tab w:val="left" w:pos="204"/>
      </w:tabs>
      <w:overflowPunct/>
      <w:textAlignment w:val="auto"/>
    </w:pPr>
    <w:rPr>
      <w:color w:val="auto"/>
      <w:szCs w:val="24"/>
    </w:rPr>
  </w:style>
  <w:style w:type="paragraph" w:customStyle="1" w:styleId="p14">
    <w:name w:val="p14"/>
    <w:basedOn w:val="Normal"/>
    <w:rsid w:val="00106DC4"/>
    <w:pPr>
      <w:widowControl w:val="0"/>
      <w:tabs>
        <w:tab w:val="left" w:pos="204"/>
      </w:tabs>
      <w:overflowPunct/>
      <w:textAlignment w:val="auto"/>
    </w:pPr>
    <w:rPr>
      <w:color w:val="auto"/>
      <w:szCs w:val="24"/>
    </w:rPr>
  </w:style>
  <w:style w:type="paragraph" w:customStyle="1" w:styleId="p17">
    <w:name w:val="p17"/>
    <w:basedOn w:val="Normal"/>
    <w:rsid w:val="00106DC4"/>
    <w:pPr>
      <w:widowControl w:val="0"/>
      <w:tabs>
        <w:tab w:val="left" w:pos="5057"/>
      </w:tabs>
      <w:overflowPunct/>
      <w:ind w:left="3617"/>
      <w:textAlignment w:val="auto"/>
    </w:pPr>
    <w:rPr>
      <w:color w:val="auto"/>
      <w:szCs w:val="24"/>
    </w:rPr>
  </w:style>
  <w:style w:type="paragraph" w:customStyle="1" w:styleId="p18">
    <w:name w:val="p18"/>
    <w:basedOn w:val="Normal"/>
    <w:rsid w:val="00106DC4"/>
    <w:pPr>
      <w:widowControl w:val="0"/>
      <w:tabs>
        <w:tab w:val="left" w:pos="5062"/>
      </w:tabs>
      <w:overflowPunct/>
      <w:ind w:left="3622"/>
      <w:textAlignment w:val="auto"/>
    </w:pPr>
    <w:rPr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102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801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2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801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FA"/>
    <w:rPr>
      <w:rFonts w:ascii="Tahoma" w:eastAsia="Times New Roman" w:hAnsi="Tahoma" w:cs="Tahoma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kgermick</dc:creator>
  <cp:lastModifiedBy>Hinds, Margaret</cp:lastModifiedBy>
  <cp:revision>10</cp:revision>
  <cp:lastPrinted>2012-10-24T16:09:00Z</cp:lastPrinted>
  <dcterms:created xsi:type="dcterms:W3CDTF">2012-10-02T19:50:00Z</dcterms:created>
  <dcterms:modified xsi:type="dcterms:W3CDTF">2012-10-24T16:09:00Z</dcterms:modified>
</cp:coreProperties>
</file>