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r>
      <w:r w:rsidR="00EC6E97">
        <w:rPr>
          <w:b/>
        </w:rPr>
        <w:t xml:space="preserve"> </w:t>
      </w:r>
      <w:r w:rsidRPr="00DC79A9">
        <w:rPr>
          <w:b/>
        </w:rPr>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t>Harrisburg, PA  17105-3265</w:t>
      </w:r>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962D73">
        <w:t>October 24</w:t>
      </w:r>
      <w:r w:rsidR="00F5357A">
        <w:t>, 2012</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A37DE3" w:rsidRDefault="00B467C8" w:rsidP="00A57B3F">
      <w:pPr>
        <w:tabs>
          <w:tab w:val="left" w:pos="-720"/>
        </w:tabs>
        <w:suppressAutoHyphens/>
      </w:pPr>
      <w:r>
        <w:tab/>
      </w:r>
      <w:r w:rsidR="0042329F">
        <w:t>John F. Coleman, Jr.</w:t>
      </w:r>
      <w:r w:rsidR="00750CBC">
        <w:t>, Vice Chairman</w:t>
      </w:r>
    </w:p>
    <w:p w:rsidR="00A068F0" w:rsidRPr="00DC79A9" w:rsidRDefault="00950F6E" w:rsidP="00A57B3F">
      <w:pPr>
        <w:tabs>
          <w:tab w:val="left" w:pos="-720"/>
        </w:tabs>
        <w:suppressAutoHyphens/>
      </w:pPr>
      <w:r>
        <w:tab/>
        <w:t>Wayne E. Gardner</w:t>
      </w:r>
    </w:p>
    <w:p w:rsidR="00A37DE3" w:rsidRDefault="008D3745" w:rsidP="00A57B3F">
      <w:pPr>
        <w:tabs>
          <w:tab w:val="left" w:pos="-720"/>
        </w:tabs>
        <w:suppressAutoHyphens/>
      </w:pPr>
      <w:r w:rsidRPr="00DC79A9">
        <w:tab/>
      </w:r>
      <w:r w:rsidR="0042329F">
        <w:t>James H. Cawley</w:t>
      </w:r>
    </w:p>
    <w:p w:rsidR="0042329F" w:rsidRDefault="00652FDB" w:rsidP="00A57B3F">
      <w:pPr>
        <w:tabs>
          <w:tab w:val="left" w:pos="-720"/>
        </w:tabs>
        <w:suppressAutoHyphens/>
      </w:pPr>
      <w:r>
        <w:tab/>
        <w:t>Pamela A. Witmer</w:t>
      </w:r>
    </w:p>
    <w:p w:rsidR="00652FDB" w:rsidRDefault="00652FDB" w:rsidP="00A57B3F">
      <w:pPr>
        <w:tabs>
          <w:tab w:val="left" w:pos="-720"/>
        </w:tabs>
        <w:suppressAutoHyphens/>
      </w:pPr>
    </w:p>
    <w:p w:rsidR="00A37DE3" w:rsidRPr="00DC79A9" w:rsidRDefault="00A37DE3" w:rsidP="00A57B3F">
      <w:pPr>
        <w:tabs>
          <w:tab w:val="left" w:pos="-720"/>
        </w:tabs>
        <w:suppressAutoHyphens/>
      </w:pPr>
    </w:p>
    <w:p w:rsidR="00C20A54" w:rsidRDefault="00652FDB" w:rsidP="00A57B3F">
      <w:pPr>
        <w:tabs>
          <w:tab w:val="left" w:pos="-720"/>
        </w:tabs>
        <w:suppressAutoHyphens/>
      </w:pPr>
      <w:r>
        <w:t>Carl Hill</w:t>
      </w:r>
      <w:r>
        <w:tab/>
      </w:r>
      <w:r>
        <w:tab/>
      </w:r>
      <w:r>
        <w:tab/>
      </w:r>
      <w:r>
        <w:tab/>
      </w:r>
      <w:r>
        <w:tab/>
      </w:r>
      <w:r>
        <w:tab/>
      </w:r>
      <w:r>
        <w:tab/>
      </w:r>
      <w:r>
        <w:tab/>
      </w:r>
      <w:r>
        <w:tab/>
        <w:t>C</w:t>
      </w:r>
      <w:r w:rsidR="00C20A54">
        <w:t>-</w:t>
      </w:r>
      <w:r>
        <w:t>2012</w:t>
      </w:r>
      <w:r w:rsidR="006D380D">
        <w:t>-</w:t>
      </w:r>
      <w:r>
        <w:t>2303046</w:t>
      </w:r>
    </w:p>
    <w:p w:rsidR="00E5507B" w:rsidRDefault="00E5507B" w:rsidP="00A57B3F">
      <w:pPr>
        <w:tabs>
          <w:tab w:val="left" w:pos="-720"/>
        </w:tabs>
        <w:suppressAutoHyphens/>
      </w:pPr>
    </w:p>
    <w:p w:rsidR="00652FDB" w:rsidRDefault="00652FDB" w:rsidP="00A57B3F">
      <w:pPr>
        <w:tabs>
          <w:tab w:val="left" w:pos="-720"/>
        </w:tabs>
        <w:suppressAutoHyphens/>
      </w:pPr>
      <w:r>
        <w:tab/>
      </w:r>
      <w:proofErr w:type="gramStart"/>
      <w:r>
        <w:t>v</w:t>
      </w:r>
      <w:proofErr w:type="gramEnd"/>
      <w:r>
        <w:t>.</w:t>
      </w:r>
    </w:p>
    <w:p w:rsidR="00652FDB" w:rsidRDefault="00652FDB" w:rsidP="00A57B3F">
      <w:pPr>
        <w:tabs>
          <w:tab w:val="left" w:pos="-720"/>
        </w:tabs>
        <w:suppressAutoHyphens/>
      </w:pPr>
    </w:p>
    <w:p w:rsidR="00652FDB" w:rsidRDefault="00652FDB" w:rsidP="00A57B3F">
      <w:pPr>
        <w:tabs>
          <w:tab w:val="left" w:pos="-720"/>
        </w:tabs>
        <w:suppressAutoHyphens/>
      </w:pPr>
      <w:r>
        <w:t>Reading Blue Mountain &amp; Northern Railroad</w:t>
      </w:r>
      <w:r w:rsidR="006E0538">
        <w:t>,</w:t>
      </w:r>
    </w:p>
    <w:p w:rsidR="006E0538" w:rsidRDefault="00652FDB" w:rsidP="00A57B3F">
      <w:pPr>
        <w:tabs>
          <w:tab w:val="left" w:pos="-720"/>
        </w:tabs>
        <w:suppressAutoHyphens/>
      </w:pPr>
      <w:r>
        <w:t>Hazel Township</w:t>
      </w:r>
      <w:r w:rsidR="006E0538">
        <w:t xml:space="preserve">, </w:t>
      </w:r>
      <w:r>
        <w:t>Luzerne County</w:t>
      </w:r>
      <w:r w:rsidR="006E0538">
        <w:t xml:space="preserve">, </w:t>
      </w:r>
      <w:r>
        <w:t>Commonwealth</w:t>
      </w:r>
    </w:p>
    <w:p w:rsidR="00652FDB" w:rsidRDefault="00652FDB" w:rsidP="00A57B3F">
      <w:pPr>
        <w:tabs>
          <w:tab w:val="left" w:pos="-720"/>
        </w:tabs>
        <w:suppressAutoHyphens/>
      </w:pPr>
      <w:proofErr w:type="gramStart"/>
      <w:r>
        <w:t>of</w:t>
      </w:r>
      <w:proofErr w:type="gramEnd"/>
      <w:r>
        <w:t xml:space="preserve"> Pennsylvania Department of Transportation</w:t>
      </w:r>
    </w:p>
    <w:p w:rsidR="00652FDB" w:rsidRDefault="00652FDB" w:rsidP="00A57B3F">
      <w:pPr>
        <w:tabs>
          <w:tab w:val="left" w:pos="-720"/>
        </w:tabs>
        <w:suppressAutoHyphens/>
      </w:pPr>
    </w:p>
    <w:p w:rsidR="005F5760" w:rsidRDefault="005F5760"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631D99" w:rsidRDefault="00A37DE3" w:rsidP="00A57B3F">
      <w:pPr>
        <w:pStyle w:val="FootnoteText"/>
        <w:spacing w:line="360" w:lineRule="auto"/>
      </w:pPr>
      <w:r w:rsidRPr="00DC79A9">
        <w:tab/>
      </w:r>
      <w:r w:rsidRPr="00DC79A9">
        <w:tab/>
      </w:r>
      <w:r w:rsidR="0000546D">
        <w:t>B</w:t>
      </w:r>
      <w:r w:rsidRPr="00DC79A9">
        <w:t xml:space="preserve">efore the </w:t>
      </w:r>
      <w:r w:rsidR="005A1E83">
        <w:t xml:space="preserve">Pennsylvania Public Utility </w:t>
      </w:r>
      <w:r w:rsidRPr="00DC79A9">
        <w:t xml:space="preserve">Commission </w:t>
      </w:r>
      <w:r w:rsidR="00234D91">
        <w:t xml:space="preserve">(Commission) </w:t>
      </w:r>
      <w:r w:rsidRPr="00DC79A9">
        <w:t xml:space="preserve">for </w:t>
      </w:r>
      <w:r w:rsidR="00E265F0" w:rsidRPr="00DC79A9">
        <w:t xml:space="preserve">consideration and </w:t>
      </w:r>
      <w:r w:rsidR="00A62602">
        <w:t xml:space="preserve">disposition </w:t>
      </w:r>
      <w:r w:rsidR="00D006B0">
        <w:t>is a Petition for Reconsideration (Petition)</w:t>
      </w:r>
      <w:r w:rsidR="00D006B0" w:rsidRPr="004342C5">
        <w:rPr>
          <w:rStyle w:val="FootnoteReference"/>
          <w:sz w:val="20"/>
          <w:szCs w:val="20"/>
        </w:rPr>
        <w:footnoteReference w:id="1"/>
      </w:r>
      <w:r w:rsidR="00A62602">
        <w:t xml:space="preserve"> filed</w:t>
      </w:r>
      <w:r w:rsidR="00AE428D">
        <w:t xml:space="preserve"> by</w:t>
      </w:r>
      <w:r w:rsidR="00374687">
        <w:t xml:space="preserve"> </w:t>
      </w:r>
      <w:r w:rsidR="00D006B0">
        <w:t>Reading Blue Mountain &amp; Northern Railroad (Railroad)</w:t>
      </w:r>
      <w:r w:rsidR="00914128">
        <w:t xml:space="preserve"> </w:t>
      </w:r>
      <w:r w:rsidR="00196795">
        <w:t xml:space="preserve">on </w:t>
      </w:r>
      <w:r w:rsidR="00D006B0">
        <w:t>September 18, 2012</w:t>
      </w:r>
      <w:r w:rsidR="00914128">
        <w:t xml:space="preserve">, </w:t>
      </w:r>
      <w:r w:rsidRPr="00DC79A9">
        <w:t>relative to the above-captioned proceeding.</w:t>
      </w:r>
      <w:r w:rsidR="003B3CBA" w:rsidRPr="00DC79A9">
        <w:t xml:space="preserve">  </w:t>
      </w:r>
      <w:r w:rsidR="00634DCD">
        <w:t xml:space="preserve">The </w:t>
      </w:r>
      <w:r w:rsidR="004342C5">
        <w:t>Order</w:t>
      </w:r>
      <w:r w:rsidR="00376BDA">
        <w:t xml:space="preserve"> to</w:t>
      </w:r>
      <w:r w:rsidR="00341D96" w:rsidRPr="00DC79A9">
        <w:t xml:space="preserve"> which the Petition refers</w:t>
      </w:r>
      <w:r w:rsidR="00E26902" w:rsidRPr="00DC79A9">
        <w:t xml:space="preserve"> was</w:t>
      </w:r>
      <w:r w:rsidR="0054119C" w:rsidRPr="00DC79A9">
        <w:t xml:space="preserve"> </w:t>
      </w:r>
      <w:r w:rsidR="00376BDA">
        <w:t>issued</w:t>
      </w:r>
      <w:r w:rsidR="0054119C" w:rsidRPr="00DC79A9">
        <w:t xml:space="preserve"> on </w:t>
      </w:r>
      <w:r w:rsidR="004342C5">
        <w:t>August 30, 2012 (</w:t>
      </w:r>
      <w:r w:rsidR="004342C5" w:rsidRPr="004342C5">
        <w:rPr>
          <w:i/>
        </w:rPr>
        <w:t>August 30 Order</w:t>
      </w:r>
      <w:r w:rsidR="004342C5">
        <w:t>)</w:t>
      </w:r>
      <w:r w:rsidR="00376BDA">
        <w:t>.</w:t>
      </w:r>
      <w:r w:rsidR="008E727D">
        <w:t xml:space="preserve">  </w:t>
      </w:r>
    </w:p>
    <w:p w:rsidR="00631D99" w:rsidRDefault="00631D99" w:rsidP="00A57B3F">
      <w:pPr>
        <w:pStyle w:val="FootnoteText"/>
        <w:spacing w:line="360" w:lineRule="auto"/>
      </w:pPr>
    </w:p>
    <w:p w:rsidR="00631D99" w:rsidRDefault="00631D99" w:rsidP="00A57B3F">
      <w:pPr>
        <w:pStyle w:val="FootnoteText"/>
        <w:spacing w:line="360" w:lineRule="auto"/>
      </w:pPr>
    </w:p>
    <w:p w:rsidR="005F5760" w:rsidRDefault="00631D99" w:rsidP="00631D99">
      <w:pPr>
        <w:pStyle w:val="FootnoteText"/>
        <w:spacing w:line="360" w:lineRule="auto"/>
        <w:ind w:firstLine="720"/>
      </w:pPr>
      <w:r>
        <w:lastRenderedPageBreak/>
        <w:t xml:space="preserve">          </w:t>
      </w:r>
      <w:proofErr w:type="gramStart"/>
      <w:r w:rsidR="00DB4DCF">
        <w:t xml:space="preserve">Also before the Commission is a Motion to Strike Exceptions </w:t>
      </w:r>
      <w:r w:rsidR="005F5760">
        <w:t xml:space="preserve">(Motion to Strike) </w:t>
      </w:r>
      <w:r w:rsidR="00DB4DCF">
        <w:t xml:space="preserve">filed by </w:t>
      </w:r>
      <w:r w:rsidR="00E95320">
        <w:t xml:space="preserve">the </w:t>
      </w:r>
      <w:r w:rsidR="00DB4DCF">
        <w:t>Pennsylvania Department of Transportation</w:t>
      </w:r>
      <w:r w:rsidR="005F5760">
        <w:t xml:space="preserve"> (</w:t>
      </w:r>
      <w:proofErr w:type="spellStart"/>
      <w:r w:rsidR="005F5760">
        <w:t>PennDOT</w:t>
      </w:r>
      <w:proofErr w:type="spellEnd"/>
      <w:r w:rsidR="005F5760">
        <w:t>) on October 1, 2012.</w:t>
      </w:r>
      <w:proofErr w:type="gramEnd"/>
      <w:r w:rsidR="005F5760">
        <w:t xml:space="preserve">  On the same date, </w:t>
      </w:r>
      <w:proofErr w:type="spellStart"/>
      <w:r w:rsidR="005F5760">
        <w:t>PennDOT</w:t>
      </w:r>
      <w:proofErr w:type="spellEnd"/>
      <w:r w:rsidR="005F5760">
        <w:t xml:space="preserve"> also filed an Answer to Exceptions (Answer) in </w:t>
      </w:r>
      <w:r w:rsidR="0035726E">
        <w:t>the event the Commission denied its</w:t>
      </w:r>
      <w:r w:rsidR="005F5760">
        <w:t xml:space="preserve"> Motion </w:t>
      </w:r>
      <w:r w:rsidR="0035726E">
        <w:t>to Strike.</w:t>
      </w:r>
    </w:p>
    <w:p w:rsidR="009B65B7" w:rsidRDefault="009B65B7" w:rsidP="00631D99">
      <w:pPr>
        <w:pStyle w:val="FootnoteText"/>
        <w:spacing w:line="360" w:lineRule="auto"/>
        <w:ind w:firstLine="720"/>
      </w:pPr>
    </w:p>
    <w:p w:rsidR="009B65B7" w:rsidRDefault="009B65B7" w:rsidP="00276845">
      <w:pPr>
        <w:pStyle w:val="FootnoteText"/>
        <w:spacing w:line="360" w:lineRule="auto"/>
        <w:ind w:firstLine="1440"/>
      </w:pPr>
      <w:r>
        <w:t>Per Secretarial Letter issued October 3, 2012 (</w:t>
      </w:r>
      <w:r w:rsidRPr="0035726E">
        <w:rPr>
          <w:i/>
        </w:rPr>
        <w:t>October 3 Secretarial Letter</w:t>
      </w:r>
      <w:r>
        <w:t xml:space="preserve">), we reduced the time period for the Parties to respond to </w:t>
      </w:r>
      <w:proofErr w:type="spellStart"/>
      <w:r>
        <w:t>PennDOT’s</w:t>
      </w:r>
      <w:proofErr w:type="spellEnd"/>
      <w:r>
        <w:t xml:space="preserve"> Motion to Strike.  Specifically, we required that any Answer to that Motion be filed on or before October 12, 2012.  On October 12, 2012, the Railroad filed the following documents</w:t>
      </w:r>
      <w:proofErr w:type="gramStart"/>
      <w:r>
        <w:t>:</w:t>
      </w:r>
      <w:proofErr w:type="gramEnd"/>
      <w:r>
        <w:br/>
        <w:t xml:space="preserve">(1) an Answer </w:t>
      </w:r>
      <w:r w:rsidR="00F905E9">
        <w:t xml:space="preserve">and New Matter to </w:t>
      </w:r>
      <w:proofErr w:type="spellStart"/>
      <w:r w:rsidR="00F905E9">
        <w:t>PennDOT’s</w:t>
      </w:r>
      <w:proofErr w:type="spellEnd"/>
      <w:r w:rsidR="00F905E9">
        <w:t xml:space="preserve"> Motion to Strike</w:t>
      </w:r>
      <w:r>
        <w:t xml:space="preserve">; and (2) a Reply to </w:t>
      </w:r>
      <w:proofErr w:type="spellStart"/>
      <w:r>
        <w:t>PennDOT’s</w:t>
      </w:r>
      <w:proofErr w:type="spellEnd"/>
      <w:r>
        <w:t xml:space="preserve"> Answer to the Petition.</w:t>
      </w:r>
      <w:r>
        <w:rPr>
          <w:rStyle w:val="FootnoteReference"/>
        </w:rPr>
        <w:footnoteReference w:id="2"/>
      </w:r>
    </w:p>
    <w:p w:rsidR="00C871A8" w:rsidRDefault="00C871A8" w:rsidP="00276845">
      <w:pPr>
        <w:pStyle w:val="FootnoteText"/>
        <w:spacing w:line="360" w:lineRule="auto"/>
        <w:ind w:firstLine="1440"/>
      </w:pPr>
    </w:p>
    <w:p w:rsidR="00A37DE3" w:rsidRPr="00DC79A9" w:rsidRDefault="005F5760" w:rsidP="00631D99">
      <w:pPr>
        <w:pStyle w:val="FootnoteText"/>
        <w:spacing w:line="360" w:lineRule="auto"/>
        <w:ind w:firstLine="720"/>
      </w:pPr>
      <w:r>
        <w:t xml:space="preserve">          </w:t>
      </w:r>
      <w:r w:rsidR="004342C5">
        <w:t xml:space="preserve">For the reasons </w:t>
      </w:r>
      <w:r w:rsidR="00C871A8">
        <w:t>delineat</w:t>
      </w:r>
      <w:r w:rsidR="004342C5">
        <w:t>ed below, we will</w:t>
      </w:r>
      <w:r>
        <w:t xml:space="preserve">: (1) deny </w:t>
      </w:r>
      <w:proofErr w:type="spellStart"/>
      <w:r>
        <w:t>PennDOT’s</w:t>
      </w:r>
      <w:proofErr w:type="spellEnd"/>
      <w:r>
        <w:t xml:space="preserve"> Motion</w:t>
      </w:r>
      <w:r w:rsidR="00C93D90">
        <w:t xml:space="preserve"> to Strike</w:t>
      </w:r>
      <w:r>
        <w:t xml:space="preserve">; (2) </w:t>
      </w:r>
      <w:r w:rsidR="001F07F9">
        <w:t>grant</w:t>
      </w:r>
      <w:r w:rsidR="00F05B20">
        <w:t xml:space="preserve"> the </w:t>
      </w:r>
      <w:r>
        <w:t xml:space="preserve">Railroad’s </w:t>
      </w:r>
      <w:r w:rsidR="00F05B20">
        <w:t>Petition</w:t>
      </w:r>
      <w:r w:rsidR="00A22DD2">
        <w:t xml:space="preserve"> for Reconsideration</w:t>
      </w:r>
      <w:r>
        <w:t>;</w:t>
      </w:r>
      <w:r w:rsidR="00A653A2">
        <w:t xml:space="preserve"> </w:t>
      </w:r>
      <w:r w:rsidR="00A22DD2">
        <w:t xml:space="preserve">(3) </w:t>
      </w:r>
      <w:r w:rsidR="009421D6">
        <w:t xml:space="preserve">pursuant to our authority at 66 Pa. C.S. § 2702(f), </w:t>
      </w:r>
      <w:r w:rsidR="00A22DD2">
        <w:t xml:space="preserve">direct the Railroad to perform repairs to the instant crossing; and </w:t>
      </w:r>
      <w:r>
        <w:t>(</w:t>
      </w:r>
      <w:r w:rsidR="00A22DD2">
        <w:t>4</w:t>
      </w:r>
      <w:r>
        <w:t xml:space="preserve">) </w:t>
      </w:r>
      <w:r w:rsidR="007373B3">
        <w:t>refer this matter to the Office of Administrative Law Judge (OALJ) for further proceedings, consistent with this Opinion and Order</w:t>
      </w:r>
      <w:r w:rsidR="00A22DD2">
        <w:t>.</w:t>
      </w:r>
      <w:r w:rsidR="007373B3">
        <w:t xml:space="preserve"> </w:t>
      </w:r>
    </w:p>
    <w:p w:rsidR="00A37DE3" w:rsidRPr="00DC79A9" w:rsidRDefault="00A37DE3" w:rsidP="00A57B3F">
      <w:pPr>
        <w:tabs>
          <w:tab w:val="left" w:pos="-720"/>
        </w:tabs>
        <w:suppressAutoHyphens/>
        <w:spacing w:line="360" w:lineRule="auto"/>
      </w:pPr>
    </w:p>
    <w:p w:rsidR="00A37DE3" w:rsidRPr="00196795" w:rsidRDefault="00A37DE3" w:rsidP="004342C5">
      <w:pPr>
        <w:tabs>
          <w:tab w:val="center" w:pos="4680"/>
        </w:tabs>
        <w:suppressAutoHyphens/>
        <w:spacing w:line="360" w:lineRule="auto"/>
        <w:rPr>
          <w:b/>
        </w:rPr>
      </w:pPr>
      <w:r w:rsidRPr="00DC79A9">
        <w:rPr>
          <w:b/>
        </w:rPr>
        <w:tab/>
      </w:r>
      <w:r w:rsidRPr="00196795">
        <w:rPr>
          <w:b/>
        </w:rPr>
        <w:t>History of Proceeding</w:t>
      </w:r>
    </w:p>
    <w:p w:rsidR="000559EC" w:rsidRPr="00DC79A9" w:rsidRDefault="000559EC" w:rsidP="00A57B3F">
      <w:pPr>
        <w:jc w:val="center"/>
      </w:pPr>
    </w:p>
    <w:p w:rsidR="00EA37DC" w:rsidRDefault="003F4CF2" w:rsidP="006A5E68">
      <w:pPr>
        <w:pStyle w:val="BodyText2"/>
      </w:pPr>
      <w:r>
        <w:tab/>
      </w:r>
      <w:r>
        <w:tab/>
        <w:t>At a location in Hazel Township (Township), the track of the Railroad crosses</w:t>
      </w:r>
      <w:r w:rsidR="009042D2">
        <w:t xml:space="preserve">, at-grade, State Route 3019 (Stockton Mountain Road) in Luzerne County (DOT 361 521 L).  </w:t>
      </w:r>
    </w:p>
    <w:p w:rsidR="00EA37DC" w:rsidRDefault="00EA37DC" w:rsidP="006A5E68">
      <w:pPr>
        <w:pStyle w:val="BodyText2"/>
      </w:pPr>
    </w:p>
    <w:p w:rsidR="00EA37DC" w:rsidRDefault="009042D2" w:rsidP="006A5E68">
      <w:pPr>
        <w:pStyle w:val="BodyText2"/>
      </w:pPr>
      <w:r>
        <w:tab/>
      </w:r>
      <w:r>
        <w:tab/>
        <w:t xml:space="preserve">Carl Hill (Complainant) filed a Complaint on May 2, 2012, alleging that this crossing is in a state of disrepair due to track movement, which has created a rough </w:t>
      </w:r>
      <w:r>
        <w:lastRenderedPageBreak/>
        <w:t>crossing surface.  The Complainant further states that the crossing is in need of repair to attain an acceptable condition.</w:t>
      </w:r>
    </w:p>
    <w:p w:rsidR="009042D2" w:rsidRDefault="009042D2" w:rsidP="006A5E68">
      <w:pPr>
        <w:pStyle w:val="BodyText2"/>
      </w:pPr>
    </w:p>
    <w:p w:rsidR="009042D2" w:rsidRDefault="009042D2" w:rsidP="006A5E68">
      <w:pPr>
        <w:pStyle w:val="BodyText2"/>
      </w:pPr>
      <w:r>
        <w:tab/>
      </w:r>
      <w:r>
        <w:tab/>
        <w:t>On J</w:t>
      </w:r>
      <w:r w:rsidR="005B7B9E">
        <w:t>uly 27, 2012, a meetin</w:t>
      </w:r>
      <w:r w:rsidR="00C21C44">
        <w:t>g</w:t>
      </w:r>
      <w:r>
        <w:t xml:space="preserve"> was held at the site.  </w:t>
      </w:r>
      <w:r w:rsidR="00A04631">
        <w:t>In addition to Commission staff, t</w:t>
      </w:r>
      <w:r>
        <w:t xml:space="preserve">he following entities were in attendance: (1) the Complainant; (2) </w:t>
      </w:r>
      <w:r w:rsidR="005B7B9E">
        <w:t>the Railroad; and</w:t>
      </w:r>
      <w:r w:rsidR="00992D02">
        <w:t xml:space="preserve"> (3) </w:t>
      </w:r>
      <w:proofErr w:type="spellStart"/>
      <w:r w:rsidR="00992D02">
        <w:t>PennDOT</w:t>
      </w:r>
      <w:proofErr w:type="spellEnd"/>
      <w:r w:rsidR="005B7B9E">
        <w:t>.  The condition of the crossing and the need f</w:t>
      </w:r>
      <w:r w:rsidR="00A04631">
        <w:t>or</w:t>
      </w:r>
      <w:r w:rsidR="005B7B9E">
        <w:t xml:space="preserve"> repairs thereon were discussed.  The Railroad indicated that it would consider making some of the needed</w:t>
      </w:r>
      <w:r w:rsidR="00210EC1">
        <w:t xml:space="preserve"> repairs.</w:t>
      </w:r>
      <w:r w:rsidR="005B7B9E">
        <w:t xml:space="preserve"> </w:t>
      </w:r>
    </w:p>
    <w:p w:rsidR="009042D2" w:rsidRDefault="009042D2" w:rsidP="006A5E68">
      <w:pPr>
        <w:pStyle w:val="BodyText2"/>
      </w:pPr>
    </w:p>
    <w:p w:rsidR="009042D2" w:rsidRPr="00654A74" w:rsidRDefault="005B7B9E" w:rsidP="006A5E68">
      <w:pPr>
        <w:pStyle w:val="BodyText2"/>
      </w:pPr>
      <w:r>
        <w:tab/>
      </w:r>
      <w:r>
        <w:tab/>
        <w:t>On August 10, 2012, a field investigation and conference was held at the site</w:t>
      </w:r>
      <w:r w:rsidR="00A04631">
        <w:t>.  In addition to Commission staff, the following Parties</w:t>
      </w:r>
      <w:r>
        <w:t xml:space="preserve"> attended</w:t>
      </w:r>
      <w:r w:rsidR="00A04631">
        <w:t xml:space="preserve"> the field investigation and conference</w:t>
      </w:r>
      <w:r>
        <w:t xml:space="preserve">: (1) the Complainant; (2) the Railroad; (3) </w:t>
      </w:r>
      <w:proofErr w:type="spellStart"/>
      <w:r w:rsidR="00CD6B5D">
        <w:t>PennDOT</w:t>
      </w:r>
      <w:proofErr w:type="spellEnd"/>
      <w:r w:rsidR="00CD6B5D">
        <w:t>; and (4) the Township.  At the conference</w:t>
      </w:r>
      <w:r w:rsidR="00A04631">
        <w:t>,</w:t>
      </w:r>
      <w:r w:rsidR="00CD6B5D">
        <w:t xml:space="preserve"> it was noted that</w:t>
      </w:r>
      <w:r w:rsidR="00A04631">
        <w:t>,</w:t>
      </w:r>
      <w:r w:rsidR="00CD6B5D">
        <w:t xml:space="preserve"> although the Railroad had made minor repairs, those repairs were not sufficient to satisfy the Complaint and that further repairs were needed.  The Railroad agreed to make further repairs.  </w:t>
      </w:r>
      <w:proofErr w:type="gramStart"/>
      <w:r w:rsidR="00654A74">
        <w:rPr>
          <w:i/>
        </w:rPr>
        <w:t xml:space="preserve">August 30 Order </w:t>
      </w:r>
      <w:r w:rsidR="00654A74">
        <w:t>at 2.</w:t>
      </w:r>
      <w:proofErr w:type="gramEnd"/>
    </w:p>
    <w:p w:rsidR="005B7B9E" w:rsidRDefault="005B7B9E" w:rsidP="006A5E68">
      <w:pPr>
        <w:pStyle w:val="BodyText2"/>
      </w:pPr>
    </w:p>
    <w:p w:rsidR="005B7B9E" w:rsidRDefault="006E7714" w:rsidP="006E7714">
      <w:pPr>
        <w:pStyle w:val="BodyText2"/>
      </w:pPr>
      <w:r>
        <w:tab/>
      </w:r>
      <w:r>
        <w:tab/>
        <w:t xml:space="preserve">In our </w:t>
      </w:r>
      <w:r w:rsidRPr="006E7714">
        <w:rPr>
          <w:i/>
        </w:rPr>
        <w:t>August 30 Order</w:t>
      </w:r>
      <w:r>
        <w:t xml:space="preserve">, </w:t>
      </w:r>
      <w:r w:rsidR="00A04631">
        <w:t>w</w:t>
      </w:r>
      <w:r>
        <w:t xml:space="preserve">e stated that, since the Parties were in agreement that certain repairs to the crossing </w:t>
      </w:r>
      <w:r w:rsidR="00A04631">
        <w:t>we</w:t>
      </w:r>
      <w:r>
        <w:t xml:space="preserve">re necessary, the Order could be issued approving such repairs and assigning the responsibility for them, without the necessity of a formal hearing.  </w:t>
      </w:r>
      <w:proofErr w:type="gramStart"/>
      <w:r w:rsidRPr="006E7714">
        <w:rPr>
          <w:i/>
        </w:rPr>
        <w:t>August 30 Order</w:t>
      </w:r>
      <w:r>
        <w:t xml:space="preserve"> at 2.</w:t>
      </w:r>
      <w:proofErr w:type="gramEnd"/>
      <w:r>
        <w:t xml:space="preserve"> </w:t>
      </w:r>
    </w:p>
    <w:p w:rsidR="005B7B9E" w:rsidRDefault="005B7B9E" w:rsidP="006A5E68">
      <w:pPr>
        <w:pStyle w:val="BodyText2"/>
      </w:pPr>
    </w:p>
    <w:p w:rsidR="00F966FA" w:rsidRDefault="00BE2FB5" w:rsidP="00BE2FB5">
      <w:pPr>
        <w:tabs>
          <w:tab w:val="left" w:pos="0"/>
        </w:tabs>
        <w:spacing w:line="360" w:lineRule="auto"/>
        <w:ind w:firstLine="1440"/>
      </w:pPr>
      <w:r>
        <w:t xml:space="preserve">As previously indicated, </w:t>
      </w:r>
      <w:r w:rsidR="00654A74">
        <w:t>the Railroad filed its</w:t>
      </w:r>
      <w:r w:rsidR="002B22D0">
        <w:t xml:space="preserve"> P</w:t>
      </w:r>
      <w:r>
        <w:t>etition on September 18, 2012</w:t>
      </w:r>
      <w:r w:rsidR="00D0252B">
        <w:t xml:space="preserve">.  </w:t>
      </w:r>
      <w:r>
        <w:t xml:space="preserve">By Order entered September 27, 2012, we granted reconsideration, pending review of and consideration on the merits, in order to preserve jurisdiction over this matter. </w:t>
      </w:r>
    </w:p>
    <w:p w:rsidR="00D0252B" w:rsidRDefault="00D0252B" w:rsidP="00BE2FB5">
      <w:pPr>
        <w:tabs>
          <w:tab w:val="left" w:pos="0"/>
        </w:tabs>
        <w:spacing w:line="360" w:lineRule="auto"/>
        <w:ind w:firstLine="1440"/>
      </w:pPr>
    </w:p>
    <w:p w:rsidR="00D0252B" w:rsidRDefault="00D0252B" w:rsidP="00BE2FB5">
      <w:pPr>
        <w:tabs>
          <w:tab w:val="left" w:pos="0"/>
        </w:tabs>
        <w:spacing w:line="360" w:lineRule="auto"/>
        <w:ind w:firstLine="1440"/>
      </w:pPr>
      <w:r>
        <w:t xml:space="preserve">On October 1, 2012, </w:t>
      </w:r>
      <w:proofErr w:type="spellStart"/>
      <w:r>
        <w:t>PennDOT</w:t>
      </w:r>
      <w:proofErr w:type="spellEnd"/>
      <w:r>
        <w:t xml:space="preserve"> filed </w:t>
      </w:r>
      <w:r w:rsidR="00AC54B9">
        <w:t>its</w:t>
      </w:r>
      <w:r>
        <w:t xml:space="preserve"> Motion to Strike</w:t>
      </w:r>
      <w:r w:rsidR="00AC54B9">
        <w:t>,</w:t>
      </w:r>
      <w:r>
        <w:t xml:space="preserve"> and also filed an Answer to the Petition, in the event that the Commissi</w:t>
      </w:r>
      <w:r w:rsidR="0011489A">
        <w:t xml:space="preserve">on denied the </w:t>
      </w:r>
      <w:r w:rsidR="0035726E">
        <w:t xml:space="preserve">Motion to Strike.  Per our </w:t>
      </w:r>
      <w:r w:rsidR="005B15DD" w:rsidRPr="005B15DD">
        <w:rPr>
          <w:i/>
        </w:rPr>
        <w:t>October 3 Secretarial Letter</w:t>
      </w:r>
      <w:r w:rsidR="0011489A">
        <w:t xml:space="preserve">, we </w:t>
      </w:r>
      <w:r w:rsidR="00AC54B9">
        <w:t xml:space="preserve">directed </w:t>
      </w:r>
      <w:r w:rsidR="0011489A">
        <w:t xml:space="preserve">the Parties to file </w:t>
      </w:r>
      <w:r w:rsidR="00AC54B9">
        <w:t>A</w:t>
      </w:r>
      <w:r w:rsidR="0011489A">
        <w:t>nswer</w:t>
      </w:r>
      <w:r w:rsidR="00AC54B9">
        <w:t>s</w:t>
      </w:r>
      <w:r w:rsidR="0011489A">
        <w:t xml:space="preserve"> to </w:t>
      </w:r>
      <w:proofErr w:type="spellStart"/>
      <w:r w:rsidR="0011489A">
        <w:t>PennDOT’s</w:t>
      </w:r>
      <w:proofErr w:type="spellEnd"/>
      <w:r w:rsidR="0011489A">
        <w:t xml:space="preserve"> Motion to Strike on or before October 12, 2012.</w:t>
      </w:r>
      <w:r>
        <w:t xml:space="preserve">  </w:t>
      </w:r>
    </w:p>
    <w:p w:rsidR="00133179" w:rsidRDefault="006C7CAF" w:rsidP="006A5E68">
      <w:pPr>
        <w:pStyle w:val="BodyText2"/>
      </w:pPr>
      <w:r>
        <w:lastRenderedPageBreak/>
        <w:tab/>
      </w:r>
    </w:p>
    <w:p w:rsidR="00661612" w:rsidRDefault="004A5178" w:rsidP="006A5E68">
      <w:pPr>
        <w:pStyle w:val="BodyText2"/>
      </w:pPr>
      <w:r>
        <w:tab/>
      </w:r>
      <w:r>
        <w:tab/>
        <w:t xml:space="preserve">On October 12, 2012, the Railroad filed the following documents: (1) an Answer </w:t>
      </w:r>
      <w:r w:rsidR="00924C55">
        <w:t xml:space="preserve">and New Matter </w:t>
      </w:r>
      <w:r>
        <w:t xml:space="preserve">to </w:t>
      </w:r>
      <w:proofErr w:type="spellStart"/>
      <w:r>
        <w:t>PennDOT’s</w:t>
      </w:r>
      <w:proofErr w:type="spellEnd"/>
      <w:r>
        <w:t xml:space="preserve"> Motion to Strike</w:t>
      </w:r>
      <w:r w:rsidR="00C871A8">
        <w:t>;</w:t>
      </w:r>
      <w:r>
        <w:t xml:space="preserve"> and (2) a Reply to </w:t>
      </w:r>
      <w:proofErr w:type="spellStart"/>
      <w:r>
        <w:t>PennDOT’s</w:t>
      </w:r>
      <w:proofErr w:type="spellEnd"/>
      <w:r>
        <w:t xml:space="preserve"> Answer to </w:t>
      </w:r>
      <w:r w:rsidR="00AC54B9">
        <w:t xml:space="preserve">the </w:t>
      </w:r>
      <w:r>
        <w:t>Petition</w:t>
      </w:r>
      <w:r w:rsidR="00AC54B9">
        <w:t xml:space="preserve"> for Reconsideration</w:t>
      </w:r>
      <w:r>
        <w:t>.</w:t>
      </w:r>
    </w:p>
    <w:p w:rsidR="00661612" w:rsidRDefault="00661612" w:rsidP="006A5E68">
      <w:pPr>
        <w:pStyle w:val="BodyText2"/>
      </w:pPr>
    </w:p>
    <w:p w:rsidR="00A37DE3" w:rsidRPr="00196795" w:rsidRDefault="00C82421" w:rsidP="00A57B3F">
      <w:pPr>
        <w:keepNext/>
        <w:tabs>
          <w:tab w:val="center" w:pos="4680"/>
        </w:tabs>
        <w:suppressAutoHyphens/>
        <w:spacing w:line="360" w:lineRule="auto"/>
      </w:pPr>
      <w:r w:rsidRPr="00DC79A9">
        <w:tab/>
      </w:r>
      <w:r w:rsidR="00A37DE3" w:rsidRPr="00196795">
        <w:rPr>
          <w:b/>
        </w:rPr>
        <w:t>Discussion</w:t>
      </w:r>
    </w:p>
    <w:p w:rsidR="00A37DE3" w:rsidRPr="00DC79A9" w:rsidRDefault="00A37DE3" w:rsidP="00276845">
      <w:pPr>
        <w:keepNext/>
        <w:tabs>
          <w:tab w:val="left" w:pos="-720"/>
        </w:tabs>
        <w:suppressAutoHyphens/>
        <w:spacing w:line="360" w:lineRule="auto"/>
      </w:pPr>
    </w:p>
    <w:p w:rsidR="0097560C" w:rsidRDefault="0097560C" w:rsidP="000275F3">
      <w:pPr>
        <w:spacing w:line="360" w:lineRule="auto"/>
        <w:rPr>
          <w:b/>
        </w:rPr>
      </w:pPr>
      <w:proofErr w:type="spellStart"/>
      <w:r>
        <w:rPr>
          <w:b/>
        </w:rPr>
        <w:t>PennDOT’s</w:t>
      </w:r>
      <w:proofErr w:type="spellEnd"/>
      <w:r>
        <w:rPr>
          <w:b/>
        </w:rPr>
        <w:t xml:space="preserve"> Motion to Strike</w:t>
      </w:r>
    </w:p>
    <w:p w:rsidR="0097560C" w:rsidRPr="00276845" w:rsidRDefault="0097560C" w:rsidP="000275F3">
      <w:pPr>
        <w:spacing w:line="360" w:lineRule="auto"/>
      </w:pPr>
    </w:p>
    <w:p w:rsidR="00DE6D07" w:rsidRDefault="0097560C" w:rsidP="00DE6D07">
      <w:pPr>
        <w:spacing w:line="360" w:lineRule="auto"/>
        <w:ind w:firstLine="1440"/>
      </w:pPr>
      <w:r>
        <w:t xml:space="preserve">As the </w:t>
      </w:r>
      <w:r w:rsidR="00DE6D07">
        <w:t xml:space="preserve">proponent of a rule or order, </w:t>
      </w:r>
      <w:proofErr w:type="spellStart"/>
      <w:r>
        <w:t>PennDOT</w:t>
      </w:r>
      <w:proofErr w:type="spellEnd"/>
      <w:r>
        <w:t xml:space="preserve"> bears the burden of proof on its Motion to Strike. </w:t>
      </w:r>
      <w:proofErr w:type="gramStart"/>
      <w:r w:rsidR="00DE6D07">
        <w:t>66 Pa. C.S. § 332(a).</w:t>
      </w:r>
      <w:proofErr w:type="gramEnd"/>
      <w:r w:rsidR="00DE6D07">
        <w:t xml:space="preserve">  </w:t>
      </w:r>
      <w:r w:rsidR="00DE6D07" w:rsidRPr="006B192B">
        <w:t xml:space="preserve">Courts have held that “[a] litigant’s burden of proof before administrative tribunals as well as before most civil proceedings is satisfied by establishing a preponderance of evidence which is substantial and legally credible.”  </w:t>
      </w:r>
      <w:proofErr w:type="gramStart"/>
      <w:r w:rsidR="00DE6D07" w:rsidRPr="00CA43A5">
        <w:rPr>
          <w:i/>
          <w:iCs/>
        </w:rPr>
        <w:t xml:space="preserve">Samuel J. </w:t>
      </w:r>
      <w:proofErr w:type="spellStart"/>
      <w:r w:rsidR="00DE6D07" w:rsidRPr="00CA43A5">
        <w:rPr>
          <w:i/>
          <w:iCs/>
        </w:rPr>
        <w:t>Lansberry</w:t>
      </w:r>
      <w:proofErr w:type="spellEnd"/>
      <w:r w:rsidR="00DE6D07" w:rsidRPr="00CA43A5">
        <w:rPr>
          <w:i/>
          <w:iCs/>
        </w:rPr>
        <w:t>, Inc. v. Pa. PUC</w:t>
      </w:r>
      <w:r w:rsidR="00DE6D07" w:rsidRPr="00CA43A5">
        <w:t xml:space="preserve">, 578 A.2d 600 (Pa. </w:t>
      </w:r>
      <w:proofErr w:type="spellStart"/>
      <w:r w:rsidR="00DE6D07" w:rsidRPr="00CA43A5">
        <w:t>Cmwlth</w:t>
      </w:r>
      <w:proofErr w:type="spellEnd"/>
      <w:r w:rsidR="00DE6D07" w:rsidRPr="00CA43A5">
        <w:t xml:space="preserve">. 1990), </w:t>
      </w:r>
      <w:proofErr w:type="spellStart"/>
      <w:r w:rsidR="00DE6D07" w:rsidRPr="00CA43A5">
        <w:rPr>
          <w:i/>
        </w:rPr>
        <w:t>alloc</w:t>
      </w:r>
      <w:proofErr w:type="spellEnd"/>
      <w:r w:rsidR="00DE6D07" w:rsidRPr="00CA43A5">
        <w:rPr>
          <w:i/>
        </w:rPr>
        <w:t>.</w:t>
      </w:r>
      <w:proofErr w:type="gramEnd"/>
      <w:r w:rsidR="00DE6D07" w:rsidRPr="00CA43A5">
        <w:rPr>
          <w:i/>
        </w:rPr>
        <w:t xml:space="preserve"> </w:t>
      </w:r>
      <w:proofErr w:type="gramStart"/>
      <w:r w:rsidR="00DE6D07" w:rsidRPr="00CA43A5">
        <w:rPr>
          <w:i/>
        </w:rPr>
        <w:t>denied</w:t>
      </w:r>
      <w:proofErr w:type="gramEnd"/>
      <w:r w:rsidR="00DE6D07" w:rsidRPr="00CA43A5">
        <w:rPr>
          <w:i/>
        </w:rPr>
        <w:t>,</w:t>
      </w:r>
      <w:r w:rsidR="00DE6D07" w:rsidRPr="00CA43A5">
        <w:t xml:space="preserve"> 529 Pa. 654, 602 A.2d 863 (1992).  That is, </w:t>
      </w:r>
      <w:proofErr w:type="spellStart"/>
      <w:r w:rsidR="00DE6D07">
        <w:t>PennDOT’s</w:t>
      </w:r>
      <w:proofErr w:type="spellEnd"/>
      <w:r w:rsidR="00DE6D07">
        <w:t xml:space="preserve"> </w:t>
      </w:r>
      <w:r w:rsidR="00DE6D07" w:rsidRPr="00CA43A5">
        <w:t>evidence must be more convincing, by even the smallest amount, th</w:t>
      </w:r>
      <w:r w:rsidR="00DE6D07">
        <w:t>an that presented by the other Parties</w:t>
      </w:r>
      <w:r w:rsidR="00DE6D07" w:rsidRPr="00CA43A5">
        <w:t xml:space="preserve">.  </w:t>
      </w:r>
      <w:proofErr w:type="gramStart"/>
      <w:r w:rsidR="00DE6D07" w:rsidRPr="00CA43A5">
        <w:rPr>
          <w:i/>
        </w:rPr>
        <w:t>Se-Ling Hosiery</w:t>
      </w:r>
      <w:r w:rsidR="00DE6D07">
        <w:rPr>
          <w:i/>
        </w:rPr>
        <w:t>, Inc.</w:t>
      </w:r>
      <w:r w:rsidR="00DE6D07" w:rsidRPr="00CA43A5">
        <w:rPr>
          <w:i/>
        </w:rPr>
        <w:t xml:space="preserve"> v. Margulies</w:t>
      </w:r>
      <w:r w:rsidR="00DE6D07" w:rsidRPr="00CA43A5">
        <w:t>, 364 Pa. 45, 70 A.2d 854 (1950).</w:t>
      </w:r>
      <w:proofErr w:type="gramEnd"/>
      <w:r w:rsidR="00DE6D07" w:rsidRPr="00CA43A5">
        <w:t xml:space="preserve">  Additionally, this Commission’s decision must be supported by substantial evidence in the record.  More is required than a mere trace of evidence or a suspicion of the existence of a fact sought to be established.  </w:t>
      </w:r>
      <w:proofErr w:type="gramStart"/>
      <w:r w:rsidR="00DE6D07" w:rsidRPr="00CA43A5">
        <w:rPr>
          <w:i/>
        </w:rPr>
        <w:t xml:space="preserve">Norfolk &amp; Western Ry. Co. v. Pa. PUC, </w:t>
      </w:r>
      <w:r w:rsidR="00DE6D07" w:rsidRPr="00CA43A5">
        <w:t>489 Pa. 109, 413 A.2d 1037 (1980).</w:t>
      </w:r>
      <w:proofErr w:type="gramEnd"/>
    </w:p>
    <w:p w:rsidR="00DE6D07" w:rsidRDefault="00DE6D07" w:rsidP="00DE6D07">
      <w:pPr>
        <w:spacing w:line="360" w:lineRule="auto"/>
        <w:ind w:firstLine="1440"/>
      </w:pPr>
    </w:p>
    <w:p w:rsidR="00717E46" w:rsidRPr="00AA7059" w:rsidRDefault="0097560C" w:rsidP="00717E46">
      <w:pPr>
        <w:spacing w:line="360" w:lineRule="auto"/>
      </w:pPr>
      <w:r>
        <w:t xml:space="preserve"> </w:t>
      </w:r>
      <w:r w:rsidR="00717E46">
        <w:rPr>
          <w:b/>
        </w:rPr>
        <w:tab/>
      </w:r>
      <w:r w:rsidR="00717E46">
        <w:rPr>
          <w:b/>
        </w:rPr>
        <w:tab/>
      </w:r>
      <w:r w:rsidR="00717E46" w:rsidRPr="00DF033A">
        <w:t>In its Motion to</w:t>
      </w:r>
      <w:r w:rsidR="00717E46">
        <w:t xml:space="preserve"> Strike, </w:t>
      </w:r>
      <w:proofErr w:type="spellStart"/>
      <w:r w:rsidR="00717E46">
        <w:t>PennDOT</w:t>
      </w:r>
      <w:proofErr w:type="spellEnd"/>
      <w:r w:rsidR="00717E46">
        <w:t xml:space="preserve"> initially notes that</w:t>
      </w:r>
      <w:r w:rsidR="001F6904">
        <w:t>,</w:t>
      </w:r>
      <w:r w:rsidR="00717E46">
        <w:t xml:space="preserve"> although the Railroad called its document “Exceptions,” </w:t>
      </w:r>
      <w:proofErr w:type="spellStart"/>
      <w:r w:rsidR="00717E46">
        <w:t>PennDOT</w:t>
      </w:r>
      <w:proofErr w:type="spellEnd"/>
      <w:r w:rsidR="00717E46">
        <w:t xml:space="preserve"> </w:t>
      </w:r>
      <w:r w:rsidR="003A2DB5">
        <w:t xml:space="preserve">(and the Commission) </w:t>
      </w:r>
      <w:r w:rsidR="00717E46">
        <w:t xml:space="preserve">is treating the document as a Petition for Reconsideration in accordance with 52 Pa. Code § 5.572.  </w:t>
      </w:r>
      <w:proofErr w:type="gramStart"/>
      <w:r w:rsidR="00717E46">
        <w:t>Motion at ¶ 1.</w:t>
      </w:r>
      <w:proofErr w:type="gramEnd"/>
      <w:r w:rsidR="00717E46">
        <w:t xml:space="preserve">   </w:t>
      </w:r>
      <w:proofErr w:type="spellStart"/>
      <w:r w:rsidR="00717E46">
        <w:t>PennDOT</w:t>
      </w:r>
      <w:proofErr w:type="spellEnd"/>
      <w:r w:rsidR="00717E46">
        <w:t xml:space="preserve"> then avers that it </w:t>
      </w:r>
      <w:r w:rsidR="00654A74">
        <w:t xml:space="preserve">never received </w:t>
      </w:r>
      <w:r w:rsidR="00717E46">
        <w:t xml:space="preserve">a copy of the Railroad’s Petition and that it was only by happenstance that </w:t>
      </w:r>
      <w:proofErr w:type="spellStart"/>
      <w:r w:rsidR="00717E46">
        <w:t>PennDOT</w:t>
      </w:r>
      <w:proofErr w:type="spellEnd"/>
      <w:r w:rsidR="00717E46">
        <w:t xml:space="preserve"> was made aware of this filing on September 26, 2012.  </w:t>
      </w:r>
      <w:proofErr w:type="gramStart"/>
      <w:r w:rsidR="00717E46" w:rsidRPr="00DB5BCB">
        <w:rPr>
          <w:i/>
        </w:rPr>
        <w:t>Id.</w:t>
      </w:r>
      <w:r w:rsidR="00717E46">
        <w:t xml:space="preserve"> at ¶ 2.</w:t>
      </w:r>
      <w:proofErr w:type="gramEnd"/>
      <w:r w:rsidR="00717E46">
        <w:t xml:space="preserve">  Additionally, no certificate of service was attached to the Petition which was filed with the Commission.  </w:t>
      </w:r>
      <w:proofErr w:type="gramStart"/>
      <w:r w:rsidR="00717E46" w:rsidRPr="00DB5BCB">
        <w:rPr>
          <w:i/>
        </w:rPr>
        <w:t>Id.</w:t>
      </w:r>
      <w:r w:rsidR="00717E46">
        <w:t xml:space="preserve"> at ¶ 3.</w:t>
      </w:r>
      <w:proofErr w:type="gramEnd"/>
      <w:r w:rsidR="00717E46">
        <w:t xml:space="preserve"> </w:t>
      </w:r>
      <w:r w:rsidR="00717E46" w:rsidRPr="00DF033A">
        <w:t xml:space="preserve"> </w:t>
      </w:r>
      <w:r w:rsidR="00717E46">
        <w:rPr>
          <w:b/>
        </w:rPr>
        <w:tab/>
      </w:r>
      <w:proofErr w:type="spellStart"/>
      <w:r w:rsidR="00717E46" w:rsidRPr="00AA7059">
        <w:t>PennDOT</w:t>
      </w:r>
      <w:proofErr w:type="spellEnd"/>
      <w:r w:rsidR="00717E46" w:rsidRPr="00AA7059">
        <w:t xml:space="preserve"> </w:t>
      </w:r>
      <w:r w:rsidR="00717E46" w:rsidRPr="00AA7059">
        <w:lastRenderedPageBreak/>
        <w:t xml:space="preserve">contends that, based upon the above-enumerated procedural flaws, </w:t>
      </w:r>
      <w:r w:rsidR="00717E46">
        <w:t xml:space="preserve">the Railroad’s Petition should be stricken without consideration of the merits.  </w:t>
      </w:r>
      <w:proofErr w:type="gramStart"/>
      <w:r w:rsidR="00717E46" w:rsidRPr="00CC4ECE">
        <w:rPr>
          <w:i/>
        </w:rPr>
        <w:t>Id.</w:t>
      </w:r>
      <w:r w:rsidR="00717E46">
        <w:t xml:space="preserve"> at ¶ 6.</w:t>
      </w:r>
      <w:proofErr w:type="gramEnd"/>
    </w:p>
    <w:p w:rsidR="00717E46" w:rsidRDefault="00717E46" w:rsidP="00717E46">
      <w:pPr>
        <w:spacing w:line="360" w:lineRule="auto"/>
        <w:rPr>
          <w:b/>
        </w:rPr>
      </w:pPr>
    </w:p>
    <w:p w:rsidR="00C206C6" w:rsidRDefault="00717E46" w:rsidP="00717E46">
      <w:pPr>
        <w:spacing w:line="360" w:lineRule="auto"/>
      </w:pPr>
      <w:r>
        <w:rPr>
          <w:b/>
        </w:rPr>
        <w:tab/>
      </w:r>
      <w:r>
        <w:rPr>
          <w:b/>
        </w:rPr>
        <w:tab/>
      </w:r>
      <w:r w:rsidRPr="000622E4">
        <w:t>In its Answer to the Motion,</w:t>
      </w:r>
      <w:r>
        <w:t xml:space="preserve"> the Railroad avers that, while it cannot judge the veracity of the allegation that </w:t>
      </w:r>
      <w:proofErr w:type="spellStart"/>
      <w:r>
        <w:t>PennDOT</w:t>
      </w:r>
      <w:proofErr w:type="spellEnd"/>
      <w:r>
        <w:t xml:space="preserve"> never received the Railroad’s Petition, its Petition was filed electronically with the Commission on September 18, 2012.  </w:t>
      </w:r>
      <w:proofErr w:type="gramStart"/>
      <w:r>
        <w:t>Answer at ¶ 2.</w:t>
      </w:r>
      <w:proofErr w:type="gramEnd"/>
      <w:r>
        <w:t xml:space="preserve">  The Railroad also notes that counsel for </w:t>
      </w:r>
      <w:proofErr w:type="spellStart"/>
      <w:r>
        <w:t>PennDOT</w:t>
      </w:r>
      <w:proofErr w:type="spellEnd"/>
      <w:r>
        <w:t xml:space="preserve"> is listed on the docket under Parties of Record authorizing service electronically.  </w:t>
      </w:r>
      <w:proofErr w:type="gramStart"/>
      <w:r>
        <w:t>Pursuant to 52 Pa. Code § 1.32, registration as an e-filing user constitutes an agreement to receive electronic service.</w:t>
      </w:r>
      <w:proofErr w:type="gramEnd"/>
      <w:r>
        <w:t xml:space="preserve">  </w:t>
      </w:r>
      <w:r w:rsidRPr="00FF6C0F">
        <w:rPr>
          <w:i/>
        </w:rPr>
        <w:t>Id.</w:t>
      </w:r>
    </w:p>
    <w:p w:rsidR="00C206C6" w:rsidRDefault="00C206C6" w:rsidP="00717E46">
      <w:pPr>
        <w:spacing w:line="360" w:lineRule="auto"/>
      </w:pPr>
    </w:p>
    <w:p w:rsidR="007B09AE" w:rsidRDefault="00C206C6" w:rsidP="00276845">
      <w:pPr>
        <w:spacing w:line="360" w:lineRule="auto"/>
        <w:ind w:firstLine="1440"/>
      </w:pPr>
      <w:r>
        <w:t xml:space="preserve">On October 9, 2012, the Railroad filed a copy of a certificate of service dated September 18, 2012, which shows that the </w:t>
      </w:r>
      <w:r w:rsidRPr="007E6D68">
        <w:t xml:space="preserve">Railroad </w:t>
      </w:r>
      <w:r>
        <w:t xml:space="preserve">served its “Exceptions” on all of the other Parties to this case, including </w:t>
      </w:r>
      <w:proofErr w:type="spellStart"/>
      <w:r>
        <w:t>PennDOT</w:t>
      </w:r>
      <w:proofErr w:type="spellEnd"/>
      <w:r>
        <w:t>.</w:t>
      </w:r>
    </w:p>
    <w:p w:rsidR="007B09AE" w:rsidRDefault="007B09AE" w:rsidP="00276845">
      <w:pPr>
        <w:spacing w:line="360" w:lineRule="auto"/>
        <w:ind w:firstLine="1440"/>
      </w:pPr>
    </w:p>
    <w:p w:rsidR="00717E46" w:rsidRPr="000622E4" w:rsidRDefault="007B09AE" w:rsidP="00276845">
      <w:pPr>
        <w:spacing w:line="360" w:lineRule="auto"/>
        <w:ind w:firstLine="1440"/>
      </w:pPr>
      <w:r>
        <w:t xml:space="preserve">Finally, the Railroad includes </w:t>
      </w:r>
      <w:r w:rsidR="00047F01">
        <w:t>“</w:t>
      </w:r>
      <w:r>
        <w:t>New Matter</w:t>
      </w:r>
      <w:r w:rsidR="00047F01">
        <w:t>”</w:t>
      </w:r>
      <w:r>
        <w:t xml:space="preserve"> in its Answer to the Motion to Strike.  </w:t>
      </w:r>
      <w:r w:rsidR="00947BE0">
        <w:t>Even if New Matter can properly be raised in an Answer to a Motion</w:t>
      </w:r>
      <w:r w:rsidR="00DE0095">
        <w:t xml:space="preserve"> (</w:t>
      </w:r>
      <w:r w:rsidR="00947BE0">
        <w:t>a question we do not address here</w:t>
      </w:r>
      <w:r w:rsidR="00DE0095">
        <w:t>)</w:t>
      </w:r>
      <w:r w:rsidR="00947BE0">
        <w:t>, we do not believe the Railroad</w:t>
      </w:r>
      <w:r w:rsidR="0044456E">
        <w:t>’s allegations constitute affirmative defenses that</w:t>
      </w:r>
      <w:r w:rsidR="00947BE0">
        <w:t xml:space="preserve"> </w:t>
      </w:r>
      <w:r w:rsidR="0044456E">
        <w:t>need to be pleaded as New Matter</w:t>
      </w:r>
      <w:r w:rsidR="00947BE0">
        <w:t xml:space="preserve">.  </w:t>
      </w:r>
      <w:r w:rsidR="00047F01">
        <w:t xml:space="preserve">First, </w:t>
      </w:r>
      <w:r>
        <w:t>the Railroad</w:t>
      </w:r>
      <w:r w:rsidR="00047F01">
        <w:t xml:space="preserve"> </w:t>
      </w:r>
      <w:r w:rsidR="00947BE0">
        <w:t xml:space="preserve">reiterates its </w:t>
      </w:r>
      <w:r>
        <w:t>claim</w:t>
      </w:r>
      <w:r w:rsidR="00947BE0">
        <w:t>s</w:t>
      </w:r>
      <w:r>
        <w:t xml:space="preserve"> that it made proper service of its Exceptions.  </w:t>
      </w:r>
      <w:r w:rsidRPr="00276845">
        <w:rPr>
          <w:i/>
        </w:rPr>
        <w:t>Compare</w:t>
      </w:r>
      <w:r w:rsidR="00DE0095">
        <w:t xml:space="preserve">, Answer ¶¶ 9 with Answer ¶¶ </w:t>
      </w:r>
      <w:r w:rsidR="00047F01">
        <w:t xml:space="preserve">2, 4.  </w:t>
      </w:r>
      <w:r w:rsidR="00947BE0">
        <w:t xml:space="preserve">Second, the Railroad alleges that </w:t>
      </w:r>
      <w:proofErr w:type="spellStart"/>
      <w:r w:rsidR="00947BE0">
        <w:t>PennDOT’s</w:t>
      </w:r>
      <w:proofErr w:type="spellEnd"/>
      <w:r w:rsidR="00947BE0">
        <w:t xml:space="preserve"> Motion to Strike was filed for an “ulterior</w:t>
      </w:r>
      <w:r>
        <w:t xml:space="preserve"> motive</w:t>
      </w:r>
      <w:r w:rsidR="00047F01">
        <w:t>.</w:t>
      </w:r>
      <w:r>
        <w:t>”</w:t>
      </w:r>
      <w:r w:rsidR="00047F01">
        <w:t xml:space="preserve"> </w:t>
      </w:r>
      <w:r>
        <w:t xml:space="preserve"> </w:t>
      </w:r>
      <w:proofErr w:type="gramStart"/>
      <w:r w:rsidRPr="00276845">
        <w:rPr>
          <w:i/>
        </w:rPr>
        <w:t>Id</w:t>
      </w:r>
      <w:r w:rsidR="00947BE0">
        <w:t>. at 10.</w:t>
      </w:r>
      <w:proofErr w:type="gramEnd"/>
      <w:r w:rsidR="00047F01">
        <w:t xml:space="preserve"> </w:t>
      </w:r>
      <w:r w:rsidR="00947BE0">
        <w:t xml:space="preserve"> </w:t>
      </w:r>
      <w:r w:rsidR="00F31ECE">
        <w:t xml:space="preserve">We believe </w:t>
      </w:r>
      <w:proofErr w:type="spellStart"/>
      <w:r w:rsidR="00947BE0">
        <w:t>PennDOT’s</w:t>
      </w:r>
      <w:proofErr w:type="spellEnd"/>
      <w:r w:rsidR="00947BE0">
        <w:t xml:space="preserve"> motives in filing the Motion to Strike are irrelevant.</w:t>
      </w:r>
      <w:r>
        <w:t xml:space="preserve">    </w:t>
      </w:r>
    </w:p>
    <w:p w:rsidR="00717E46" w:rsidRDefault="00717E46" w:rsidP="00717E46">
      <w:pPr>
        <w:spacing w:line="360" w:lineRule="auto"/>
        <w:rPr>
          <w:b/>
        </w:rPr>
      </w:pPr>
    </w:p>
    <w:p w:rsidR="00B4677F" w:rsidRDefault="00717E46" w:rsidP="00717E46">
      <w:pPr>
        <w:spacing w:line="360" w:lineRule="auto"/>
      </w:pPr>
      <w:r>
        <w:rPr>
          <w:b/>
        </w:rPr>
        <w:tab/>
      </w:r>
      <w:r>
        <w:rPr>
          <w:b/>
        </w:rPr>
        <w:tab/>
      </w:r>
      <w:r w:rsidRPr="00B2366F">
        <w:t xml:space="preserve">On review of </w:t>
      </w:r>
      <w:proofErr w:type="spellStart"/>
      <w:r w:rsidRPr="00B2366F">
        <w:t>PennDOT’s</w:t>
      </w:r>
      <w:proofErr w:type="spellEnd"/>
      <w:r w:rsidRPr="00B2366F">
        <w:t xml:space="preserve"> Motion to Strike</w:t>
      </w:r>
      <w:r>
        <w:t xml:space="preserve">, we conclude that it lacks merit, and it will be denied.  Specifically, </w:t>
      </w:r>
      <w:proofErr w:type="spellStart"/>
      <w:r>
        <w:t>PennDOT</w:t>
      </w:r>
      <w:proofErr w:type="spellEnd"/>
      <w:r>
        <w:t xml:space="preserve"> contends that the Railroad’s Petition should be stricken without consideration of the merits due to procedural flaws in the service of the Motion.  </w:t>
      </w:r>
      <w:proofErr w:type="gramStart"/>
      <w:r>
        <w:t>Motion at ¶ 6.</w:t>
      </w:r>
      <w:proofErr w:type="gramEnd"/>
      <w:r>
        <w:t xml:space="preserve">  However, </w:t>
      </w:r>
      <w:r w:rsidR="00B4677F">
        <w:t xml:space="preserve">on review of our records, it appears that the Railroad’s Petition was electronically served on </w:t>
      </w:r>
      <w:proofErr w:type="spellStart"/>
      <w:r w:rsidR="00B4677F">
        <w:t>PennDOT</w:t>
      </w:r>
      <w:proofErr w:type="spellEnd"/>
      <w:r w:rsidR="00B4677F">
        <w:t xml:space="preserve">.  </w:t>
      </w:r>
      <w:r w:rsidR="00F06DF2">
        <w:t xml:space="preserve">Moreover, </w:t>
      </w:r>
      <w:r w:rsidR="00D6727F">
        <w:t xml:space="preserve">in the interest of securing the just, speedy and inexpensive determination of this proceeding, 52 Pa. Code </w:t>
      </w:r>
      <w:r w:rsidR="00D6727F">
        <w:br/>
      </w:r>
      <w:r w:rsidR="00D6727F">
        <w:lastRenderedPageBreak/>
        <w:t xml:space="preserve">§ 1.2, we will treat the Railroad’s </w:t>
      </w:r>
      <w:r w:rsidR="00746B57">
        <w:t>“</w:t>
      </w:r>
      <w:r w:rsidR="00D6727F">
        <w:t>Exceptions</w:t>
      </w:r>
      <w:r w:rsidR="00746B57">
        <w:t>”</w:t>
      </w:r>
      <w:r w:rsidR="00D6727F">
        <w:t xml:space="preserve"> as a Petition for Reconsideration, rather than dismissing the filing </w:t>
      </w:r>
      <w:r w:rsidR="00746B57">
        <w:t>because it was improperly labeled as “Exceptions.”</w:t>
      </w:r>
      <w:r w:rsidR="00D6727F">
        <w:t xml:space="preserve">  Nevertheless, we take this opportunity to remind counsel that practitioners appearing before the Commission are expected to </w:t>
      </w:r>
      <w:r w:rsidR="002D7B65">
        <w:t>be familiar</w:t>
      </w:r>
      <w:r w:rsidR="00D6727F">
        <w:t xml:space="preserve"> with our Regulations</w:t>
      </w:r>
      <w:r w:rsidR="002D7B65">
        <w:t xml:space="preserve"> regarding practice and procedure</w:t>
      </w:r>
      <w:r w:rsidR="00D6727F">
        <w:t xml:space="preserve">. </w:t>
      </w:r>
    </w:p>
    <w:p w:rsidR="00B4677F" w:rsidRDefault="00B4677F" w:rsidP="00717E46">
      <w:pPr>
        <w:spacing w:line="360" w:lineRule="auto"/>
      </w:pPr>
    </w:p>
    <w:p w:rsidR="002322FE" w:rsidRPr="00677106" w:rsidRDefault="002322FE" w:rsidP="002322FE">
      <w:pPr>
        <w:spacing w:line="360" w:lineRule="auto"/>
        <w:rPr>
          <w:b/>
        </w:rPr>
      </w:pPr>
      <w:r>
        <w:rPr>
          <w:b/>
        </w:rPr>
        <w:t>The Railroad</w:t>
      </w:r>
      <w:r w:rsidRPr="00677106">
        <w:rPr>
          <w:b/>
        </w:rPr>
        <w:t>’s Petition</w:t>
      </w:r>
      <w:r>
        <w:rPr>
          <w:b/>
        </w:rPr>
        <w:t xml:space="preserve"> </w:t>
      </w:r>
    </w:p>
    <w:p w:rsidR="000275F3" w:rsidRDefault="000275F3" w:rsidP="000275F3">
      <w:pPr>
        <w:spacing w:line="360" w:lineRule="auto"/>
      </w:pPr>
    </w:p>
    <w:p w:rsidR="000275F3" w:rsidRPr="00B02014" w:rsidRDefault="000275F3" w:rsidP="000275F3">
      <w:pPr>
        <w:spacing w:line="360" w:lineRule="auto"/>
        <w:ind w:firstLine="1440"/>
      </w:pPr>
      <w:r w:rsidRPr="00B02014">
        <w:t xml:space="preserve">The Public Utility Code (Code) establishes a party’s right to seek relief following the issuance of our final decisions pursuant to Subsections 703(f) and (g), 66 Pa. C.S. §§ 703(f) and 703(g), relating to </w:t>
      </w:r>
      <w:proofErr w:type="spellStart"/>
      <w:r w:rsidRPr="00B02014">
        <w:t>rehearings</w:t>
      </w:r>
      <w:proofErr w:type="spellEnd"/>
      <w:r w:rsidRPr="00B02014">
        <w:t xml:space="preserve">, as well as the rescission and amendment of orders.  Such requests for relief must be consistent with Section 5.572 of our Regulations, 52 Pa. Code § 5.572, relating to petitions for relief following the issuance of a final decision.  Section 5.572(a), 52 Pa. Code § 5.572(a) provides that:  </w:t>
      </w:r>
    </w:p>
    <w:p w:rsidR="000275F3" w:rsidRPr="00B02014" w:rsidRDefault="000275F3" w:rsidP="000275F3">
      <w:pPr>
        <w:ind w:left="1440" w:right="1440"/>
      </w:pPr>
    </w:p>
    <w:p w:rsidR="000275F3" w:rsidRPr="00B02014" w:rsidRDefault="000275F3" w:rsidP="000275F3">
      <w:pPr>
        <w:ind w:left="1440" w:right="1440"/>
      </w:pPr>
      <w:r w:rsidRPr="00B02014">
        <w:t xml:space="preserve">Petitions for rehearing, </w:t>
      </w:r>
      <w:proofErr w:type="spellStart"/>
      <w:r w:rsidRPr="00B02014">
        <w:t>reargument</w:t>
      </w:r>
      <w:proofErr w:type="spellEnd"/>
      <w:r w:rsidRPr="00B02014">
        <w:t>, reconsideration, clarifi</w:t>
      </w:r>
      <w:r w:rsidRPr="00B02014">
        <w:softHyphen/>
        <w:t xml:space="preserve">cation, rescission, amendment, </w:t>
      </w:r>
      <w:proofErr w:type="spellStart"/>
      <w:r w:rsidRPr="00B02014">
        <w:t>supersedeas</w:t>
      </w:r>
      <w:proofErr w:type="spellEnd"/>
      <w:r w:rsidRPr="00B02014">
        <w:t xml:space="preserve"> or the like </w:t>
      </w:r>
      <w:r>
        <w:t>must</w:t>
      </w:r>
      <w:r w:rsidRPr="00B02014">
        <w:t xml:space="preserve"> be in writing and specify, in numbered paragraphs, the findings or orders involved, and the points relied upon by petitioner, with appropriate record references and specific requests for </w:t>
      </w:r>
      <w:r>
        <w:t xml:space="preserve">the </w:t>
      </w:r>
      <w:r w:rsidRPr="00B02014">
        <w:t>findings or orders desired.</w:t>
      </w:r>
    </w:p>
    <w:p w:rsidR="000275F3" w:rsidRPr="00B02014" w:rsidRDefault="000275F3" w:rsidP="000275F3">
      <w:pPr>
        <w:spacing w:line="360" w:lineRule="auto"/>
      </w:pPr>
    </w:p>
    <w:p w:rsidR="001369FF" w:rsidRDefault="000275F3" w:rsidP="000275F3">
      <w:pPr>
        <w:tabs>
          <w:tab w:val="left" w:pos="-720"/>
        </w:tabs>
        <w:suppressAutoHyphens/>
        <w:spacing w:line="360" w:lineRule="auto"/>
        <w:ind w:firstLine="1440"/>
      </w:pPr>
      <w:r w:rsidRPr="00B02014">
        <w:t xml:space="preserve">The standards for granting a Petition for Reconsideration were set forth in </w:t>
      </w:r>
      <w:proofErr w:type="spellStart"/>
      <w:r w:rsidRPr="00B02014">
        <w:rPr>
          <w:i/>
        </w:rPr>
        <w:t>Duick</w:t>
      </w:r>
      <w:proofErr w:type="spellEnd"/>
      <w:r w:rsidRPr="00B02014">
        <w:rPr>
          <w:i/>
        </w:rPr>
        <w:t> v. Pennsylvania Gas and Water Company</w:t>
      </w:r>
      <w:r w:rsidRPr="00B02014">
        <w:t>, 56 Pa. P</w:t>
      </w:r>
      <w:r>
        <w:t>.</w:t>
      </w:r>
      <w:r w:rsidRPr="00B02014">
        <w:t>U</w:t>
      </w:r>
      <w:r>
        <w:t>.</w:t>
      </w:r>
      <w:r w:rsidRPr="00B02014">
        <w:t>C</w:t>
      </w:r>
      <w:r>
        <w:t>.</w:t>
      </w:r>
      <w:r w:rsidRPr="00B02014">
        <w:t xml:space="preserve"> 553, 1982 Pa. P</w:t>
      </w:r>
      <w:r>
        <w:t>.</w:t>
      </w:r>
      <w:r w:rsidRPr="00B02014">
        <w:t>U</w:t>
      </w:r>
      <w:r>
        <w:t>.</w:t>
      </w:r>
      <w:r w:rsidRPr="00B02014">
        <w:t>C</w:t>
      </w:r>
      <w:r>
        <w:t>.</w:t>
      </w:r>
      <w:r w:rsidRPr="00B02014">
        <w:t xml:space="preserve"> LEXIS 4 (1982).  </w:t>
      </w:r>
      <w:proofErr w:type="spellStart"/>
      <w:r w:rsidRPr="00B02014">
        <w:rPr>
          <w:i/>
          <w:iCs/>
        </w:rPr>
        <w:t>Duick</w:t>
      </w:r>
      <w:proofErr w:type="spellEnd"/>
      <w:r w:rsidRPr="00B02014">
        <w:t xml:space="preserve"> held that a petition for reconsideration under Subsection 703(g)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w:t>
      </w:r>
      <w:proofErr w:type="spellStart"/>
      <w:proofErr w:type="gramStart"/>
      <w:r w:rsidRPr="00B02014">
        <w:rPr>
          <w:i/>
          <w:iCs/>
        </w:rPr>
        <w:t>Duick</w:t>
      </w:r>
      <w:proofErr w:type="spellEnd"/>
      <w:r w:rsidRPr="00B02014">
        <w:t xml:space="preserve"> at 559.</w:t>
      </w:r>
      <w:proofErr w:type="gramEnd"/>
    </w:p>
    <w:p w:rsidR="000275F3" w:rsidRDefault="000275F3" w:rsidP="000275F3">
      <w:pPr>
        <w:spacing w:line="360" w:lineRule="auto"/>
        <w:ind w:firstLine="1440"/>
      </w:pPr>
      <w:r>
        <w:lastRenderedPageBreak/>
        <w:t xml:space="preserve">The </w:t>
      </w:r>
      <w:r w:rsidR="004E528C">
        <w:t>Railroad</w:t>
      </w:r>
      <w:r>
        <w:t xml:space="preserve"> </w:t>
      </w:r>
      <w:r w:rsidR="00192835">
        <w:t>references the meeting</w:t>
      </w:r>
      <w:r w:rsidR="00C21C44">
        <w:t xml:space="preserve"> concerning the instant crossing held on July 27, 2012.  The Railroad </w:t>
      </w:r>
      <w:r>
        <w:t>contends that</w:t>
      </w:r>
      <w:r w:rsidR="00C21C44">
        <w:t xml:space="preserve">, at that time, it was suggested that the timber of the crossing be removed and that asphalt be laid in its place.  </w:t>
      </w:r>
      <w:proofErr w:type="gramStart"/>
      <w:r w:rsidR="00C21C44">
        <w:t>Petition at ¶ 3.</w:t>
      </w:r>
      <w:proofErr w:type="gramEnd"/>
      <w:r w:rsidR="00C21C44">
        <w:t xml:space="preserve">  However, the Railroad stresses that it did not agree to</w:t>
      </w:r>
      <w:r w:rsidR="00192835">
        <w:t xml:space="preserve"> </w:t>
      </w:r>
      <w:r w:rsidR="00C21C44">
        <w:t xml:space="preserve">this course of action.  </w:t>
      </w:r>
      <w:r w:rsidR="00C21C44" w:rsidRPr="00C21C44">
        <w:rPr>
          <w:i/>
        </w:rPr>
        <w:t>Id.</w:t>
      </w:r>
    </w:p>
    <w:p w:rsidR="00EA37DC" w:rsidRDefault="00510F51" w:rsidP="003C15EA">
      <w:pPr>
        <w:spacing w:line="360" w:lineRule="auto"/>
      </w:pPr>
      <w:r w:rsidRPr="00DC79A9">
        <w:tab/>
      </w:r>
      <w:r w:rsidRPr="00DC79A9">
        <w:tab/>
      </w:r>
    </w:p>
    <w:p w:rsidR="00EA37DC" w:rsidRDefault="00C21C44" w:rsidP="003C15EA">
      <w:pPr>
        <w:spacing w:line="360" w:lineRule="auto"/>
      </w:pPr>
      <w:r>
        <w:tab/>
      </w:r>
      <w:r>
        <w:tab/>
        <w:t>The Railroad continues that, subsequently, it agreed</w:t>
      </w:r>
      <w:r w:rsidR="00FD1D85">
        <w:t xml:space="preserve"> to replace the entire crossing</w:t>
      </w:r>
      <w:r w:rsidR="00BB00CB">
        <w:t>,</w:t>
      </w:r>
      <w:r w:rsidR="00FD1D85">
        <w:t xml:space="preserve"> provided that </w:t>
      </w:r>
      <w:proofErr w:type="spellStart"/>
      <w:r w:rsidR="00FD1D85">
        <w:t>PennDOT</w:t>
      </w:r>
      <w:proofErr w:type="spellEnd"/>
      <w:r w:rsidR="00FD1D85">
        <w:t xml:space="preserve"> and/or the host municipality would provide for the costs of road closure and detour.  </w:t>
      </w:r>
      <w:proofErr w:type="gramStart"/>
      <w:r w:rsidR="00FD1D85" w:rsidRPr="00FD1D85">
        <w:rPr>
          <w:i/>
        </w:rPr>
        <w:t>Id.</w:t>
      </w:r>
      <w:r w:rsidR="00FD1D85">
        <w:t xml:space="preserve"> at ¶ 4.</w:t>
      </w:r>
      <w:proofErr w:type="gramEnd"/>
      <w:r w:rsidR="003760D4">
        <w:t xml:space="preserve">  The Railroad points out, however, that neither </w:t>
      </w:r>
      <w:proofErr w:type="spellStart"/>
      <w:r w:rsidR="003760D4">
        <w:t>PennDOT</w:t>
      </w:r>
      <w:proofErr w:type="spellEnd"/>
      <w:r w:rsidR="003760D4">
        <w:t xml:space="preserve"> nor the </w:t>
      </w:r>
      <w:r w:rsidR="00BB00CB">
        <w:t xml:space="preserve">host </w:t>
      </w:r>
      <w:r w:rsidR="003760D4">
        <w:t xml:space="preserve">municipality, </w:t>
      </w:r>
      <w:r w:rsidR="003760D4" w:rsidRPr="003760D4">
        <w:rPr>
          <w:i/>
        </w:rPr>
        <w:t>i.e.</w:t>
      </w:r>
      <w:r w:rsidR="003760D4">
        <w:t>, the Township</w:t>
      </w:r>
      <w:r w:rsidR="00142140">
        <w:t xml:space="preserve">, would agree to provide the detour which was a necessary condition for the Railroad’s offer to rebuild the crossing.  </w:t>
      </w:r>
      <w:proofErr w:type="gramStart"/>
      <w:r w:rsidR="00142140" w:rsidRPr="00142140">
        <w:rPr>
          <w:i/>
        </w:rPr>
        <w:t>Id.</w:t>
      </w:r>
      <w:r w:rsidR="00142140">
        <w:t xml:space="preserve"> at ¶ 5.</w:t>
      </w:r>
      <w:proofErr w:type="gramEnd"/>
      <w:r w:rsidR="00FD1D85">
        <w:t xml:space="preserve"> </w:t>
      </w:r>
    </w:p>
    <w:p w:rsidR="000275F3" w:rsidRDefault="000275F3" w:rsidP="003C15EA">
      <w:pPr>
        <w:spacing w:line="360" w:lineRule="auto"/>
      </w:pPr>
    </w:p>
    <w:p w:rsidR="000275F3" w:rsidRDefault="008662B8" w:rsidP="003C15EA">
      <w:pPr>
        <w:spacing w:line="360" w:lineRule="auto"/>
      </w:pPr>
      <w:r>
        <w:tab/>
      </w:r>
      <w:r>
        <w:tab/>
        <w:t xml:space="preserve">The Railroad references the field investigation and conference held on August 10, 2012.  </w:t>
      </w:r>
      <w:proofErr w:type="gramStart"/>
      <w:r w:rsidRPr="008662B8">
        <w:rPr>
          <w:i/>
        </w:rPr>
        <w:t>Id.</w:t>
      </w:r>
      <w:r>
        <w:t xml:space="preserve"> at ¶ 7.</w:t>
      </w:r>
      <w:proofErr w:type="gramEnd"/>
      <w:r w:rsidR="00DD7201">
        <w:t xml:space="preserve">  The Railroad continues that, after review by its Maintenance of Way Department, it determined that paving would not sufficiently repair the crossing, and that only a temporary repair could benefit the crossing, in order to insure that the timbers remain in place and </w:t>
      </w:r>
      <w:r w:rsidR="00EC6D7F">
        <w:t xml:space="preserve">also to </w:t>
      </w:r>
      <w:r w:rsidR="00DD7201">
        <w:t>in</w:t>
      </w:r>
      <w:r w:rsidR="009E1DCD">
        <w:t>sure the stability of the rail.  The Railroad avers that it did this work without the necessity of a full road closure and detour.</w:t>
      </w:r>
      <w:r w:rsidR="00DD7201">
        <w:t xml:space="preserve"> </w:t>
      </w:r>
      <w:r w:rsidR="00DD7201" w:rsidRPr="00DD7201">
        <w:rPr>
          <w:i/>
        </w:rPr>
        <w:t>Id.</w:t>
      </w:r>
      <w:r w:rsidR="00DD7201">
        <w:t xml:space="preserve">  </w:t>
      </w:r>
    </w:p>
    <w:p w:rsidR="000275F3" w:rsidRDefault="000275F3" w:rsidP="003C15EA">
      <w:pPr>
        <w:spacing w:line="360" w:lineRule="auto"/>
      </w:pPr>
    </w:p>
    <w:p w:rsidR="000275F3" w:rsidRDefault="009E1DCD" w:rsidP="003C15EA">
      <w:pPr>
        <w:spacing w:line="360" w:lineRule="auto"/>
      </w:pPr>
      <w:r>
        <w:tab/>
      </w:r>
      <w:r>
        <w:tab/>
        <w:t xml:space="preserve">The Railroad notes that, at the time, the other Parties expressed dissatisfaction with the Railroad’s temporary emergency repairs and that the </w:t>
      </w:r>
      <w:r w:rsidRPr="009E1DCD">
        <w:rPr>
          <w:i/>
        </w:rPr>
        <w:t>August 30 Order</w:t>
      </w:r>
      <w:r w:rsidR="00A3085C">
        <w:t xml:space="preserve"> was thereupon </w:t>
      </w:r>
      <w:r>
        <w:t xml:space="preserve">issued.  </w:t>
      </w:r>
      <w:proofErr w:type="gramStart"/>
      <w:r>
        <w:t>Id. at ¶ 8.</w:t>
      </w:r>
      <w:proofErr w:type="gramEnd"/>
      <w:r>
        <w:t xml:space="preserve"> </w:t>
      </w:r>
    </w:p>
    <w:p w:rsidR="000275F3" w:rsidRDefault="000275F3" w:rsidP="003C15EA">
      <w:pPr>
        <w:spacing w:line="360" w:lineRule="auto"/>
      </w:pPr>
    </w:p>
    <w:p w:rsidR="000275F3" w:rsidRDefault="009E1DCD" w:rsidP="003C15EA">
      <w:pPr>
        <w:spacing w:line="360" w:lineRule="auto"/>
      </w:pPr>
      <w:r>
        <w:tab/>
      </w:r>
      <w:r>
        <w:tab/>
        <w:t>The Railroad contends that</w:t>
      </w:r>
      <w:r w:rsidR="00BB00CB">
        <w:t xml:space="preserve"> </w:t>
      </w:r>
      <w:r>
        <w:t xml:space="preserve">the </w:t>
      </w:r>
      <w:r w:rsidR="00BB00CB" w:rsidRPr="000B52AF">
        <w:rPr>
          <w:i/>
        </w:rPr>
        <w:t>August 30 Order</w:t>
      </w:r>
      <w:r w:rsidR="00BB00CB">
        <w:t xml:space="preserve"> is</w:t>
      </w:r>
      <w:r>
        <w:t xml:space="preserve"> unsupported</w:t>
      </w:r>
      <w:r w:rsidR="00BB00CB">
        <w:t xml:space="preserve"> by the evidence</w:t>
      </w:r>
      <w:r>
        <w:t xml:space="preserve">.  </w:t>
      </w:r>
      <w:proofErr w:type="gramStart"/>
      <w:r w:rsidRPr="009E1DCD">
        <w:rPr>
          <w:i/>
        </w:rPr>
        <w:t>Id.</w:t>
      </w:r>
      <w:r>
        <w:t xml:space="preserve"> at ¶ 9.</w:t>
      </w:r>
      <w:proofErr w:type="gramEnd"/>
      <w:r>
        <w:t xml:space="preserve">  Specifically, the Railroad contends that </w:t>
      </w:r>
      <w:proofErr w:type="gramStart"/>
      <w:r>
        <w:t>Ordering</w:t>
      </w:r>
      <w:proofErr w:type="gramEnd"/>
      <w:r>
        <w:t xml:space="preserve"> Paragraphs Nos. 3, 5, 6, 7 and 9 of the </w:t>
      </w:r>
      <w:r w:rsidRPr="000B52AF">
        <w:rPr>
          <w:i/>
        </w:rPr>
        <w:t>August 30 Order</w:t>
      </w:r>
      <w:r>
        <w:t xml:space="preserve"> are contrary to the agreements made at the two above-referenced meetings.  </w:t>
      </w:r>
      <w:proofErr w:type="gramStart"/>
      <w:r w:rsidRPr="009E1DCD">
        <w:rPr>
          <w:i/>
        </w:rPr>
        <w:t>Id.</w:t>
      </w:r>
      <w:r>
        <w:t xml:space="preserve"> at ¶ 10.</w:t>
      </w:r>
      <w:proofErr w:type="gramEnd"/>
      <w:r w:rsidR="000B52AF">
        <w:t xml:space="preserve">  Additionally, the Railroad asserts that it is without legal authority to close a road or provide for the detouring of traffic.  </w:t>
      </w:r>
      <w:proofErr w:type="gramStart"/>
      <w:r w:rsidR="000B52AF" w:rsidRPr="00F82783">
        <w:rPr>
          <w:i/>
        </w:rPr>
        <w:t>Id.</w:t>
      </w:r>
      <w:r w:rsidR="000B52AF">
        <w:t xml:space="preserve"> at ¶ 11.</w:t>
      </w:r>
      <w:proofErr w:type="gramEnd"/>
    </w:p>
    <w:p w:rsidR="000275F3" w:rsidRDefault="000275F3" w:rsidP="003C15EA">
      <w:pPr>
        <w:spacing w:line="360" w:lineRule="auto"/>
      </w:pPr>
    </w:p>
    <w:p w:rsidR="000275F3" w:rsidRDefault="00F82783" w:rsidP="003C15EA">
      <w:pPr>
        <w:spacing w:line="360" w:lineRule="auto"/>
      </w:pPr>
      <w:r>
        <w:lastRenderedPageBreak/>
        <w:tab/>
      </w:r>
      <w:r>
        <w:tab/>
        <w:t xml:space="preserve">Based on its arguments, the Railroad requests that the </w:t>
      </w:r>
      <w:r w:rsidRPr="00F82783">
        <w:rPr>
          <w:i/>
        </w:rPr>
        <w:t>August 30 Order</w:t>
      </w:r>
      <w:r>
        <w:t xml:space="preserve"> be rescinded and that the Commission issue an order which conforms with the Railroad’s objections to the </w:t>
      </w:r>
      <w:r w:rsidRPr="00F82783">
        <w:rPr>
          <w:i/>
        </w:rPr>
        <w:t>August 30 Order</w:t>
      </w:r>
      <w:r>
        <w:t xml:space="preserve">.  </w:t>
      </w:r>
      <w:proofErr w:type="gramStart"/>
      <w:r w:rsidRPr="00276845">
        <w:rPr>
          <w:i/>
        </w:rPr>
        <w:t>Id</w:t>
      </w:r>
      <w:r>
        <w:t>. at ¶ 14.</w:t>
      </w:r>
      <w:proofErr w:type="gramEnd"/>
    </w:p>
    <w:p w:rsidR="00C02F06" w:rsidRDefault="00C02F06" w:rsidP="003C15EA">
      <w:pPr>
        <w:spacing w:line="360" w:lineRule="auto"/>
      </w:pPr>
    </w:p>
    <w:p w:rsidR="006F3DBE" w:rsidRDefault="00C02F06" w:rsidP="006F3DBE">
      <w:pPr>
        <w:tabs>
          <w:tab w:val="left" w:pos="-720"/>
        </w:tabs>
        <w:suppressAutoHyphens/>
        <w:spacing w:line="360" w:lineRule="auto"/>
        <w:ind w:firstLine="1440"/>
      </w:pPr>
      <w:r>
        <w:t xml:space="preserve">In its Answer, </w:t>
      </w:r>
      <w:proofErr w:type="spellStart"/>
      <w:r w:rsidR="000F1EC5">
        <w:t>PennDOT</w:t>
      </w:r>
      <w:proofErr w:type="spellEnd"/>
      <w:r w:rsidR="000F1EC5">
        <w:t xml:space="preserve"> argues that </w:t>
      </w:r>
      <w:r w:rsidR="006F3DBE">
        <w:t xml:space="preserve">the General Assembly granted exclusive jurisdiction over rail-highway crossings to the Commission.  </w:t>
      </w:r>
      <w:r w:rsidR="006F3DBE" w:rsidRPr="00CF0B16">
        <w:rPr>
          <w:i/>
        </w:rPr>
        <w:t>See</w:t>
      </w:r>
      <w:r w:rsidR="006F3DBE">
        <w:rPr>
          <w:i/>
        </w:rPr>
        <w:t>,</w:t>
      </w:r>
      <w:r w:rsidR="006F3DBE">
        <w:t xml:space="preserve"> 66 Pa. C.S. §§ 2702, 2704.  That jurisdiction includes the acquisition of property and the authority to assign construction responsibility and cost allocation to any concerned public utility, municipality, or the Commonwealth.  Moreover, the Commission is not bound by the State Highway Law in the area of rail-highway crossings.  </w:t>
      </w:r>
      <w:r w:rsidR="000009F6">
        <w:t xml:space="preserve">Answer at ¶ 11 (citing </w:t>
      </w:r>
      <w:r w:rsidR="006F3DBE" w:rsidRPr="004D447C">
        <w:rPr>
          <w:i/>
        </w:rPr>
        <w:t>Millcreek Township v. Pa. PUC</w:t>
      </w:r>
      <w:r w:rsidR="006F3DBE">
        <w:t xml:space="preserve">, 753 A.2d 324 (Pa. </w:t>
      </w:r>
      <w:proofErr w:type="spellStart"/>
      <w:r w:rsidR="006F3DBE">
        <w:t>Cmwlth</w:t>
      </w:r>
      <w:proofErr w:type="spellEnd"/>
      <w:r w:rsidR="006F3DBE">
        <w:t>. 2000)</w:t>
      </w:r>
      <w:r w:rsidR="000009F6">
        <w:t>)</w:t>
      </w:r>
      <w:r w:rsidR="006F3DBE">
        <w:t>.</w:t>
      </w:r>
    </w:p>
    <w:p w:rsidR="006F3DBE" w:rsidRDefault="006F3DBE" w:rsidP="006F3DBE">
      <w:pPr>
        <w:tabs>
          <w:tab w:val="left" w:pos="-720"/>
        </w:tabs>
        <w:suppressAutoHyphens/>
        <w:spacing w:line="360" w:lineRule="auto"/>
        <w:ind w:firstLine="1440"/>
      </w:pPr>
      <w:r>
        <w:t xml:space="preserve"> </w:t>
      </w:r>
    </w:p>
    <w:p w:rsidR="00E925BB" w:rsidRDefault="009478BA" w:rsidP="00276845">
      <w:pPr>
        <w:spacing w:line="360" w:lineRule="auto"/>
        <w:ind w:firstLine="1440"/>
      </w:pPr>
      <w:r>
        <w:t xml:space="preserve">On review of the </w:t>
      </w:r>
      <w:r w:rsidR="00157975">
        <w:t>Railroad’</w:t>
      </w:r>
      <w:r w:rsidR="007B5D35">
        <w:t>s Petition</w:t>
      </w:r>
      <w:r w:rsidR="007373B3">
        <w:t xml:space="preserve"> for Reconsideration</w:t>
      </w:r>
      <w:r w:rsidR="007B5D35">
        <w:t xml:space="preserve">, we </w:t>
      </w:r>
      <w:r w:rsidR="007373B3">
        <w:t xml:space="preserve">find that the </w:t>
      </w:r>
      <w:proofErr w:type="spellStart"/>
      <w:r w:rsidR="007373B3">
        <w:rPr>
          <w:i/>
        </w:rPr>
        <w:t>Duick</w:t>
      </w:r>
      <w:proofErr w:type="spellEnd"/>
      <w:r w:rsidR="007373B3">
        <w:rPr>
          <w:i/>
        </w:rPr>
        <w:t xml:space="preserve"> </w:t>
      </w:r>
      <w:r w:rsidR="007373B3">
        <w:t>standards</w:t>
      </w:r>
      <w:r w:rsidR="001D3391">
        <w:t xml:space="preserve"> are met</w:t>
      </w:r>
      <w:r w:rsidR="007373B3">
        <w:t xml:space="preserve">, and we will </w:t>
      </w:r>
      <w:r w:rsidR="007B5D35">
        <w:t>grant t</w:t>
      </w:r>
      <w:r w:rsidR="001D3391">
        <w:t>he Petition</w:t>
      </w:r>
      <w:r w:rsidR="007B5D35">
        <w:t>.</w:t>
      </w:r>
      <w:r w:rsidR="00E925BB">
        <w:t xml:space="preserve">  The </w:t>
      </w:r>
      <w:r w:rsidR="00E925BB">
        <w:rPr>
          <w:i/>
        </w:rPr>
        <w:t xml:space="preserve">August 30 Order </w:t>
      </w:r>
      <w:r w:rsidR="00E925BB">
        <w:t xml:space="preserve">was </w:t>
      </w:r>
      <w:r w:rsidR="007373B3">
        <w:t xml:space="preserve">based on </w:t>
      </w:r>
      <w:r w:rsidR="001D3391">
        <w:t xml:space="preserve">a finding that the </w:t>
      </w:r>
      <w:r w:rsidR="00E925BB">
        <w:t>Parties</w:t>
      </w:r>
      <w:r w:rsidR="001D3391">
        <w:t xml:space="preserve"> had reached an agreement</w:t>
      </w:r>
      <w:r w:rsidR="00E925BB">
        <w:t xml:space="preserve">. </w:t>
      </w:r>
      <w:r w:rsidR="001D3391">
        <w:t xml:space="preserve"> Therefore, an Order could be entered without a formal hearing.  </w:t>
      </w:r>
      <w:proofErr w:type="gramStart"/>
      <w:r w:rsidR="001D3391">
        <w:rPr>
          <w:i/>
        </w:rPr>
        <w:t>August 30 Order</w:t>
      </w:r>
      <w:r w:rsidR="00E925BB">
        <w:t xml:space="preserve"> </w:t>
      </w:r>
      <w:r w:rsidR="001D3391">
        <w:t>at 2.</w:t>
      </w:r>
      <w:proofErr w:type="gramEnd"/>
      <w:r w:rsidR="001D3391">
        <w:t xml:space="preserve">  </w:t>
      </w:r>
      <w:r w:rsidR="00E925BB">
        <w:t>The Railroad</w:t>
      </w:r>
      <w:r w:rsidR="001D3391">
        <w:t>, however,</w:t>
      </w:r>
      <w:r w:rsidR="00E925BB">
        <w:t xml:space="preserve"> </w:t>
      </w:r>
      <w:r w:rsidR="001D3391">
        <w:t>contends</w:t>
      </w:r>
      <w:r w:rsidR="00E925BB">
        <w:t xml:space="preserve"> that the Parties did not agree on certain </w:t>
      </w:r>
      <w:r w:rsidR="001D3391">
        <w:t xml:space="preserve">critical </w:t>
      </w:r>
      <w:r w:rsidR="00E925BB">
        <w:t xml:space="preserve">points.  As a result, we believe the </w:t>
      </w:r>
      <w:proofErr w:type="spellStart"/>
      <w:r w:rsidR="00E925BB">
        <w:rPr>
          <w:i/>
        </w:rPr>
        <w:t>Duick</w:t>
      </w:r>
      <w:proofErr w:type="spellEnd"/>
      <w:r w:rsidR="00E925BB">
        <w:rPr>
          <w:i/>
        </w:rPr>
        <w:t xml:space="preserve"> </w:t>
      </w:r>
      <w:r w:rsidR="00E925BB">
        <w:t>standards are met</w:t>
      </w:r>
      <w:r w:rsidR="009972F1">
        <w:t xml:space="preserve">, and we will vacate our </w:t>
      </w:r>
      <w:r w:rsidR="009972F1">
        <w:rPr>
          <w:i/>
        </w:rPr>
        <w:t>August 30 Order</w:t>
      </w:r>
      <w:r w:rsidR="00E925BB">
        <w:t>.</w:t>
      </w:r>
      <w:r w:rsidR="00441AB7">
        <w:t xml:space="preserve">  </w:t>
      </w:r>
    </w:p>
    <w:p w:rsidR="00927C73" w:rsidRDefault="00927C73" w:rsidP="00276845">
      <w:pPr>
        <w:spacing w:line="360" w:lineRule="auto"/>
        <w:ind w:firstLine="1440"/>
      </w:pPr>
    </w:p>
    <w:p w:rsidR="005907D9" w:rsidRDefault="001D3391" w:rsidP="00276845">
      <w:pPr>
        <w:suppressAutoHyphens/>
        <w:spacing w:after="360" w:line="360" w:lineRule="auto"/>
        <w:ind w:firstLine="1440"/>
      </w:pPr>
      <w:r>
        <w:t xml:space="preserve">This conclusion does not end our analysis, however.  </w:t>
      </w:r>
      <w:r w:rsidR="005907D9">
        <w:t>Section 2702(f) of the Code states:</w:t>
      </w:r>
    </w:p>
    <w:p w:rsidR="005907D9" w:rsidRDefault="005907D9" w:rsidP="005907D9">
      <w:pPr>
        <w:ind w:left="1440" w:right="1440"/>
      </w:pPr>
      <w:r w:rsidRPr="001369FF">
        <w:rPr>
          <w:b/>
        </w:rPr>
        <w:t>(f)  Danger to Safety</w:t>
      </w:r>
      <w:r>
        <w:rPr>
          <w:b/>
        </w:rPr>
        <w:t xml:space="preserve">- </w:t>
      </w:r>
      <w:r w:rsidRPr="001369FF">
        <w:t>Up</w:t>
      </w:r>
      <w:r>
        <w:t>on the commission’s finding of an immediate danger to the safety and welfare of the public at any such crossing, the commission shall order the crossing to be immediately altered, improved, or suspended.  Thereafter hearing shall be held and costs shall be allocated in the manner prescribed in this part.</w:t>
      </w:r>
    </w:p>
    <w:p w:rsidR="00744A3B" w:rsidRPr="001369FF" w:rsidRDefault="00744A3B" w:rsidP="00276845">
      <w:pPr>
        <w:spacing w:line="360" w:lineRule="auto"/>
        <w:ind w:left="1440" w:right="1440"/>
        <w:rPr>
          <w:b/>
        </w:rPr>
      </w:pPr>
    </w:p>
    <w:p w:rsidR="009972F1" w:rsidRDefault="005907D9" w:rsidP="00276845">
      <w:pPr>
        <w:suppressAutoHyphens/>
        <w:spacing w:line="360" w:lineRule="auto"/>
      </w:pPr>
      <w:r>
        <w:t xml:space="preserve">We find that the condition of the subject crossing </w:t>
      </w:r>
      <w:r w:rsidR="00F82783">
        <w:t>constitutes an immediate danger to the safety and welfare of the travelling public.  According</w:t>
      </w:r>
      <w:r>
        <w:t>ly</w:t>
      </w:r>
      <w:r w:rsidR="00F82783">
        <w:t>,</w:t>
      </w:r>
      <w:r w:rsidR="009972F1">
        <w:t xml:space="preserve"> in the interest of public safety,</w:t>
      </w:r>
      <w:r w:rsidR="00F82783">
        <w:t xml:space="preserve"> it </w:t>
      </w:r>
      <w:r w:rsidR="00F82783">
        <w:lastRenderedPageBreak/>
        <w:t xml:space="preserve">is our responsibility to direct that the Railroad perform repairs immediately.  </w:t>
      </w:r>
      <w:r w:rsidR="006E1D4E">
        <w:t xml:space="preserve">In addition, </w:t>
      </w:r>
      <w:r w:rsidR="009972F1">
        <w:t>c</w:t>
      </w:r>
      <w:r w:rsidR="00844F18">
        <w:t xml:space="preserve">onsistent with </w:t>
      </w:r>
      <w:r w:rsidR="009972F1">
        <w:t xml:space="preserve">Section 2702(f), </w:t>
      </w:r>
      <w:r>
        <w:t>we will refer this matter to OALJ</w:t>
      </w:r>
      <w:r w:rsidR="008B4455">
        <w:t xml:space="preserve"> for such further proceedings as may be warranted</w:t>
      </w:r>
      <w:r w:rsidR="009972F1">
        <w:t xml:space="preserve"> to allocate costs and resolve any outstanding issues</w:t>
      </w:r>
      <w:r w:rsidR="008B4455">
        <w:t xml:space="preserve">.  </w:t>
      </w:r>
      <w:r>
        <w:t xml:space="preserve"> </w:t>
      </w:r>
    </w:p>
    <w:p w:rsidR="006F3DBE" w:rsidRPr="00B02014" w:rsidRDefault="006F3DBE" w:rsidP="00276845">
      <w:pPr>
        <w:suppressAutoHyphens/>
        <w:spacing w:line="360" w:lineRule="auto"/>
      </w:pPr>
    </w:p>
    <w:p w:rsidR="003C15EA" w:rsidRPr="003C15EA" w:rsidRDefault="00E85855" w:rsidP="003C15EA">
      <w:pPr>
        <w:suppressAutoHyphens/>
        <w:spacing w:line="360" w:lineRule="auto"/>
        <w:jc w:val="center"/>
        <w:rPr>
          <w:b/>
        </w:rPr>
      </w:pPr>
      <w:r>
        <w:rPr>
          <w:b/>
        </w:rPr>
        <w:t>Conclusion</w:t>
      </w:r>
    </w:p>
    <w:p w:rsidR="003A5DD2" w:rsidRDefault="003A5DD2">
      <w:pPr>
        <w:suppressAutoHyphens/>
        <w:spacing w:line="360" w:lineRule="auto"/>
        <w:ind w:firstLine="1440"/>
      </w:pPr>
    </w:p>
    <w:p w:rsidR="003C15EA" w:rsidRDefault="00E85855" w:rsidP="00276845">
      <w:pPr>
        <w:pStyle w:val="FootnoteText"/>
        <w:spacing w:line="360" w:lineRule="auto"/>
        <w:ind w:firstLine="1440"/>
        <w:rPr>
          <w:b/>
        </w:rPr>
      </w:pPr>
      <w:r>
        <w:t>For the reasons set forth above, we will</w:t>
      </w:r>
      <w:r w:rsidR="007049AE">
        <w:t xml:space="preserve">: : (1) deny </w:t>
      </w:r>
      <w:proofErr w:type="spellStart"/>
      <w:r w:rsidR="007049AE">
        <w:t>PennDOT’s</w:t>
      </w:r>
      <w:proofErr w:type="spellEnd"/>
      <w:r w:rsidR="007049AE">
        <w:t xml:space="preserve"> Motion to Strike; (2) grant the Railroad’s Petition for Reconsideration;</w:t>
      </w:r>
      <w:r w:rsidR="00844F18">
        <w:t xml:space="preserve"> </w:t>
      </w:r>
      <w:r w:rsidR="007049AE">
        <w:t xml:space="preserve">(3) direct the Railroad to perform repairs to the instant crossing; and (4) refer this matter to OALJ for further proceedings, consistent with this Opinion and Order; </w:t>
      </w:r>
      <w:r w:rsidR="00A37DE3" w:rsidRPr="00DC79A9">
        <w:rPr>
          <w:b/>
        </w:rPr>
        <w:t>THEREFORE,</w:t>
      </w:r>
    </w:p>
    <w:p w:rsidR="007049AE" w:rsidRDefault="007049AE" w:rsidP="00276845">
      <w:pPr>
        <w:pStyle w:val="FootnoteText"/>
        <w:spacing w:line="360" w:lineRule="auto"/>
        <w:ind w:firstLine="720"/>
      </w:pPr>
    </w:p>
    <w:p w:rsidR="00963D9A" w:rsidRDefault="00A37DE3" w:rsidP="00A57B3F">
      <w:pPr>
        <w:tabs>
          <w:tab w:val="left" w:pos="-720"/>
        </w:tabs>
        <w:suppressAutoHyphens/>
        <w:spacing w:line="360" w:lineRule="auto"/>
        <w:rPr>
          <w:b/>
        </w:rPr>
      </w:pPr>
      <w:r w:rsidRPr="00DC79A9">
        <w:rPr>
          <w:b/>
        </w:rPr>
        <w:tab/>
      </w:r>
      <w:r w:rsidRPr="00DC79A9">
        <w:rPr>
          <w:b/>
        </w:rPr>
        <w:tab/>
        <w:t>IT IS ORDERED:</w:t>
      </w:r>
      <w:r w:rsidR="005E3EC3">
        <w:rPr>
          <w:b/>
        </w:rPr>
        <w:t xml:space="preserve">  </w:t>
      </w:r>
    </w:p>
    <w:p w:rsidR="00963D9A" w:rsidRDefault="00963D9A" w:rsidP="00A57B3F">
      <w:pPr>
        <w:tabs>
          <w:tab w:val="left" w:pos="-720"/>
        </w:tabs>
        <w:suppressAutoHyphens/>
        <w:spacing w:line="360" w:lineRule="auto"/>
        <w:rPr>
          <w:b/>
        </w:rPr>
      </w:pPr>
    </w:p>
    <w:p w:rsidR="00C40CB5" w:rsidRDefault="00C40CB5" w:rsidP="00A57B3F">
      <w:pPr>
        <w:tabs>
          <w:tab w:val="left" w:pos="-720"/>
        </w:tabs>
        <w:suppressAutoHyphens/>
        <w:spacing w:line="360" w:lineRule="auto"/>
        <w:rPr>
          <w:b/>
        </w:rPr>
      </w:pPr>
      <w:r w:rsidRPr="00C40CB5">
        <w:rPr>
          <w:b/>
        </w:rPr>
        <w:tab/>
      </w:r>
      <w:r w:rsidRPr="00C40CB5">
        <w:rPr>
          <w:b/>
        </w:rPr>
        <w:tab/>
      </w:r>
      <w:r w:rsidRPr="00C40CB5">
        <w:t>1.</w:t>
      </w:r>
      <w:r>
        <w:tab/>
        <w:t>That the Motion to Strike filed by the Pennsylvania Department of Transportation on October 1, 2012, with reference to the Petition for Reconsideration filed by Reading Blue Mountain &amp; Northern Railroad on September 18, 2012, is denied</w:t>
      </w:r>
      <w:r w:rsidR="00BB09BD">
        <w:t>.</w:t>
      </w:r>
      <w:r w:rsidRPr="00C40CB5">
        <w:tab/>
      </w:r>
      <w:r w:rsidR="00963D9A" w:rsidRPr="00C40CB5">
        <w:tab/>
      </w:r>
    </w:p>
    <w:p w:rsidR="001974F7" w:rsidRDefault="00C40CB5" w:rsidP="00A57B3F">
      <w:pPr>
        <w:tabs>
          <w:tab w:val="left" w:pos="-720"/>
        </w:tabs>
        <w:suppressAutoHyphens/>
        <w:spacing w:line="360" w:lineRule="auto"/>
      </w:pPr>
      <w:r>
        <w:tab/>
      </w:r>
      <w:r>
        <w:tab/>
        <w:t>2.</w:t>
      </w:r>
      <w:r>
        <w:tab/>
      </w:r>
      <w:r w:rsidR="003D2931" w:rsidRPr="00DC79A9">
        <w:t xml:space="preserve">That the </w:t>
      </w:r>
      <w:r w:rsidR="00B40DCD">
        <w:t xml:space="preserve">Petition for Reconsideration </w:t>
      </w:r>
      <w:r w:rsidR="003D2931" w:rsidRPr="00DC79A9">
        <w:t xml:space="preserve">filed by </w:t>
      </w:r>
      <w:r w:rsidR="00E16704">
        <w:t>Reading Blue Mountain &amp; Northern Railroad</w:t>
      </w:r>
      <w:r w:rsidR="00073AA5">
        <w:t xml:space="preserve"> on </w:t>
      </w:r>
      <w:r w:rsidR="00E16704">
        <w:t>September 18, 2012</w:t>
      </w:r>
      <w:r w:rsidR="00073AA5">
        <w:t>,</w:t>
      </w:r>
      <w:r w:rsidR="00F61E3D" w:rsidRPr="00DC79A9">
        <w:t xml:space="preserve"> </w:t>
      </w:r>
      <w:r>
        <w:t xml:space="preserve">with reference to the Commission’s Order entered on August 30, 2012, </w:t>
      </w:r>
      <w:r w:rsidR="00DD1225">
        <w:t xml:space="preserve">is </w:t>
      </w:r>
      <w:r w:rsidR="0032333B">
        <w:t>granted</w:t>
      </w:r>
      <w:r w:rsidR="00BA0365">
        <w:t>, consistent with this Opinion and Order.</w:t>
      </w:r>
    </w:p>
    <w:p w:rsidR="00E16704" w:rsidRDefault="00E16704" w:rsidP="00A57B3F">
      <w:pPr>
        <w:tabs>
          <w:tab w:val="left" w:pos="-720"/>
        </w:tabs>
        <w:suppressAutoHyphens/>
        <w:spacing w:line="360" w:lineRule="auto"/>
      </w:pPr>
    </w:p>
    <w:p w:rsidR="00652FDB" w:rsidRDefault="00E20546">
      <w:pPr>
        <w:tabs>
          <w:tab w:val="left" w:pos="-720"/>
        </w:tabs>
        <w:spacing w:line="360" w:lineRule="auto"/>
      </w:pPr>
      <w:r>
        <w:tab/>
      </w:r>
      <w:r>
        <w:tab/>
      </w:r>
      <w:r w:rsidR="00C40CB5">
        <w:t>3</w:t>
      </w:r>
      <w:r w:rsidR="009D2BA0">
        <w:t>.</w:t>
      </w:r>
      <w:r w:rsidR="009D2BA0">
        <w:tab/>
        <w:t xml:space="preserve">That the at-grade crossing where State Route </w:t>
      </w:r>
      <w:r w:rsidR="004E39C6">
        <w:t>3019 (Stockton Mountain Road) crosses the track of Reading Blue Mountain &amp; Northern Railroad in Hazel Township, Luzerne County, be repaired.</w:t>
      </w:r>
    </w:p>
    <w:p w:rsidR="004E39C6" w:rsidRDefault="004E39C6" w:rsidP="004E39C6">
      <w:pPr>
        <w:tabs>
          <w:tab w:val="left" w:pos="-720"/>
        </w:tabs>
        <w:spacing w:line="360" w:lineRule="auto"/>
      </w:pPr>
    </w:p>
    <w:p w:rsidR="004E39C6" w:rsidRDefault="00CC4ECE" w:rsidP="004E39C6">
      <w:pPr>
        <w:tabs>
          <w:tab w:val="left" w:pos="-720"/>
        </w:tabs>
        <w:spacing w:line="360" w:lineRule="auto"/>
      </w:pPr>
      <w:r>
        <w:tab/>
      </w:r>
      <w:r>
        <w:tab/>
      </w:r>
      <w:r w:rsidR="0032333B">
        <w:t>4</w:t>
      </w:r>
      <w:r w:rsidR="004E39C6">
        <w:t>.</w:t>
      </w:r>
      <w:r w:rsidR="004E39C6">
        <w:tab/>
        <w:t>That Reading Blue Mountain &amp; Northern Railroad, at its initial cost and expense, furnish all material and do all work necessary to repair the subject crossing to establish a smooth and satisfactory condition.</w:t>
      </w:r>
    </w:p>
    <w:p w:rsidR="004E39C6" w:rsidRDefault="004E39C6" w:rsidP="004E39C6">
      <w:pPr>
        <w:tabs>
          <w:tab w:val="left" w:pos="-720"/>
        </w:tabs>
        <w:spacing w:line="360" w:lineRule="auto"/>
      </w:pPr>
    </w:p>
    <w:p w:rsidR="004E39C6" w:rsidRDefault="00CC4ECE" w:rsidP="004E39C6">
      <w:pPr>
        <w:tabs>
          <w:tab w:val="left" w:pos="-720"/>
        </w:tabs>
        <w:spacing w:line="360" w:lineRule="auto"/>
      </w:pPr>
      <w:r>
        <w:tab/>
      </w:r>
      <w:r>
        <w:tab/>
      </w:r>
      <w:r w:rsidR="0032333B">
        <w:t>5</w:t>
      </w:r>
      <w:r w:rsidR="004E39C6">
        <w:t>.</w:t>
      </w:r>
      <w:r w:rsidR="004E39C6">
        <w:tab/>
        <w:t xml:space="preserve">That Reading Blue Mountain &amp; Northern Railroad, at its initial cost and expense, establish and maintain any detours or traffic controls that may be required to make the repairs as outlined in </w:t>
      </w:r>
      <w:r w:rsidR="00C871A8">
        <w:t xml:space="preserve">Ordering </w:t>
      </w:r>
      <w:r w:rsidR="004E39C6">
        <w:t xml:space="preserve">Paragraph </w:t>
      </w:r>
      <w:r w:rsidR="00C871A8">
        <w:t xml:space="preserve">No. </w:t>
      </w:r>
      <w:r w:rsidR="004E39C6">
        <w:t>4, above.</w:t>
      </w:r>
    </w:p>
    <w:p w:rsidR="004E39C6" w:rsidRDefault="004E39C6" w:rsidP="004E39C6">
      <w:pPr>
        <w:tabs>
          <w:tab w:val="left" w:pos="-720"/>
        </w:tabs>
        <w:spacing w:line="360" w:lineRule="auto"/>
      </w:pPr>
    </w:p>
    <w:p w:rsidR="00372298" w:rsidRDefault="00CC4ECE" w:rsidP="004E39C6">
      <w:pPr>
        <w:tabs>
          <w:tab w:val="left" w:pos="-720"/>
        </w:tabs>
        <w:spacing w:line="360" w:lineRule="auto"/>
      </w:pPr>
      <w:r>
        <w:tab/>
      </w:r>
      <w:r>
        <w:tab/>
      </w:r>
      <w:r w:rsidR="0032333B">
        <w:t>6</w:t>
      </w:r>
      <w:r w:rsidR="004E39C6">
        <w:t>.</w:t>
      </w:r>
      <w:r w:rsidR="004E39C6">
        <w:tab/>
        <w:t xml:space="preserve">That any relocation of, changes in or removal of any adjacent structures, equipment or other facilities of any non-carrier public utility </w:t>
      </w:r>
      <w:r w:rsidR="00906FE0">
        <w:t>company</w:t>
      </w:r>
      <w:r w:rsidR="002E66E4">
        <w:t xml:space="preserve"> or municipal authority located within the limits of the Commission’s jurisdiction which may be required as incidental to the execution of the proposed project, be made by the public utility company or municipal authority at i</w:t>
      </w:r>
      <w:r w:rsidR="00372298">
        <w:t>ts initial cost and expense, and in such manner as will not interfere with the construction of the project.</w:t>
      </w:r>
    </w:p>
    <w:p w:rsidR="00372298" w:rsidRDefault="00372298" w:rsidP="004E39C6">
      <w:pPr>
        <w:tabs>
          <w:tab w:val="left" w:pos="-720"/>
        </w:tabs>
        <w:spacing w:line="360" w:lineRule="auto"/>
      </w:pPr>
    </w:p>
    <w:p w:rsidR="00372298" w:rsidRDefault="00CC4ECE" w:rsidP="004E39C6">
      <w:pPr>
        <w:tabs>
          <w:tab w:val="left" w:pos="-720"/>
        </w:tabs>
        <w:spacing w:line="360" w:lineRule="auto"/>
      </w:pPr>
      <w:r>
        <w:tab/>
      </w:r>
      <w:r>
        <w:tab/>
      </w:r>
      <w:r w:rsidR="0032333B">
        <w:t>7</w:t>
      </w:r>
      <w:r w:rsidR="00372298">
        <w:t>.</w:t>
      </w:r>
      <w:r w:rsidR="00372298">
        <w:tab/>
        <w:t>That all work to complete the repairs to the crossing be done in a manner satisfactory to the Commission within twenty days of the date of entry of this Opinion and Order and that, on or before said date, Reading Blue Mountain &amp; Northern Railroad report to the Commission, in writing, the date of actual completion of the work.</w:t>
      </w:r>
    </w:p>
    <w:p w:rsidR="00B70737" w:rsidRDefault="00B70737" w:rsidP="004E39C6">
      <w:pPr>
        <w:tabs>
          <w:tab w:val="left" w:pos="-720"/>
        </w:tabs>
        <w:spacing w:line="360" w:lineRule="auto"/>
      </w:pPr>
    </w:p>
    <w:p w:rsidR="002F6458" w:rsidRDefault="00CC4ECE">
      <w:pPr>
        <w:tabs>
          <w:tab w:val="left" w:pos="-720"/>
        </w:tabs>
        <w:spacing w:line="360" w:lineRule="auto"/>
      </w:pPr>
      <w:r>
        <w:tab/>
      </w:r>
      <w:r>
        <w:tab/>
      </w:r>
      <w:r w:rsidR="0032333B">
        <w:t>8</w:t>
      </w:r>
      <w:r w:rsidR="00B70737">
        <w:t>.</w:t>
      </w:r>
      <w:r w:rsidR="002F6458">
        <w:tab/>
        <w:t xml:space="preserve">That Reading Blue Mountain &amp; Northern Railroad, at least </w:t>
      </w:r>
      <w:r w:rsidR="00D153CF">
        <w:t>five</w:t>
      </w:r>
      <w:r w:rsidR="002F6458">
        <w:t xml:space="preserve"> days prior to the start of work, notify all Parties in interest of the actual date on which work will begin.</w:t>
      </w:r>
    </w:p>
    <w:p w:rsidR="002F6458" w:rsidRDefault="002F6458" w:rsidP="004E39C6">
      <w:pPr>
        <w:tabs>
          <w:tab w:val="left" w:pos="-720"/>
        </w:tabs>
        <w:spacing w:line="360" w:lineRule="auto"/>
      </w:pPr>
    </w:p>
    <w:p w:rsidR="00F8647E" w:rsidRDefault="00CC4ECE" w:rsidP="004E39C6">
      <w:pPr>
        <w:tabs>
          <w:tab w:val="left" w:pos="-720"/>
        </w:tabs>
        <w:spacing w:line="360" w:lineRule="auto"/>
      </w:pPr>
      <w:r>
        <w:tab/>
      </w:r>
      <w:r>
        <w:tab/>
      </w:r>
      <w:r w:rsidR="004C03AB">
        <w:t>9</w:t>
      </w:r>
      <w:r w:rsidR="002F6458">
        <w:t>.</w:t>
      </w:r>
      <w:r w:rsidR="002F6458">
        <w:tab/>
        <w:t>That</w:t>
      </w:r>
      <w:r w:rsidR="00CA61B5">
        <w:t xml:space="preserve"> Reading Blue Mountain &amp; Northern Railroad, at its </w:t>
      </w:r>
      <w:r w:rsidR="004C03AB">
        <w:t>initial</w:t>
      </w:r>
      <w:r w:rsidR="00CA61B5">
        <w:t xml:space="preserve"> cost and expense, furnish all material and perform all work necessary</w:t>
      </w:r>
      <w:r w:rsidR="00F8647E">
        <w:t xml:space="preserve"> to maintain its railroad facilities at the instant crossing, including the grade crossing (</w:t>
      </w:r>
      <w:proofErr w:type="spellStart"/>
      <w:r w:rsidR="00F8647E">
        <w:t>crossbuck</w:t>
      </w:r>
      <w:proofErr w:type="spellEnd"/>
      <w:r w:rsidR="00F8647E">
        <w:t>) signs, and to maintain at all times, in a smooth and satisfactory condition, the crossing surface to points located twenty-four inches outside each rail, all in accordance with this Opinion and Order.</w:t>
      </w:r>
    </w:p>
    <w:p w:rsidR="00F8647E" w:rsidRDefault="00F8647E" w:rsidP="004E39C6">
      <w:pPr>
        <w:tabs>
          <w:tab w:val="left" w:pos="-720"/>
        </w:tabs>
        <w:spacing w:line="360" w:lineRule="auto"/>
      </w:pPr>
    </w:p>
    <w:p w:rsidR="00F8647E" w:rsidRDefault="00CC4ECE" w:rsidP="004E39C6">
      <w:pPr>
        <w:tabs>
          <w:tab w:val="left" w:pos="-720"/>
        </w:tabs>
        <w:spacing w:line="360" w:lineRule="auto"/>
      </w:pPr>
      <w:r>
        <w:lastRenderedPageBreak/>
        <w:tab/>
      </w:r>
      <w:r>
        <w:tab/>
        <w:t>1</w:t>
      </w:r>
      <w:r w:rsidR="004C03AB">
        <w:t>0</w:t>
      </w:r>
      <w:r w:rsidR="00F8647E">
        <w:t>.</w:t>
      </w:r>
      <w:r w:rsidR="00F8647E">
        <w:tab/>
        <w:t xml:space="preserve">That </w:t>
      </w:r>
      <w:r w:rsidR="008B490E">
        <w:t xml:space="preserve">the </w:t>
      </w:r>
      <w:r w:rsidR="00F8647E">
        <w:t xml:space="preserve">Pennsylvania Department of Transportation, at its </w:t>
      </w:r>
      <w:r w:rsidR="004C03AB">
        <w:t>initial</w:t>
      </w:r>
      <w:r w:rsidR="00F8647E">
        <w:t xml:space="preserve"> cost and expense, furnish all material and do all work necessary</w:t>
      </w:r>
      <w:r w:rsidR="00043A14">
        <w:t xml:space="preserve"> to maintain its highway approach roadways to the subject crossing to points twenty-four inches beyond each outside rail and, in addition, to maintain the grade crossing advance warning signs and stop lines, all in accordance with this Opinion and Order.</w:t>
      </w:r>
    </w:p>
    <w:p w:rsidR="00BF7C6C" w:rsidRDefault="00BF7C6C" w:rsidP="004E39C6">
      <w:pPr>
        <w:tabs>
          <w:tab w:val="left" w:pos="-720"/>
        </w:tabs>
        <w:spacing w:line="360" w:lineRule="auto"/>
      </w:pPr>
    </w:p>
    <w:p w:rsidR="00BF7C6C" w:rsidRDefault="00CC4ECE" w:rsidP="004E39C6">
      <w:pPr>
        <w:tabs>
          <w:tab w:val="left" w:pos="-720"/>
        </w:tabs>
        <w:spacing w:line="360" w:lineRule="auto"/>
      </w:pPr>
      <w:r>
        <w:tab/>
      </w:r>
      <w:r>
        <w:tab/>
        <w:t>1</w:t>
      </w:r>
      <w:r w:rsidR="004C03AB">
        <w:t>1</w:t>
      </w:r>
      <w:r w:rsidR="00BF7C6C">
        <w:t>.</w:t>
      </w:r>
      <w:r w:rsidR="00BF7C6C">
        <w:tab/>
        <w:t xml:space="preserve">That </w:t>
      </w:r>
      <w:r w:rsidR="008B490E">
        <w:t>this proceeding be referred to the Office of Administrative Law Judge</w:t>
      </w:r>
      <w:r w:rsidR="00A653A2">
        <w:t xml:space="preserve"> for </w:t>
      </w:r>
      <w:r w:rsidR="00C871A8">
        <w:t xml:space="preserve">such </w:t>
      </w:r>
      <w:r w:rsidR="00A653A2">
        <w:t>further proceedings</w:t>
      </w:r>
      <w:r w:rsidR="00D153CF">
        <w:t xml:space="preserve"> </w:t>
      </w:r>
      <w:r w:rsidR="00C871A8">
        <w:t xml:space="preserve">as may be required </w:t>
      </w:r>
      <w:r w:rsidR="00D153CF">
        <w:t>to allocate costs and resolve any outstanding issues</w:t>
      </w:r>
      <w:r w:rsidR="00A653A2">
        <w:t xml:space="preserve">, consistent with this Opinion and Order.  </w:t>
      </w:r>
    </w:p>
    <w:p w:rsidR="00992D02" w:rsidRDefault="00503D3B" w:rsidP="003C15EA">
      <w:pPr>
        <w:tabs>
          <w:tab w:val="left" w:pos="-720"/>
        </w:tabs>
        <w:spacing w:line="360" w:lineRule="auto"/>
        <w:ind w:left="2160" w:right="1440" w:hanging="720"/>
      </w:pPr>
      <w:r>
        <w:rPr>
          <w:noProof/>
        </w:rPr>
        <w:drawing>
          <wp:anchor distT="0" distB="0" distL="114300" distR="114300" simplePos="0" relativeHeight="251658240" behindDoc="1" locked="0" layoutInCell="1" allowOverlap="1" wp14:anchorId="2128BB56" wp14:editId="32A7996D">
            <wp:simplePos x="0" y="0"/>
            <wp:positionH relativeFrom="column">
              <wp:posOffset>2959100</wp:posOffset>
            </wp:positionH>
            <wp:positionV relativeFrom="paragraph">
              <wp:posOffset>250190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E3720" w:rsidRPr="00DC79A9" w:rsidRDefault="00DE3720" w:rsidP="00DE3720">
      <w:pPr>
        <w:tabs>
          <w:tab w:val="left" w:pos="-720"/>
        </w:tabs>
        <w:suppressAutoHyphens/>
      </w:pPr>
      <w:r w:rsidRPr="00DC79A9">
        <w:rPr>
          <w:b/>
        </w:rPr>
        <w:tab/>
      </w:r>
      <w:r w:rsidRPr="00DC79A9">
        <w:rPr>
          <w:b/>
        </w:rPr>
        <w:tab/>
      </w:r>
      <w:r w:rsidRPr="00DC79A9">
        <w:rPr>
          <w:b/>
        </w:rPr>
        <w:tab/>
      </w:r>
      <w:r w:rsidRPr="00DC79A9">
        <w:rPr>
          <w:b/>
        </w:rPr>
        <w:tab/>
      </w:r>
      <w:r w:rsidRPr="00DC79A9">
        <w:rPr>
          <w:b/>
        </w:rPr>
        <w:tab/>
      </w:r>
      <w:r w:rsidRPr="00DC79A9">
        <w:rPr>
          <w:b/>
        </w:rPr>
        <w:tab/>
      </w:r>
      <w:r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962D73">
        <w:t>October 24</w:t>
      </w:r>
      <w:r w:rsidR="00F5357A">
        <w:t>, 2012</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503D3B">
        <w:t>OCTOBER 24, 2012</w:t>
      </w:r>
      <w:bookmarkStart w:id="0" w:name="_GoBack"/>
      <w:bookmarkEnd w:id="0"/>
    </w:p>
    <w:p w:rsidR="00A61628" w:rsidRDefault="00E5507B">
      <w:pPr>
        <w:tabs>
          <w:tab w:val="left" w:pos="-720"/>
        </w:tabs>
        <w:suppressAutoHyphens/>
        <w:spacing w:line="360" w:lineRule="auto"/>
        <w:ind w:firstLine="1440"/>
      </w:pPr>
      <w:r>
        <w:t xml:space="preserve"> </w:t>
      </w:r>
    </w:p>
    <w:sectPr w:rsidR="00A61628" w:rsidSect="00D44004">
      <w:footerReference w:type="default" r:id="rId10"/>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88D" w:rsidRDefault="009F788D">
      <w:pPr>
        <w:spacing w:line="20" w:lineRule="exact"/>
      </w:pPr>
    </w:p>
  </w:endnote>
  <w:endnote w:type="continuationSeparator" w:id="0">
    <w:p w:rsidR="009F788D" w:rsidRDefault="009F788D">
      <w:r>
        <w:t xml:space="preserve"> </w:t>
      </w:r>
    </w:p>
  </w:endnote>
  <w:endnote w:type="continuationNotice" w:id="1">
    <w:p w:rsidR="009F788D" w:rsidRDefault="009F78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5BB" w:rsidRDefault="00E925BB">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925BB" w:rsidRPr="000E37C7" w:rsidRDefault="00E925BB">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503D3B">
                            <w:rPr>
                              <w:noProof/>
                              <w:spacing w:val="-3"/>
                            </w:rPr>
                            <w:t>11</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E925BB" w:rsidRPr="000E37C7" w:rsidRDefault="00E925BB">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503D3B">
                      <w:rPr>
                        <w:noProof/>
                        <w:spacing w:val="-3"/>
                      </w:rPr>
                      <w:t>11</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88D" w:rsidRDefault="009F788D">
      <w:r>
        <w:separator/>
      </w:r>
    </w:p>
  </w:footnote>
  <w:footnote w:type="continuationSeparator" w:id="0">
    <w:p w:rsidR="009F788D" w:rsidRDefault="009F788D">
      <w:r>
        <w:continuationSeparator/>
      </w:r>
    </w:p>
  </w:footnote>
  <w:footnote w:id="1">
    <w:p w:rsidR="00E925BB" w:rsidRPr="00D006B0" w:rsidRDefault="00E925BB" w:rsidP="00276845">
      <w:pPr>
        <w:pStyle w:val="FootnoteText"/>
        <w:ind w:firstLine="720"/>
        <w:rPr>
          <w:sz w:val="20"/>
          <w:szCs w:val="20"/>
        </w:rPr>
      </w:pPr>
      <w:r w:rsidRPr="00D006B0">
        <w:rPr>
          <w:rStyle w:val="FootnoteReference"/>
          <w:sz w:val="20"/>
          <w:szCs w:val="20"/>
        </w:rPr>
        <w:footnoteRef/>
      </w:r>
      <w:r>
        <w:tab/>
        <w:t xml:space="preserve">The pertinent document was styled “Exceptions.”  However, since it was filed in response to a Commission Order, it is more properly considered a </w:t>
      </w:r>
      <w:r w:rsidR="00F905E9">
        <w:t>P</w:t>
      </w:r>
      <w:r>
        <w:t xml:space="preserve">etition for </w:t>
      </w:r>
      <w:r w:rsidR="00F905E9">
        <w:t>R</w:t>
      </w:r>
      <w:r>
        <w:t xml:space="preserve">econsideration.  </w:t>
      </w:r>
      <w:r w:rsidRPr="004342C5">
        <w:rPr>
          <w:i/>
        </w:rPr>
        <w:t>See</w:t>
      </w:r>
      <w:r>
        <w:rPr>
          <w:i/>
        </w:rPr>
        <w:t>,</w:t>
      </w:r>
      <w:r>
        <w:t xml:space="preserve"> 66 Pa. C.S. §§ 703(f), 703(g); 52 Pa. Code § 5.572(a).</w:t>
      </w:r>
      <w:r w:rsidRPr="00D006B0">
        <w:t xml:space="preserve">   </w:t>
      </w:r>
    </w:p>
  </w:footnote>
  <w:footnote w:id="2">
    <w:p w:rsidR="00E925BB" w:rsidRDefault="00E925BB" w:rsidP="009B65B7">
      <w:pPr>
        <w:pStyle w:val="FootnoteText"/>
        <w:ind w:firstLine="720"/>
      </w:pPr>
      <w:r>
        <w:rPr>
          <w:rStyle w:val="FootnoteReference"/>
        </w:rPr>
        <w:footnoteRef/>
      </w:r>
      <w:r>
        <w:tab/>
        <w:t xml:space="preserve">Our Regulations do not provide for a Reply to an Answer to a Petition for Reconsideration.  Consequently, we will not consider this filing.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48261EDE"/>
    <w:multiLevelType w:val="hybridMultilevel"/>
    <w:tmpl w:val="2B24844C"/>
    <w:lvl w:ilvl="0" w:tplc="78361A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3507989"/>
    <w:multiLevelType w:val="hybridMultilevel"/>
    <w:tmpl w:val="4EDE0F06"/>
    <w:lvl w:ilvl="0" w:tplc="25C686C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9F6"/>
    <w:rsid w:val="0000484A"/>
    <w:rsid w:val="0000546D"/>
    <w:rsid w:val="00010E7F"/>
    <w:rsid w:val="000115CF"/>
    <w:rsid w:val="00012BA8"/>
    <w:rsid w:val="00016C19"/>
    <w:rsid w:val="00022905"/>
    <w:rsid w:val="000230EA"/>
    <w:rsid w:val="00023F1C"/>
    <w:rsid w:val="00025304"/>
    <w:rsid w:val="000275F3"/>
    <w:rsid w:val="00033D6B"/>
    <w:rsid w:val="00033FED"/>
    <w:rsid w:val="00040BB6"/>
    <w:rsid w:val="0004117B"/>
    <w:rsid w:val="00042050"/>
    <w:rsid w:val="00042C63"/>
    <w:rsid w:val="00043A14"/>
    <w:rsid w:val="00047F01"/>
    <w:rsid w:val="00051570"/>
    <w:rsid w:val="00052854"/>
    <w:rsid w:val="000545C3"/>
    <w:rsid w:val="00054B24"/>
    <w:rsid w:val="00055340"/>
    <w:rsid w:val="000559EC"/>
    <w:rsid w:val="00060568"/>
    <w:rsid w:val="000622E4"/>
    <w:rsid w:val="0006468D"/>
    <w:rsid w:val="000659A7"/>
    <w:rsid w:val="00066935"/>
    <w:rsid w:val="0007135B"/>
    <w:rsid w:val="00073AA5"/>
    <w:rsid w:val="00085DB1"/>
    <w:rsid w:val="00085FEC"/>
    <w:rsid w:val="00087A4E"/>
    <w:rsid w:val="000900FD"/>
    <w:rsid w:val="00092DE6"/>
    <w:rsid w:val="000A136A"/>
    <w:rsid w:val="000A2EBE"/>
    <w:rsid w:val="000A4238"/>
    <w:rsid w:val="000A4528"/>
    <w:rsid w:val="000A453D"/>
    <w:rsid w:val="000A6226"/>
    <w:rsid w:val="000B058E"/>
    <w:rsid w:val="000B0A53"/>
    <w:rsid w:val="000B1588"/>
    <w:rsid w:val="000B4FB1"/>
    <w:rsid w:val="000B520C"/>
    <w:rsid w:val="000B52AF"/>
    <w:rsid w:val="000B5C9F"/>
    <w:rsid w:val="000B7BA9"/>
    <w:rsid w:val="000C1A3C"/>
    <w:rsid w:val="000C1EF4"/>
    <w:rsid w:val="000C45B9"/>
    <w:rsid w:val="000C6BDB"/>
    <w:rsid w:val="000C710C"/>
    <w:rsid w:val="000D18CA"/>
    <w:rsid w:val="000D45FD"/>
    <w:rsid w:val="000D494C"/>
    <w:rsid w:val="000D5C7E"/>
    <w:rsid w:val="000E1281"/>
    <w:rsid w:val="000E19F4"/>
    <w:rsid w:val="000E37C7"/>
    <w:rsid w:val="000E69B2"/>
    <w:rsid w:val="000F1EC5"/>
    <w:rsid w:val="000F38C8"/>
    <w:rsid w:val="001012F7"/>
    <w:rsid w:val="001019DE"/>
    <w:rsid w:val="00103AC9"/>
    <w:rsid w:val="00110EF9"/>
    <w:rsid w:val="0011263D"/>
    <w:rsid w:val="0011284C"/>
    <w:rsid w:val="001135A5"/>
    <w:rsid w:val="0011489A"/>
    <w:rsid w:val="00117EB0"/>
    <w:rsid w:val="0012124A"/>
    <w:rsid w:val="00121EB6"/>
    <w:rsid w:val="001240F9"/>
    <w:rsid w:val="001264F5"/>
    <w:rsid w:val="001316EF"/>
    <w:rsid w:val="00132192"/>
    <w:rsid w:val="00133179"/>
    <w:rsid w:val="00135E8E"/>
    <w:rsid w:val="001369FF"/>
    <w:rsid w:val="00142140"/>
    <w:rsid w:val="001450CE"/>
    <w:rsid w:val="00152C23"/>
    <w:rsid w:val="00153CDE"/>
    <w:rsid w:val="0015710D"/>
    <w:rsid w:val="001576E5"/>
    <w:rsid w:val="00157975"/>
    <w:rsid w:val="00174F73"/>
    <w:rsid w:val="00180160"/>
    <w:rsid w:val="001818B3"/>
    <w:rsid w:val="00181A69"/>
    <w:rsid w:val="00182B65"/>
    <w:rsid w:val="001902ED"/>
    <w:rsid w:val="001913D5"/>
    <w:rsid w:val="00192835"/>
    <w:rsid w:val="001951E8"/>
    <w:rsid w:val="00195457"/>
    <w:rsid w:val="0019663B"/>
    <w:rsid w:val="00196795"/>
    <w:rsid w:val="001974F7"/>
    <w:rsid w:val="001A348F"/>
    <w:rsid w:val="001A3702"/>
    <w:rsid w:val="001A4B6E"/>
    <w:rsid w:val="001B010A"/>
    <w:rsid w:val="001B5F2B"/>
    <w:rsid w:val="001C2695"/>
    <w:rsid w:val="001C30E1"/>
    <w:rsid w:val="001D02AA"/>
    <w:rsid w:val="001D095A"/>
    <w:rsid w:val="001D0B8C"/>
    <w:rsid w:val="001D19E9"/>
    <w:rsid w:val="001D3391"/>
    <w:rsid w:val="001D3AAD"/>
    <w:rsid w:val="001D5040"/>
    <w:rsid w:val="001D5F32"/>
    <w:rsid w:val="001D756F"/>
    <w:rsid w:val="001F07F9"/>
    <w:rsid w:val="001F0EA8"/>
    <w:rsid w:val="001F11A4"/>
    <w:rsid w:val="001F4746"/>
    <w:rsid w:val="001F6904"/>
    <w:rsid w:val="001F6B6E"/>
    <w:rsid w:val="00201175"/>
    <w:rsid w:val="00201491"/>
    <w:rsid w:val="00204E18"/>
    <w:rsid w:val="00210EC1"/>
    <w:rsid w:val="00210FF8"/>
    <w:rsid w:val="00212B8E"/>
    <w:rsid w:val="0021531D"/>
    <w:rsid w:val="00215BE9"/>
    <w:rsid w:val="002200D9"/>
    <w:rsid w:val="00220904"/>
    <w:rsid w:val="00221F94"/>
    <w:rsid w:val="00222566"/>
    <w:rsid w:val="00225B93"/>
    <w:rsid w:val="002309C2"/>
    <w:rsid w:val="002322FE"/>
    <w:rsid w:val="00233FB0"/>
    <w:rsid w:val="00234D91"/>
    <w:rsid w:val="00235F15"/>
    <w:rsid w:val="002411CC"/>
    <w:rsid w:val="0024228E"/>
    <w:rsid w:val="00242669"/>
    <w:rsid w:val="00253BF5"/>
    <w:rsid w:val="00253CB6"/>
    <w:rsid w:val="002566AD"/>
    <w:rsid w:val="00267082"/>
    <w:rsid w:val="0026739B"/>
    <w:rsid w:val="00267527"/>
    <w:rsid w:val="0026757B"/>
    <w:rsid w:val="002731D1"/>
    <w:rsid w:val="00276719"/>
    <w:rsid w:val="00276845"/>
    <w:rsid w:val="00281323"/>
    <w:rsid w:val="002815B2"/>
    <w:rsid w:val="0028511A"/>
    <w:rsid w:val="00285987"/>
    <w:rsid w:val="00285DE9"/>
    <w:rsid w:val="00295759"/>
    <w:rsid w:val="0029688A"/>
    <w:rsid w:val="002A16EF"/>
    <w:rsid w:val="002A35C9"/>
    <w:rsid w:val="002A58B2"/>
    <w:rsid w:val="002A67A6"/>
    <w:rsid w:val="002B0B59"/>
    <w:rsid w:val="002B218E"/>
    <w:rsid w:val="002B22D0"/>
    <w:rsid w:val="002B35E4"/>
    <w:rsid w:val="002C0D6B"/>
    <w:rsid w:val="002D1029"/>
    <w:rsid w:val="002D2E25"/>
    <w:rsid w:val="002D3418"/>
    <w:rsid w:val="002D6429"/>
    <w:rsid w:val="002D66BD"/>
    <w:rsid w:val="002D6774"/>
    <w:rsid w:val="002D7B65"/>
    <w:rsid w:val="002E1292"/>
    <w:rsid w:val="002E12E9"/>
    <w:rsid w:val="002E138C"/>
    <w:rsid w:val="002E139B"/>
    <w:rsid w:val="002E195C"/>
    <w:rsid w:val="002E66E4"/>
    <w:rsid w:val="002F0908"/>
    <w:rsid w:val="002F2DF7"/>
    <w:rsid w:val="002F468E"/>
    <w:rsid w:val="002F485D"/>
    <w:rsid w:val="002F5151"/>
    <w:rsid w:val="002F5FDB"/>
    <w:rsid w:val="002F6458"/>
    <w:rsid w:val="002F75D3"/>
    <w:rsid w:val="002F7D4C"/>
    <w:rsid w:val="0030137C"/>
    <w:rsid w:val="00301AC6"/>
    <w:rsid w:val="0030225F"/>
    <w:rsid w:val="00304E8F"/>
    <w:rsid w:val="003059A2"/>
    <w:rsid w:val="00306630"/>
    <w:rsid w:val="00307355"/>
    <w:rsid w:val="00313FD3"/>
    <w:rsid w:val="00316D83"/>
    <w:rsid w:val="00317171"/>
    <w:rsid w:val="003171B0"/>
    <w:rsid w:val="00317566"/>
    <w:rsid w:val="0032333B"/>
    <w:rsid w:val="003318AD"/>
    <w:rsid w:val="003329AF"/>
    <w:rsid w:val="00332EFC"/>
    <w:rsid w:val="00340FC6"/>
    <w:rsid w:val="00341D96"/>
    <w:rsid w:val="00344CF3"/>
    <w:rsid w:val="00350575"/>
    <w:rsid w:val="0035063D"/>
    <w:rsid w:val="003534EF"/>
    <w:rsid w:val="0035726E"/>
    <w:rsid w:val="00360B29"/>
    <w:rsid w:val="003676D1"/>
    <w:rsid w:val="00371E9F"/>
    <w:rsid w:val="00372234"/>
    <w:rsid w:val="00372298"/>
    <w:rsid w:val="00374687"/>
    <w:rsid w:val="003760D4"/>
    <w:rsid w:val="00376BDA"/>
    <w:rsid w:val="00381033"/>
    <w:rsid w:val="00385187"/>
    <w:rsid w:val="00387AE7"/>
    <w:rsid w:val="00387B36"/>
    <w:rsid w:val="00394692"/>
    <w:rsid w:val="00395435"/>
    <w:rsid w:val="00395CC1"/>
    <w:rsid w:val="00396287"/>
    <w:rsid w:val="003A252D"/>
    <w:rsid w:val="003A2DB5"/>
    <w:rsid w:val="003A57CC"/>
    <w:rsid w:val="003A5DD2"/>
    <w:rsid w:val="003B3B34"/>
    <w:rsid w:val="003B3CBA"/>
    <w:rsid w:val="003B4948"/>
    <w:rsid w:val="003B53DF"/>
    <w:rsid w:val="003B6CF8"/>
    <w:rsid w:val="003C15EA"/>
    <w:rsid w:val="003C1A2F"/>
    <w:rsid w:val="003C4E6D"/>
    <w:rsid w:val="003C7387"/>
    <w:rsid w:val="003C75E1"/>
    <w:rsid w:val="003C7F60"/>
    <w:rsid w:val="003D0669"/>
    <w:rsid w:val="003D2931"/>
    <w:rsid w:val="003D5944"/>
    <w:rsid w:val="003D6EF8"/>
    <w:rsid w:val="003E1280"/>
    <w:rsid w:val="003E1D87"/>
    <w:rsid w:val="003E1DBD"/>
    <w:rsid w:val="003E3F3E"/>
    <w:rsid w:val="003E4809"/>
    <w:rsid w:val="003E7433"/>
    <w:rsid w:val="003F05C8"/>
    <w:rsid w:val="003F0BEC"/>
    <w:rsid w:val="003F4CF2"/>
    <w:rsid w:val="003F6AA7"/>
    <w:rsid w:val="004031D3"/>
    <w:rsid w:val="00404A4A"/>
    <w:rsid w:val="00404A6A"/>
    <w:rsid w:val="00405162"/>
    <w:rsid w:val="004101EB"/>
    <w:rsid w:val="0041223F"/>
    <w:rsid w:val="00412D6C"/>
    <w:rsid w:val="004202E1"/>
    <w:rsid w:val="00421137"/>
    <w:rsid w:val="0042329F"/>
    <w:rsid w:val="004259B6"/>
    <w:rsid w:val="00425EB5"/>
    <w:rsid w:val="004317D8"/>
    <w:rsid w:val="004328AA"/>
    <w:rsid w:val="004342C5"/>
    <w:rsid w:val="00434962"/>
    <w:rsid w:val="00435545"/>
    <w:rsid w:val="004403EC"/>
    <w:rsid w:val="0044139D"/>
    <w:rsid w:val="00441AB7"/>
    <w:rsid w:val="00441E0E"/>
    <w:rsid w:val="00442C7C"/>
    <w:rsid w:val="0044456E"/>
    <w:rsid w:val="004449F5"/>
    <w:rsid w:val="00446269"/>
    <w:rsid w:val="0044775C"/>
    <w:rsid w:val="004524E7"/>
    <w:rsid w:val="00453868"/>
    <w:rsid w:val="00455AA3"/>
    <w:rsid w:val="00456372"/>
    <w:rsid w:val="004576FD"/>
    <w:rsid w:val="00457DDE"/>
    <w:rsid w:val="004600E6"/>
    <w:rsid w:val="0046121E"/>
    <w:rsid w:val="00462826"/>
    <w:rsid w:val="0047131B"/>
    <w:rsid w:val="00472FE9"/>
    <w:rsid w:val="0047349A"/>
    <w:rsid w:val="004736DC"/>
    <w:rsid w:val="0047414F"/>
    <w:rsid w:val="00476458"/>
    <w:rsid w:val="00476B9A"/>
    <w:rsid w:val="004804B0"/>
    <w:rsid w:val="004851C7"/>
    <w:rsid w:val="00486C63"/>
    <w:rsid w:val="00487EDA"/>
    <w:rsid w:val="00490205"/>
    <w:rsid w:val="004917FC"/>
    <w:rsid w:val="0049268A"/>
    <w:rsid w:val="00493A1D"/>
    <w:rsid w:val="004964CD"/>
    <w:rsid w:val="004979B8"/>
    <w:rsid w:val="004A00DD"/>
    <w:rsid w:val="004A2A6B"/>
    <w:rsid w:val="004A3C9C"/>
    <w:rsid w:val="004A419A"/>
    <w:rsid w:val="004A5005"/>
    <w:rsid w:val="004A5178"/>
    <w:rsid w:val="004A7213"/>
    <w:rsid w:val="004B107D"/>
    <w:rsid w:val="004B3DCA"/>
    <w:rsid w:val="004C03AB"/>
    <w:rsid w:val="004C2091"/>
    <w:rsid w:val="004C3B9F"/>
    <w:rsid w:val="004C41AA"/>
    <w:rsid w:val="004C6D13"/>
    <w:rsid w:val="004C7624"/>
    <w:rsid w:val="004D447C"/>
    <w:rsid w:val="004D57A0"/>
    <w:rsid w:val="004E0C1E"/>
    <w:rsid w:val="004E39C6"/>
    <w:rsid w:val="004E3FB7"/>
    <w:rsid w:val="004E528C"/>
    <w:rsid w:val="004F0518"/>
    <w:rsid w:val="004F0A95"/>
    <w:rsid w:val="004F1321"/>
    <w:rsid w:val="004F45DA"/>
    <w:rsid w:val="005015D1"/>
    <w:rsid w:val="00503C12"/>
    <w:rsid w:val="00503D3B"/>
    <w:rsid w:val="00510F51"/>
    <w:rsid w:val="005158A7"/>
    <w:rsid w:val="005204BF"/>
    <w:rsid w:val="00522F11"/>
    <w:rsid w:val="00531C0E"/>
    <w:rsid w:val="00532E91"/>
    <w:rsid w:val="00536DB4"/>
    <w:rsid w:val="0054119C"/>
    <w:rsid w:val="0054342C"/>
    <w:rsid w:val="00544583"/>
    <w:rsid w:val="005616D3"/>
    <w:rsid w:val="00567C12"/>
    <w:rsid w:val="00570854"/>
    <w:rsid w:val="0057221F"/>
    <w:rsid w:val="0057510B"/>
    <w:rsid w:val="00575666"/>
    <w:rsid w:val="00577576"/>
    <w:rsid w:val="0058145F"/>
    <w:rsid w:val="005907D9"/>
    <w:rsid w:val="0059192B"/>
    <w:rsid w:val="005A05FC"/>
    <w:rsid w:val="005A062F"/>
    <w:rsid w:val="005A1870"/>
    <w:rsid w:val="005A1DDF"/>
    <w:rsid w:val="005A1E83"/>
    <w:rsid w:val="005A6C89"/>
    <w:rsid w:val="005B15DD"/>
    <w:rsid w:val="005B6913"/>
    <w:rsid w:val="005B6B3E"/>
    <w:rsid w:val="005B7B9E"/>
    <w:rsid w:val="005C087E"/>
    <w:rsid w:val="005C0DC4"/>
    <w:rsid w:val="005C3EB9"/>
    <w:rsid w:val="005C5217"/>
    <w:rsid w:val="005C5BFC"/>
    <w:rsid w:val="005C5D3D"/>
    <w:rsid w:val="005D10D4"/>
    <w:rsid w:val="005D1BA8"/>
    <w:rsid w:val="005D7781"/>
    <w:rsid w:val="005E09D2"/>
    <w:rsid w:val="005E3EC3"/>
    <w:rsid w:val="005E5204"/>
    <w:rsid w:val="005F0AC2"/>
    <w:rsid w:val="005F5760"/>
    <w:rsid w:val="006026AE"/>
    <w:rsid w:val="00615061"/>
    <w:rsid w:val="00624519"/>
    <w:rsid w:val="00625D81"/>
    <w:rsid w:val="00631D99"/>
    <w:rsid w:val="00633C50"/>
    <w:rsid w:val="00634DCD"/>
    <w:rsid w:val="00635138"/>
    <w:rsid w:val="006378C2"/>
    <w:rsid w:val="00637B93"/>
    <w:rsid w:val="00640AF4"/>
    <w:rsid w:val="00640E06"/>
    <w:rsid w:val="006423F7"/>
    <w:rsid w:val="0064498F"/>
    <w:rsid w:val="0064579D"/>
    <w:rsid w:val="00652FDB"/>
    <w:rsid w:val="006532E8"/>
    <w:rsid w:val="00654722"/>
    <w:rsid w:val="00654A74"/>
    <w:rsid w:val="00661612"/>
    <w:rsid w:val="00661855"/>
    <w:rsid w:val="0066188E"/>
    <w:rsid w:val="0066237A"/>
    <w:rsid w:val="006644B6"/>
    <w:rsid w:val="00670479"/>
    <w:rsid w:val="006760CB"/>
    <w:rsid w:val="00683614"/>
    <w:rsid w:val="00685E0D"/>
    <w:rsid w:val="00685E93"/>
    <w:rsid w:val="0068635C"/>
    <w:rsid w:val="00693E58"/>
    <w:rsid w:val="00695AA7"/>
    <w:rsid w:val="006A2490"/>
    <w:rsid w:val="006A55F8"/>
    <w:rsid w:val="006A5E68"/>
    <w:rsid w:val="006A7E05"/>
    <w:rsid w:val="006B0B30"/>
    <w:rsid w:val="006B192B"/>
    <w:rsid w:val="006B202E"/>
    <w:rsid w:val="006B25BC"/>
    <w:rsid w:val="006B45DB"/>
    <w:rsid w:val="006B54A5"/>
    <w:rsid w:val="006B5B79"/>
    <w:rsid w:val="006C7CAF"/>
    <w:rsid w:val="006D380D"/>
    <w:rsid w:val="006D7DB6"/>
    <w:rsid w:val="006E0047"/>
    <w:rsid w:val="006E0156"/>
    <w:rsid w:val="006E0538"/>
    <w:rsid w:val="006E194C"/>
    <w:rsid w:val="006E1D4E"/>
    <w:rsid w:val="006E1DAC"/>
    <w:rsid w:val="006E21A6"/>
    <w:rsid w:val="006E4402"/>
    <w:rsid w:val="006E44EA"/>
    <w:rsid w:val="006E6344"/>
    <w:rsid w:val="006E7714"/>
    <w:rsid w:val="006F2A64"/>
    <w:rsid w:val="006F3DBE"/>
    <w:rsid w:val="006F3E16"/>
    <w:rsid w:val="00703CD5"/>
    <w:rsid w:val="00704122"/>
    <w:rsid w:val="007049AE"/>
    <w:rsid w:val="007074BE"/>
    <w:rsid w:val="00707A7C"/>
    <w:rsid w:val="00712795"/>
    <w:rsid w:val="007157A8"/>
    <w:rsid w:val="00717E46"/>
    <w:rsid w:val="00722B6A"/>
    <w:rsid w:val="00723D76"/>
    <w:rsid w:val="00724F51"/>
    <w:rsid w:val="007373B3"/>
    <w:rsid w:val="00737C1A"/>
    <w:rsid w:val="007440E8"/>
    <w:rsid w:val="00744A3B"/>
    <w:rsid w:val="00746B57"/>
    <w:rsid w:val="00750CBC"/>
    <w:rsid w:val="007511D1"/>
    <w:rsid w:val="007575D2"/>
    <w:rsid w:val="00760B18"/>
    <w:rsid w:val="00763228"/>
    <w:rsid w:val="00764345"/>
    <w:rsid w:val="00766E5A"/>
    <w:rsid w:val="00773FC2"/>
    <w:rsid w:val="0077412B"/>
    <w:rsid w:val="007744A3"/>
    <w:rsid w:val="0077458F"/>
    <w:rsid w:val="00774AFC"/>
    <w:rsid w:val="0077505D"/>
    <w:rsid w:val="00780B48"/>
    <w:rsid w:val="00784CD8"/>
    <w:rsid w:val="007866F7"/>
    <w:rsid w:val="007A489E"/>
    <w:rsid w:val="007B09AE"/>
    <w:rsid w:val="007B101F"/>
    <w:rsid w:val="007B1540"/>
    <w:rsid w:val="007B40E3"/>
    <w:rsid w:val="007B5D35"/>
    <w:rsid w:val="007C2F4F"/>
    <w:rsid w:val="007C5AD3"/>
    <w:rsid w:val="007C5CEC"/>
    <w:rsid w:val="007C60FD"/>
    <w:rsid w:val="007C7135"/>
    <w:rsid w:val="007D102C"/>
    <w:rsid w:val="007D20A8"/>
    <w:rsid w:val="007D2574"/>
    <w:rsid w:val="007D32A4"/>
    <w:rsid w:val="007D35EE"/>
    <w:rsid w:val="007E08AA"/>
    <w:rsid w:val="007E107B"/>
    <w:rsid w:val="007E1E34"/>
    <w:rsid w:val="007E2714"/>
    <w:rsid w:val="007E37EF"/>
    <w:rsid w:val="007E4ECE"/>
    <w:rsid w:val="007E6D68"/>
    <w:rsid w:val="007E7D3C"/>
    <w:rsid w:val="0080084D"/>
    <w:rsid w:val="00800997"/>
    <w:rsid w:val="008114B6"/>
    <w:rsid w:val="008150AC"/>
    <w:rsid w:val="008162A2"/>
    <w:rsid w:val="00817671"/>
    <w:rsid w:val="008223BD"/>
    <w:rsid w:val="00822B0A"/>
    <w:rsid w:val="00825134"/>
    <w:rsid w:val="0082514D"/>
    <w:rsid w:val="008265F2"/>
    <w:rsid w:val="008277ED"/>
    <w:rsid w:val="0083171F"/>
    <w:rsid w:val="00833394"/>
    <w:rsid w:val="00834A19"/>
    <w:rsid w:val="00842D9B"/>
    <w:rsid w:val="008449BB"/>
    <w:rsid w:val="00844C92"/>
    <w:rsid w:val="00844F18"/>
    <w:rsid w:val="0084671C"/>
    <w:rsid w:val="00846DBF"/>
    <w:rsid w:val="00853468"/>
    <w:rsid w:val="00854557"/>
    <w:rsid w:val="00854BEB"/>
    <w:rsid w:val="00861215"/>
    <w:rsid w:val="00862A9B"/>
    <w:rsid w:val="00863E1B"/>
    <w:rsid w:val="008662B8"/>
    <w:rsid w:val="00876A76"/>
    <w:rsid w:val="00877CF5"/>
    <w:rsid w:val="008812E1"/>
    <w:rsid w:val="00883D33"/>
    <w:rsid w:val="0088629D"/>
    <w:rsid w:val="008873ED"/>
    <w:rsid w:val="008943D9"/>
    <w:rsid w:val="00897396"/>
    <w:rsid w:val="008A523D"/>
    <w:rsid w:val="008A7DD7"/>
    <w:rsid w:val="008B156A"/>
    <w:rsid w:val="008B28D2"/>
    <w:rsid w:val="008B42E5"/>
    <w:rsid w:val="008B4455"/>
    <w:rsid w:val="008B490E"/>
    <w:rsid w:val="008B51CA"/>
    <w:rsid w:val="008C4E21"/>
    <w:rsid w:val="008C5028"/>
    <w:rsid w:val="008C5082"/>
    <w:rsid w:val="008D3745"/>
    <w:rsid w:val="008D3814"/>
    <w:rsid w:val="008D3F1C"/>
    <w:rsid w:val="008D4411"/>
    <w:rsid w:val="008E3A87"/>
    <w:rsid w:val="008E3BF7"/>
    <w:rsid w:val="008E56CC"/>
    <w:rsid w:val="008E727D"/>
    <w:rsid w:val="008F1840"/>
    <w:rsid w:val="008F3BCC"/>
    <w:rsid w:val="008F3CDB"/>
    <w:rsid w:val="008F63AE"/>
    <w:rsid w:val="009041A6"/>
    <w:rsid w:val="009042D2"/>
    <w:rsid w:val="00905594"/>
    <w:rsid w:val="00906FE0"/>
    <w:rsid w:val="00910E86"/>
    <w:rsid w:val="00911F3F"/>
    <w:rsid w:val="009140B1"/>
    <w:rsid w:val="00914128"/>
    <w:rsid w:val="009170C5"/>
    <w:rsid w:val="00923D9F"/>
    <w:rsid w:val="00924C55"/>
    <w:rsid w:val="00926083"/>
    <w:rsid w:val="00927C73"/>
    <w:rsid w:val="00931A30"/>
    <w:rsid w:val="009403A6"/>
    <w:rsid w:val="009421D6"/>
    <w:rsid w:val="009478BA"/>
    <w:rsid w:val="00947B5D"/>
    <w:rsid w:val="00947BE0"/>
    <w:rsid w:val="00950F6E"/>
    <w:rsid w:val="00951696"/>
    <w:rsid w:val="00954748"/>
    <w:rsid w:val="00957DBD"/>
    <w:rsid w:val="009604A0"/>
    <w:rsid w:val="00962D73"/>
    <w:rsid w:val="00963D9A"/>
    <w:rsid w:val="0097560C"/>
    <w:rsid w:val="009773A6"/>
    <w:rsid w:val="00982305"/>
    <w:rsid w:val="00982FA9"/>
    <w:rsid w:val="00985F66"/>
    <w:rsid w:val="00992D02"/>
    <w:rsid w:val="00993C96"/>
    <w:rsid w:val="009959E2"/>
    <w:rsid w:val="009972F1"/>
    <w:rsid w:val="009973BC"/>
    <w:rsid w:val="009A0FBC"/>
    <w:rsid w:val="009A1F55"/>
    <w:rsid w:val="009A6778"/>
    <w:rsid w:val="009B29B9"/>
    <w:rsid w:val="009B65B7"/>
    <w:rsid w:val="009B7348"/>
    <w:rsid w:val="009C1329"/>
    <w:rsid w:val="009C453A"/>
    <w:rsid w:val="009C4689"/>
    <w:rsid w:val="009C46C6"/>
    <w:rsid w:val="009D17ED"/>
    <w:rsid w:val="009D2BA0"/>
    <w:rsid w:val="009D40ED"/>
    <w:rsid w:val="009D5C33"/>
    <w:rsid w:val="009E19F5"/>
    <w:rsid w:val="009E1DCD"/>
    <w:rsid w:val="009E7BF6"/>
    <w:rsid w:val="009F6E8F"/>
    <w:rsid w:val="009F788D"/>
    <w:rsid w:val="00A00DB3"/>
    <w:rsid w:val="00A025E0"/>
    <w:rsid w:val="00A03996"/>
    <w:rsid w:val="00A04631"/>
    <w:rsid w:val="00A04A85"/>
    <w:rsid w:val="00A068F0"/>
    <w:rsid w:val="00A11144"/>
    <w:rsid w:val="00A20B63"/>
    <w:rsid w:val="00A22DD2"/>
    <w:rsid w:val="00A25FE1"/>
    <w:rsid w:val="00A2654A"/>
    <w:rsid w:val="00A270CD"/>
    <w:rsid w:val="00A3085C"/>
    <w:rsid w:val="00A37171"/>
    <w:rsid w:val="00A37DE3"/>
    <w:rsid w:val="00A41F1D"/>
    <w:rsid w:val="00A428F0"/>
    <w:rsid w:val="00A51020"/>
    <w:rsid w:val="00A52ACF"/>
    <w:rsid w:val="00A55C23"/>
    <w:rsid w:val="00A57B3F"/>
    <w:rsid w:val="00A61628"/>
    <w:rsid w:val="00A62602"/>
    <w:rsid w:val="00A63686"/>
    <w:rsid w:val="00A64F34"/>
    <w:rsid w:val="00A653A2"/>
    <w:rsid w:val="00A664E0"/>
    <w:rsid w:val="00A7036D"/>
    <w:rsid w:val="00A706FC"/>
    <w:rsid w:val="00A70E2E"/>
    <w:rsid w:val="00A72B59"/>
    <w:rsid w:val="00A73A85"/>
    <w:rsid w:val="00A824BB"/>
    <w:rsid w:val="00A84938"/>
    <w:rsid w:val="00A87BDB"/>
    <w:rsid w:val="00A93D33"/>
    <w:rsid w:val="00AA3D8E"/>
    <w:rsid w:val="00AA7059"/>
    <w:rsid w:val="00AB1F34"/>
    <w:rsid w:val="00AB2FF3"/>
    <w:rsid w:val="00AB5949"/>
    <w:rsid w:val="00AC0FA9"/>
    <w:rsid w:val="00AC214C"/>
    <w:rsid w:val="00AC54B9"/>
    <w:rsid w:val="00AC634C"/>
    <w:rsid w:val="00AD00D4"/>
    <w:rsid w:val="00AD52B2"/>
    <w:rsid w:val="00AD6BD7"/>
    <w:rsid w:val="00AE1B36"/>
    <w:rsid w:val="00AE21E1"/>
    <w:rsid w:val="00AE2B1E"/>
    <w:rsid w:val="00AE3F6B"/>
    <w:rsid w:val="00AE428D"/>
    <w:rsid w:val="00AE51E8"/>
    <w:rsid w:val="00AF1995"/>
    <w:rsid w:val="00AF1DC5"/>
    <w:rsid w:val="00AF1E9A"/>
    <w:rsid w:val="00AF3118"/>
    <w:rsid w:val="00AF49F1"/>
    <w:rsid w:val="00AF5395"/>
    <w:rsid w:val="00AF6F0B"/>
    <w:rsid w:val="00AF782D"/>
    <w:rsid w:val="00B04583"/>
    <w:rsid w:val="00B058B5"/>
    <w:rsid w:val="00B0668F"/>
    <w:rsid w:val="00B1016E"/>
    <w:rsid w:val="00B10760"/>
    <w:rsid w:val="00B13A7E"/>
    <w:rsid w:val="00B14C95"/>
    <w:rsid w:val="00B16F7A"/>
    <w:rsid w:val="00B2366F"/>
    <w:rsid w:val="00B26421"/>
    <w:rsid w:val="00B3002F"/>
    <w:rsid w:val="00B325F4"/>
    <w:rsid w:val="00B40DCD"/>
    <w:rsid w:val="00B453B2"/>
    <w:rsid w:val="00B4677F"/>
    <w:rsid w:val="00B467C8"/>
    <w:rsid w:val="00B50BB0"/>
    <w:rsid w:val="00B522C6"/>
    <w:rsid w:val="00B54106"/>
    <w:rsid w:val="00B604A8"/>
    <w:rsid w:val="00B63DFF"/>
    <w:rsid w:val="00B704DF"/>
    <w:rsid w:val="00B70737"/>
    <w:rsid w:val="00B70AD9"/>
    <w:rsid w:val="00B72C94"/>
    <w:rsid w:val="00B76CE7"/>
    <w:rsid w:val="00B77074"/>
    <w:rsid w:val="00B80A0A"/>
    <w:rsid w:val="00B87B09"/>
    <w:rsid w:val="00B9044E"/>
    <w:rsid w:val="00B90D79"/>
    <w:rsid w:val="00B917CC"/>
    <w:rsid w:val="00B9590E"/>
    <w:rsid w:val="00B95BC7"/>
    <w:rsid w:val="00B964F0"/>
    <w:rsid w:val="00BA0365"/>
    <w:rsid w:val="00BA4728"/>
    <w:rsid w:val="00BA47D7"/>
    <w:rsid w:val="00BA59F8"/>
    <w:rsid w:val="00BA6696"/>
    <w:rsid w:val="00BA795C"/>
    <w:rsid w:val="00BB00CB"/>
    <w:rsid w:val="00BB09BD"/>
    <w:rsid w:val="00BB3232"/>
    <w:rsid w:val="00BB4B74"/>
    <w:rsid w:val="00BB7ABA"/>
    <w:rsid w:val="00BC5653"/>
    <w:rsid w:val="00BC7552"/>
    <w:rsid w:val="00BD026F"/>
    <w:rsid w:val="00BE2A1D"/>
    <w:rsid w:val="00BE2FB5"/>
    <w:rsid w:val="00BE3529"/>
    <w:rsid w:val="00BE7772"/>
    <w:rsid w:val="00BF08AB"/>
    <w:rsid w:val="00BF2288"/>
    <w:rsid w:val="00BF2376"/>
    <w:rsid w:val="00BF2580"/>
    <w:rsid w:val="00BF4A32"/>
    <w:rsid w:val="00BF5726"/>
    <w:rsid w:val="00BF5801"/>
    <w:rsid w:val="00BF7C6C"/>
    <w:rsid w:val="00C02F06"/>
    <w:rsid w:val="00C10639"/>
    <w:rsid w:val="00C206C6"/>
    <w:rsid w:val="00C20A54"/>
    <w:rsid w:val="00C21C44"/>
    <w:rsid w:val="00C22459"/>
    <w:rsid w:val="00C2472D"/>
    <w:rsid w:val="00C3018F"/>
    <w:rsid w:val="00C30349"/>
    <w:rsid w:val="00C36034"/>
    <w:rsid w:val="00C37EC1"/>
    <w:rsid w:val="00C401A8"/>
    <w:rsid w:val="00C40CB5"/>
    <w:rsid w:val="00C41C00"/>
    <w:rsid w:val="00C421F0"/>
    <w:rsid w:val="00C43BB6"/>
    <w:rsid w:val="00C458AD"/>
    <w:rsid w:val="00C4653A"/>
    <w:rsid w:val="00C46FD2"/>
    <w:rsid w:val="00C511F2"/>
    <w:rsid w:val="00C54463"/>
    <w:rsid w:val="00C71250"/>
    <w:rsid w:val="00C71A80"/>
    <w:rsid w:val="00C7453E"/>
    <w:rsid w:val="00C81D9C"/>
    <w:rsid w:val="00C82421"/>
    <w:rsid w:val="00C871A8"/>
    <w:rsid w:val="00C90256"/>
    <w:rsid w:val="00C91D09"/>
    <w:rsid w:val="00C91D74"/>
    <w:rsid w:val="00C93CF4"/>
    <w:rsid w:val="00C93D90"/>
    <w:rsid w:val="00C93E59"/>
    <w:rsid w:val="00C95630"/>
    <w:rsid w:val="00C96F01"/>
    <w:rsid w:val="00CA269E"/>
    <w:rsid w:val="00CA4039"/>
    <w:rsid w:val="00CA4EDD"/>
    <w:rsid w:val="00CA61B5"/>
    <w:rsid w:val="00CB2038"/>
    <w:rsid w:val="00CB4285"/>
    <w:rsid w:val="00CB5352"/>
    <w:rsid w:val="00CC4BEE"/>
    <w:rsid w:val="00CC4ECE"/>
    <w:rsid w:val="00CD6B5D"/>
    <w:rsid w:val="00CE4972"/>
    <w:rsid w:val="00CE578C"/>
    <w:rsid w:val="00CE5D80"/>
    <w:rsid w:val="00CF04BA"/>
    <w:rsid w:val="00CF0B16"/>
    <w:rsid w:val="00CF0F4D"/>
    <w:rsid w:val="00CF26CF"/>
    <w:rsid w:val="00CF2FE9"/>
    <w:rsid w:val="00D006B0"/>
    <w:rsid w:val="00D024E5"/>
    <w:rsid w:val="00D0252B"/>
    <w:rsid w:val="00D02D01"/>
    <w:rsid w:val="00D0362E"/>
    <w:rsid w:val="00D05DB6"/>
    <w:rsid w:val="00D118DD"/>
    <w:rsid w:val="00D13935"/>
    <w:rsid w:val="00D153CF"/>
    <w:rsid w:val="00D27B4A"/>
    <w:rsid w:val="00D27F67"/>
    <w:rsid w:val="00D30A11"/>
    <w:rsid w:val="00D32485"/>
    <w:rsid w:val="00D3391D"/>
    <w:rsid w:val="00D341C3"/>
    <w:rsid w:val="00D35133"/>
    <w:rsid w:val="00D35E89"/>
    <w:rsid w:val="00D3614F"/>
    <w:rsid w:val="00D44004"/>
    <w:rsid w:val="00D44BD1"/>
    <w:rsid w:val="00D44E70"/>
    <w:rsid w:val="00D523B8"/>
    <w:rsid w:val="00D547B9"/>
    <w:rsid w:val="00D55A8B"/>
    <w:rsid w:val="00D62D4F"/>
    <w:rsid w:val="00D663F5"/>
    <w:rsid w:val="00D6727F"/>
    <w:rsid w:val="00D70F66"/>
    <w:rsid w:val="00D73E17"/>
    <w:rsid w:val="00D75B4B"/>
    <w:rsid w:val="00D75DA0"/>
    <w:rsid w:val="00D82211"/>
    <w:rsid w:val="00D93187"/>
    <w:rsid w:val="00D94EAB"/>
    <w:rsid w:val="00DA5F67"/>
    <w:rsid w:val="00DA6AAE"/>
    <w:rsid w:val="00DB0050"/>
    <w:rsid w:val="00DB13B3"/>
    <w:rsid w:val="00DB1F1D"/>
    <w:rsid w:val="00DB4761"/>
    <w:rsid w:val="00DB4DCF"/>
    <w:rsid w:val="00DB5BCB"/>
    <w:rsid w:val="00DC1802"/>
    <w:rsid w:val="00DC5396"/>
    <w:rsid w:val="00DC56FB"/>
    <w:rsid w:val="00DC77AE"/>
    <w:rsid w:val="00DC79A9"/>
    <w:rsid w:val="00DD1225"/>
    <w:rsid w:val="00DD35FE"/>
    <w:rsid w:val="00DD3B70"/>
    <w:rsid w:val="00DD5078"/>
    <w:rsid w:val="00DD7201"/>
    <w:rsid w:val="00DE0095"/>
    <w:rsid w:val="00DE3720"/>
    <w:rsid w:val="00DE444D"/>
    <w:rsid w:val="00DE456C"/>
    <w:rsid w:val="00DE46F1"/>
    <w:rsid w:val="00DE6109"/>
    <w:rsid w:val="00DE6D07"/>
    <w:rsid w:val="00DF022F"/>
    <w:rsid w:val="00DF033A"/>
    <w:rsid w:val="00E00190"/>
    <w:rsid w:val="00E03DDF"/>
    <w:rsid w:val="00E04247"/>
    <w:rsid w:val="00E05EB8"/>
    <w:rsid w:val="00E104FF"/>
    <w:rsid w:val="00E11EDD"/>
    <w:rsid w:val="00E145A6"/>
    <w:rsid w:val="00E15381"/>
    <w:rsid w:val="00E15A55"/>
    <w:rsid w:val="00E16704"/>
    <w:rsid w:val="00E20546"/>
    <w:rsid w:val="00E20978"/>
    <w:rsid w:val="00E250CD"/>
    <w:rsid w:val="00E25117"/>
    <w:rsid w:val="00E265F0"/>
    <w:rsid w:val="00E26902"/>
    <w:rsid w:val="00E26FD0"/>
    <w:rsid w:val="00E30A5B"/>
    <w:rsid w:val="00E36EA4"/>
    <w:rsid w:val="00E378E1"/>
    <w:rsid w:val="00E403CC"/>
    <w:rsid w:val="00E41103"/>
    <w:rsid w:val="00E4127A"/>
    <w:rsid w:val="00E42BFA"/>
    <w:rsid w:val="00E43440"/>
    <w:rsid w:val="00E4713E"/>
    <w:rsid w:val="00E5023F"/>
    <w:rsid w:val="00E52B6E"/>
    <w:rsid w:val="00E52C8C"/>
    <w:rsid w:val="00E53EEE"/>
    <w:rsid w:val="00E54029"/>
    <w:rsid w:val="00E543B4"/>
    <w:rsid w:val="00E54D88"/>
    <w:rsid w:val="00E5507B"/>
    <w:rsid w:val="00E6184B"/>
    <w:rsid w:val="00E63066"/>
    <w:rsid w:val="00E63D2A"/>
    <w:rsid w:val="00E642DD"/>
    <w:rsid w:val="00E66220"/>
    <w:rsid w:val="00E66C77"/>
    <w:rsid w:val="00E71153"/>
    <w:rsid w:val="00E74BA8"/>
    <w:rsid w:val="00E74EC3"/>
    <w:rsid w:val="00E813DD"/>
    <w:rsid w:val="00E84134"/>
    <w:rsid w:val="00E851EE"/>
    <w:rsid w:val="00E85855"/>
    <w:rsid w:val="00E86013"/>
    <w:rsid w:val="00E91404"/>
    <w:rsid w:val="00E91E20"/>
    <w:rsid w:val="00E91E34"/>
    <w:rsid w:val="00E921CB"/>
    <w:rsid w:val="00E925BB"/>
    <w:rsid w:val="00E92E80"/>
    <w:rsid w:val="00E9387A"/>
    <w:rsid w:val="00E95320"/>
    <w:rsid w:val="00E96009"/>
    <w:rsid w:val="00E9607D"/>
    <w:rsid w:val="00EA341D"/>
    <w:rsid w:val="00EA37DC"/>
    <w:rsid w:val="00EA44B6"/>
    <w:rsid w:val="00EA4885"/>
    <w:rsid w:val="00EA48A2"/>
    <w:rsid w:val="00EA644D"/>
    <w:rsid w:val="00EA73CC"/>
    <w:rsid w:val="00EB2A7F"/>
    <w:rsid w:val="00EB4E08"/>
    <w:rsid w:val="00EC1F0B"/>
    <w:rsid w:val="00EC4425"/>
    <w:rsid w:val="00EC6D7F"/>
    <w:rsid w:val="00EC6E97"/>
    <w:rsid w:val="00ED0284"/>
    <w:rsid w:val="00ED2888"/>
    <w:rsid w:val="00ED5CAC"/>
    <w:rsid w:val="00EE3449"/>
    <w:rsid w:val="00EE3B71"/>
    <w:rsid w:val="00EE7DEC"/>
    <w:rsid w:val="00EF00B2"/>
    <w:rsid w:val="00EF2931"/>
    <w:rsid w:val="00EF2D6C"/>
    <w:rsid w:val="00EF3329"/>
    <w:rsid w:val="00EF5BAB"/>
    <w:rsid w:val="00F04301"/>
    <w:rsid w:val="00F05152"/>
    <w:rsid w:val="00F05B20"/>
    <w:rsid w:val="00F068D7"/>
    <w:rsid w:val="00F06CB7"/>
    <w:rsid w:val="00F06DF2"/>
    <w:rsid w:val="00F227C6"/>
    <w:rsid w:val="00F231F1"/>
    <w:rsid w:val="00F25CE3"/>
    <w:rsid w:val="00F30857"/>
    <w:rsid w:val="00F316EF"/>
    <w:rsid w:val="00F31ECE"/>
    <w:rsid w:val="00F329CE"/>
    <w:rsid w:val="00F32CD1"/>
    <w:rsid w:val="00F41092"/>
    <w:rsid w:val="00F426DD"/>
    <w:rsid w:val="00F45990"/>
    <w:rsid w:val="00F50295"/>
    <w:rsid w:val="00F51E66"/>
    <w:rsid w:val="00F5287A"/>
    <w:rsid w:val="00F53333"/>
    <w:rsid w:val="00F5357A"/>
    <w:rsid w:val="00F53821"/>
    <w:rsid w:val="00F55804"/>
    <w:rsid w:val="00F55AE2"/>
    <w:rsid w:val="00F57995"/>
    <w:rsid w:val="00F57B48"/>
    <w:rsid w:val="00F6021B"/>
    <w:rsid w:val="00F6119C"/>
    <w:rsid w:val="00F6157C"/>
    <w:rsid w:val="00F616FA"/>
    <w:rsid w:val="00F61E3D"/>
    <w:rsid w:val="00F62CAA"/>
    <w:rsid w:val="00F6358B"/>
    <w:rsid w:val="00F65F9B"/>
    <w:rsid w:val="00F72800"/>
    <w:rsid w:val="00F75B8E"/>
    <w:rsid w:val="00F801C6"/>
    <w:rsid w:val="00F80BB2"/>
    <w:rsid w:val="00F812C6"/>
    <w:rsid w:val="00F825E6"/>
    <w:rsid w:val="00F82783"/>
    <w:rsid w:val="00F84519"/>
    <w:rsid w:val="00F8647E"/>
    <w:rsid w:val="00F866DE"/>
    <w:rsid w:val="00F905E9"/>
    <w:rsid w:val="00F90F2B"/>
    <w:rsid w:val="00F91599"/>
    <w:rsid w:val="00F91745"/>
    <w:rsid w:val="00F945A9"/>
    <w:rsid w:val="00F966FA"/>
    <w:rsid w:val="00F970B2"/>
    <w:rsid w:val="00FA07C3"/>
    <w:rsid w:val="00FA1445"/>
    <w:rsid w:val="00FA58B6"/>
    <w:rsid w:val="00FB001E"/>
    <w:rsid w:val="00FB10BE"/>
    <w:rsid w:val="00FB1E00"/>
    <w:rsid w:val="00FB7DF6"/>
    <w:rsid w:val="00FC2572"/>
    <w:rsid w:val="00FC349A"/>
    <w:rsid w:val="00FD06B0"/>
    <w:rsid w:val="00FD1D85"/>
    <w:rsid w:val="00FD30F0"/>
    <w:rsid w:val="00FD5150"/>
    <w:rsid w:val="00FD7D2A"/>
    <w:rsid w:val="00FE03B9"/>
    <w:rsid w:val="00FE1172"/>
    <w:rsid w:val="00FE2809"/>
    <w:rsid w:val="00FE59A0"/>
    <w:rsid w:val="00FF11ED"/>
    <w:rsid w:val="00FF25DD"/>
    <w:rsid w:val="00FF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paragraph" w:styleId="ListParagraph">
    <w:name w:val="List Paragraph"/>
    <w:basedOn w:val="Normal"/>
    <w:uiPriority w:val="34"/>
    <w:qFormat/>
    <w:rsid w:val="00E167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paragraph" w:styleId="ListParagraph">
    <w:name w:val="List Paragraph"/>
    <w:basedOn w:val="Normal"/>
    <w:uiPriority w:val="34"/>
    <w:qFormat/>
    <w:rsid w:val="00E16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6CC3-20E8-47DB-B764-D45AAA6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90</cp:revision>
  <cp:lastPrinted>2012-10-24T16:57:00Z</cp:lastPrinted>
  <dcterms:created xsi:type="dcterms:W3CDTF">2012-10-15T15:30:00Z</dcterms:created>
  <dcterms:modified xsi:type="dcterms:W3CDTF">2012-10-24T16:57:00Z</dcterms:modified>
</cp:coreProperties>
</file>