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6E2" w:rsidRDefault="004B26E2" w:rsidP="004B26E2">
      <w:pPr>
        <w:jc w:val="center"/>
        <w:rPr>
          <w:b/>
        </w:rPr>
      </w:pPr>
      <w:r>
        <w:tab/>
      </w:r>
      <w:r>
        <w:rPr>
          <w:b/>
        </w:rPr>
        <w:t>BEFORE THE</w:t>
      </w:r>
    </w:p>
    <w:p w:rsidR="004B26E2" w:rsidRDefault="004B26E2" w:rsidP="004B26E2">
      <w:pPr>
        <w:jc w:val="center"/>
      </w:pPr>
      <w:smartTag w:uri="urn:schemas-microsoft-com:office:smarttags" w:element="State">
        <w:smartTag w:uri="urn:schemas-microsoft-com:office:smarttags" w:element="place">
          <w:r>
            <w:rPr>
              <w:b/>
            </w:rPr>
            <w:t>PENNSYLVANIA</w:t>
          </w:r>
        </w:smartTag>
      </w:smartTag>
      <w:r>
        <w:rPr>
          <w:b/>
        </w:rPr>
        <w:t xml:space="preserve"> PUBLIC UTILITY COMMISSION</w:t>
      </w:r>
    </w:p>
    <w:p w:rsidR="004B26E2" w:rsidRDefault="004B26E2" w:rsidP="004B26E2"/>
    <w:p w:rsidR="004B26E2" w:rsidRDefault="004B26E2" w:rsidP="004B26E2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8"/>
        <w:gridCol w:w="450"/>
        <w:gridCol w:w="3870"/>
      </w:tblGrid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9F64F2" w:rsidRPr="00754C39" w:rsidRDefault="009F64F2" w:rsidP="0047603A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 xml:space="preserve">Public Meeting held </w:t>
            </w:r>
            <w:r w:rsidR="0047603A">
              <w:rPr>
                <w:sz w:val="26"/>
                <w:szCs w:val="26"/>
              </w:rPr>
              <w:t>October 24, 2012</w:t>
            </w: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Commissioners Present:</w:t>
            </w:r>
          </w:p>
        </w:tc>
        <w:tc>
          <w:tcPr>
            <w:tcW w:w="4320" w:type="dxa"/>
            <w:gridSpan w:val="2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5148" w:type="dxa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  <w:tc>
          <w:tcPr>
            <w:tcW w:w="4320" w:type="dxa"/>
            <w:gridSpan w:val="2"/>
          </w:tcPr>
          <w:p w:rsidR="009F64F2" w:rsidRPr="00754C39" w:rsidRDefault="009F64F2" w:rsidP="009F64F2">
            <w:pPr>
              <w:rPr>
                <w:sz w:val="26"/>
                <w:szCs w:val="26"/>
              </w:rPr>
            </w:pPr>
          </w:p>
        </w:tc>
      </w:tr>
      <w:tr w:rsidR="009F64F2" w:rsidRPr="00754C39" w:rsidTr="009F64F2">
        <w:tc>
          <w:tcPr>
            <w:tcW w:w="9468" w:type="dxa"/>
            <w:gridSpan w:val="3"/>
          </w:tcPr>
          <w:p w:rsidR="009F64F2" w:rsidRPr="0047603A" w:rsidRDefault="0047603A" w:rsidP="0047603A">
            <w:pPr>
              <w:pStyle w:val="p5"/>
              <w:rPr>
                <w:sz w:val="26"/>
                <w:szCs w:val="26"/>
              </w:rPr>
            </w:pPr>
            <w:r w:rsidRPr="0047603A">
              <w:rPr>
                <w:sz w:val="26"/>
                <w:szCs w:val="26"/>
              </w:rPr>
              <w:t xml:space="preserve">Robert F. Powelson, </w:t>
            </w:r>
            <w:r w:rsidR="009F64F2" w:rsidRPr="0047603A">
              <w:rPr>
                <w:sz w:val="26"/>
                <w:szCs w:val="26"/>
              </w:rPr>
              <w:t>Chairman</w:t>
            </w:r>
          </w:p>
        </w:tc>
      </w:tr>
      <w:tr w:rsidR="009F64F2" w:rsidRPr="00754C39" w:rsidTr="009F64F2">
        <w:tc>
          <w:tcPr>
            <w:tcW w:w="9468" w:type="dxa"/>
            <w:gridSpan w:val="3"/>
          </w:tcPr>
          <w:p w:rsidR="009F64F2" w:rsidRPr="0047603A" w:rsidRDefault="0047603A" w:rsidP="009F64F2">
            <w:pPr>
              <w:pStyle w:val="p5"/>
              <w:rPr>
                <w:sz w:val="26"/>
                <w:szCs w:val="26"/>
              </w:rPr>
            </w:pPr>
            <w:r w:rsidRPr="0047603A">
              <w:rPr>
                <w:sz w:val="26"/>
                <w:szCs w:val="26"/>
              </w:rPr>
              <w:t>John F. Coleman, Jr.</w:t>
            </w:r>
            <w:r w:rsidR="009F64F2" w:rsidRPr="0047603A">
              <w:rPr>
                <w:sz w:val="26"/>
                <w:szCs w:val="26"/>
              </w:rPr>
              <w:t>, Vice Chairman</w:t>
            </w:r>
          </w:p>
          <w:p w:rsidR="009F64F2" w:rsidRPr="0047603A" w:rsidRDefault="009F64F2" w:rsidP="009F64F2">
            <w:pPr>
              <w:pStyle w:val="p5"/>
              <w:rPr>
                <w:sz w:val="26"/>
                <w:szCs w:val="26"/>
              </w:rPr>
            </w:pPr>
            <w:r w:rsidRPr="0047603A">
              <w:rPr>
                <w:sz w:val="26"/>
                <w:szCs w:val="26"/>
              </w:rPr>
              <w:t>Wayne E. Gardner</w:t>
            </w:r>
          </w:p>
          <w:p w:rsidR="0047603A" w:rsidRPr="0047603A" w:rsidRDefault="0047603A" w:rsidP="009F64F2">
            <w:pPr>
              <w:pStyle w:val="p5"/>
              <w:rPr>
                <w:sz w:val="26"/>
                <w:szCs w:val="26"/>
              </w:rPr>
            </w:pPr>
            <w:r w:rsidRPr="0047603A">
              <w:rPr>
                <w:sz w:val="26"/>
                <w:szCs w:val="26"/>
              </w:rPr>
              <w:t>James H. Cawley</w:t>
            </w:r>
          </w:p>
          <w:p w:rsidR="009F64F2" w:rsidRPr="0047603A" w:rsidRDefault="0047603A" w:rsidP="009F64F2">
            <w:pPr>
              <w:pStyle w:val="p5"/>
              <w:rPr>
                <w:sz w:val="26"/>
                <w:szCs w:val="26"/>
              </w:rPr>
            </w:pPr>
            <w:r w:rsidRPr="0047603A">
              <w:rPr>
                <w:sz w:val="26"/>
                <w:szCs w:val="26"/>
              </w:rPr>
              <w:t>Pamela A. Witmer</w:t>
            </w:r>
          </w:p>
        </w:tc>
      </w:tr>
      <w:tr w:rsidR="009F64F2" w:rsidRPr="00754C39" w:rsidTr="009F64F2">
        <w:tc>
          <w:tcPr>
            <w:tcW w:w="9468" w:type="dxa"/>
            <w:gridSpan w:val="3"/>
          </w:tcPr>
          <w:p w:rsidR="009F64F2" w:rsidRPr="00754C39" w:rsidRDefault="009F64F2" w:rsidP="009F64F2">
            <w:pPr>
              <w:pStyle w:val="p5"/>
              <w:rPr>
                <w:sz w:val="26"/>
                <w:szCs w:val="26"/>
              </w:rPr>
            </w:pPr>
          </w:p>
        </w:tc>
      </w:tr>
      <w:tr w:rsidR="009F64F2" w:rsidRPr="00754C39" w:rsidTr="0047603A">
        <w:tc>
          <w:tcPr>
            <w:tcW w:w="5598" w:type="dxa"/>
            <w:gridSpan w:val="2"/>
          </w:tcPr>
          <w:p w:rsidR="0047603A" w:rsidRDefault="0047603A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Rulemaking Re:  Marketing and Sales </w:t>
            </w:r>
          </w:p>
          <w:p w:rsidR="009F64F2" w:rsidRPr="00754C39" w:rsidRDefault="0047603A" w:rsidP="009F64F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Practices for the Retail Residential Energy Market</w:t>
            </w:r>
          </w:p>
        </w:tc>
        <w:tc>
          <w:tcPr>
            <w:tcW w:w="3870" w:type="dxa"/>
            <w:vAlign w:val="center"/>
          </w:tcPr>
          <w:p w:rsidR="009F64F2" w:rsidRPr="00754C39" w:rsidRDefault="009F64F2" w:rsidP="009F64F2">
            <w:pPr>
              <w:ind w:firstLine="1332"/>
              <w:rPr>
                <w:sz w:val="26"/>
                <w:szCs w:val="26"/>
              </w:rPr>
            </w:pPr>
            <w:r w:rsidRPr="00754C39">
              <w:rPr>
                <w:sz w:val="26"/>
                <w:szCs w:val="26"/>
              </w:rPr>
              <w:t>Docket Number:</w:t>
            </w:r>
          </w:p>
          <w:p w:rsidR="009F64F2" w:rsidRPr="00754C39" w:rsidRDefault="0047603A" w:rsidP="009F64F2">
            <w:pPr>
              <w:ind w:firstLine="133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L-2010-2208332</w:t>
            </w:r>
          </w:p>
        </w:tc>
      </w:tr>
    </w:tbl>
    <w:p w:rsidR="004B26E2" w:rsidRDefault="004B26E2" w:rsidP="004B26E2"/>
    <w:p w:rsidR="00560082" w:rsidRDefault="00560082" w:rsidP="00560082"/>
    <w:p w:rsidR="00061AA0" w:rsidRDefault="00061AA0" w:rsidP="004B26E2">
      <w:pPr>
        <w:spacing w:line="360" w:lineRule="auto"/>
      </w:pPr>
    </w:p>
    <w:p w:rsidR="00061AA0" w:rsidRPr="00103290" w:rsidRDefault="00061AA0" w:rsidP="00061AA0">
      <w:pPr>
        <w:jc w:val="center"/>
        <w:rPr>
          <w:sz w:val="22"/>
          <w:szCs w:val="22"/>
        </w:rPr>
      </w:pPr>
      <w:r w:rsidRPr="00103290">
        <w:rPr>
          <w:b/>
          <w:bCs/>
          <w:u w:val="single"/>
        </w:rPr>
        <w:t xml:space="preserve">ERRATA NOTICE </w:t>
      </w: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061AA0" w:rsidRPr="00103290" w:rsidRDefault="00061AA0" w:rsidP="00061AA0">
      <w:pPr>
        <w:ind w:firstLine="1440"/>
        <w:jc w:val="center"/>
        <w:rPr>
          <w:sz w:val="22"/>
          <w:szCs w:val="22"/>
        </w:rPr>
      </w:pPr>
    </w:p>
    <w:p w:rsidR="00F922A0" w:rsidRDefault="00061AA0" w:rsidP="00E85D5D">
      <w:pPr>
        <w:spacing w:line="360" w:lineRule="auto"/>
        <w:ind w:firstLine="1440"/>
        <w:jc w:val="both"/>
      </w:pPr>
      <w:r w:rsidRPr="00103290">
        <w:t xml:space="preserve">This is to advise all parties of record that </w:t>
      </w:r>
      <w:r w:rsidR="00180DB7">
        <w:t>the Order</w:t>
      </w:r>
      <w:r w:rsidRPr="00103290">
        <w:t xml:space="preserve"> </w:t>
      </w:r>
      <w:r w:rsidR="00693018">
        <w:t xml:space="preserve">entered on </w:t>
      </w:r>
      <w:r w:rsidR="0047603A">
        <w:t>October 24, 2012</w:t>
      </w:r>
      <w:r w:rsidR="00180DB7">
        <w:t>,</w:t>
      </w:r>
      <w:r w:rsidRPr="00103290">
        <w:t xml:space="preserve"> in the above-captioned proceeding contains</w:t>
      </w:r>
      <w:r w:rsidR="00F922A0">
        <w:t xml:space="preserve"> </w:t>
      </w:r>
      <w:r>
        <w:t>erro</w:t>
      </w:r>
      <w:r w:rsidR="00FA0973">
        <w:t>r</w:t>
      </w:r>
      <w:r w:rsidR="00180DB7">
        <w:t>s</w:t>
      </w:r>
      <w:r w:rsidR="0047603A">
        <w:t xml:space="preserve"> in Annex A, on Page 5 and Page 11.</w:t>
      </w:r>
    </w:p>
    <w:p w:rsidR="00F922A0" w:rsidRDefault="00F922A0" w:rsidP="00E85D5D">
      <w:pPr>
        <w:spacing w:line="360" w:lineRule="auto"/>
        <w:ind w:firstLine="1440"/>
        <w:jc w:val="both"/>
      </w:pPr>
    </w:p>
    <w:p w:rsidR="00061AA0" w:rsidRDefault="0047603A" w:rsidP="00E85D5D">
      <w:pPr>
        <w:spacing w:line="360" w:lineRule="auto"/>
        <w:ind w:firstLine="1440"/>
        <w:jc w:val="both"/>
      </w:pPr>
      <w:r>
        <w:t xml:space="preserve">On Page 5, pertaining to Section 111.4(2), the word “WHERE” was changed to “WHEN”.  On Page 11, pertaining to Section 111.8(c), the words “THAT DOES NOT EXIST” was </w:t>
      </w:r>
      <w:r w:rsidR="008E69EA">
        <w:t>moved from the end of the sentence;</w:t>
      </w:r>
      <w:r>
        <w:t xml:space="preserve"> and</w:t>
      </w:r>
      <w:r w:rsidR="008E69EA">
        <w:t>,</w:t>
      </w:r>
      <w:r>
        <w:t xml:space="preserve"> now reads in part, “….SUGGESTS A RELATIONSHIP THAT DOES NOT EXIST WITH ANY EDC, NDGC, GOVERNMENT AGENCY OR ANOTHER SUPPLIER.”  </w:t>
      </w:r>
      <w:r w:rsidR="00A253F8">
        <w:t xml:space="preserve">Please find the </w:t>
      </w:r>
      <w:r w:rsidR="00A253F8" w:rsidRPr="0047603A">
        <w:t>corrected page</w:t>
      </w:r>
      <w:r w:rsidR="00813ED3" w:rsidRPr="0047603A">
        <w:t>s</w:t>
      </w:r>
      <w:r w:rsidR="00A253F8">
        <w:t xml:space="preserve"> attached</w:t>
      </w:r>
      <w:r w:rsidR="00D67425">
        <w:t xml:space="preserve"> for your records</w:t>
      </w:r>
      <w:r w:rsidR="00A253F8">
        <w:t>.</w:t>
      </w:r>
      <w:r w:rsidR="00061AA0">
        <w:t xml:space="preserve">  </w:t>
      </w:r>
    </w:p>
    <w:p w:rsidR="00813ED3" w:rsidRDefault="00813ED3" w:rsidP="00E85D5D">
      <w:pPr>
        <w:spacing w:line="360" w:lineRule="auto"/>
        <w:ind w:firstLine="1440"/>
        <w:jc w:val="both"/>
      </w:pPr>
    </w:p>
    <w:p w:rsidR="00541786" w:rsidRDefault="00061AA0" w:rsidP="00E85D5D">
      <w:pPr>
        <w:spacing w:line="360" w:lineRule="auto"/>
        <w:ind w:firstLine="1440"/>
        <w:jc w:val="both"/>
      </w:pPr>
      <w:r w:rsidRPr="00103290">
        <w:t xml:space="preserve">The </w:t>
      </w:r>
      <w:r w:rsidR="00560082">
        <w:t>Order</w:t>
      </w:r>
      <w:r w:rsidRPr="00103290">
        <w:t xml:space="preserve"> on the PA PUC website will be corrected as indicated above. </w:t>
      </w:r>
    </w:p>
    <w:p w:rsidR="003A65FB" w:rsidRPr="00B1704E" w:rsidRDefault="00541786" w:rsidP="003A65FB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br w:type="page"/>
      </w:r>
      <w:proofErr w:type="gramStart"/>
      <w:r w:rsidR="003A65FB" w:rsidRPr="00B1704E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>MUST OBTAIN A CRIMINAL HISTORY RECORD NOT LATER THAN 90 DAYS AFTER THE EFFECTIVE DATE OF THIS REGULATION.</w:t>
      </w:r>
      <w:proofErr w:type="gramEnd"/>
    </w:p>
    <w:p w:rsidR="003A65FB" w:rsidRPr="00B1704E" w:rsidRDefault="003A65FB" w:rsidP="003A65FB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(1)  The criminal background investigation shall include checking the sex offender registry commonly referred to as the “Megan’s Law” registry maintained by the Pennsylvania State Police.  </w:t>
      </w:r>
    </w:p>
    <w:p w:rsidR="003A65FB" w:rsidRPr="00B1704E" w:rsidRDefault="003A65FB" w:rsidP="003A65FB">
      <w:pPr>
        <w:pStyle w:val="ListParagraph"/>
        <w:spacing w:line="360" w:lineRule="auto"/>
        <w:ind w:left="0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17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(2)  </w:t>
      </w:r>
      <w:r w:rsidRPr="00B1704E">
        <w:rPr>
          <w:rFonts w:ascii="Times New Roman" w:hAnsi="Times New Roman" w:cs="Times New Roman"/>
          <w:strike/>
          <w:color w:val="000000" w:themeColor="text1"/>
          <w:sz w:val="26"/>
          <w:szCs w:val="26"/>
        </w:rPr>
        <w:t>There shall be a presumption that a person whose name is listed on the “Megan’s Law” registry presents a threat to the health and safety of the public.</w:t>
      </w:r>
      <w:r w:rsidRPr="00B17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A SUPPLIER MAY NOT HIRE A PERSON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AS AN EMPLOYEE OR AN AGENT FOR DOOR-TO-DOOR MARKETING OR SALES </w:t>
      </w:r>
      <w:r w:rsidRPr="00B1704E">
        <w:rPr>
          <w:rFonts w:ascii="Times New Roman" w:hAnsi="Times New Roman" w:cs="Times New Roman"/>
          <w:color w:val="000000" w:themeColor="text1"/>
          <w:sz w:val="26"/>
          <w:szCs w:val="26"/>
        </w:rPr>
        <w:t>WHO WAS CONVICTED OF A FELONY OR MISDEMEANOR WHE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N</w:t>
      </w:r>
      <w:r w:rsidRPr="00B1704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THE CONVICTION REFLECTS ADVERSELY ON THE PERSON’S SUITABILITY FOR SUCH EMPLOYMENT.</w:t>
      </w:r>
    </w:p>
    <w:p w:rsidR="003A65FB" w:rsidRPr="00263674" w:rsidRDefault="003A65FB" w:rsidP="003A65FB">
      <w:pPr>
        <w:spacing w:line="360" w:lineRule="auto"/>
        <w:rPr>
          <w:rFonts w:eastAsia="Calibri"/>
          <w:color w:val="000000" w:themeColor="text1"/>
          <w:sz w:val="26"/>
          <w:szCs w:val="26"/>
        </w:rPr>
      </w:pPr>
      <w:r w:rsidRPr="00263674">
        <w:rPr>
          <w:rFonts w:eastAsia="Calibri"/>
          <w:color w:val="000000" w:themeColor="text1"/>
          <w:sz w:val="26"/>
          <w:szCs w:val="26"/>
        </w:rPr>
        <w:t xml:space="preserve">  (c)  When a supplier contracts with an independent contractor or vendor to perform door-to-door activities, the supplier shall confirm that the contractor or vendor has performed criminal background investigations on its </w:t>
      </w:r>
      <w:r w:rsidRPr="00263674">
        <w:rPr>
          <w:rFonts w:eastAsia="Calibri"/>
          <w:strike/>
          <w:color w:val="000000" w:themeColor="text1"/>
          <w:sz w:val="26"/>
          <w:szCs w:val="26"/>
        </w:rPr>
        <w:t>employees and</w:t>
      </w:r>
      <w:r w:rsidRPr="00263674">
        <w:rPr>
          <w:rFonts w:eastAsia="Calibri"/>
          <w:color w:val="000000" w:themeColor="text1"/>
          <w:sz w:val="26"/>
          <w:szCs w:val="26"/>
        </w:rPr>
        <w:t xml:space="preserve"> agents in accordance with this section and with the standards set by the supplier.    </w:t>
      </w:r>
    </w:p>
    <w:p w:rsidR="003A65FB" w:rsidRPr="00263674" w:rsidRDefault="003A65FB" w:rsidP="003A65FB">
      <w:pPr>
        <w:spacing w:line="360" w:lineRule="auto"/>
        <w:rPr>
          <w:rFonts w:eastAsia="Calibri"/>
          <w:color w:val="000000" w:themeColor="text1"/>
          <w:sz w:val="26"/>
          <w:szCs w:val="26"/>
        </w:rPr>
      </w:pPr>
      <w:r w:rsidRPr="00263674">
        <w:rPr>
          <w:rFonts w:eastAsia="Calibri"/>
          <w:color w:val="000000" w:themeColor="text1"/>
          <w:sz w:val="26"/>
          <w:szCs w:val="26"/>
        </w:rPr>
        <w:t xml:space="preserve">  </w:t>
      </w:r>
    </w:p>
    <w:p w:rsidR="003A65FB" w:rsidRPr="00263674" w:rsidRDefault="003A65FB" w:rsidP="003A65FB">
      <w:pPr>
        <w:keepNext/>
        <w:spacing w:before="100" w:after="100" w:line="360" w:lineRule="auto"/>
        <w:outlineLvl w:val="3"/>
        <w:rPr>
          <w:b/>
          <w:bCs/>
          <w:color w:val="000000" w:themeColor="text1"/>
          <w:sz w:val="26"/>
          <w:szCs w:val="26"/>
        </w:rPr>
      </w:pPr>
      <w:r w:rsidRPr="00263674">
        <w:rPr>
          <w:b/>
          <w:bCs/>
          <w:color w:val="000000" w:themeColor="text1"/>
          <w:sz w:val="26"/>
          <w:szCs w:val="26"/>
        </w:rPr>
        <w:t>§</w:t>
      </w:r>
      <w:r w:rsidRPr="00263674">
        <w:rPr>
          <w:b/>
          <w:bCs/>
          <w:color w:val="000000" w:themeColor="text1"/>
          <w:sz w:val="26"/>
          <w:szCs w:val="26"/>
        </w:rPr>
        <w:t> </w:t>
      </w:r>
      <w:r w:rsidRPr="00263674">
        <w:rPr>
          <w:b/>
          <w:bCs/>
          <w:color w:val="000000" w:themeColor="text1"/>
          <w:sz w:val="26"/>
          <w:szCs w:val="26"/>
        </w:rPr>
        <w:t>111.5.</w:t>
      </w:r>
      <w:r w:rsidRPr="00263674">
        <w:rPr>
          <w:b/>
          <w:bCs/>
          <w:color w:val="000000" w:themeColor="text1"/>
          <w:sz w:val="26"/>
          <w:szCs w:val="26"/>
        </w:rPr>
        <w:t> </w:t>
      </w:r>
      <w:proofErr w:type="gramStart"/>
      <w:r w:rsidRPr="00263674">
        <w:rPr>
          <w:b/>
          <w:bCs/>
          <w:color w:val="000000" w:themeColor="text1"/>
          <w:sz w:val="26"/>
          <w:szCs w:val="26"/>
        </w:rPr>
        <w:t>Agent training.</w:t>
      </w:r>
      <w:proofErr w:type="gramEnd"/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(a</w:t>
      </w:r>
      <w:proofErr w:type="gramStart"/>
      <w:r w:rsidRPr="00263674">
        <w:rPr>
          <w:color w:val="000000" w:themeColor="text1"/>
          <w:sz w:val="26"/>
          <w:szCs w:val="26"/>
        </w:rPr>
        <w:t>)</w:t>
      </w:r>
      <w:proofErr w:type="gramEnd"/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A supplier shall ensure the training of its agents on the following subjects: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(1</w:t>
      </w:r>
      <w:proofErr w:type="gramStart"/>
      <w:r w:rsidRPr="00263674">
        <w:rPr>
          <w:color w:val="000000" w:themeColor="text1"/>
          <w:sz w:val="26"/>
          <w:szCs w:val="26"/>
        </w:rPr>
        <w:t>)</w:t>
      </w:r>
      <w:proofErr w:type="gramEnd"/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State and Federal laws and regulations that govern marketing, telemarketing, consumer protection and door-to-door sales, including consumer protection regulations in Chapters 54 and 62 (relating to electricity generation customer choice; and natural gas supply customer choice) and applicable provisions in Chapters 56, 57 and 59 (relating to standards and billing practices for residential utility service; electric service; and gas service); AND PENNSYLVANIA’S TELEMARKETER REGISTRATION ACT.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(2</w:t>
      </w:r>
      <w:proofErr w:type="gramStart"/>
      <w:r w:rsidRPr="00263674">
        <w:rPr>
          <w:color w:val="000000" w:themeColor="text1"/>
          <w:sz w:val="26"/>
          <w:szCs w:val="26"/>
        </w:rPr>
        <w:t>)</w:t>
      </w:r>
      <w:proofErr w:type="gramEnd"/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Responsible and ethical sales practices AS DESCRIBED IN THESE REGULATIONS.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(3</w:t>
      </w:r>
      <w:proofErr w:type="gramStart"/>
      <w:r w:rsidRPr="00263674">
        <w:rPr>
          <w:color w:val="000000" w:themeColor="text1"/>
          <w:sz w:val="26"/>
          <w:szCs w:val="26"/>
        </w:rPr>
        <w:t>)</w:t>
      </w:r>
      <w:proofErr w:type="gramEnd"/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The supplier's products and services.</w:t>
      </w:r>
    </w:p>
    <w:p w:rsidR="008E69EA" w:rsidRDefault="008E69EA">
      <w:bookmarkStart w:id="0" w:name="_GoBack"/>
      <w:bookmarkEnd w:id="0"/>
    </w:p>
    <w:p w:rsidR="003A65FB" w:rsidRDefault="003A65FB"/>
    <w:p w:rsidR="003A65FB" w:rsidRDefault="003A65FB" w:rsidP="003A65FB">
      <w:pPr>
        <w:jc w:val="center"/>
        <w:rPr>
          <w:sz w:val="20"/>
          <w:szCs w:val="20"/>
        </w:rPr>
      </w:pPr>
      <w:r>
        <w:rPr>
          <w:sz w:val="20"/>
          <w:szCs w:val="20"/>
        </w:rPr>
        <w:t>5</w:t>
      </w:r>
    </w:p>
    <w:p w:rsidR="003A65FB" w:rsidRPr="00263674" w:rsidRDefault="003A65FB" w:rsidP="003A65FB">
      <w:pPr>
        <w:rPr>
          <w:color w:val="000000" w:themeColor="text1"/>
          <w:sz w:val="26"/>
          <w:szCs w:val="26"/>
        </w:rPr>
      </w:pPr>
      <w:r>
        <w:rPr>
          <w:sz w:val="20"/>
          <w:szCs w:val="20"/>
        </w:rPr>
        <w:br w:type="page"/>
      </w:r>
      <w:r w:rsidRPr="00263674">
        <w:rPr>
          <w:color w:val="000000" w:themeColor="text1"/>
          <w:sz w:val="26"/>
          <w:szCs w:val="26"/>
        </w:rPr>
        <w:lastRenderedPageBreak/>
        <w:t> </w:t>
      </w:r>
      <w:r w:rsidRPr="00263674">
        <w:rPr>
          <w:color w:val="000000" w:themeColor="text1"/>
          <w:sz w:val="26"/>
          <w:szCs w:val="26"/>
        </w:rPr>
        <w:t>(c)</w:t>
      </w:r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 xml:space="preserve">When conducting door-to door activities or appearing at a public event, an agent may not wear apparel or accessories or carry equipment that contains branding elements, including a logo, that </w:t>
      </w:r>
      <w:r w:rsidRPr="000B2775">
        <w:rPr>
          <w:strike/>
          <w:color w:val="000000" w:themeColor="text1"/>
          <w:sz w:val="26"/>
          <w:szCs w:val="26"/>
        </w:rPr>
        <w:t>are deceptively similar to that of</w:t>
      </w:r>
      <w:r w:rsidRPr="00263674">
        <w:rPr>
          <w:color w:val="000000" w:themeColor="text1"/>
          <w:sz w:val="26"/>
          <w:szCs w:val="26"/>
        </w:rPr>
        <w:t xml:space="preserve"> </w:t>
      </w:r>
      <w:r w:rsidRPr="00263674">
        <w:rPr>
          <w:strike/>
          <w:color w:val="000000" w:themeColor="text1"/>
          <w:sz w:val="26"/>
          <w:szCs w:val="26"/>
        </w:rPr>
        <w:t>the local Pennsylvania distribution company</w:t>
      </w:r>
      <w:r w:rsidRPr="00263674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SUGGESTS A RELATIONSHIP THAT DOES NOT EXIST WITH </w:t>
      </w:r>
      <w:r w:rsidRPr="00263674">
        <w:rPr>
          <w:color w:val="000000" w:themeColor="text1"/>
          <w:sz w:val="26"/>
          <w:szCs w:val="26"/>
        </w:rPr>
        <w:t>ANY EDC</w:t>
      </w:r>
      <w:r>
        <w:rPr>
          <w:color w:val="000000" w:themeColor="text1"/>
          <w:sz w:val="26"/>
          <w:szCs w:val="26"/>
        </w:rPr>
        <w:t>,</w:t>
      </w:r>
      <w:r w:rsidRPr="00263674">
        <w:rPr>
          <w:color w:val="000000" w:themeColor="text1"/>
          <w:sz w:val="26"/>
          <w:szCs w:val="26"/>
        </w:rPr>
        <w:t xml:space="preserve"> NGDC, GOVERNMENT AGENCY OR ANOTHER SUPPLIER.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(d</w:t>
      </w:r>
      <w:proofErr w:type="gramStart"/>
      <w:r w:rsidRPr="00263674">
        <w:rPr>
          <w:color w:val="000000" w:themeColor="text1"/>
          <w:sz w:val="26"/>
          <w:szCs w:val="26"/>
        </w:rPr>
        <w:t>)</w:t>
      </w:r>
      <w:proofErr w:type="gramEnd"/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 xml:space="preserve">A supplier may not use the name, bills, marketing materials or consumer education materials of another supplier, </w:t>
      </w:r>
      <w:r w:rsidRPr="00263674">
        <w:rPr>
          <w:strike/>
          <w:color w:val="000000" w:themeColor="text1"/>
          <w:sz w:val="26"/>
          <w:szCs w:val="26"/>
        </w:rPr>
        <w:t>distribution company</w:t>
      </w:r>
      <w:r w:rsidRPr="00263674">
        <w:rPr>
          <w:color w:val="000000" w:themeColor="text1"/>
          <w:sz w:val="26"/>
          <w:szCs w:val="26"/>
        </w:rPr>
        <w:t xml:space="preserve"> EDC</w:t>
      </w:r>
      <w:r>
        <w:rPr>
          <w:color w:val="000000" w:themeColor="text1"/>
          <w:sz w:val="26"/>
          <w:szCs w:val="26"/>
        </w:rPr>
        <w:t xml:space="preserve">, </w:t>
      </w:r>
      <w:r w:rsidRPr="00263674">
        <w:rPr>
          <w:color w:val="000000" w:themeColor="text1"/>
          <w:sz w:val="26"/>
          <w:szCs w:val="26"/>
        </w:rPr>
        <w:t>NGDC or government agency in a way that suggests a relationship that does not exist.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</w:t>
      </w:r>
      <w:proofErr w:type="gramStart"/>
      <w:r w:rsidRPr="00263674">
        <w:rPr>
          <w:color w:val="000000" w:themeColor="text1"/>
          <w:sz w:val="26"/>
          <w:szCs w:val="26"/>
        </w:rPr>
        <w:t>e</w:t>
      </w:r>
      <w:proofErr w:type="gramEnd"/>
      <w:r w:rsidRPr="00263674">
        <w:rPr>
          <w:color w:val="000000" w:themeColor="text1"/>
          <w:sz w:val="26"/>
          <w:szCs w:val="26"/>
        </w:rPr>
        <w:t>)</w:t>
      </w:r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An agent of a supplier that is an affiliate of a distribution company shall comply with the rules regarding affiliate marketing in § 54.122 (relating to code of conduct) for an EGS and in § 62.142 (relating to standards of conduct) for an NGS.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 xml:space="preserve">    (F)  A SUPPLIER OR SUPPLIER AGENT MAY NOT SAY OR SUGGEST TO A CUSTOMER THAT UTILITY CUSTOMERS ARE REQUIRED TO CHOOSE A COMPETITIVE ENERGY SUPPLIER.   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</w:p>
    <w:p w:rsidR="003A65FB" w:rsidRPr="00263674" w:rsidRDefault="003A65FB" w:rsidP="003A65FB">
      <w:pPr>
        <w:keepNext/>
        <w:spacing w:before="100" w:after="100" w:line="360" w:lineRule="auto"/>
        <w:outlineLvl w:val="3"/>
        <w:rPr>
          <w:b/>
          <w:bCs/>
          <w:color w:val="000000" w:themeColor="text1"/>
          <w:sz w:val="26"/>
          <w:szCs w:val="26"/>
        </w:rPr>
      </w:pPr>
      <w:r w:rsidRPr="00263674">
        <w:rPr>
          <w:b/>
          <w:bCs/>
          <w:color w:val="000000" w:themeColor="text1"/>
          <w:sz w:val="26"/>
          <w:szCs w:val="26"/>
        </w:rPr>
        <w:t>§</w:t>
      </w:r>
      <w:r w:rsidRPr="00263674">
        <w:rPr>
          <w:b/>
          <w:bCs/>
          <w:color w:val="000000" w:themeColor="text1"/>
          <w:sz w:val="26"/>
          <w:szCs w:val="26"/>
        </w:rPr>
        <w:t> </w:t>
      </w:r>
      <w:r w:rsidRPr="00263674">
        <w:rPr>
          <w:b/>
          <w:bCs/>
          <w:color w:val="000000" w:themeColor="text1"/>
          <w:sz w:val="26"/>
          <w:szCs w:val="26"/>
        </w:rPr>
        <w:t>111.9.</w:t>
      </w:r>
      <w:r w:rsidRPr="00263674">
        <w:rPr>
          <w:b/>
          <w:bCs/>
          <w:color w:val="000000" w:themeColor="text1"/>
          <w:sz w:val="26"/>
          <w:szCs w:val="26"/>
        </w:rPr>
        <w:t> </w:t>
      </w:r>
      <w:proofErr w:type="gramStart"/>
      <w:r w:rsidRPr="00263674">
        <w:rPr>
          <w:b/>
          <w:bCs/>
          <w:color w:val="000000" w:themeColor="text1"/>
          <w:sz w:val="26"/>
          <w:szCs w:val="26"/>
        </w:rPr>
        <w:t>Door-to-door sales.</w:t>
      </w:r>
      <w:proofErr w:type="gramEnd"/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(a</w:t>
      </w:r>
      <w:proofErr w:type="gramStart"/>
      <w:r w:rsidRPr="00263674">
        <w:rPr>
          <w:color w:val="000000" w:themeColor="text1"/>
          <w:sz w:val="26"/>
          <w:szCs w:val="26"/>
        </w:rPr>
        <w:t>)</w:t>
      </w:r>
      <w:proofErr w:type="gramEnd"/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A supplier and its agents shall comply with local ordinances regarding door-to-door marketing and sales activities.</w:t>
      </w:r>
    </w:p>
    <w:p w:rsidR="003A65FB" w:rsidRPr="00263674" w:rsidRDefault="003A65FB" w:rsidP="003A65FB">
      <w:pPr>
        <w:spacing w:before="100" w:after="100" w:line="360" w:lineRule="auto"/>
        <w:rPr>
          <w:color w:val="000000" w:themeColor="text1"/>
          <w:sz w:val="26"/>
          <w:szCs w:val="26"/>
        </w:rPr>
      </w:pPr>
      <w:r w:rsidRPr="00263674">
        <w:rPr>
          <w:color w:val="000000" w:themeColor="text1"/>
          <w:sz w:val="26"/>
          <w:szCs w:val="26"/>
        </w:rPr>
        <w:t> </w:t>
      </w:r>
      <w:r w:rsidRPr="00263674">
        <w:rPr>
          <w:color w:val="000000" w:themeColor="text1"/>
          <w:sz w:val="26"/>
          <w:szCs w:val="26"/>
        </w:rPr>
        <w:t>(1)</w:t>
      </w:r>
      <w:r w:rsidRPr="00263674">
        <w:rPr>
          <w:color w:val="000000" w:themeColor="text1"/>
          <w:sz w:val="26"/>
          <w:szCs w:val="26"/>
        </w:rPr>
        <w:t> </w:t>
      </w:r>
      <w:r w:rsidRPr="00263674">
        <w:rPr>
          <w:color w:val="000000" w:themeColor="text1"/>
          <w:sz w:val="26"/>
          <w:szCs w:val="26"/>
        </w:rPr>
        <w:t>A supplier shall limit door-to-door marketing or sales activities to the hours between 9 a.m. and 7 p.m. during the 6 months beginning October 1 and ending March 31, and to the hours between 9 a.m. and 8 p.m. during the months beginning April 1 and ending September 30. When a local ordinance has stricter limitations, a supplier shall comply with the local ordinance.</w:t>
      </w:r>
    </w:p>
    <w:p w:rsidR="003A65FB" w:rsidRPr="00263674" w:rsidRDefault="003A65FB" w:rsidP="003A65FB">
      <w:pPr>
        <w:spacing w:before="100" w:after="100" w:line="360" w:lineRule="auto"/>
        <w:rPr>
          <w:strike/>
          <w:color w:val="000000" w:themeColor="text1"/>
          <w:sz w:val="26"/>
          <w:szCs w:val="26"/>
        </w:rPr>
      </w:pPr>
      <w:r w:rsidRPr="00263674">
        <w:rPr>
          <w:strike/>
          <w:color w:val="000000" w:themeColor="text1"/>
          <w:sz w:val="26"/>
          <w:szCs w:val="26"/>
        </w:rPr>
        <w:t> </w:t>
      </w:r>
      <w:r w:rsidRPr="00263674">
        <w:rPr>
          <w:strike/>
          <w:color w:val="000000" w:themeColor="text1"/>
          <w:sz w:val="26"/>
          <w:szCs w:val="26"/>
        </w:rPr>
        <w:t>(2</w:t>
      </w:r>
      <w:proofErr w:type="gramStart"/>
      <w:r w:rsidRPr="00263674">
        <w:rPr>
          <w:strike/>
          <w:color w:val="000000" w:themeColor="text1"/>
          <w:sz w:val="26"/>
          <w:szCs w:val="26"/>
        </w:rPr>
        <w:t>)</w:t>
      </w:r>
      <w:proofErr w:type="gramEnd"/>
      <w:r w:rsidRPr="00263674">
        <w:rPr>
          <w:strike/>
          <w:color w:val="000000" w:themeColor="text1"/>
          <w:sz w:val="26"/>
          <w:szCs w:val="26"/>
        </w:rPr>
        <w:t> </w:t>
      </w:r>
      <w:r w:rsidRPr="00263674">
        <w:rPr>
          <w:strike/>
          <w:color w:val="000000" w:themeColor="text1"/>
          <w:sz w:val="26"/>
          <w:szCs w:val="26"/>
        </w:rPr>
        <w:t>As a courtesy, a supplier shall notify the local municipal officials in advance of its schedule and the locations in which it intends to conduct door-to-door marketing and sales activities.</w:t>
      </w:r>
    </w:p>
    <w:p w:rsidR="003A65FB" w:rsidRDefault="003A65FB" w:rsidP="003A65FB">
      <w:pPr>
        <w:jc w:val="center"/>
        <w:rPr>
          <w:sz w:val="20"/>
          <w:szCs w:val="20"/>
        </w:rPr>
      </w:pPr>
    </w:p>
    <w:p w:rsidR="003A65FB" w:rsidRDefault="003A65FB" w:rsidP="003A65FB">
      <w:pPr>
        <w:jc w:val="center"/>
        <w:rPr>
          <w:sz w:val="20"/>
          <w:szCs w:val="20"/>
        </w:rPr>
      </w:pPr>
    </w:p>
    <w:p w:rsidR="008E69EA" w:rsidRDefault="008E69EA" w:rsidP="003A65FB">
      <w:pPr>
        <w:jc w:val="center"/>
        <w:rPr>
          <w:sz w:val="20"/>
          <w:szCs w:val="20"/>
        </w:rPr>
      </w:pPr>
    </w:p>
    <w:p w:rsidR="008E69EA" w:rsidRDefault="008E69EA" w:rsidP="003A65FB">
      <w:pPr>
        <w:jc w:val="center"/>
        <w:rPr>
          <w:sz w:val="20"/>
          <w:szCs w:val="20"/>
        </w:rPr>
      </w:pPr>
    </w:p>
    <w:p w:rsidR="008E69EA" w:rsidRDefault="008E69EA" w:rsidP="003A65FB">
      <w:pPr>
        <w:jc w:val="center"/>
        <w:rPr>
          <w:sz w:val="20"/>
          <w:szCs w:val="20"/>
        </w:rPr>
      </w:pPr>
    </w:p>
    <w:p w:rsidR="003A65FB" w:rsidRDefault="003A65FB" w:rsidP="003A65FB">
      <w:pPr>
        <w:jc w:val="center"/>
        <w:rPr>
          <w:sz w:val="20"/>
          <w:szCs w:val="20"/>
        </w:rPr>
      </w:pPr>
    </w:p>
    <w:p w:rsidR="003A65FB" w:rsidRDefault="003A65FB" w:rsidP="003A65FB">
      <w:pPr>
        <w:jc w:val="center"/>
        <w:rPr>
          <w:sz w:val="20"/>
          <w:szCs w:val="20"/>
        </w:rPr>
      </w:pPr>
    </w:p>
    <w:p w:rsidR="003A65FB" w:rsidRPr="003A65FB" w:rsidRDefault="003A65FB" w:rsidP="003A65FB">
      <w:pPr>
        <w:jc w:val="center"/>
        <w:rPr>
          <w:sz w:val="20"/>
          <w:szCs w:val="20"/>
        </w:rPr>
      </w:pPr>
      <w:r>
        <w:rPr>
          <w:sz w:val="20"/>
          <w:szCs w:val="20"/>
        </w:rPr>
        <w:t>11</w:t>
      </w:r>
    </w:p>
    <w:sectPr w:rsidR="003A65FB" w:rsidRPr="003A65FB" w:rsidSect="00CE0C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360" w:left="1440" w:header="720" w:footer="288" w:gutter="0"/>
      <w:paperSrc w:first="15"/>
      <w:pgNumType w:start="2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634" w:rsidRDefault="00B74634">
      <w:r>
        <w:separator/>
      </w:r>
    </w:p>
  </w:endnote>
  <w:endnote w:type="continuationSeparator" w:id="0">
    <w:p w:rsidR="00B74634" w:rsidRDefault="00B74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Default="000804B4" w:rsidP="004C67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813ED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13ED3">
      <w:rPr>
        <w:rStyle w:val="PageNumber"/>
        <w:noProof/>
      </w:rPr>
      <w:t>12</w:t>
    </w:r>
    <w:r>
      <w:rPr>
        <w:rStyle w:val="PageNumber"/>
      </w:rPr>
      <w:fldChar w:fldCharType="end"/>
    </w:r>
  </w:p>
  <w:p w:rsidR="00813ED3" w:rsidRDefault="00813ED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ED3" w:rsidRPr="00DC42AE" w:rsidRDefault="00813ED3" w:rsidP="004C67EF">
    <w:pPr>
      <w:pStyle w:val="Footer"/>
      <w:framePr w:wrap="around" w:vAnchor="text" w:hAnchor="margin" w:xAlign="center" w:y="1"/>
      <w:rPr>
        <w:rStyle w:val="PageNumber"/>
        <w:sz w:val="20"/>
        <w:szCs w:val="20"/>
      </w:rPr>
    </w:pPr>
  </w:p>
  <w:p w:rsidR="00813ED3" w:rsidRDefault="00813E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634" w:rsidRDefault="00B74634">
      <w:r>
        <w:separator/>
      </w:r>
    </w:p>
  </w:footnote>
  <w:footnote w:type="continuationSeparator" w:id="0">
    <w:p w:rsidR="00B74634" w:rsidRDefault="00B746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867" w:rsidRDefault="007118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97B4F"/>
    <w:multiLevelType w:val="hybridMultilevel"/>
    <w:tmpl w:val="C7382DF0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506D3559"/>
    <w:multiLevelType w:val="hybridMultilevel"/>
    <w:tmpl w:val="B0E4CD6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E2"/>
    <w:rsid w:val="0000235B"/>
    <w:rsid w:val="00002894"/>
    <w:rsid w:val="00002A15"/>
    <w:rsid w:val="000102F5"/>
    <w:rsid w:val="000109B4"/>
    <w:rsid w:val="00010D5E"/>
    <w:rsid w:val="00010E8E"/>
    <w:rsid w:val="000133BF"/>
    <w:rsid w:val="00013DB9"/>
    <w:rsid w:val="00022F41"/>
    <w:rsid w:val="0002403B"/>
    <w:rsid w:val="00030135"/>
    <w:rsid w:val="00031517"/>
    <w:rsid w:val="00031AB1"/>
    <w:rsid w:val="0003703E"/>
    <w:rsid w:val="00047AA7"/>
    <w:rsid w:val="000506CC"/>
    <w:rsid w:val="0005265C"/>
    <w:rsid w:val="00052E00"/>
    <w:rsid w:val="00053876"/>
    <w:rsid w:val="00053F4A"/>
    <w:rsid w:val="00056C15"/>
    <w:rsid w:val="00060C62"/>
    <w:rsid w:val="00061148"/>
    <w:rsid w:val="00061AA0"/>
    <w:rsid w:val="00061C90"/>
    <w:rsid w:val="00062745"/>
    <w:rsid w:val="000644C8"/>
    <w:rsid w:val="000666A6"/>
    <w:rsid w:val="00066BD9"/>
    <w:rsid w:val="00070539"/>
    <w:rsid w:val="000721A7"/>
    <w:rsid w:val="00076498"/>
    <w:rsid w:val="000804B4"/>
    <w:rsid w:val="00080770"/>
    <w:rsid w:val="00082AE5"/>
    <w:rsid w:val="000836E8"/>
    <w:rsid w:val="00084DC8"/>
    <w:rsid w:val="00086381"/>
    <w:rsid w:val="00086D28"/>
    <w:rsid w:val="000911D0"/>
    <w:rsid w:val="00091425"/>
    <w:rsid w:val="000929AD"/>
    <w:rsid w:val="0009326C"/>
    <w:rsid w:val="00094EB8"/>
    <w:rsid w:val="00096002"/>
    <w:rsid w:val="000963E1"/>
    <w:rsid w:val="000B41FF"/>
    <w:rsid w:val="000B6CCA"/>
    <w:rsid w:val="000C222E"/>
    <w:rsid w:val="000C3C3C"/>
    <w:rsid w:val="000C3FC8"/>
    <w:rsid w:val="000D1895"/>
    <w:rsid w:val="000D4246"/>
    <w:rsid w:val="000D4BF7"/>
    <w:rsid w:val="000D5396"/>
    <w:rsid w:val="000D5D9B"/>
    <w:rsid w:val="000E3E11"/>
    <w:rsid w:val="000F127E"/>
    <w:rsid w:val="000F1898"/>
    <w:rsid w:val="000F19D8"/>
    <w:rsid w:val="000F7144"/>
    <w:rsid w:val="00103367"/>
    <w:rsid w:val="001042CF"/>
    <w:rsid w:val="001078A7"/>
    <w:rsid w:val="001112A4"/>
    <w:rsid w:val="001168D3"/>
    <w:rsid w:val="0011699F"/>
    <w:rsid w:val="00120AA6"/>
    <w:rsid w:val="00120B3D"/>
    <w:rsid w:val="0012139C"/>
    <w:rsid w:val="0012411F"/>
    <w:rsid w:val="0013586B"/>
    <w:rsid w:val="00137061"/>
    <w:rsid w:val="00141564"/>
    <w:rsid w:val="0014205C"/>
    <w:rsid w:val="00143209"/>
    <w:rsid w:val="00146731"/>
    <w:rsid w:val="00146CF5"/>
    <w:rsid w:val="00150480"/>
    <w:rsid w:val="001519A2"/>
    <w:rsid w:val="00152EA1"/>
    <w:rsid w:val="00153032"/>
    <w:rsid w:val="001536B0"/>
    <w:rsid w:val="00155810"/>
    <w:rsid w:val="00157374"/>
    <w:rsid w:val="001603AA"/>
    <w:rsid w:val="001627F3"/>
    <w:rsid w:val="00164C05"/>
    <w:rsid w:val="00165F09"/>
    <w:rsid w:val="00167C84"/>
    <w:rsid w:val="00171372"/>
    <w:rsid w:val="00180DB7"/>
    <w:rsid w:val="00181657"/>
    <w:rsid w:val="0018284E"/>
    <w:rsid w:val="00183D08"/>
    <w:rsid w:val="001860C5"/>
    <w:rsid w:val="0019169D"/>
    <w:rsid w:val="001979F8"/>
    <w:rsid w:val="001A10FE"/>
    <w:rsid w:val="001A57BB"/>
    <w:rsid w:val="001B38EC"/>
    <w:rsid w:val="001B449A"/>
    <w:rsid w:val="001B4624"/>
    <w:rsid w:val="001B464F"/>
    <w:rsid w:val="001B54EB"/>
    <w:rsid w:val="001B5EE2"/>
    <w:rsid w:val="001C3F56"/>
    <w:rsid w:val="001C47C9"/>
    <w:rsid w:val="001C532C"/>
    <w:rsid w:val="001C7BD3"/>
    <w:rsid w:val="001D21B3"/>
    <w:rsid w:val="001D24AE"/>
    <w:rsid w:val="001D27B5"/>
    <w:rsid w:val="001D50CB"/>
    <w:rsid w:val="001D675D"/>
    <w:rsid w:val="001E2338"/>
    <w:rsid w:val="001E3BB5"/>
    <w:rsid w:val="001E6BE6"/>
    <w:rsid w:val="001E7E8D"/>
    <w:rsid w:val="001E7FB2"/>
    <w:rsid w:val="001F212D"/>
    <w:rsid w:val="001F25FF"/>
    <w:rsid w:val="001F2730"/>
    <w:rsid w:val="0020235D"/>
    <w:rsid w:val="00204634"/>
    <w:rsid w:val="00207B94"/>
    <w:rsid w:val="00210EA2"/>
    <w:rsid w:val="002164CF"/>
    <w:rsid w:val="00222945"/>
    <w:rsid w:val="002251C5"/>
    <w:rsid w:val="00225F9F"/>
    <w:rsid w:val="002276ED"/>
    <w:rsid w:val="00237568"/>
    <w:rsid w:val="0024433B"/>
    <w:rsid w:val="002450C9"/>
    <w:rsid w:val="00250A56"/>
    <w:rsid w:val="00250C39"/>
    <w:rsid w:val="002512CF"/>
    <w:rsid w:val="00256D90"/>
    <w:rsid w:val="00262477"/>
    <w:rsid w:val="00267645"/>
    <w:rsid w:val="00272A64"/>
    <w:rsid w:val="00273FEB"/>
    <w:rsid w:val="0027541F"/>
    <w:rsid w:val="0028156E"/>
    <w:rsid w:val="002824A3"/>
    <w:rsid w:val="00282E4F"/>
    <w:rsid w:val="002A1E10"/>
    <w:rsid w:val="002A635E"/>
    <w:rsid w:val="002A7E88"/>
    <w:rsid w:val="002B1224"/>
    <w:rsid w:val="002B2655"/>
    <w:rsid w:val="002B3F52"/>
    <w:rsid w:val="002C2009"/>
    <w:rsid w:val="002C237E"/>
    <w:rsid w:val="002C2E35"/>
    <w:rsid w:val="002C2FE7"/>
    <w:rsid w:val="002C5E53"/>
    <w:rsid w:val="002C7B9A"/>
    <w:rsid w:val="002D15C1"/>
    <w:rsid w:val="002D2B16"/>
    <w:rsid w:val="002D3523"/>
    <w:rsid w:val="002E1FCE"/>
    <w:rsid w:val="002E4C19"/>
    <w:rsid w:val="002E575A"/>
    <w:rsid w:val="002E581E"/>
    <w:rsid w:val="002E75FB"/>
    <w:rsid w:val="002F28A8"/>
    <w:rsid w:val="002F3212"/>
    <w:rsid w:val="002F327E"/>
    <w:rsid w:val="002F3F95"/>
    <w:rsid w:val="002F48FC"/>
    <w:rsid w:val="002F543E"/>
    <w:rsid w:val="002F6885"/>
    <w:rsid w:val="002F70C7"/>
    <w:rsid w:val="0030142A"/>
    <w:rsid w:val="003039A9"/>
    <w:rsid w:val="00304FB0"/>
    <w:rsid w:val="00305E53"/>
    <w:rsid w:val="003067F3"/>
    <w:rsid w:val="003105B1"/>
    <w:rsid w:val="00321962"/>
    <w:rsid w:val="00326B12"/>
    <w:rsid w:val="00330533"/>
    <w:rsid w:val="00331A15"/>
    <w:rsid w:val="0033257B"/>
    <w:rsid w:val="0033391A"/>
    <w:rsid w:val="003343CF"/>
    <w:rsid w:val="003402A3"/>
    <w:rsid w:val="00341287"/>
    <w:rsid w:val="00343CA9"/>
    <w:rsid w:val="00345283"/>
    <w:rsid w:val="0035200F"/>
    <w:rsid w:val="0035364D"/>
    <w:rsid w:val="00353AB6"/>
    <w:rsid w:val="00355BF1"/>
    <w:rsid w:val="00357E43"/>
    <w:rsid w:val="00360912"/>
    <w:rsid w:val="00361D2D"/>
    <w:rsid w:val="0036730D"/>
    <w:rsid w:val="003675ED"/>
    <w:rsid w:val="00370C54"/>
    <w:rsid w:val="00371351"/>
    <w:rsid w:val="003731E2"/>
    <w:rsid w:val="003750FB"/>
    <w:rsid w:val="00375C32"/>
    <w:rsid w:val="00376C83"/>
    <w:rsid w:val="0038467C"/>
    <w:rsid w:val="003858B9"/>
    <w:rsid w:val="0039516D"/>
    <w:rsid w:val="00395BCC"/>
    <w:rsid w:val="003A07DE"/>
    <w:rsid w:val="003A2EB1"/>
    <w:rsid w:val="003A4014"/>
    <w:rsid w:val="003A5C02"/>
    <w:rsid w:val="003A65FB"/>
    <w:rsid w:val="003B3B28"/>
    <w:rsid w:val="003B5D10"/>
    <w:rsid w:val="003C726A"/>
    <w:rsid w:val="003D0209"/>
    <w:rsid w:val="003D1100"/>
    <w:rsid w:val="003D1E21"/>
    <w:rsid w:val="003D50A1"/>
    <w:rsid w:val="003D54D9"/>
    <w:rsid w:val="003E228E"/>
    <w:rsid w:val="003E568A"/>
    <w:rsid w:val="003F3BF1"/>
    <w:rsid w:val="003F58EC"/>
    <w:rsid w:val="003F6AA0"/>
    <w:rsid w:val="003F6B74"/>
    <w:rsid w:val="003F7F3B"/>
    <w:rsid w:val="00402A59"/>
    <w:rsid w:val="00402C56"/>
    <w:rsid w:val="0040411D"/>
    <w:rsid w:val="0040413E"/>
    <w:rsid w:val="004053AE"/>
    <w:rsid w:val="004110EA"/>
    <w:rsid w:val="004120B4"/>
    <w:rsid w:val="004126B4"/>
    <w:rsid w:val="00413047"/>
    <w:rsid w:val="004144D8"/>
    <w:rsid w:val="00415143"/>
    <w:rsid w:val="00416A78"/>
    <w:rsid w:val="00423957"/>
    <w:rsid w:val="0042440E"/>
    <w:rsid w:val="00430900"/>
    <w:rsid w:val="00432143"/>
    <w:rsid w:val="00443A69"/>
    <w:rsid w:val="00444CD4"/>
    <w:rsid w:val="00444FC6"/>
    <w:rsid w:val="00445444"/>
    <w:rsid w:val="00445D3A"/>
    <w:rsid w:val="00445DEF"/>
    <w:rsid w:val="00446535"/>
    <w:rsid w:val="00446824"/>
    <w:rsid w:val="00455056"/>
    <w:rsid w:val="00460D9B"/>
    <w:rsid w:val="004646B2"/>
    <w:rsid w:val="00466E96"/>
    <w:rsid w:val="00467538"/>
    <w:rsid w:val="004704B1"/>
    <w:rsid w:val="0047603A"/>
    <w:rsid w:val="00477293"/>
    <w:rsid w:val="00481BAB"/>
    <w:rsid w:val="0048216C"/>
    <w:rsid w:val="00485A2D"/>
    <w:rsid w:val="004943AE"/>
    <w:rsid w:val="0049549A"/>
    <w:rsid w:val="0049553A"/>
    <w:rsid w:val="00496970"/>
    <w:rsid w:val="00497287"/>
    <w:rsid w:val="004A083C"/>
    <w:rsid w:val="004B26E2"/>
    <w:rsid w:val="004B4893"/>
    <w:rsid w:val="004B7AFE"/>
    <w:rsid w:val="004C1464"/>
    <w:rsid w:val="004C1BA2"/>
    <w:rsid w:val="004C1C78"/>
    <w:rsid w:val="004C329C"/>
    <w:rsid w:val="004C3ABE"/>
    <w:rsid w:val="004C67EF"/>
    <w:rsid w:val="004D1B72"/>
    <w:rsid w:val="004E74A8"/>
    <w:rsid w:val="004E77CE"/>
    <w:rsid w:val="004F0156"/>
    <w:rsid w:val="004F0656"/>
    <w:rsid w:val="004F5CBF"/>
    <w:rsid w:val="0050179C"/>
    <w:rsid w:val="00504BF8"/>
    <w:rsid w:val="005129F6"/>
    <w:rsid w:val="00515B82"/>
    <w:rsid w:val="00515ED8"/>
    <w:rsid w:val="00516D51"/>
    <w:rsid w:val="005175A0"/>
    <w:rsid w:val="00520548"/>
    <w:rsid w:val="00520E3F"/>
    <w:rsid w:val="005217E9"/>
    <w:rsid w:val="00523AF6"/>
    <w:rsid w:val="00523DAB"/>
    <w:rsid w:val="00527A05"/>
    <w:rsid w:val="00532420"/>
    <w:rsid w:val="00534572"/>
    <w:rsid w:val="00541393"/>
    <w:rsid w:val="00541786"/>
    <w:rsid w:val="00542A68"/>
    <w:rsid w:val="00544424"/>
    <w:rsid w:val="00550EBD"/>
    <w:rsid w:val="00555080"/>
    <w:rsid w:val="00555A03"/>
    <w:rsid w:val="00556BBF"/>
    <w:rsid w:val="00556F82"/>
    <w:rsid w:val="0055724C"/>
    <w:rsid w:val="00560082"/>
    <w:rsid w:val="005605A3"/>
    <w:rsid w:val="005617D6"/>
    <w:rsid w:val="005633CC"/>
    <w:rsid w:val="005654A9"/>
    <w:rsid w:val="00565C9D"/>
    <w:rsid w:val="005670F8"/>
    <w:rsid w:val="00567869"/>
    <w:rsid w:val="00567F83"/>
    <w:rsid w:val="00575D69"/>
    <w:rsid w:val="00576762"/>
    <w:rsid w:val="00583955"/>
    <w:rsid w:val="005857CA"/>
    <w:rsid w:val="0058602B"/>
    <w:rsid w:val="00590EFE"/>
    <w:rsid w:val="00591AC4"/>
    <w:rsid w:val="00592D27"/>
    <w:rsid w:val="00594F80"/>
    <w:rsid w:val="00595241"/>
    <w:rsid w:val="00595652"/>
    <w:rsid w:val="005974E2"/>
    <w:rsid w:val="005979AA"/>
    <w:rsid w:val="005A40F3"/>
    <w:rsid w:val="005A4F4A"/>
    <w:rsid w:val="005B099E"/>
    <w:rsid w:val="005B473C"/>
    <w:rsid w:val="005B6426"/>
    <w:rsid w:val="005C0DD8"/>
    <w:rsid w:val="005C11AF"/>
    <w:rsid w:val="005C24F5"/>
    <w:rsid w:val="005C2C3A"/>
    <w:rsid w:val="005C5EF8"/>
    <w:rsid w:val="005C73FB"/>
    <w:rsid w:val="005D4DD7"/>
    <w:rsid w:val="005D5D9F"/>
    <w:rsid w:val="005E4BBD"/>
    <w:rsid w:val="005E7E24"/>
    <w:rsid w:val="006014E0"/>
    <w:rsid w:val="006058D9"/>
    <w:rsid w:val="00607178"/>
    <w:rsid w:val="0061209D"/>
    <w:rsid w:val="00614655"/>
    <w:rsid w:val="00623FB1"/>
    <w:rsid w:val="00635FBF"/>
    <w:rsid w:val="006362EF"/>
    <w:rsid w:val="006518F3"/>
    <w:rsid w:val="00652035"/>
    <w:rsid w:val="0065438C"/>
    <w:rsid w:val="00655B7E"/>
    <w:rsid w:val="00657436"/>
    <w:rsid w:val="00660DD1"/>
    <w:rsid w:val="0066183C"/>
    <w:rsid w:val="00661EF7"/>
    <w:rsid w:val="0066493C"/>
    <w:rsid w:val="00673B73"/>
    <w:rsid w:val="00673F87"/>
    <w:rsid w:val="006756B5"/>
    <w:rsid w:val="0068078E"/>
    <w:rsid w:val="006817FB"/>
    <w:rsid w:val="0068604F"/>
    <w:rsid w:val="006860B1"/>
    <w:rsid w:val="006872BB"/>
    <w:rsid w:val="00693018"/>
    <w:rsid w:val="0069582F"/>
    <w:rsid w:val="006A1437"/>
    <w:rsid w:val="006A1ED2"/>
    <w:rsid w:val="006A2AD4"/>
    <w:rsid w:val="006A2FD3"/>
    <w:rsid w:val="006A5AAE"/>
    <w:rsid w:val="006A5E15"/>
    <w:rsid w:val="006B03AB"/>
    <w:rsid w:val="006B0AF7"/>
    <w:rsid w:val="006B10F8"/>
    <w:rsid w:val="006C00D6"/>
    <w:rsid w:val="006C202B"/>
    <w:rsid w:val="006C23A1"/>
    <w:rsid w:val="006C43B6"/>
    <w:rsid w:val="006C6AA9"/>
    <w:rsid w:val="006D0180"/>
    <w:rsid w:val="006E2957"/>
    <w:rsid w:val="006E2C03"/>
    <w:rsid w:val="006E672A"/>
    <w:rsid w:val="006F0D47"/>
    <w:rsid w:val="006F4DF0"/>
    <w:rsid w:val="006F5F77"/>
    <w:rsid w:val="006F5FAB"/>
    <w:rsid w:val="006F788B"/>
    <w:rsid w:val="007003E2"/>
    <w:rsid w:val="0070686E"/>
    <w:rsid w:val="00706EF5"/>
    <w:rsid w:val="00710D67"/>
    <w:rsid w:val="00711867"/>
    <w:rsid w:val="00711FBB"/>
    <w:rsid w:val="007129A9"/>
    <w:rsid w:val="007151B2"/>
    <w:rsid w:val="0072527E"/>
    <w:rsid w:val="0072529C"/>
    <w:rsid w:val="007263B9"/>
    <w:rsid w:val="00730F25"/>
    <w:rsid w:val="00731BC3"/>
    <w:rsid w:val="007335DD"/>
    <w:rsid w:val="00735958"/>
    <w:rsid w:val="00735ED6"/>
    <w:rsid w:val="00736503"/>
    <w:rsid w:val="00743D70"/>
    <w:rsid w:val="007461AC"/>
    <w:rsid w:val="007462DE"/>
    <w:rsid w:val="00752524"/>
    <w:rsid w:val="0075260C"/>
    <w:rsid w:val="0075673A"/>
    <w:rsid w:val="00760C92"/>
    <w:rsid w:val="0076669A"/>
    <w:rsid w:val="00767539"/>
    <w:rsid w:val="007761D4"/>
    <w:rsid w:val="00782D74"/>
    <w:rsid w:val="007856C4"/>
    <w:rsid w:val="0078798D"/>
    <w:rsid w:val="00790184"/>
    <w:rsid w:val="00790950"/>
    <w:rsid w:val="00790CEE"/>
    <w:rsid w:val="00791D0E"/>
    <w:rsid w:val="007A3F27"/>
    <w:rsid w:val="007A6373"/>
    <w:rsid w:val="007B1083"/>
    <w:rsid w:val="007B165B"/>
    <w:rsid w:val="007B194F"/>
    <w:rsid w:val="007B1A75"/>
    <w:rsid w:val="007B2141"/>
    <w:rsid w:val="007B32EE"/>
    <w:rsid w:val="007C00F5"/>
    <w:rsid w:val="007C0461"/>
    <w:rsid w:val="007D430C"/>
    <w:rsid w:val="007D6AA4"/>
    <w:rsid w:val="007D6DE6"/>
    <w:rsid w:val="007E1015"/>
    <w:rsid w:val="007F25D8"/>
    <w:rsid w:val="007F312D"/>
    <w:rsid w:val="007F553A"/>
    <w:rsid w:val="007F590B"/>
    <w:rsid w:val="007F710C"/>
    <w:rsid w:val="007F73A6"/>
    <w:rsid w:val="007F78EC"/>
    <w:rsid w:val="008025A3"/>
    <w:rsid w:val="00803DE2"/>
    <w:rsid w:val="0081274B"/>
    <w:rsid w:val="008139D7"/>
    <w:rsid w:val="00813D9D"/>
    <w:rsid w:val="00813ED3"/>
    <w:rsid w:val="00816557"/>
    <w:rsid w:val="0081696C"/>
    <w:rsid w:val="00820C38"/>
    <w:rsid w:val="008217B5"/>
    <w:rsid w:val="008223B2"/>
    <w:rsid w:val="008229F6"/>
    <w:rsid w:val="0083146F"/>
    <w:rsid w:val="00832570"/>
    <w:rsid w:val="00834B56"/>
    <w:rsid w:val="008418B1"/>
    <w:rsid w:val="00841B4C"/>
    <w:rsid w:val="008427DB"/>
    <w:rsid w:val="00843573"/>
    <w:rsid w:val="00843C07"/>
    <w:rsid w:val="0084456E"/>
    <w:rsid w:val="00845CDB"/>
    <w:rsid w:val="008478A4"/>
    <w:rsid w:val="00851492"/>
    <w:rsid w:val="008519BB"/>
    <w:rsid w:val="008556AE"/>
    <w:rsid w:val="0086518F"/>
    <w:rsid w:val="00871810"/>
    <w:rsid w:val="008721B3"/>
    <w:rsid w:val="00876E00"/>
    <w:rsid w:val="00880988"/>
    <w:rsid w:val="00881843"/>
    <w:rsid w:val="0088541D"/>
    <w:rsid w:val="0088583B"/>
    <w:rsid w:val="00890589"/>
    <w:rsid w:val="008934D9"/>
    <w:rsid w:val="00893605"/>
    <w:rsid w:val="0089405E"/>
    <w:rsid w:val="008A10CD"/>
    <w:rsid w:val="008A272D"/>
    <w:rsid w:val="008A7917"/>
    <w:rsid w:val="008A7DB4"/>
    <w:rsid w:val="008C21C2"/>
    <w:rsid w:val="008C49C6"/>
    <w:rsid w:val="008C524A"/>
    <w:rsid w:val="008D4C79"/>
    <w:rsid w:val="008D6AB0"/>
    <w:rsid w:val="008D7F94"/>
    <w:rsid w:val="008E0980"/>
    <w:rsid w:val="008E2B68"/>
    <w:rsid w:val="008E5F06"/>
    <w:rsid w:val="008E69EA"/>
    <w:rsid w:val="008F3DA5"/>
    <w:rsid w:val="0090265A"/>
    <w:rsid w:val="009068D4"/>
    <w:rsid w:val="00910695"/>
    <w:rsid w:val="0091162B"/>
    <w:rsid w:val="00912FF4"/>
    <w:rsid w:val="00916885"/>
    <w:rsid w:val="00917EFD"/>
    <w:rsid w:val="00920AA3"/>
    <w:rsid w:val="0092185B"/>
    <w:rsid w:val="00922F35"/>
    <w:rsid w:val="00923A3F"/>
    <w:rsid w:val="00926CCB"/>
    <w:rsid w:val="00927C12"/>
    <w:rsid w:val="00937EE4"/>
    <w:rsid w:val="00940BF1"/>
    <w:rsid w:val="0094141C"/>
    <w:rsid w:val="00941A97"/>
    <w:rsid w:val="00946280"/>
    <w:rsid w:val="00950999"/>
    <w:rsid w:val="00954C64"/>
    <w:rsid w:val="0096435A"/>
    <w:rsid w:val="0096565E"/>
    <w:rsid w:val="00965869"/>
    <w:rsid w:val="009659A8"/>
    <w:rsid w:val="00967588"/>
    <w:rsid w:val="00967FB6"/>
    <w:rsid w:val="009700A1"/>
    <w:rsid w:val="009735B7"/>
    <w:rsid w:val="009757E7"/>
    <w:rsid w:val="00984610"/>
    <w:rsid w:val="00990EE0"/>
    <w:rsid w:val="009A157D"/>
    <w:rsid w:val="009A43C4"/>
    <w:rsid w:val="009B2075"/>
    <w:rsid w:val="009B5F4C"/>
    <w:rsid w:val="009B62A9"/>
    <w:rsid w:val="009B713A"/>
    <w:rsid w:val="009C1258"/>
    <w:rsid w:val="009C19F0"/>
    <w:rsid w:val="009C2124"/>
    <w:rsid w:val="009C5480"/>
    <w:rsid w:val="009C74EE"/>
    <w:rsid w:val="009D1322"/>
    <w:rsid w:val="009D3A7C"/>
    <w:rsid w:val="009F17E9"/>
    <w:rsid w:val="009F40EE"/>
    <w:rsid w:val="009F44D4"/>
    <w:rsid w:val="009F512D"/>
    <w:rsid w:val="009F6261"/>
    <w:rsid w:val="009F64F2"/>
    <w:rsid w:val="009F67BE"/>
    <w:rsid w:val="00A02975"/>
    <w:rsid w:val="00A045EF"/>
    <w:rsid w:val="00A07FC3"/>
    <w:rsid w:val="00A1295B"/>
    <w:rsid w:val="00A2007E"/>
    <w:rsid w:val="00A20114"/>
    <w:rsid w:val="00A201FB"/>
    <w:rsid w:val="00A23C78"/>
    <w:rsid w:val="00A253F8"/>
    <w:rsid w:val="00A27F36"/>
    <w:rsid w:val="00A3286E"/>
    <w:rsid w:val="00A357B8"/>
    <w:rsid w:val="00A35B13"/>
    <w:rsid w:val="00A3684E"/>
    <w:rsid w:val="00A36A14"/>
    <w:rsid w:val="00A41905"/>
    <w:rsid w:val="00A424B5"/>
    <w:rsid w:val="00A4335F"/>
    <w:rsid w:val="00A45646"/>
    <w:rsid w:val="00A459E0"/>
    <w:rsid w:val="00A518F7"/>
    <w:rsid w:val="00A52F94"/>
    <w:rsid w:val="00A55304"/>
    <w:rsid w:val="00A563D7"/>
    <w:rsid w:val="00A64ED5"/>
    <w:rsid w:val="00A65895"/>
    <w:rsid w:val="00A65DC4"/>
    <w:rsid w:val="00A6742E"/>
    <w:rsid w:val="00A67CF5"/>
    <w:rsid w:val="00A75145"/>
    <w:rsid w:val="00A75719"/>
    <w:rsid w:val="00A82F39"/>
    <w:rsid w:val="00A86E3F"/>
    <w:rsid w:val="00A90108"/>
    <w:rsid w:val="00A91733"/>
    <w:rsid w:val="00A91BD4"/>
    <w:rsid w:val="00A92215"/>
    <w:rsid w:val="00A92DBC"/>
    <w:rsid w:val="00A92E9A"/>
    <w:rsid w:val="00A9489C"/>
    <w:rsid w:val="00A95153"/>
    <w:rsid w:val="00A97ACB"/>
    <w:rsid w:val="00AA5E3B"/>
    <w:rsid w:val="00AA6206"/>
    <w:rsid w:val="00AA6C1A"/>
    <w:rsid w:val="00AB0DB8"/>
    <w:rsid w:val="00AB33B3"/>
    <w:rsid w:val="00AD3111"/>
    <w:rsid w:val="00AD5DC7"/>
    <w:rsid w:val="00AD5DE0"/>
    <w:rsid w:val="00AE3992"/>
    <w:rsid w:val="00AE3C18"/>
    <w:rsid w:val="00AE6470"/>
    <w:rsid w:val="00AF014A"/>
    <w:rsid w:val="00AF02A6"/>
    <w:rsid w:val="00AF6F95"/>
    <w:rsid w:val="00B00A96"/>
    <w:rsid w:val="00B01464"/>
    <w:rsid w:val="00B026D0"/>
    <w:rsid w:val="00B041AB"/>
    <w:rsid w:val="00B05AC7"/>
    <w:rsid w:val="00B073E1"/>
    <w:rsid w:val="00B11605"/>
    <w:rsid w:val="00B140EC"/>
    <w:rsid w:val="00B14124"/>
    <w:rsid w:val="00B17E5D"/>
    <w:rsid w:val="00B21659"/>
    <w:rsid w:val="00B21E7C"/>
    <w:rsid w:val="00B25A67"/>
    <w:rsid w:val="00B2705D"/>
    <w:rsid w:val="00B31A87"/>
    <w:rsid w:val="00B328D9"/>
    <w:rsid w:val="00B359F7"/>
    <w:rsid w:val="00B36174"/>
    <w:rsid w:val="00B36797"/>
    <w:rsid w:val="00B37938"/>
    <w:rsid w:val="00B40964"/>
    <w:rsid w:val="00B4379B"/>
    <w:rsid w:val="00B449A6"/>
    <w:rsid w:val="00B44B21"/>
    <w:rsid w:val="00B47364"/>
    <w:rsid w:val="00B4761C"/>
    <w:rsid w:val="00B52DF0"/>
    <w:rsid w:val="00B5362F"/>
    <w:rsid w:val="00B536AA"/>
    <w:rsid w:val="00B72F77"/>
    <w:rsid w:val="00B74634"/>
    <w:rsid w:val="00B82854"/>
    <w:rsid w:val="00B83B4C"/>
    <w:rsid w:val="00B8481F"/>
    <w:rsid w:val="00B8596E"/>
    <w:rsid w:val="00B86426"/>
    <w:rsid w:val="00B932A3"/>
    <w:rsid w:val="00B9368B"/>
    <w:rsid w:val="00B9635F"/>
    <w:rsid w:val="00B97C53"/>
    <w:rsid w:val="00BA336D"/>
    <w:rsid w:val="00BA60E2"/>
    <w:rsid w:val="00BB20ED"/>
    <w:rsid w:val="00BB2292"/>
    <w:rsid w:val="00BB2C94"/>
    <w:rsid w:val="00BB3122"/>
    <w:rsid w:val="00BB4DE1"/>
    <w:rsid w:val="00BC364B"/>
    <w:rsid w:val="00BC3F88"/>
    <w:rsid w:val="00BC411D"/>
    <w:rsid w:val="00BC637B"/>
    <w:rsid w:val="00BD0301"/>
    <w:rsid w:val="00BD4834"/>
    <w:rsid w:val="00BD483F"/>
    <w:rsid w:val="00BE3526"/>
    <w:rsid w:val="00BE4E4D"/>
    <w:rsid w:val="00BE7164"/>
    <w:rsid w:val="00BE74A5"/>
    <w:rsid w:val="00BF105E"/>
    <w:rsid w:val="00BF272B"/>
    <w:rsid w:val="00BF31BF"/>
    <w:rsid w:val="00BF49DE"/>
    <w:rsid w:val="00BF5637"/>
    <w:rsid w:val="00BF6C16"/>
    <w:rsid w:val="00C00B93"/>
    <w:rsid w:val="00C045F4"/>
    <w:rsid w:val="00C1225F"/>
    <w:rsid w:val="00C13AE0"/>
    <w:rsid w:val="00C16C6D"/>
    <w:rsid w:val="00C25477"/>
    <w:rsid w:val="00C272D1"/>
    <w:rsid w:val="00C3090C"/>
    <w:rsid w:val="00C30F72"/>
    <w:rsid w:val="00C30FC2"/>
    <w:rsid w:val="00C33822"/>
    <w:rsid w:val="00C3412F"/>
    <w:rsid w:val="00C34A77"/>
    <w:rsid w:val="00C34C88"/>
    <w:rsid w:val="00C36B9D"/>
    <w:rsid w:val="00C3776A"/>
    <w:rsid w:val="00C4365C"/>
    <w:rsid w:val="00C43742"/>
    <w:rsid w:val="00C45547"/>
    <w:rsid w:val="00C51119"/>
    <w:rsid w:val="00C51B3D"/>
    <w:rsid w:val="00C5218E"/>
    <w:rsid w:val="00C523BE"/>
    <w:rsid w:val="00C53FDA"/>
    <w:rsid w:val="00C64267"/>
    <w:rsid w:val="00C64323"/>
    <w:rsid w:val="00C8014C"/>
    <w:rsid w:val="00C84495"/>
    <w:rsid w:val="00C85212"/>
    <w:rsid w:val="00C85EDF"/>
    <w:rsid w:val="00C860E6"/>
    <w:rsid w:val="00C863B8"/>
    <w:rsid w:val="00C91287"/>
    <w:rsid w:val="00C947A2"/>
    <w:rsid w:val="00C958B5"/>
    <w:rsid w:val="00CA03EF"/>
    <w:rsid w:val="00CA32F8"/>
    <w:rsid w:val="00CA4E0A"/>
    <w:rsid w:val="00CA5E04"/>
    <w:rsid w:val="00CA7E2A"/>
    <w:rsid w:val="00CB1766"/>
    <w:rsid w:val="00CB1B44"/>
    <w:rsid w:val="00CB34C5"/>
    <w:rsid w:val="00CC0E9C"/>
    <w:rsid w:val="00CC4ED9"/>
    <w:rsid w:val="00CC58D1"/>
    <w:rsid w:val="00CC6DD6"/>
    <w:rsid w:val="00CC70AF"/>
    <w:rsid w:val="00CD5349"/>
    <w:rsid w:val="00CE0C52"/>
    <w:rsid w:val="00CE2ABC"/>
    <w:rsid w:val="00CE43A3"/>
    <w:rsid w:val="00CE4908"/>
    <w:rsid w:val="00CE767B"/>
    <w:rsid w:val="00CE7A3C"/>
    <w:rsid w:val="00D04611"/>
    <w:rsid w:val="00D05CBD"/>
    <w:rsid w:val="00D13380"/>
    <w:rsid w:val="00D139C8"/>
    <w:rsid w:val="00D14F2F"/>
    <w:rsid w:val="00D1519F"/>
    <w:rsid w:val="00D157DD"/>
    <w:rsid w:val="00D16568"/>
    <w:rsid w:val="00D245F1"/>
    <w:rsid w:val="00D31261"/>
    <w:rsid w:val="00D36F95"/>
    <w:rsid w:val="00D40BC8"/>
    <w:rsid w:val="00D44A31"/>
    <w:rsid w:val="00D458A3"/>
    <w:rsid w:val="00D47E63"/>
    <w:rsid w:val="00D510DE"/>
    <w:rsid w:val="00D56F36"/>
    <w:rsid w:val="00D617B8"/>
    <w:rsid w:val="00D6203F"/>
    <w:rsid w:val="00D63E28"/>
    <w:rsid w:val="00D6591C"/>
    <w:rsid w:val="00D67425"/>
    <w:rsid w:val="00D67B68"/>
    <w:rsid w:val="00D71BA5"/>
    <w:rsid w:val="00D72AE5"/>
    <w:rsid w:val="00D75D0C"/>
    <w:rsid w:val="00D76A1B"/>
    <w:rsid w:val="00D80DC1"/>
    <w:rsid w:val="00D81047"/>
    <w:rsid w:val="00D92034"/>
    <w:rsid w:val="00D95341"/>
    <w:rsid w:val="00DA2B91"/>
    <w:rsid w:val="00DA555C"/>
    <w:rsid w:val="00DB2F7E"/>
    <w:rsid w:val="00DC1098"/>
    <w:rsid w:val="00DC1298"/>
    <w:rsid w:val="00DC1694"/>
    <w:rsid w:val="00DC33BC"/>
    <w:rsid w:val="00DC42AE"/>
    <w:rsid w:val="00DC56A8"/>
    <w:rsid w:val="00DC5F30"/>
    <w:rsid w:val="00DD6508"/>
    <w:rsid w:val="00DF3659"/>
    <w:rsid w:val="00DF3CC4"/>
    <w:rsid w:val="00DF5886"/>
    <w:rsid w:val="00DF69C7"/>
    <w:rsid w:val="00E03D9C"/>
    <w:rsid w:val="00E12EA0"/>
    <w:rsid w:val="00E14EEC"/>
    <w:rsid w:val="00E16DBE"/>
    <w:rsid w:val="00E21287"/>
    <w:rsid w:val="00E2233E"/>
    <w:rsid w:val="00E2305D"/>
    <w:rsid w:val="00E254A3"/>
    <w:rsid w:val="00E267CD"/>
    <w:rsid w:val="00E310CB"/>
    <w:rsid w:val="00E3530D"/>
    <w:rsid w:val="00E35715"/>
    <w:rsid w:val="00E36601"/>
    <w:rsid w:val="00E376A1"/>
    <w:rsid w:val="00E411BC"/>
    <w:rsid w:val="00E5265F"/>
    <w:rsid w:val="00E55125"/>
    <w:rsid w:val="00E55F95"/>
    <w:rsid w:val="00E57FCD"/>
    <w:rsid w:val="00E602D8"/>
    <w:rsid w:val="00E60D8A"/>
    <w:rsid w:val="00E61AFA"/>
    <w:rsid w:val="00E7008C"/>
    <w:rsid w:val="00E714CA"/>
    <w:rsid w:val="00E74050"/>
    <w:rsid w:val="00E77644"/>
    <w:rsid w:val="00E77FC8"/>
    <w:rsid w:val="00E85259"/>
    <w:rsid w:val="00E85D5D"/>
    <w:rsid w:val="00E91511"/>
    <w:rsid w:val="00E92162"/>
    <w:rsid w:val="00E929A9"/>
    <w:rsid w:val="00E946BD"/>
    <w:rsid w:val="00EA0250"/>
    <w:rsid w:val="00EA24FD"/>
    <w:rsid w:val="00EA3748"/>
    <w:rsid w:val="00EA3A37"/>
    <w:rsid w:val="00EA599F"/>
    <w:rsid w:val="00EA5F83"/>
    <w:rsid w:val="00EB1B09"/>
    <w:rsid w:val="00EB4DFC"/>
    <w:rsid w:val="00EC0E6A"/>
    <w:rsid w:val="00ED1E60"/>
    <w:rsid w:val="00ED2D81"/>
    <w:rsid w:val="00ED4475"/>
    <w:rsid w:val="00ED4675"/>
    <w:rsid w:val="00ED577C"/>
    <w:rsid w:val="00EE27B3"/>
    <w:rsid w:val="00EE6048"/>
    <w:rsid w:val="00EF01B1"/>
    <w:rsid w:val="00EF1FA6"/>
    <w:rsid w:val="00EF3944"/>
    <w:rsid w:val="00EF3DE8"/>
    <w:rsid w:val="00EF44BD"/>
    <w:rsid w:val="00EF4C04"/>
    <w:rsid w:val="00EF523D"/>
    <w:rsid w:val="00EF5E4B"/>
    <w:rsid w:val="00EF7857"/>
    <w:rsid w:val="00EF7B22"/>
    <w:rsid w:val="00F026AF"/>
    <w:rsid w:val="00F0404C"/>
    <w:rsid w:val="00F05973"/>
    <w:rsid w:val="00F05F9A"/>
    <w:rsid w:val="00F10F08"/>
    <w:rsid w:val="00F15164"/>
    <w:rsid w:val="00F17D0D"/>
    <w:rsid w:val="00F21A75"/>
    <w:rsid w:val="00F22408"/>
    <w:rsid w:val="00F22B79"/>
    <w:rsid w:val="00F23B90"/>
    <w:rsid w:val="00F26DE9"/>
    <w:rsid w:val="00F30794"/>
    <w:rsid w:val="00F325C0"/>
    <w:rsid w:val="00F33F26"/>
    <w:rsid w:val="00F34DAF"/>
    <w:rsid w:val="00F414C3"/>
    <w:rsid w:val="00F460BE"/>
    <w:rsid w:val="00F46D8D"/>
    <w:rsid w:val="00F52175"/>
    <w:rsid w:val="00F54FD5"/>
    <w:rsid w:val="00F57963"/>
    <w:rsid w:val="00F624B5"/>
    <w:rsid w:val="00F67FA5"/>
    <w:rsid w:val="00F70698"/>
    <w:rsid w:val="00F71114"/>
    <w:rsid w:val="00F71F9F"/>
    <w:rsid w:val="00F778C2"/>
    <w:rsid w:val="00F80AFC"/>
    <w:rsid w:val="00F81510"/>
    <w:rsid w:val="00F81A18"/>
    <w:rsid w:val="00F8256B"/>
    <w:rsid w:val="00F830BE"/>
    <w:rsid w:val="00F846A4"/>
    <w:rsid w:val="00F84DAC"/>
    <w:rsid w:val="00F85A60"/>
    <w:rsid w:val="00F91B7E"/>
    <w:rsid w:val="00F922A0"/>
    <w:rsid w:val="00F95B59"/>
    <w:rsid w:val="00F97D93"/>
    <w:rsid w:val="00FA0973"/>
    <w:rsid w:val="00FA348B"/>
    <w:rsid w:val="00FA44F4"/>
    <w:rsid w:val="00FB1E31"/>
    <w:rsid w:val="00FC1647"/>
    <w:rsid w:val="00FC329C"/>
    <w:rsid w:val="00FC3E7B"/>
    <w:rsid w:val="00FD1DDC"/>
    <w:rsid w:val="00FD2AE4"/>
    <w:rsid w:val="00FD2F14"/>
    <w:rsid w:val="00FE0074"/>
    <w:rsid w:val="00FE212F"/>
    <w:rsid w:val="00FE2E4D"/>
    <w:rsid w:val="00FE353D"/>
    <w:rsid w:val="00FE64D3"/>
    <w:rsid w:val="00FE6ADD"/>
    <w:rsid w:val="00FF2E02"/>
    <w:rsid w:val="00FF56A4"/>
    <w:rsid w:val="00FF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paragraph" w:styleId="ListParagraph">
    <w:name w:val="List Paragraph"/>
    <w:basedOn w:val="Normal"/>
    <w:uiPriority w:val="34"/>
    <w:qFormat/>
    <w:rsid w:val="003A65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6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295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95B"/>
  </w:style>
  <w:style w:type="paragraph" w:styleId="Header">
    <w:name w:val="header"/>
    <w:basedOn w:val="Normal"/>
    <w:rsid w:val="00DC42A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180"/>
    <w:rPr>
      <w:sz w:val="24"/>
      <w:szCs w:val="24"/>
    </w:rPr>
  </w:style>
  <w:style w:type="paragraph" w:customStyle="1" w:styleId="p5">
    <w:name w:val="p5"/>
    <w:basedOn w:val="Normal"/>
    <w:rsid w:val="009F64F2"/>
    <w:pPr>
      <w:widowControl w:val="0"/>
      <w:tabs>
        <w:tab w:val="left" w:pos="391"/>
      </w:tabs>
      <w:autoSpaceDE w:val="0"/>
      <w:autoSpaceDN w:val="0"/>
      <w:adjustRightInd w:val="0"/>
      <w:ind w:left="1049"/>
    </w:pPr>
  </w:style>
  <w:style w:type="paragraph" w:styleId="ListParagraph">
    <w:name w:val="List Paragraph"/>
    <w:basedOn w:val="Normal"/>
    <w:uiPriority w:val="34"/>
    <w:qFormat/>
    <w:rsid w:val="003A65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6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4505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shoffner</dc:creator>
  <cp:lastModifiedBy>Miller, Sara</cp:lastModifiedBy>
  <cp:revision>4</cp:revision>
  <cp:lastPrinted>2010-01-05T13:43:00Z</cp:lastPrinted>
  <dcterms:created xsi:type="dcterms:W3CDTF">2012-10-24T18:45:00Z</dcterms:created>
  <dcterms:modified xsi:type="dcterms:W3CDTF">2012-10-25T13:08:00Z</dcterms:modified>
</cp:coreProperties>
</file>