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1C47" w:rsidRDefault="00CF4780" w:rsidP="00CF4780">
      <w:pPr>
        <w:jc w:val="center"/>
        <w:rPr>
          <w:b/>
        </w:rPr>
      </w:pPr>
      <w:r>
        <w:rPr>
          <w:b/>
        </w:rPr>
        <w:t>BEFORE THE</w:t>
      </w:r>
    </w:p>
    <w:p w:rsidR="00CF4780" w:rsidRDefault="00CF4780" w:rsidP="00CF4780">
      <w:pPr>
        <w:jc w:val="center"/>
        <w:rPr>
          <w:b/>
        </w:rPr>
      </w:pPr>
      <w:smartTag w:uri="urn:schemas-microsoft-com:office:smarttags" w:element="State">
        <w:smartTag w:uri="urn:schemas-microsoft-com:office:smarttags" w:element="place">
          <w:r>
            <w:rPr>
              <w:b/>
            </w:rPr>
            <w:t>PENNSYLVANIA</w:t>
          </w:r>
        </w:smartTag>
      </w:smartTag>
      <w:r>
        <w:rPr>
          <w:b/>
        </w:rPr>
        <w:t xml:space="preserve"> PUBLIC UTILITY COMMISSION</w:t>
      </w:r>
    </w:p>
    <w:p w:rsidR="00CF4780" w:rsidRDefault="00CF4780" w:rsidP="00CF4780">
      <w:pPr>
        <w:jc w:val="center"/>
        <w:rPr>
          <w:b/>
        </w:rPr>
      </w:pPr>
    </w:p>
    <w:p w:rsidR="00CF4780" w:rsidRDefault="00CF4780" w:rsidP="00CF4780"/>
    <w:p w:rsidR="00601F5F" w:rsidRDefault="00AA04D1" w:rsidP="00CF4780">
      <w:r>
        <w:t>William R. Widdemer</w:t>
      </w:r>
      <w:r>
        <w:tab/>
      </w:r>
      <w:r>
        <w:tab/>
      </w:r>
      <w:r w:rsidR="00601F5F">
        <w:tab/>
      </w:r>
      <w:r w:rsidR="00601F5F">
        <w:tab/>
        <w:t>:</w:t>
      </w:r>
    </w:p>
    <w:p w:rsidR="00CF4780" w:rsidRDefault="00CF4780" w:rsidP="00CF4780">
      <w:r>
        <w:tab/>
      </w:r>
      <w:r>
        <w:tab/>
      </w:r>
      <w:r>
        <w:tab/>
      </w:r>
      <w:r>
        <w:tab/>
      </w:r>
      <w:r>
        <w:tab/>
      </w:r>
      <w:r>
        <w:tab/>
        <w:t>:</w:t>
      </w:r>
    </w:p>
    <w:p w:rsidR="00CF4780" w:rsidRDefault="00CF4780" w:rsidP="00CF4780">
      <w:r>
        <w:tab/>
        <w:t>v.</w:t>
      </w:r>
      <w:r>
        <w:tab/>
      </w:r>
      <w:r>
        <w:tab/>
      </w:r>
      <w:r>
        <w:tab/>
      </w:r>
      <w:r>
        <w:tab/>
      </w:r>
      <w:r>
        <w:tab/>
        <w:t>:</w:t>
      </w:r>
      <w:r>
        <w:tab/>
      </w:r>
      <w:r>
        <w:tab/>
      </w:r>
      <w:r w:rsidR="000962F2">
        <w:t>C-201</w:t>
      </w:r>
      <w:r w:rsidR="00D82CCD">
        <w:t>2</w:t>
      </w:r>
      <w:r w:rsidR="000962F2">
        <w:t>-2</w:t>
      </w:r>
      <w:r w:rsidR="007575B7">
        <w:t>3</w:t>
      </w:r>
      <w:r w:rsidR="00601F5F">
        <w:t>2</w:t>
      </w:r>
      <w:r w:rsidR="00AA04D1">
        <w:t>6728</w:t>
      </w:r>
    </w:p>
    <w:p w:rsidR="00CF4780" w:rsidRDefault="00CF4780" w:rsidP="00CF4780">
      <w:r>
        <w:tab/>
      </w:r>
      <w:r>
        <w:tab/>
      </w:r>
      <w:r>
        <w:tab/>
      </w:r>
      <w:r>
        <w:tab/>
      </w:r>
      <w:r>
        <w:tab/>
      </w:r>
      <w:r>
        <w:tab/>
        <w:t>:</w:t>
      </w:r>
    </w:p>
    <w:p w:rsidR="00CF4780" w:rsidRDefault="00601F5F" w:rsidP="00CF4780">
      <w:r>
        <w:t xml:space="preserve">PECO Energy </w:t>
      </w:r>
      <w:r w:rsidR="007575B7">
        <w:t>Company</w:t>
      </w:r>
      <w:r>
        <w:tab/>
      </w:r>
      <w:r w:rsidR="00CF4780">
        <w:tab/>
      </w:r>
      <w:r w:rsidR="00CF4780">
        <w:tab/>
        <w:t>:</w:t>
      </w:r>
    </w:p>
    <w:p w:rsidR="00CF4780" w:rsidRDefault="00CF4780" w:rsidP="00CF4780"/>
    <w:p w:rsidR="00CF4780" w:rsidRDefault="00CF4780" w:rsidP="00CF4780"/>
    <w:p w:rsidR="00841336" w:rsidRPr="00F83F79" w:rsidRDefault="00AA1D53" w:rsidP="00AA1D53">
      <w:pPr>
        <w:tabs>
          <w:tab w:val="center" w:pos="0"/>
        </w:tabs>
        <w:suppressAutoHyphens/>
        <w:ind w:right="-720"/>
        <w:jc w:val="center"/>
        <w:rPr>
          <w:b/>
          <w:bCs/>
          <w:spacing w:val="-3"/>
        </w:rPr>
      </w:pPr>
      <w:r>
        <w:rPr>
          <w:b/>
          <w:bCs/>
          <w:spacing w:val="-3"/>
          <w:u w:val="single"/>
        </w:rPr>
        <w:t>ORDER DENYING PRELIMINARY OBJECTION</w:t>
      </w:r>
    </w:p>
    <w:p w:rsidR="00F83F79" w:rsidRDefault="00F83F79" w:rsidP="00F83F79">
      <w:pPr>
        <w:tabs>
          <w:tab w:val="left" w:pos="-720"/>
        </w:tabs>
        <w:suppressAutoHyphens/>
        <w:autoSpaceDE w:val="0"/>
        <w:autoSpaceDN w:val="0"/>
        <w:spacing w:line="360" w:lineRule="auto"/>
        <w:ind w:firstLine="1440"/>
        <w:rPr>
          <w:spacing w:val="-3"/>
        </w:rPr>
      </w:pPr>
    </w:p>
    <w:p w:rsidR="00132A1C" w:rsidRPr="00132A1C" w:rsidRDefault="00132A1C" w:rsidP="00132A1C">
      <w:pPr>
        <w:tabs>
          <w:tab w:val="left" w:pos="-720"/>
          <w:tab w:val="left" w:pos="5040"/>
        </w:tabs>
        <w:suppressAutoHyphens/>
        <w:autoSpaceDE w:val="0"/>
        <w:autoSpaceDN w:val="0"/>
        <w:jc w:val="center"/>
        <w:rPr>
          <w:spacing w:val="-3"/>
        </w:rPr>
      </w:pPr>
      <w:r w:rsidRPr="00132A1C">
        <w:rPr>
          <w:spacing w:val="-3"/>
        </w:rPr>
        <w:t>Before</w:t>
      </w:r>
    </w:p>
    <w:p w:rsidR="00132A1C" w:rsidRPr="00132A1C" w:rsidRDefault="00132A1C" w:rsidP="00132A1C">
      <w:pPr>
        <w:tabs>
          <w:tab w:val="left" w:pos="-720"/>
          <w:tab w:val="left" w:pos="5040"/>
        </w:tabs>
        <w:suppressAutoHyphens/>
        <w:autoSpaceDE w:val="0"/>
        <w:autoSpaceDN w:val="0"/>
        <w:jc w:val="center"/>
        <w:rPr>
          <w:spacing w:val="-3"/>
        </w:rPr>
      </w:pPr>
      <w:r w:rsidRPr="00132A1C">
        <w:rPr>
          <w:spacing w:val="-3"/>
        </w:rPr>
        <w:t>Administrative Law Judge</w:t>
      </w:r>
    </w:p>
    <w:p w:rsidR="00132A1C" w:rsidRPr="00F83F79" w:rsidRDefault="00132A1C" w:rsidP="00132A1C">
      <w:pPr>
        <w:tabs>
          <w:tab w:val="left" w:pos="-720"/>
        </w:tabs>
        <w:suppressAutoHyphens/>
        <w:autoSpaceDE w:val="0"/>
        <w:autoSpaceDN w:val="0"/>
        <w:spacing w:line="360" w:lineRule="auto"/>
        <w:rPr>
          <w:spacing w:val="-3"/>
        </w:rPr>
      </w:pPr>
      <w:r>
        <w:rPr>
          <w:spacing w:val="-3"/>
        </w:rPr>
        <w:tab/>
      </w:r>
      <w:r>
        <w:rPr>
          <w:spacing w:val="-3"/>
        </w:rPr>
        <w:tab/>
      </w:r>
      <w:r>
        <w:rPr>
          <w:spacing w:val="-3"/>
        </w:rPr>
        <w:tab/>
      </w:r>
      <w:r>
        <w:rPr>
          <w:spacing w:val="-3"/>
        </w:rPr>
        <w:tab/>
      </w:r>
      <w:r>
        <w:rPr>
          <w:spacing w:val="-3"/>
        </w:rPr>
        <w:tab/>
        <w:t xml:space="preserve">    </w:t>
      </w:r>
      <w:r w:rsidRPr="00132A1C">
        <w:rPr>
          <w:spacing w:val="-3"/>
        </w:rPr>
        <w:t>Dennis J. Buckley</w:t>
      </w:r>
    </w:p>
    <w:p w:rsidR="00F83F79" w:rsidRDefault="00F83F79" w:rsidP="00F83F79">
      <w:pPr>
        <w:tabs>
          <w:tab w:val="left" w:pos="-720"/>
        </w:tabs>
        <w:suppressAutoHyphens/>
        <w:autoSpaceDE w:val="0"/>
        <w:autoSpaceDN w:val="0"/>
        <w:spacing w:line="360" w:lineRule="auto"/>
        <w:ind w:right="-720"/>
      </w:pPr>
    </w:p>
    <w:p w:rsidR="00F83F79" w:rsidRDefault="00F83F79" w:rsidP="008B22BE">
      <w:pPr>
        <w:tabs>
          <w:tab w:val="left" w:pos="-720"/>
        </w:tabs>
        <w:suppressAutoHyphens/>
        <w:autoSpaceDE w:val="0"/>
        <w:autoSpaceDN w:val="0"/>
        <w:spacing w:line="360" w:lineRule="auto"/>
      </w:pPr>
      <w:r w:rsidRPr="00F83F79">
        <w:tab/>
      </w:r>
      <w:r w:rsidRPr="00F83F79">
        <w:tab/>
      </w:r>
      <w:r w:rsidR="00113287">
        <w:t xml:space="preserve">This </w:t>
      </w:r>
      <w:r w:rsidR="001F2162">
        <w:t>Order</w:t>
      </w:r>
      <w:r w:rsidR="00113287">
        <w:t xml:space="preserve"> </w:t>
      </w:r>
      <w:r w:rsidR="00AA1D53">
        <w:t>denies</w:t>
      </w:r>
      <w:r w:rsidR="00113287">
        <w:t xml:space="preserve"> the </w:t>
      </w:r>
      <w:r w:rsidR="00AF7F9A">
        <w:t>P</w:t>
      </w:r>
      <w:r w:rsidR="00841336">
        <w:t xml:space="preserve">reliminary </w:t>
      </w:r>
      <w:r w:rsidR="00AF7F9A">
        <w:t>O</w:t>
      </w:r>
      <w:r w:rsidR="00841336">
        <w:t>bjection</w:t>
      </w:r>
      <w:r w:rsidRPr="00F83F79">
        <w:t xml:space="preserve"> filed by </w:t>
      </w:r>
      <w:r w:rsidR="00601F5F">
        <w:t>PECO Energy Company</w:t>
      </w:r>
      <w:r w:rsidRPr="00F83F79">
        <w:t xml:space="preserve"> (</w:t>
      </w:r>
      <w:r w:rsidR="00601F5F">
        <w:t>PECO</w:t>
      </w:r>
      <w:r w:rsidRPr="00F83F79">
        <w:t xml:space="preserve"> or Respondent) in this case </w:t>
      </w:r>
      <w:r w:rsidR="00AA1D53">
        <w:t xml:space="preserve">relative to </w:t>
      </w:r>
      <w:r w:rsidR="00F05EAC">
        <w:t xml:space="preserve">the formal Complaint filed by </w:t>
      </w:r>
      <w:r w:rsidR="00841336">
        <w:t xml:space="preserve">William R. Widdemer </w:t>
      </w:r>
      <w:r w:rsidR="00F05EAC" w:rsidRPr="00F05EAC">
        <w:t>(Complainant)</w:t>
      </w:r>
      <w:r w:rsidRPr="00F83F79">
        <w:t>.</w:t>
      </w:r>
      <w:r w:rsidR="00CC0214">
        <w:rPr>
          <w:rStyle w:val="FootnoteReference"/>
        </w:rPr>
        <w:footnoteReference w:id="1"/>
      </w:r>
    </w:p>
    <w:p w:rsidR="00113287" w:rsidRDefault="00113287" w:rsidP="008B22BE">
      <w:pPr>
        <w:tabs>
          <w:tab w:val="left" w:pos="-720"/>
        </w:tabs>
        <w:suppressAutoHyphens/>
        <w:autoSpaceDE w:val="0"/>
        <w:autoSpaceDN w:val="0"/>
        <w:spacing w:line="360" w:lineRule="auto"/>
      </w:pPr>
    </w:p>
    <w:p w:rsidR="00113287" w:rsidRPr="00113287" w:rsidRDefault="00113287" w:rsidP="00113287">
      <w:pPr>
        <w:tabs>
          <w:tab w:val="left" w:pos="-720"/>
        </w:tabs>
        <w:suppressAutoHyphens/>
        <w:autoSpaceDE w:val="0"/>
        <w:autoSpaceDN w:val="0"/>
        <w:spacing w:line="360" w:lineRule="auto"/>
        <w:jc w:val="center"/>
      </w:pPr>
      <w:r>
        <w:rPr>
          <w:u w:val="single"/>
        </w:rPr>
        <w:t>HISTORY</w:t>
      </w:r>
    </w:p>
    <w:p w:rsidR="00F83F79" w:rsidRDefault="00F83F79" w:rsidP="000962F2">
      <w:pPr>
        <w:spacing w:line="360" w:lineRule="auto"/>
        <w:ind w:firstLine="1440"/>
      </w:pPr>
    </w:p>
    <w:p w:rsidR="00FC016D" w:rsidRDefault="00113287" w:rsidP="000962F2">
      <w:pPr>
        <w:spacing w:line="360" w:lineRule="auto"/>
        <w:ind w:firstLine="1440"/>
      </w:pPr>
      <w:r>
        <w:t>O</w:t>
      </w:r>
      <w:r w:rsidR="000962F2" w:rsidRPr="007F27A1">
        <w:t xml:space="preserve">n </w:t>
      </w:r>
      <w:r w:rsidR="00FC016D">
        <w:t xml:space="preserve">September </w:t>
      </w:r>
      <w:r w:rsidR="00841336">
        <w:t>24</w:t>
      </w:r>
      <w:r w:rsidR="00FC016D">
        <w:t xml:space="preserve">, 2012, </w:t>
      </w:r>
      <w:r w:rsidR="00841336">
        <w:t>Complainant</w:t>
      </w:r>
      <w:r w:rsidR="00FC016D">
        <w:t xml:space="preserve"> </w:t>
      </w:r>
      <w:r w:rsidR="000962F2" w:rsidRPr="007F27A1">
        <w:t>filed a formal</w:t>
      </w:r>
      <w:r w:rsidR="00841336">
        <w:t xml:space="preserve"> Complaint in which he denie</w:t>
      </w:r>
      <w:r w:rsidR="006B1EA3">
        <w:t>d</w:t>
      </w:r>
      <w:r w:rsidR="00841336">
        <w:t xml:space="preserve"> financial responsibility for a second meter installed by PECO to track </w:t>
      </w:r>
      <w:r w:rsidR="00426881">
        <w:t>O</w:t>
      </w:r>
      <w:r w:rsidR="00841336">
        <w:t>ff</w:t>
      </w:r>
      <w:r w:rsidR="00426881">
        <w:t xml:space="preserve"> P</w:t>
      </w:r>
      <w:r w:rsidR="00841336">
        <w:t>eak electricity usage</w:t>
      </w:r>
      <w:r w:rsidR="00FC016D">
        <w:t xml:space="preserve">.  </w:t>
      </w:r>
      <w:r w:rsidR="00AA1D53">
        <w:t xml:space="preserve">Specifically, </w:t>
      </w:r>
      <w:r w:rsidR="00841336">
        <w:t>Complainant objects to the $1.75 monthly fee for the meter and asks that PECO pay that charge</w:t>
      </w:r>
      <w:r w:rsidR="008C0E60">
        <w:t xml:space="preserve"> or split the cost</w:t>
      </w:r>
      <w:r w:rsidR="00841336">
        <w:t>.</w:t>
      </w:r>
    </w:p>
    <w:p w:rsidR="00FC016D" w:rsidRDefault="00FC016D" w:rsidP="000962F2">
      <w:pPr>
        <w:spacing w:line="360" w:lineRule="auto"/>
        <w:ind w:firstLine="1440"/>
      </w:pPr>
    </w:p>
    <w:p w:rsidR="00D82CCD" w:rsidRDefault="004A3F84" w:rsidP="000962F2">
      <w:pPr>
        <w:spacing w:line="360" w:lineRule="auto"/>
        <w:ind w:firstLine="1440"/>
      </w:pPr>
      <w:r>
        <w:t>T</w:t>
      </w:r>
      <w:r w:rsidR="001B4A47">
        <w:t xml:space="preserve">he Complaint was served on </w:t>
      </w:r>
      <w:r w:rsidR="00841336">
        <w:t>October 1</w:t>
      </w:r>
      <w:r>
        <w:t>, 2012</w:t>
      </w:r>
      <w:r w:rsidR="00D82CCD">
        <w:t xml:space="preserve">, and on </w:t>
      </w:r>
      <w:r w:rsidR="00841336">
        <w:t>October 2</w:t>
      </w:r>
      <w:r>
        <w:t>, 2012</w:t>
      </w:r>
      <w:r w:rsidR="00D82CCD">
        <w:t xml:space="preserve">, </w:t>
      </w:r>
      <w:r>
        <w:t>PECO</w:t>
      </w:r>
      <w:r w:rsidR="00775D75">
        <w:t xml:space="preserve"> </w:t>
      </w:r>
      <w:r w:rsidR="00D82CCD">
        <w:t>filed an Answer</w:t>
      </w:r>
      <w:r w:rsidR="001B4A47">
        <w:t xml:space="preserve">.  </w:t>
      </w:r>
      <w:r w:rsidR="00D82CCD">
        <w:t>In that Answer, P</w:t>
      </w:r>
      <w:r>
        <w:t>ECO denied any violation of the Public Utility Cod</w:t>
      </w:r>
      <w:r w:rsidR="005F3559">
        <w:t>e</w:t>
      </w:r>
      <w:r>
        <w:t xml:space="preserve"> (Code) and asserted that </w:t>
      </w:r>
      <w:r w:rsidR="008C0E60">
        <w:t xml:space="preserve">the Commission lacks jurisdiction to award the Complainant </w:t>
      </w:r>
      <w:r w:rsidR="001F2162">
        <w:t>what PECO characterizes as “compensatory damages</w:t>
      </w:r>
      <w:r w:rsidR="00D82CCD">
        <w:t>.</w:t>
      </w:r>
      <w:r w:rsidR="001F2162">
        <w:t>”</w:t>
      </w:r>
      <w:r w:rsidR="00DC155E">
        <w:t xml:space="preserve">  </w:t>
      </w:r>
    </w:p>
    <w:p w:rsidR="008C0E60" w:rsidRDefault="008C0E60" w:rsidP="000962F2">
      <w:pPr>
        <w:spacing w:line="360" w:lineRule="auto"/>
        <w:ind w:firstLine="1440"/>
      </w:pPr>
    </w:p>
    <w:p w:rsidR="00814C30" w:rsidRDefault="00D82CCD" w:rsidP="000962F2">
      <w:pPr>
        <w:spacing w:line="360" w:lineRule="auto"/>
        <w:ind w:firstLine="1440"/>
      </w:pPr>
      <w:r>
        <w:lastRenderedPageBreak/>
        <w:t xml:space="preserve">Also on </w:t>
      </w:r>
      <w:r w:rsidR="008C0E60">
        <w:t>October 2,</w:t>
      </w:r>
      <w:r w:rsidR="00DC155E">
        <w:t xml:space="preserve"> 2012</w:t>
      </w:r>
      <w:r>
        <w:t xml:space="preserve">, </w:t>
      </w:r>
      <w:r w:rsidR="00DC155E">
        <w:t>PECO</w:t>
      </w:r>
      <w:r w:rsidR="00775D75">
        <w:t xml:space="preserve"> </w:t>
      </w:r>
      <w:r>
        <w:t xml:space="preserve">filed </w:t>
      </w:r>
      <w:r w:rsidR="008C0E60">
        <w:t xml:space="preserve">a </w:t>
      </w:r>
      <w:r>
        <w:t>Preliminary Objection to the Complaint.  The Preliminary Objection</w:t>
      </w:r>
      <w:r w:rsidR="008C0E60">
        <w:t xml:space="preserve"> was</w:t>
      </w:r>
      <w:r>
        <w:t xml:space="preserve"> properly endorsed with a Notice to Plead.  To date, no responsive pleading has been f</w:t>
      </w:r>
      <w:r w:rsidR="001060C5">
        <w:t>iled by Complainant to the P</w:t>
      </w:r>
      <w:r>
        <w:t xml:space="preserve">reliminary Objection.  </w:t>
      </w:r>
    </w:p>
    <w:p w:rsidR="006B1EA3" w:rsidRDefault="006B1EA3" w:rsidP="000962F2">
      <w:pPr>
        <w:spacing w:line="360" w:lineRule="auto"/>
        <w:ind w:firstLine="1440"/>
      </w:pPr>
    </w:p>
    <w:p w:rsidR="006C095B" w:rsidRDefault="006C095B" w:rsidP="000962F2">
      <w:pPr>
        <w:spacing w:line="360" w:lineRule="auto"/>
        <w:ind w:firstLine="1440"/>
      </w:pPr>
      <w:r w:rsidRPr="006C095B">
        <w:t>This case was assigned to me as Motion Judge on</w:t>
      </w:r>
      <w:r>
        <w:t xml:space="preserve"> October </w:t>
      </w:r>
      <w:r w:rsidR="008C0E60">
        <w:t>17</w:t>
      </w:r>
      <w:r>
        <w:t>, 2012.</w:t>
      </w:r>
    </w:p>
    <w:p w:rsidR="006B1EA3" w:rsidRDefault="006B1EA3" w:rsidP="000962F2">
      <w:pPr>
        <w:spacing w:line="360" w:lineRule="auto"/>
        <w:ind w:firstLine="1440"/>
      </w:pPr>
    </w:p>
    <w:p w:rsidR="006B1EA3" w:rsidRPr="006B1EA3" w:rsidRDefault="006B1EA3" w:rsidP="006B1EA3">
      <w:pPr>
        <w:spacing w:line="360" w:lineRule="auto"/>
        <w:jc w:val="center"/>
      </w:pPr>
      <w:r>
        <w:rPr>
          <w:u w:val="single"/>
        </w:rPr>
        <w:t>FINDINGS OF FACT</w:t>
      </w:r>
    </w:p>
    <w:p w:rsidR="006B1EA3" w:rsidRDefault="006B1EA3" w:rsidP="006B1EA3">
      <w:pPr>
        <w:spacing w:line="360" w:lineRule="auto"/>
      </w:pPr>
    </w:p>
    <w:p w:rsidR="006B1EA3" w:rsidRDefault="006B1EA3" w:rsidP="006B1EA3">
      <w:pPr>
        <w:autoSpaceDE w:val="0"/>
        <w:autoSpaceDN w:val="0"/>
        <w:spacing w:line="360" w:lineRule="auto"/>
        <w:rPr>
          <w:spacing w:val="-3"/>
        </w:rPr>
      </w:pPr>
      <w:r>
        <w:rPr>
          <w:spacing w:val="-3"/>
        </w:rPr>
        <w:tab/>
      </w:r>
      <w:r>
        <w:rPr>
          <w:spacing w:val="-3"/>
        </w:rPr>
        <w:tab/>
      </w:r>
      <w:r w:rsidRPr="006B1EA3">
        <w:rPr>
          <w:spacing w:val="-3"/>
        </w:rPr>
        <w:t>1.</w:t>
      </w:r>
      <w:r w:rsidRPr="006B1EA3">
        <w:rPr>
          <w:spacing w:val="-3"/>
        </w:rPr>
        <w:tab/>
        <w:t xml:space="preserve">The Complainant in this case is William R. Widdemer who resides at </w:t>
      </w:r>
      <w:r>
        <w:rPr>
          <w:spacing w:val="-3"/>
        </w:rPr>
        <w:t xml:space="preserve">250 Stratford Drive, Churchville, </w:t>
      </w:r>
      <w:r w:rsidRPr="006B1EA3">
        <w:rPr>
          <w:spacing w:val="-3"/>
        </w:rPr>
        <w:t xml:space="preserve">Pennsylvania. </w:t>
      </w:r>
      <w:r w:rsidRPr="006B1EA3">
        <w:rPr>
          <w:spacing w:val="-3"/>
        </w:rPr>
        <w:br/>
      </w:r>
      <w:r w:rsidRPr="006B1EA3">
        <w:rPr>
          <w:spacing w:val="-3"/>
        </w:rPr>
        <w:br/>
      </w:r>
      <w:r w:rsidRPr="006B1EA3">
        <w:rPr>
          <w:spacing w:val="-3"/>
        </w:rPr>
        <w:tab/>
      </w:r>
      <w:r w:rsidRPr="006B1EA3">
        <w:rPr>
          <w:spacing w:val="-3"/>
        </w:rPr>
        <w:tab/>
        <w:t>2.</w:t>
      </w:r>
      <w:r w:rsidRPr="006B1EA3">
        <w:rPr>
          <w:spacing w:val="-3"/>
        </w:rPr>
        <w:tab/>
        <w:t xml:space="preserve"> The Respondent in this case is PECO Energy Company.</w:t>
      </w:r>
    </w:p>
    <w:p w:rsidR="001F2162" w:rsidRDefault="001F2162" w:rsidP="006B1EA3">
      <w:pPr>
        <w:autoSpaceDE w:val="0"/>
        <w:autoSpaceDN w:val="0"/>
        <w:spacing w:line="360" w:lineRule="auto"/>
        <w:rPr>
          <w:spacing w:val="-3"/>
        </w:rPr>
      </w:pPr>
    </w:p>
    <w:p w:rsidR="001F2162" w:rsidRDefault="001F2162" w:rsidP="006B1EA3">
      <w:pPr>
        <w:autoSpaceDE w:val="0"/>
        <w:autoSpaceDN w:val="0"/>
        <w:spacing w:line="360" w:lineRule="auto"/>
        <w:rPr>
          <w:spacing w:val="-3"/>
        </w:rPr>
      </w:pPr>
      <w:r>
        <w:rPr>
          <w:spacing w:val="-3"/>
        </w:rPr>
        <w:tab/>
      </w:r>
      <w:r>
        <w:rPr>
          <w:spacing w:val="-3"/>
        </w:rPr>
        <w:tab/>
        <w:t>3.</w:t>
      </w:r>
      <w:r>
        <w:rPr>
          <w:spacing w:val="-3"/>
        </w:rPr>
        <w:tab/>
        <w:t>PECO provides electric service to Complainant’s residence.</w:t>
      </w:r>
    </w:p>
    <w:p w:rsidR="006B1EA3" w:rsidRDefault="006B1EA3" w:rsidP="006B1EA3">
      <w:pPr>
        <w:autoSpaceDE w:val="0"/>
        <w:autoSpaceDN w:val="0"/>
        <w:spacing w:line="360" w:lineRule="auto"/>
        <w:rPr>
          <w:spacing w:val="-3"/>
        </w:rPr>
      </w:pPr>
    </w:p>
    <w:p w:rsidR="00434EFE" w:rsidRDefault="006B1EA3" w:rsidP="006B1EA3">
      <w:pPr>
        <w:autoSpaceDE w:val="0"/>
        <w:autoSpaceDN w:val="0"/>
        <w:spacing w:line="360" w:lineRule="auto"/>
        <w:rPr>
          <w:spacing w:val="-3"/>
        </w:rPr>
      </w:pPr>
      <w:r>
        <w:rPr>
          <w:spacing w:val="-3"/>
        </w:rPr>
        <w:tab/>
      </w:r>
      <w:r>
        <w:rPr>
          <w:spacing w:val="-3"/>
        </w:rPr>
        <w:tab/>
      </w:r>
      <w:r w:rsidR="001F2162">
        <w:rPr>
          <w:spacing w:val="-3"/>
        </w:rPr>
        <w:t>4</w:t>
      </w:r>
      <w:r>
        <w:rPr>
          <w:spacing w:val="-3"/>
        </w:rPr>
        <w:t>.</w:t>
      </w:r>
      <w:r>
        <w:rPr>
          <w:spacing w:val="-3"/>
        </w:rPr>
        <w:tab/>
        <w:t>The elimination of PECO’s Off Peak rate was approved by the Commission as part of PECO’s Default Service Program and Rate Mitigation Plan on June 9, 2009, at Docket No. P-2008-2062739</w:t>
      </w:r>
      <w:r w:rsidR="00C275DF">
        <w:rPr>
          <w:spacing w:val="-3"/>
        </w:rPr>
        <w:t>.</w:t>
      </w:r>
    </w:p>
    <w:p w:rsidR="001F2162" w:rsidRDefault="001F2162" w:rsidP="006B1EA3">
      <w:pPr>
        <w:autoSpaceDE w:val="0"/>
        <w:autoSpaceDN w:val="0"/>
        <w:spacing w:line="360" w:lineRule="auto"/>
        <w:rPr>
          <w:spacing w:val="-3"/>
        </w:rPr>
      </w:pPr>
    </w:p>
    <w:p w:rsidR="001F2162" w:rsidRDefault="001F2162" w:rsidP="006B1EA3">
      <w:pPr>
        <w:autoSpaceDE w:val="0"/>
        <w:autoSpaceDN w:val="0"/>
        <w:spacing w:line="360" w:lineRule="auto"/>
        <w:rPr>
          <w:spacing w:val="-3"/>
        </w:rPr>
      </w:pPr>
      <w:r>
        <w:rPr>
          <w:spacing w:val="-3"/>
        </w:rPr>
        <w:tab/>
      </w:r>
      <w:r>
        <w:rPr>
          <w:spacing w:val="-3"/>
        </w:rPr>
        <w:tab/>
        <w:t>4.</w:t>
      </w:r>
      <w:r>
        <w:rPr>
          <w:spacing w:val="-3"/>
        </w:rPr>
        <w:tab/>
        <w:t xml:space="preserve">PECO’s Energy Rate OP - Off Peak Service was </w:t>
      </w:r>
      <w:proofErr w:type="gramStart"/>
      <w:r>
        <w:rPr>
          <w:spacing w:val="-3"/>
        </w:rPr>
        <w:t>phased</w:t>
      </w:r>
      <w:proofErr w:type="gramEnd"/>
      <w:r>
        <w:rPr>
          <w:spacing w:val="-3"/>
        </w:rPr>
        <w:t xml:space="preserve"> out and no longer available after January 1, 2012.</w:t>
      </w:r>
    </w:p>
    <w:p w:rsidR="001F2162" w:rsidRDefault="001F2162" w:rsidP="006B1EA3">
      <w:pPr>
        <w:autoSpaceDE w:val="0"/>
        <w:autoSpaceDN w:val="0"/>
        <w:spacing w:line="360" w:lineRule="auto"/>
        <w:rPr>
          <w:spacing w:val="-3"/>
        </w:rPr>
      </w:pPr>
    </w:p>
    <w:p w:rsidR="001F2162" w:rsidRDefault="001F2162" w:rsidP="006B1EA3">
      <w:pPr>
        <w:autoSpaceDE w:val="0"/>
        <w:autoSpaceDN w:val="0"/>
        <w:spacing w:line="360" w:lineRule="auto"/>
        <w:rPr>
          <w:spacing w:val="-3"/>
        </w:rPr>
      </w:pPr>
      <w:r>
        <w:rPr>
          <w:spacing w:val="-3"/>
        </w:rPr>
        <w:tab/>
      </w:r>
      <w:r>
        <w:rPr>
          <w:spacing w:val="-3"/>
        </w:rPr>
        <w:tab/>
        <w:t>5.</w:t>
      </w:r>
      <w:r>
        <w:rPr>
          <w:spacing w:val="-3"/>
        </w:rPr>
        <w:tab/>
        <w:t>The meter used to measure Off Peak electricity used at Complainant’s residence is still at that residence, and Complainant is being billed $1.75 per month for that meter.</w:t>
      </w:r>
    </w:p>
    <w:p w:rsidR="00434EFE" w:rsidRDefault="00434EFE" w:rsidP="006B1EA3">
      <w:pPr>
        <w:autoSpaceDE w:val="0"/>
        <w:autoSpaceDN w:val="0"/>
        <w:spacing w:line="360" w:lineRule="auto"/>
        <w:rPr>
          <w:spacing w:val="-3"/>
        </w:rPr>
      </w:pPr>
    </w:p>
    <w:p w:rsidR="006B1EA3" w:rsidRDefault="00434EFE" w:rsidP="00AA1D53">
      <w:pPr>
        <w:autoSpaceDE w:val="0"/>
        <w:autoSpaceDN w:val="0"/>
        <w:spacing w:line="360" w:lineRule="auto"/>
      </w:pPr>
      <w:r>
        <w:rPr>
          <w:spacing w:val="-3"/>
        </w:rPr>
        <w:tab/>
      </w:r>
    </w:p>
    <w:p w:rsidR="002B2FD2" w:rsidRDefault="00113287" w:rsidP="006B1EA3">
      <w:pPr>
        <w:spacing w:line="360" w:lineRule="auto"/>
        <w:jc w:val="center"/>
      </w:pPr>
      <w:r>
        <w:rPr>
          <w:u w:val="single"/>
        </w:rPr>
        <w:t>DISCUSSION</w:t>
      </w:r>
    </w:p>
    <w:p w:rsidR="00113287" w:rsidRDefault="00113287" w:rsidP="00113287">
      <w:pPr>
        <w:spacing w:line="360" w:lineRule="auto"/>
      </w:pPr>
    </w:p>
    <w:p w:rsidR="001F2162" w:rsidRDefault="006B1EA3" w:rsidP="006B1EA3">
      <w:pPr>
        <w:autoSpaceDE w:val="0"/>
        <w:autoSpaceDN w:val="0"/>
        <w:spacing w:line="360" w:lineRule="auto"/>
        <w:rPr>
          <w:spacing w:val="-3"/>
        </w:rPr>
      </w:pPr>
      <w:r>
        <w:rPr>
          <w:spacing w:val="-3"/>
        </w:rPr>
        <w:tab/>
      </w:r>
      <w:r>
        <w:rPr>
          <w:spacing w:val="-3"/>
        </w:rPr>
        <w:tab/>
      </w:r>
      <w:r w:rsidRPr="006B1EA3">
        <w:rPr>
          <w:spacing w:val="-3"/>
        </w:rPr>
        <w:t xml:space="preserve">The Commission's Rules of Practice and Procedure permit parties to file </w:t>
      </w:r>
      <w:r w:rsidRPr="006B1EA3">
        <w:rPr>
          <w:bCs/>
          <w:spacing w:val="-3"/>
        </w:rPr>
        <w:t>preliminary objections.</w:t>
      </w:r>
      <w:r w:rsidRPr="006B1EA3">
        <w:rPr>
          <w:spacing w:val="-3"/>
        </w:rPr>
        <w:t xml:space="preserve">   The grounds for </w:t>
      </w:r>
      <w:r w:rsidRPr="006B1EA3">
        <w:rPr>
          <w:bCs/>
          <w:spacing w:val="-3"/>
        </w:rPr>
        <w:t>preliminary objections</w:t>
      </w:r>
      <w:r w:rsidRPr="006B1EA3">
        <w:rPr>
          <w:spacing w:val="-3"/>
        </w:rPr>
        <w:t xml:space="preserve"> are limited to those set forth in 52 Pa. Code </w:t>
      </w:r>
    </w:p>
    <w:p w:rsidR="006B1EA3" w:rsidRPr="006B1EA3" w:rsidRDefault="006B1EA3" w:rsidP="006B1EA3">
      <w:pPr>
        <w:autoSpaceDE w:val="0"/>
        <w:autoSpaceDN w:val="0"/>
        <w:spacing w:line="360" w:lineRule="auto"/>
        <w:rPr>
          <w:spacing w:val="-3"/>
        </w:rPr>
      </w:pPr>
      <w:r w:rsidRPr="006B1EA3">
        <w:rPr>
          <w:spacing w:val="-3"/>
        </w:rPr>
        <w:t xml:space="preserve">§ 5.101(a) as follows: </w:t>
      </w:r>
    </w:p>
    <w:p w:rsidR="006B1EA3" w:rsidRPr="006B1EA3" w:rsidRDefault="006B1EA3" w:rsidP="006B1EA3">
      <w:pPr>
        <w:autoSpaceDE w:val="0"/>
        <w:autoSpaceDN w:val="0"/>
        <w:spacing w:line="360" w:lineRule="auto"/>
        <w:rPr>
          <w:spacing w:val="-3"/>
        </w:rPr>
      </w:pPr>
    </w:p>
    <w:p w:rsidR="006B1EA3" w:rsidRPr="006B1EA3" w:rsidRDefault="006B1EA3" w:rsidP="006B1EA3">
      <w:pPr>
        <w:autoSpaceDE w:val="0"/>
        <w:autoSpaceDN w:val="0"/>
        <w:ind w:left="1440" w:right="1440"/>
        <w:rPr>
          <w:spacing w:val="-3"/>
        </w:rPr>
      </w:pPr>
      <w:r w:rsidRPr="006B1EA3">
        <w:rPr>
          <w:spacing w:val="-3"/>
        </w:rPr>
        <w:t>(1) Lack of Commission jurisdiction or improper service of the pleading initiating the proceeding.</w:t>
      </w:r>
      <w:r w:rsidRPr="006B1EA3">
        <w:rPr>
          <w:spacing w:val="-3"/>
        </w:rPr>
        <w:br/>
        <w:t> </w:t>
      </w:r>
      <w:r w:rsidRPr="006B1EA3">
        <w:rPr>
          <w:spacing w:val="-3"/>
        </w:rPr>
        <w:br/>
        <w:t>(2) Failure of a pleading to conform to this chapter or the inclusion of scandalous or impertinent matter.</w:t>
      </w:r>
      <w:r w:rsidRPr="006B1EA3">
        <w:rPr>
          <w:spacing w:val="-3"/>
        </w:rPr>
        <w:br/>
        <w:t> </w:t>
      </w:r>
      <w:r w:rsidRPr="006B1EA3">
        <w:rPr>
          <w:spacing w:val="-3"/>
        </w:rPr>
        <w:br/>
        <w:t>(3) Insufficient specificity of a pleading.</w:t>
      </w:r>
      <w:r w:rsidRPr="006B1EA3">
        <w:rPr>
          <w:spacing w:val="-3"/>
        </w:rPr>
        <w:br/>
        <w:t> </w:t>
      </w:r>
      <w:r w:rsidRPr="006B1EA3">
        <w:rPr>
          <w:spacing w:val="-3"/>
        </w:rPr>
        <w:br/>
        <w:t>(4) Legal insufficiency of a pleading.</w:t>
      </w:r>
      <w:r w:rsidRPr="006B1EA3">
        <w:rPr>
          <w:spacing w:val="-3"/>
        </w:rPr>
        <w:br/>
        <w:t> </w:t>
      </w:r>
      <w:r w:rsidRPr="006B1EA3">
        <w:rPr>
          <w:spacing w:val="-3"/>
        </w:rPr>
        <w:br/>
        <w:t>(5) Lack of capacity to sue, nonjoinder of a necessary party or misjoinder of a cause of action.</w:t>
      </w:r>
      <w:r w:rsidRPr="006B1EA3">
        <w:rPr>
          <w:spacing w:val="-3"/>
        </w:rPr>
        <w:br/>
        <w:t> </w:t>
      </w:r>
      <w:r w:rsidRPr="006B1EA3">
        <w:rPr>
          <w:spacing w:val="-3"/>
        </w:rPr>
        <w:br/>
        <w:t>(6) Pendency of a prior proceeding or agreement for alternative dispute resolution.</w:t>
      </w:r>
    </w:p>
    <w:p w:rsidR="006B1EA3" w:rsidRPr="006B1EA3" w:rsidRDefault="006B1EA3" w:rsidP="006B1EA3">
      <w:pPr>
        <w:autoSpaceDE w:val="0"/>
        <w:autoSpaceDN w:val="0"/>
        <w:spacing w:line="360" w:lineRule="auto"/>
        <w:rPr>
          <w:spacing w:val="-3"/>
        </w:rPr>
      </w:pPr>
      <w:r w:rsidRPr="006B1EA3">
        <w:rPr>
          <w:spacing w:val="-3"/>
        </w:rPr>
        <w:br/>
      </w:r>
      <w:r w:rsidRPr="006B1EA3">
        <w:rPr>
          <w:spacing w:val="-3"/>
        </w:rPr>
        <w:tab/>
      </w:r>
      <w:r w:rsidRPr="006B1EA3">
        <w:rPr>
          <w:spacing w:val="-3"/>
        </w:rPr>
        <w:tab/>
        <w:t>The Respondent's P</w:t>
      </w:r>
      <w:r w:rsidRPr="006B1EA3">
        <w:rPr>
          <w:bCs/>
          <w:spacing w:val="-3"/>
        </w:rPr>
        <w:t>reliminary Objection</w:t>
      </w:r>
      <w:r w:rsidRPr="006B1EA3">
        <w:rPr>
          <w:spacing w:val="-3"/>
        </w:rPr>
        <w:t xml:space="preserve"> asserts </w:t>
      </w:r>
      <w:r w:rsidR="00AA1D53">
        <w:rPr>
          <w:spacing w:val="-3"/>
        </w:rPr>
        <w:t xml:space="preserve">lack of jurisdiction on the part of the Commission and </w:t>
      </w:r>
      <w:r w:rsidRPr="006B1EA3">
        <w:rPr>
          <w:spacing w:val="-3"/>
        </w:rPr>
        <w:t xml:space="preserve">legal insufficiency of </w:t>
      </w:r>
      <w:r w:rsidR="00AA1D53">
        <w:rPr>
          <w:spacing w:val="-3"/>
        </w:rPr>
        <w:t>the Complaint</w:t>
      </w:r>
      <w:r w:rsidRPr="006B1EA3">
        <w:rPr>
          <w:spacing w:val="-3"/>
        </w:rPr>
        <w:t>.</w:t>
      </w:r>
    </w:p>
    <w:p w:rsidR="006B1EA3" w:rsidRPr="006B1EA3" w:rsidRDefault="006B1EA3" w:rsidP="006B1EA3">
      <w:pPr>
        <w:autoSpaceDE w:val="0"/>
        <w:autoSpaceDN w:val="0"/>
        <w:spacing w:line="360" w:lineRule="auto"/>
        <w:rPr>
          <w:spacing w:val="-3"/>
        </w:rPr>
      </w:pPr>
    </w:p>
    <w:p w:rsidR="006B1EA3" w:rsidRDefault="006B1EA3" w:rsidP="00113287">
      <w:pPr>
        <w:spacing w:line="360" w:lineRule="auto"/>
      </w:pPr>
      <w:r w:rsidRPr="006B1EA3">
        <w:rPr>
          <w:spacing w:val="-3"/>
        </w:rPr>
        <w:tab/>
      </w:r>
      <w:r w:rsidRPr="006B1EA3">
        <w:rPr>
          <w:spacing w:val="-3"/>
        </w:rPr>
        <w:tab/>
        <w:t xml:space="preserve">Commission </w:t>
      </w:r>
      <w:r w:rsidRPr="006B1EA3">
        <w:rPr>
          <w:bCs/>
          <w:spacing w:val="-3"/>
        </w:rPr>
        <w:t>preliminary objection</w:t>
      </w:r>
      <w:r w:rsidRPr="006B1EA3">
        <w:rPr>
          <w:spacing w:val="-3"/>
        </w:rPr>
        <w:t xml:space="preserve"> practice is analogous to Pennsylvania civil practice regarding </w:t>
      </w:r>
      <w:r w:rsidRPr="006B1EA3">
        <w:rPr>
          <w:bCs/>
          <w:spacing w:val="-3"/>
        </w:rPr>
        <w:t>preliminary objections.</w:t>
      </w:r>
      <w:r w:rsidRPr="006B1EA3">
        <w:rPr>
          <w:spacing w:val="-3"/>
        </w:rPr>
        <w:t xml:space="preserve">  </w:t>
      </w:r>
      <w:r w:rsidRPr="006B1EA3">
        <w:rPr>
          <w:i/>
          <w:spacing w:val="-3"/>
        </w:rPr>
        <w:t>Equitable Small Transportation Intervenors v. Equitable Gas Company</w:t>
      </w:r>
      <w:r w:rsidRPr="006B1EA3">
        <w:rPr>
          <w:spacing w:val="-3"/>
        </w:rPr>
        <w:t xml:space="preserve">, 1994 Pa PUC LEXIS 69, Docket No. C-00935435 (July 18, 1994).  </w:t>
      </w:r>
      <w:r w:rsidRPr="006B1EA3">
        <w:rPr>
          <w:bCs/>
          <w:spacing w:val="-3"/>
        </w:rPr>
        <w:t>Preliminary objections</w:t>
      </w:r>
      <w:r w:rsidRPr="006B1EA3">
        <w:rPr>
          <w:spacing w:val="-3"/>
        </w:rPr>
        <w:t xml:space="preserve"> in civil practice requesting dismissal of a pleading will be granted only where the right to relief is clearly warranted and free from doubt.  </w:t>
      </w:r>
      <w:r w:rsidRPr="006B1EA3">
        <w:rPr>
          <w:i/>
          <w:spacing w:val="-3"/>
        </w:rPr>
        <w:t xml:space="preserve">Interstate </w:t>
      </w:r>
      <w:proofErr w:type="spellStart"/>
      <w:r w:rsidRPr="006B1EA3">
        <w:rPr>
          <w:i/>
          <w:spacing w:val="-3"/>
        </w:rPr>
        <w:t>Traveller</w:t>
      </w:r>
      <w:proofErr w:type="spellEnd"/>
      <w:r w:rsidRPr="006B1EA3">
        <w:rPr>
          <w:i/>
          <w:spacing w:val="-3"/>
        </w:rPr>
        <w:t xml:space="preserve"> Services, Inc. v. Pa. Dept. of Environment Resources</w:t>
      </w:r>
      <w:r w:rsidRPr="006B1EA3">
        <w:rPr>
          <w:spacing w:val="-3"/>
        </w:rPr>
        <w:t xml:space="preserve">, 406 A.2d 1020 (Pa. 1979);  </w:t>
      </w:r>
      <w:r w:rsidRPr="006B1EA3">
        <w:rPr>
          <w:i/>
          <w:spacing w:val="-3"/>
        </w:rPr>
        <w:t xml:space="preserve">Rivera v. Philadelphia Theological Seminary of St. Charles </w:t>
      </w:r>
      <w:proofErr w:type="spellStart"/>
      <w:r w:rsidRPr="006B1EA3">
        <w:rPr>
          <w:i/>
          <w:spacing w:val="-3"/>
        </w:rPr>
        <w:t>Borromeo</w:t>
      </w:r>
      <w:proofErr w:type="spellEnd"/>
      <w:r w:rsidRPr="006B1EA3">
        <w:rPr>
          <w:i/>
          <w:spacing w:val="-3"/>
        </w:rPr>
        <w:t>, Inc</w:t>
      </w:r>
      <w:r w:rsidRPr="006B1EA3">
        <w:rPr>
          <w:spacing w:val="-3"/>
        </w:rPr>
        <w:t xml:space="preserve">., 595 A.2d 172 (Pa. Super. 1991).  The Commission follows this standard.  </w:t>
      </w:r>
      <w:r w:rsidRPr="006B1EA3">
        <w:rPr>
          <w:i/>
          <w:spacing w:val="-3"/>
        </w:rPr>
        <w:t>Montague v. Philadelphia Electric Company</w:t>
      </w:r>
      <w:r w:rsidRPr="006B1EA3">
        <w:rPr>
          <w:spacing w:val="-3"/>
        </w:rPr>
        <w:t>, 66 Pa. PUC 24 (1988).</w:t>
      </w:r>
      <w:r w:rsidRPr="006B1EA3">
        <w:rPr>
          <w:spacing w:val="-3"/>
        </w:rPr>
        <w:br/>
      </w:r>
      <w:r w:rsidRPr="006B1EA3">
        <w:rPr>
          <w:spacing w:val="-3"/>
        </w:rPr>
        <w:br/>
      </w:r>
      <w:r w:rsidRPr="006B1EA3">
        <w:rPr>
          <w:spacing w:val="-3"/>
        </w:rPr>
        <w:tab/>
      </w:r>
      <w:r w:rsidRPr="006B1EA3">
        <w:rPr>
          <w:spacing w:val="-3"/>
        </w:rPr>
        <w:tab/>
        <w:t xml:space="preserve">The Commission may not rely upon the factual assertions of the moving party but must accept as true for purposes of disposing of the motion all well pleaded, material facts of the nonmoving party, as well as every inference from those facts.  </w:t>
      </w:r>
      <w:r w:rsidRPr="006B1EA3">
        <w:rPr>
          <w:i/>
          <w:spacing w:val="-3"/>
        </w:rPr>
        <w:t>County of Allegheny v. Commonwealth of Pennsylvania</w:t>
      </w:r>
      <w:r w:rsidRPr="006B1EA3">
        <w:rPr>
          <w:spacing w:val="-3"/>
        </w:rPr>
        <w:t xml:space="preserve">, 490 A. 2d 402 (Pa. 1985);  </w:t>
      </w:r>
      <w:r w:rsidRPr="006B1EA3">
        <w:rPr>
          <w:i/>
          <w:spacing w:val="-3"/>
        </w:rPr>
        <w:t>Commonwealth of Pennsylvania v. Bell Telephone Co. of Pa</w:t>
      </w:r>
      <w:r w:rsidRPr="006B1EA3">
        <w:rPr>
          <w:spacing w:val="-3"/>
        </w:rPr>
        <w:t xml:space="preserve">., 551 A.2d 602 (Pa. Cmwlth. 1988).  The Commission must view the Complaint in this case in the light most favorable to the Complainant and should dismiss the Complaint only if it appears that the Complainant would not be entitled to relief under any </w:t>
      </w:r>
      <w:r w:rsidRPr="006B1EA3">
        <w:rPr>
          <w:spacing w:val="-3"/>
        </w:rPr>
        <w:lastRenderedPageBreak/>
        <w:t>circumstances as a matter of law</w:t>
      </w:r>
      <w:r w:rsidRPr="006B1EA3">
        <w:rPr>
          <w:i/>
          <w:spacing w:val="-3"/>
        </w:rPr>
        <w:t>.  Equitable Small Transportation Intervenors v. Equitable Gas Company</w:t>
      </w:r>
      <w:r w:rsidRPr="006B1EA3">
        <w:rPr>
          <w:spacing w:val="-3"/>
        </w:rPr>
        <w:t>, 1994 Pa PUC LEXIS 69, Docket No. C-00935435 (July 18, 1994)</w:t>
      </w:r>
      <w:r w:rsidRPr="006B1EA3">
        <w:rPr>
          <w:spacing w:val="-3"/>
        </w:rPr>
        <w:br/>
      </w:r>
    </w:p>
    <w:p w:rsidR="001F2162" w:rsidRDefault="006B1EA3" w:rsidP="00113287">
      <w:pPr>
        <w:spacing w:line="360" w:lineRule="auto"/>
      </w:pPr>
      <w:r>
        <w:tab/>
      </w:r>
      <w:r>
        <w:tab/>
      </w:r>
      <w:r w:rsidRPr="006B1EA3">
        <w:t xml:space="preserve">In its Preliminary Objection, PECO requested that the Complainant be dismissed on grounds of lack of jurisdiction and legal insufficiency citing the Commission’s lack of  authority to award cash damages as well as the lawfulness of PECO’s actions.  52 Pa. Code </w:t>
      </w:r>
    </w:p>
    <w:p w:rsidR="00113287" w:rsidRDefault="006B1EA3" w:rsidP="00113287">
      <w:pPr>
        <w:spacing w:line="360" w:lineRule="auto"/>
      </w:pPr>
      <w:r w:rsidRPr="006B1EA3">
        <w:t>§§ 5.101. (a)(1), (4).</w:t>
      </w:r>
    </w:p>
    <w:p w:rsidR="006B1EA3" w:rsidRDefault="006B1EA3" w:rsidP="00113287">
      <w:pPr>
        <w:spacing w:line="360" w:lineRule="auto"/>
      </w:pPr>
    </w:p>
    <w:p w:rsidR="006B1EA3" w:rsidRDefault="00113287" w:rsidP="006B1EA3">
      <w:pPr>
        <w:spacing w:line="360" w:lineRule="auto"/>
      </w:pPr>
      <w:r>
        <w:tab/>
      </w:r>
      <w:r>
        <w:tab/>
      </w:r>
      <w:r w:rsidR="006B1EA3">
        <w:t>To date, no responsive pleading has been filed to the Preliminary Objection</w:t>
      </w:r>
      <w:r w:rsidR="001F2162" w:rsidRPr="001F2162">
        <w:t xml:space="preserve"> by the Complainant</w:t>
      </w:r>
      <w:r w:rsidR="006B1EA3">
        <w:t xml:space="preserve">.  Given the lack of an Answer to the Preliminary Objection, the Complaint </w:t>
      </w:r>
      <w:r w:rsidR="001F2162">
        <w:t xml:space="preserve">might </w:t>
      </w:r>
      <w:r w:rsidR="006B1EA3">
        <w:t xml:space="preserve">be dismissed on those grounds, alone.  However, I note that the Complainant is appearing </w:t>
      </w:r>
      <w:r w:rsidR="006B1EA3" w:rsidRPr="001F2162">
        <w:rPr>
          <w:i/>
        </w:rPr>
        <w:t>pro se</w:t>
      </w:r>
      <w:r w:rsidR="006B1EA3">
        <w:t xml:space="preserve"> in this proceeding. Traditionally, the Commission has been hesitant to rule unfavorably against </w:t>
      </w:r>
      <w:r w:rsidR="006B1EA3" w:rsidRPr="001F2162">
        <w:rPr>
          <w:i/>
        </w:rPr>
        <w:t>pro se</w:t>
      </w:r>
      <w:r w:rsidR="006B1EA3">
        <w:t xml:space="preserve"> litigants based on technical grounds. See, e.g., </w:t>
      </w:r>
      <w:r w:rsidR="006B1EA3" w:rsidRPr="006B1EA3">
        <w:rPr>
          <w:i/>
        </w:rPr>
        <w:t>Destefano v. Peoples Natural Gas Company</w:t>
      </w:r>
      <w:r w:rsidR="006B1EA3">
        <w:t xml:space="preserve">, 56 Pa. P.U.C. 489 (1982); </w:t>
      </w:r>
      <w:r w:rsidR="006B1EA3" w:rsidRPr="006B1EA3">
        <w:rPr>
          <w:i/>
        </w:rPr>
        <w:t>Halpern v. The Bell Telephone Company of Pennsylvania</w:t>
      </w:r>
      <w:r w:rsidR="006B1EA3">
        <w:t xml:space="preserve">, Docket No. C-00923950 (October 19, 1992); </w:t>
      </w:r>
      <w:r w:rsidR="006B1EA3" w:rsidRPr="006B1EA3">
        <w:rPr>
          <w:i/>
        </w:rPr>
        <w:t>William Schlinder v. The Bell Telephone Company of Pennsylvania</w:t>
      </w:r>
      <w:r w:rsidR="006B1EA3">
        <w:t>, Docket No. F-00161252 (March 26, 1993).</w:t>
      </w:r>
    </w:p>
    <w:p w:rsidR="006B1EA3" w:rsidRDefault="006B1EA3" w:rsidP="006B1EA3">
      <w:pPr>
        <w:spacing w:line="360" w:lineRule="auto"/>
      </w:pPr>
    </w:p>
    <w:p w:rsidR="00113287" w:rsidRDefault="006B1EA3" w:rsidP="00113287">
      <w:pPr>
        <w:spacing w:line="360" w:lineRule="auto"/>
      </w:pPr>
      <w:r>
        <w:tab/>
      </w:r>
      <w:r>
        <w:tab/>
      </w:r>
      <w:r w:rsidR="00AA1D53">
        <w:t xml:space="preserve">PECO claims that </w:t>
      </w:r>
      <w:r w:rsidR="00113287" w:rsidRPr="008C0E60">
        <w:t xml:space="preserve">Complainant is seeking </w:t>
      </w:r>
      <w:r w:rsidR="00113287">
        <w:t xml:space="preserve">what amounts to </w:t>
      </w:r>
      <w:r w:rsidR="00113287" w:rsidRPr="008C0E60">
        <w:t xml:space="preserve">compensatory damages for an alleged unlawful action by </w:t>
      </w:r>
      <w:r w:rsidR="00113287">
        <w:t>PECO</w:t>
      </w:r>
      <w:r w:rsidR="00113287" w:rsidRPr="008C0E60">
        <w:t xml:space="preserve">.  </w:t>
      </w:r>
      <w:r w:rsidR="00611D3A">
        <w:t xml:space="preserve">Preliminary Objection at ¶ 29.  </w:t>
      </w:r>
      <w:r w:rsidR="00AA1D53">
        <w:t>I</w:t>
      </w:r>
      <w:r w:rsidR="00113287" w:rsidRPr="008C0E60">
        <w:t xml:space="preserve">t is well established that the Commission lacks jurisdiction to award compensatory damages.  See </w:t>
      </w:r>
      <w:r w:rsidR="00113287" w:rsidRPr="008C0E60">
        <w:rPr>
          <w:i/>
        </w:rPr>
        <w:t>Feingold v. Bell of Pennsylvania</w:t>
      </w:r>
      <w:r w:rsidR="00113287" w:rsidRPr="008C0E60">
        <w:t>, 477 Pa. 1, 383 A.2d 791 (1977)</w:t>
      </w:r>
      <w:r w:rsidR="00113287">
        <w:t>;</w:t>
      </w:r>
      <w:r w:rsidR="00113287" w:rsidRPr="008C0E60">
        <w:t xml:space="preserve"> 52 Pa. Code §5.101(a)(4).  Although the Commission has general jurisdiction over the rates and services of public utilities operating in Pennsylvania, the Commission has only the powers and authority </w:t>
      </w:r>
      <w:r w:rsidR="00113287">
        <w:t>conveyed</w:t>
      </w:r>
      <w:r w:rsidR="00113287" w:rsidRPr="008C0E60">
        <w:t xml:space="preserve"> by the General Assembly in the Code which does not grant the Commission authority to award damages.  See </w:t>
      </w:r>
      <w:r w:rsidR="00113287" w:rsidRPr="008C0E60">
        <w:rPr>
          <w:i/>
        </w:rPr>
        <w:t>In Re: Melograne</w:t>
      </w:r>
      <w:r w:rsidR="00113287" w:rsidRPr="008C0E60">
        <w:t xml:space="preserve">, 812 A.2d 1164 (Pa. 2002); </w:t>
      </w:r>
      <w:r w:rsidR="00113287" w:rsidRPr="008C0E60">
        <w:rPr>
          <w:i/>
        </w:rPr>
        <w:t>Terminato v. Pa. National Insurance Company</w:t>
      </w:r>
      <w:r w:rsidR="00113287" w:rsidRPr="008C0E60">
        <w:t>, 645 A. 2d 1287 (Pa. 1994).</w:t>
      </w:r>
    </w:p>
    <w:p w:rsidR="00AA1D53" w:rsidRDefault="00AA1D53" w:rsidP="00113287">
      <w:pPr>
        <w:spacing w:line="360" w:lineRule="auto"/>
      </w:pPr>
    </w:p>
    <w:p w:rsidR="00AA1D53" w:rsidRDefault="00AA1D53" w:rsidP="00113287">
      <w:pPr>
        <w:spacing w:line="360" w:lineRule="auto"/>
      </w:pPr>
      <w:r>
        <w:tab/>
      </w:r>
      <w:r>
        <w:tab/>
        <w:t>However, I do not agree, at this point, that what Complainant is seeking is the equivalent of compensatory damages.  What Complainant is alleging is that PECO has gone beyond its lawful tariff</w:t>
      </w:r>
      <w:r w:rsidR="00C52EBE">
        <w:t xml:space="preserve"> in continuing to collect the $1.75 fixed distribution service charge for the Off Peak meter at Complainant’s residence now that Off Peak service is no longer available.</w:t>
      </w:r>
      <w:r w:rsidR="000806AD">
        <w:t xml:space="preserve">  </w:t>
      </w:r>
      <w:r w:rsidR="000806AD">
        <w:lastRenderedPageBreak/>
        <w:t>Arguably, this allegation, if prove</w:t>
      </w:r>
      <w:r w:rsidR="00611D3A">
        <w:t>d</w:t>
      </w:r>
      <w:r w:rsidR="000806AD">
        <w:t>, would constitute a violation of the Code at Sections 1303 (Adherence to tariffs) and, possibly, 1304 (Discrimination in rates).  66 Pa. C.S. §§ 1303, 1304.</w:t>
      </w:r>
    </w:p>
    <w:p w:rsidR="00C52EBE" w:rsidRDefault="00C52EBE" w:rsidP="00113287">
      <w:pPr>
        <w:spacing w:line="360" w:lineRule="auto"/>
      </w:pPr>
    </w:p>
    <w:p w:rsidR="00C52EBE" w:rsidRDefault="00C52EBE" w:rsidP="00113287">
      <w:pPr>
        <w:spacing w:line="360" w:lineRule="auto"/>
      </w:pPr>
      <w:r>
        <w:tab/>
      </w:r>
      <w:r>
        <w:tab/>
        <w:t xml:space="preserve">PECO, in its Preliminary Objection, contends that the </w:t>
      </w:r>
      <w:r w:rsidRPr="00C52EBE">
        <w:t>elimination of PECO’s Off Peak rate was approved by the Commission as part of PECO’s Default Service Program and Rate Mitigation Plan on June 9, 2009, at Docket No. P-2008-2062739</w:t>
      </w:r>
      <w:r>
        <w:t xml:space="preserve">, and that is correct.  </w:t>
      </w:r>
      <w:r w:rsidR="00501145">
        <w:t xml:space="preserve">However, I do not agree that Complainant’s remedy in this case is to seek reconsideration of that Order.  The </w:t>
      </w:r>
      <w:r>
        <w:t xml:space="preserve">Order does not address the continued application of </w:t>
      </w:r>
      <w:r w:rsidRPr="00C52EBE">
        <w:t xml:space="preserve">the $1.75 fixed distribution service charge for </w:t>
      </w:r>
      <w:r>
        <w:t>an</w:t>
      </w:r>
      <w:r w:rsidRPr="00C52EBE">
        <w:t xml:space="preserve"> Off Peak meter</w:t>
      </w:r>
      <w:r>
        <w:t xml:space="preserve"> that, apparently, has no </w:t>
      </w:r>
      <w:r w:rsidR="00501145">
        <w:t xml:space="preserve">further </w:t>
      </w:r>
      <w:r>
        <w:t xml:space="preserve">use in providing Complainant electric service.  I have reviewed PECO’s attachments 2-4 to its </w:t>
      </w:r>
      <w:r w:rsidR="00611D3A">
        <w:t>Answer</w:t>
      </w:r>
      <w:r>
        <w:t xml:space="preserve">.   While those attachments speak about the Off Peak rate, nowhere do I find any statement relative to the </w:t>
      </w:r>
      <w:r w:rsidR="00611D3A">
        <w:t xml:space="preserve">status of the </w:t>
      </w:r>
      <w:r>
        <w:t xml:space="preserve">$1.75 charge for a second meter at the Complainant’s residence </w:t>
      </w:r>
      <w:r w:rsidR="00426881">
        <w:t>(</w:t>
      </w:r>
      <w:r>
        <w:t>that would seem to serve no useful purpose</w:t>
      </w:r>
      <w:r w:rsidR="00426881">
        <w:t>)</w:t>
      </w:r>
      <w:r w:rsidR="00501145">
        <w:t xml:space="preserve"> </w:t>
      </w:r>
      <w:r w:rsidR="00501145" w:rsidRPr="00426881">
        <w:rPr>
          <w:i/>
        </w:rPr>
        <w:t>after</w:t>
      </w:r>
      <w:r w:rsidR="00501145">
        <w:t xml:space="preserve"> the phase out of the rate</w:t>
      </w:r>
      <w:r>
        <w:t>.</w:t>
      </w:r>
      <w:r w:rsidR="000806AD">
        <w:t xml:space="preserve">  PECO Attachment 4, which is an extract from PECO’s tariff, is silent on this issue and appears to contemplate collection of the charge only while the meter is in service</w:t>
      </w:r>
      <w:r w:rsidR="00501145">
        <w:t xml:space="preserve"> for use with respect to metering the Off Peak rate</w:t>
      </w:r>
      <w:r w:rsidR="000806AD">
        <w:t>.</w:t>
      </w:r>
      <w:r w:rsidR="00501145">
        <w:t xml:space="preserve">  I find it difficult to believe that utility equipment no longer “used and useful,” is sitting in Complainant’s basement</w:t>
      </w:r>
      <w:r w:rsidR="00426881">
        <w:t xml:space="preserve"> and that the “options” are </w:t>
      </w:r>
      <w:r w:rsidR="00501145">
        <w:t>that Complainant must pay for its removal</w:t>
      </w:r>
      <w:r w:rsidR="00426881">
        <w:t xml:space="preserve"> or</w:t>
      </w:r>
      <w:r w:rsidR="00501145">
        <w:t xml:space="preserve"> pay for its continued presence.  Perhaps these matters can be explained at hearing, but they are not explained by the Preliminary Objection or the attachments thereto so far as I can determine.</w:t>
      </w:r>
    </w:p>
    <w:p w:rsidR="00C52EBE" w:rsidRDefault="00C52EBE" w:rsidP="00113287">
      <w:pPr>
        <w:spacing w:line="360" w:lineRule="auto"/>
      </w:pPr>
    </w:p>
    <w:p w:rsidR="00C52EBE" w:rsidRDefault="00C52EBE" w:rsidP="00113287">
      <w:pPr>
        <w:spacing w:line="360" w:lineRule="auto"/>
      </w:pPr>
      <w:r>
        <w:tab/>
      </w:r>
      <w:r>
        <w:tab/>
        <w:t xml:space="preserve">As noted, above, </w:t>
      </w:r>
      <w:r w:rsidRPr="00C52EBE">
        <w:t xml:space="preserve">The Commission must view </w:t>
      </w:r>
      <w:r>
        <w:t xml:space="preserve">a </w:t>
      </w:r>
      <w:r w:rsidRPr="00C52EBE">
        <w:t>Complaint in the light most favorable to the Complainant and should dismiss the Complaint only if it appears that the Complainant would not be entitled to relief under any circumstances as a matter of law.</w:t>
      </w:r>
      <w:r>
        <w:t xml:space="preserve">  The Preliminary Objection do</w:t>
      </w:r>
      <w:r w:rsidR="00501145">
        <w:t>es</w:t>
      </w:r>
      <w:r>
        <w:t xml:space="preserve"> not warrant dismissal of the Complaint.</w:t>
      </w:r>
    </w:p>
    <w:p w:rsidR="00113287" w:rsidRDefault="00113287" w:rsidP="00113287">
      <w:pPr>
        <w:spacing w:line="360" w:lineRule="auto"/>
      </w:pPr>
    </w:p>
    <w:p w:rsidR="00426881" w:rsidRDefault="00426881" w:rsidP="00113287">
      <w:pPr>
        <w:spacing w:line="360" w:lineRule="auto"/>
      </w:pPr>
    </w:p>
    <w:p w:rsidR="00426881" w:rsidRDefault="00426881" w:rsidP="00113287">
      <w:pPr>
        <w:spacing w:line="360" w:lineRule="auto"/>
      </w:pPr>
    </w:p>
    <w:p w:rsidR="00426881" w:rsidRDefault="00426881" w:rsidP="00113287">
      <w:pPr>
        <w:spacing w:line="360" w:lineRule="auto"/>
      </w:pPr>
    </w:p>
    <w:p w:rsidR="00426881" w:rsidRDefault="00426881" w:rsidP="00113287">
      <w:pPr>
        <w:spacing w:line="360" w:lineRule="auto"/>
      </w:pPr>
    </w:p>
    <w:p w:rsidR="00426881" w:rsidRDefault="00426881" w:rsidP="00113287">
      <w:pPr>
        <w:spacing w:line="360" w:lineRule="auto"/>
      </w:pPr>
    </w:p>
    <w:p w:rsidR="00426881" w:rsidRDefault="00426881" w:rsidP="00113287">
      <w:pPr>
        <w:spacing w:line="360" w:lineRule="auto"/>
      </w:pPr>
    </w:p>
    <w:p w:rsidR="00C52EBE" w:rsidRPr="00C52EBE" w:rsidRDefault="00C52EBE" w:rsidP="00C52EBE">
      <w:pPr>
        <w:spacing w:line="360" w:lineRule="auto"/>
        <w:jc w:val="center"/>
      </w:pPr>
      <w:r w:rsidRPr="00C52EBE">
        <w:rPr>
          <w:u w:val="single"/>
        </w:rPr>
        <w:lastRenderedPageBreak/>
        <w:t>CONCLUSIONS OF LAW</w:t>
      </w:r>
    </w:p>
    <w:p w:rsidR="00C52EBE" w:rsidRPr="00C52EBE" w:rsidRDefault="00C52EBE" w:rsidP="00C52EBE">
      <w:pPr>
        <w:keepNext/>
        <w:spacing w:line="360" w:lineRule="auto"/>
        <w:outlineLvl w:val="0"/>
      </w:pPr>
      <w:r w:rsidRPr="00C52EBE">
        <w:rPr>
          <w:b/>
        </w:rPr>
        <w:br/>
      </w:r>
      <w:r w:rsidRPr="00C52EBE">
        <w:rPr>
          <w:b/>
        </w:rPr>
        <w:tab/>
      </w:r>
      <w:r w:rsidRPr="00C52EBE">
        <w:rPr>
          <w:b/>
        </w:rPr>
        <w:tab/>
      </w:r>
      <w:r w:rsidRPr="00C52EBE">
        <w:t>1.</w:t>
      </w:r>
      <w:r w:rsidRPr="00C52EBE">
        <w:tab/>
        <w:t>The Commission has jurisdiction over the parties and subject matter in this proceeding.</w:t>
      </w:r>
      <w:r w:rsidRPr="00C52EBE">
        <w:rPr>
          <w:spacing w:val="-3"/>
        </w:rPr>
        <w:t xml:space="preserve">   </w:t>
      </w:r>
      <w:r w:rsidRPr="00C52EBE">
        <w:t>66 Pa. C.S. § 701.</w:t>
      </w:r>
    </w:p>
    <w:p w:rsidR="00C52EBE" w:rsidRPr="00C52EBE" w:rsidRDefault="00C52EBE" w:rsidP="00C52EBE">
      <w:pPr>
        <w:keepNext/>
        <w:spacing w:line="360" w:lineRule="auto"/>
        <w:outlineLvl w:val="0"/>
      </w:pPr>
    </w:p>
    <w:p w:rsidR="00611D3A" w:rsidRDefault="00C52EBE" w:rsidP="00C52EBE">
      <w:pPr>
        <w:spacing w:line="360" w:lineRule="auto"/>
      </w:pPr>
      <w:r w:rsidRPr="00C52EBE">
        <w:tab/>
      </w:r>
      <w:r w:rsidRPr="00C52EBE">
        <w:tab/>
        <w:t>2.</w:t>
      </w:r>
      <w:r w:rsidRPr="00C52EBE">
        <w:tab/>
        <w:t>Commission regulations provide for the filing of preliminary objections. 52 Pa. Code § 5.101.</w:t>
      </w:r>
    </w:p>
    <w:p w:rsidR="00C52EBE" w:rsidRPr="00C52EBE" w:rsidRDefault="00C52EBE" w:rsidP="00C52EBE">
      <w:pPr>
        <w:spacing w:line="360" w:lineRule="auto"/>
      </w:pPr>
      <w:r w:rsidRPr="00C52EBE">
        <w:br/>
      </w:r>
      <w:r w:rsidRPr="00C52EBE">
        <w:br/>
      </w:r>
      <w:r w:rsidRPr="00C52EBE">
        <w:tab/>
      </w:r>
      <w:r w:rsidRPr="00C52EBE">
        <w:tab/>
        <w:t>3.</w:t>
      </w:r>
      <w:r w:rsidRPr="00C52EBE">
        <w:tab/>
        <w:t xml:space="preserve">A preliminary objection in civil practice seeking dismissal of a pleading will be granted only where relief is clearly warranted and free from doubt.  </w:t>
      </w:r>
      <w:r w:rsidRPr="00C52EBE">
        <w:rPr>
          <w:i/>
        </w:rPr>
        <w:t>Interstate Traveler Services, Inc. v. Pa. Dept. of Environmental Resources</w:t>
      </w:r>
      <w:r w:rsidRPr="00C52EBE">
        <w:t>, 406 A.2d 1020 (Pa. 1979). </w:t>
      </w:r>
      <w:r w:rsidRPr="00C52EBE">
        <w:br/>
      </w:r>
      <w:r w:rsidRPr="00C52EBE">
        <w:br/>
      </w:r>
      <w:r w:rsidRPr="00C52EBE">
        <w:tab/>
      </w:r>
      <w:r w:rsidRPr="00C52EBE">
        <w:tab/>
        <w:t>4.</w:t>
      </w:r>
      <w:r w:rsidRPr="00C52EBE">
        <w:tab/>
        <w:t xml:space="preserve">The preliminary objection may be granted only if the moving party prevails as a matter of law.  </w:t>
      </w:r>
      <w:r w:rsidRPr="00C52EBE">
        <w:rPr>
          <w:i/>
        </w:rPr>
        <w:t>Roc v. Flaherty</w:t>
      </w:r>
      <w:r w:rsidRPr="00C52EBE">
        <w:t>, 527 A.2d 211 (Pa.Cmwlth. 1985).</w:t>
      </w:r>
    </w:p>
    <w:p w:rsidR="00C52EBE" w:rsidRPr="00C52EBE" w:rsidRDefault="00C52EBE" w:rsidP="00C52EBE">
      <w:pPr>
        <w:spacing w:line="360" w:lineRule="auto"/>
      </w:pPr>
      <w:r w:rsidRPr="00C52EBE">
        <w:br/>
      </w:r>
      <w:r w:rsidRPr="00C52EBE">
        <w:tab/>
      </w:r>
      <w:r w:rsidRPr="00C52EBE">
        <w:tab/>
        <w:t>5.</w:t>
      </w:r>
      <w:r w:rsidRPr="00C52EBE">
        <w:tab/>
        <w:t xml:space="preserve">Any doubt must be resolved in favor of the non-moving party by refusing to sustain the preliminary objections.  </w:t>
      </w:r>
      <w:r w:rsidRPr="00C52EBE">
        <w:rPr>
          <w:i/>
        </w:rPr>
        <w:t>Dept. of Auditor General, et al. v. State Employees' Retirement System, et al.</w:t>
      </w:r>
      <w:r w:rsidRPr="00C52EBE">
        <w:t xml:space="preserve">, 836 A.2d 1053, 1064 (Pa. Cmwlth. 2003) citing, </w:t>
      </w:r>
      <w:r w:rsidRPr="00C52EBE">
        <w:rPr>
          <w:i/>
        </w:rPr>
        <w:t>Boyd v. Ward</w:t>
      </w:r>
      <w:r w:rsidRPr="00C52EBE">
        <w:t>, 802 A.2d 705 (Pa. Cmwlth. 2002).</w:t>
      </w:r>
    </w:p>
    <w:p w:rsidR="00C52EBE" w:rsidRPr="00C52EBE" w:rsidRDefault="00C52EBE" w:rsidP="00C52EBE">
      <w:pPr>
        <w:spacing w:line="360" w:lineRule="auto"/>
      </w:pPr>
    </w:p>
    <w:p w:rsidR="00C52EBE" w:rsidRPr="00C52EBE" w:rsidRDefault="00C52EBE" w:rsidP="00C52EBE">
      <w:pPr>
        <w:spacing w:line="360" w:lineRule="auto"/>
      </w:pPr>
      <w:r w:rsidRPr="00C52EBE">
        <w:tab/>
      </w:r>
      <w:r w:rsidRPr="00C52EBE">
        <w:tab/>
      </w:r>
      <w:r w:rsidR="000806AD">
        <w:t>6</w:t>
      </w:r>
      <w:r w:rsidRPr="00C52EBE">
        <w:t>.</w:t>
      </w:r>
      <w:r w:rsidRPr="00C52EBE">
        <w:tab/>
        <w:t xml:space="preserve">The Rules of Administrative Practice and Procedure at 52 Pa. Code </w:t>
      </w:r>
    </w:p>
    <w:p w:rsidR="00501145" w:rsidRDefault="00C52EBE" w:rsidP="00C52EBE">
      <w:pPr>
        <w:spacing w:line="360" w:lineRule="auto"/>
      </w:pPr>
      <w:r w:rsidRPr="00C52EBE">
        <w:t xml:space="preserve">§§ 1.2(a) </w:t>
      </w:r>
      <w:proofErr w:type="gramStart"/>
      <w:r w:rsidRPr="00C52EBE">
        <w:t>provide</w:t>
      </w:r>
      <w:proofErr w:type="gramEnd"/>
      <w:r w:rsidRPr="00C52EBE">
        <w:t xml:space="preserve"> that the Commission’s procedural rules shall be liberally construed to secure the just, speedy and inexpensive determination of every action or proceeding to which it is applicable. The Commission or presiding officer at any stage of an action or proceeding may disregard an error or defect of procedure which does not affect the substantive rights of the parties.</w:t>
      </w:r>
    </w:p>
    <w:p w:rsidR="00426881" w:rsidRDefault="00426881" w:rsidP="00C52EBE">
      <w:pPr>
        <w:spacing w:line="360" w:lineRule="auto"/>
      </w:pPr>
    </w:p>
    <w:p w:rsidR="00426881" w:rsidRDefault="00426881" w:rsidP="00C52EBE">
      <w:pPr>
        <w:spacing w:line="360" w:lineRule="auto"/>
      </w:pPr>
    </w:p>
    <w:p w:rsidR="00501145" w:rsidRDefault="00501145" w:rsidP="00C52EBE">
      <w:pPr>
        <w:spacing w:line="360" w:lineRule="auto"/>
      </w:pPr>
    </w:p>
    <w:p w:rsidR="00611D3A" w:rsidRDefault="00501145" w:rsidP="00C52EBE">
      <w:pPr>
        <w:spacing w:line="360" w:lineRule="auto"/>
      </w:pPr>
      <w:r>
        <w:lastRenderedPageBreak/>
        <w:tab/>
      </w:r>
      <w:r>
        <w:tab/>
        <w:t>7.</w:t>
      </w:r>
      <w:r>
        <w:tab/>
        <w:t>No public utility shall, directly or indirectly, by any device whatsoever, or in anywise, demand or receive from any person, corporation, or municipal corporation a greater or less rate for any service rendered or to be rendered by such public utility than that specified in the tariffs of such public utility applicable thereto.  66 Pa. C.S. § 1303.</w:t>
      </w:r>
    </w:p>
    <w:p w:rsidR="00611D3A" w:rsidRDefault="00611D3A" w:rsidP="00C52EBE">
      <w:pPr>
        <w:spacing w:line="360" w:lineRule="auto"/>
      </w:pPr>
    </w:p>
    <w:p w:rsidR="00C52EBE" w:rsidRPr="00C52EBE" w:rsidRDefault="00C52EBE" w:rsidP="00C52EBE">
      <w:pPr>
        <w:spacing w:line="360" w:lineRule="auto"/>
        <w:jc w:val="center"/>
        <w:rPr>
          <w:u w:val="single"/>
        </w:rPr>
      </w:pPr>
      <w:r w:rsidRPr="00C52EBE">
        <w:rPr>
          <w:u w:val="single"/>
        </w:rPr>
        <w:t>ORDER</w:t>
      </w:r>
    </w:p>
    <w:p w:rsidR="00C52EBE" w:rsidRPr="00C52EBE" w:rsidRDefault="00C52EBE" w:rsidP="00C52EBE">
      <w:pPr>
        <w:spacing w:line="360" w:lineRule="auto"/>
      </w:pPr>
    </w:p>
    <w:p w:rsidR="000806AD" w:rsidRDefault="00C52EBE" w:rsidP="000806AD">
      <w:pPr>
        <w:spacing w:line="360" w:lineRule="auto"/>
      </w:pPr>
      <w:r w:rsidRPr="00C52EBE">
        <w:tab/>
      </w:r>
      <w:r w:rsidRPr="00C52EBE">
        <w:tab/>
        <w:t>THEREFORE,</w:t>
      </w:r>
      <w:r w:rsidRPr="00C52EBE">
        <w:br/>
      </w:r>
      <w:r w:rsidRPr="00C52EBE">
        <w:br/>
      </w:r>
      <w:r w:rsidRPr="00C52EBE">
        <w:tab/>
      </w:r>
      <w:r w:rsidRPr="00C52EBE">
        <w:tab/>
        <w:t>IT IS ORDERED:</w:t>
      </w:r>
      <w:r w:rsidRPr="00C52EBE">
        <w:br/>
      </w:r>
      <w:r w:rsidRPr="00C52EBE">
        <w:br/>
      </w:r>
      <w:r w:rsidRPr="00C52EBE">
        <w:tab/>
      </w:r>
      <w:r w:rsidRPr="00C52EBE">
        <w:tab/>
        <w:t xml:space="preserve">1. </w:t>
      </w:r>
      <w:r w:rsidRPr="00C52EBE">
        <w:tab/>
      </w:r>
      <w:proofErr w:type="gramStart"/>
      <w:r w:rsidRPr="00C52EBE">
        <w:t>That</w:t>
      </w:r>
      <w:proofErr w:type="gramEnd"/>
      <w:r w:rsidRPr="00C52EBE">
        <w:t xml:space="preserve"> the Preliminary Objection filed on </w:t>
      </w:r>
      <w:r w:rsidR="000806AD">
        <w:t>October 2, 2012</w:t>
      </w:r>
      <w:r w:rsidRPr="00C52EBE">
        <w:t xml:space="preserve">, by PECO Energy Company </w:t>
      </w:r>
      <w:r w:rsidR="000806AD">
        <w:t>at Docket No. C-2012-2326728</w:t>
      </w:r>
      <w:r w:rsidRPr="00C52EBE">
        <w:t xml:space="preserve"> is denied.</w:t>
      </w:r>
      <w:r w:rsidRPr="00C52EBE">
        <w:br/>
      </w:r>
      <w:r w:rsidRPr="00C52EBE">
        <w:br/>
      </w:r>
      <w:r w:rsidRPr="00C52EBE">
        <w:tab/>
      </w:r>
      <w:r w:rsidRPr="00C52EBE">
        <w:tab/>
        <w:t xml:space="preserve">2. </w:t>
      </w:r>
      <w:r w:rsidRPr="00C52EBE">
        <w:tab/>
      </w:r>
      <w:r w:rsidR="000806AD">
        <w:t>That this matter be set for hearing.</w:t>
      </w:r>
    </w:p>
    <w:p w:rsidR="000806AD" w:rsidRDefault="000806AD" w:rsidP="000806AD">
      <w:pPr>
        <w:spacing w:line="360" w:lineRule="auto"/>
      </w:pPr>
    </w:p>
    <w:p w:rsidR="000806AD" w:rsidRPr="00C52EBE" w:rsidRDefault="000806AD" w:rsidP="000806AD">
      <w:pPr>
        <w:spacing w:line="360" w:lineRule="auto"/>
      </w:pPr>
    </w:p>
    <w:p w:rsidR="00C52EBE" w:rsidRPr="000806AD" w:rsidRDefault="00C52EBE" w:rsidP="000806AD">
      <w:pPr>
        <w:rPr>
          <w:rStyle w:val="Emphasis"/>
          <w:i w:val="0"/>
        </w:rPr>
      </w:pPr>
      <w:r w:rsidRPr="00C52EBE">
        <w:br/>
      </w:r>
      <w:r w:rsidRPr="00C52EBE">
        <w:tab/>
      </w:r>
      <w:r w:rsidRPr="00C52EBE">
        <w:tab/>
      </w:r>
      <w:r w:rsidRPr="00C52EBE">
        <w:br/>
      </w:r>
      <w:r w:rsidRPr="000806AD">
        <w:rPr>
          <w:rStyle w:val="Emphasis"/>
          <w:i w:val="0"/>
        </w:rPr>
        <w:t>Date:</w:t>
      </w:r>
      <w:r w:rsidRPr="000806AD">
        <w:rPr>
          <w:rStyle w:val="Emphasis"/>
          <w:i w:val="0"/>
        </w:rPr>
        <w:tab/>
      </w:r>
      <w:r w:rsidR="000806AD" w:rsidRPr="001F2162">
        <w:rPr>
          <w:rStyle w:val="Emphasis"/>
          <w:i w:val="0"/>
          <w:u w:val="single"/>
        </w:rPr>
        <w:t>October 26</w:t>
      </w:r>
      <w:r w:rsidRPr="001F2162">
        <w:rPr>
          <w:rStyle w:val="Emphasis"/>
          <w:i w:val="0"/>
          <w:u w:val="single"/>
        </w:rPr>
        <w:t>, 201</w:t>
      </w:r>
      <w:r w:rsidR="000806AD" w:rsidRPr="001F2162">
        <w:rPr>
          <w:rStyle w:val="Emphasis"/>
          <w:i w:val="0"/>
          <w:u w:val="single"/>
        </w:rPr>
        <w:t>2</w:t>
      </w:r>
      <w:r w:rsidRPr="000806AD">
        <w:rPr>
          <w:rStyle w:val="Emphasis"/>
          <w:i w:val="0"/>
        </w:rPr>
        <w:tab/>
      </w:r>
      <w:r w:rsidRPr="000806AD">
        <w:rPr>
          <w:rStyle w:val="Emphasis"/>
          <w:i w:val="0"/>
        </w:rPr>
        <w:tab/>
      </w:r>
      <w:r w:rsidRPr="000806AD">
        <w:rPr>
          <w:rStyle w:val="Emphasis"/>
          <w:i w:val="0"/>
        </w:rPr>
        <w:tab/>
      </w:r>
      <w:r w:rsidRPr="000806AD">
        <w:rPr>
          <w:rStyle w:val="Emphasis"/>
          <w:i w:val="0"/>
        </w:rPr>
        <w:tab/>
        <w:t>___________________________________</w:t>
      </w:r>
    </w:p>
    <w:p w:rsidR="00C52EBE" w:rsidRPr="000806AD" w:rsidRDefault="00C52EBE" w:rsidP="000806AD">
      <w:pPr>
        <w:rPr>
          <w:rStyle w:val="Emphasis"/>
          <w:i w:val="0"/>
        </w:rPr>
      </w:pPr>
      <w:r w:rsidRPr="000806AD">
        <w:rPr>
          <w:rStyle w:val="Emphasis"/>
          <w:i w:val="0"/>
        </w:rPr>
        <w:tab/>
      </w:r>
      <w:r w:rsidRPr="000806AD">
        <w:rPr>
          <w:rStyle w:val="Emphasis"/>
          <w:i w:val="0"/>
        </w:rPr>
        <w:tab/>
      </w:r>
      <w:r w:rsidRPr="000806AD">
        <w:rPr>
          <w:rStyle w:val="Emphasis"/>
          <w:i w:val="0"/>
        </w:rPr>
        <w:tab/>
      </w:r>
      <w:r w:rsidRPr="000806AD">
        <w:rPr>
          <w:rStyle w:val="Emphasis"/>
          <w:i w:val="0"/>
        </w:rPr>
        <w:tab/>
      </w:r>
      <w:r w:rsidRPr="000806AD">
        <w:rPr>
          <w:rStyle w:val="Emphasis"/>
          <w:i w:val="0"/>
        </w:rPr>
        <w:tab/>
      </w:r>
      <w:r w:rsidRPr="000806AD">
        <w:rPr>
          <w:rStyle w:val="Emphasis"/>
          <w:i w:val="0"/>
        </w:rPr>
        <w:tab/>
      </w:r>
      <w:r w:rsidRPr="000806AD">
        <w:rPr>
          <w:rStyle w:val="Emphasis"/>
          <w:i w:val="0"/>
        </w:rPr>
        <w:tab/>
        <w:t>Dennis J. Buckley</w:t>
      </w:r>
    </w:p>
    <w:p w:rsidR="007947DD" w:rsidRDefault="00C52EBE" w:rsidP="000806AD">
      <w:pPr>
        <w:rPr>
          <w:rStyle w:val="Emphasis"/>
          <w:i w:val="0"/>
        </w:rPr>
        <w:sectPr w:rsidR="007947DD">
          <w:footerReference w:type="even" r:id="rId9"/>
          <w:footerReference w:type="default" r:id="rId10"/>
          <w:pgSz w:w="12240" w:h="15840"/>
          <w:pgMar w:top="1440" w:right="1440" w:bottom="1440" w:left="1440" w:header="720" w:footer="720" w:gutter="0"/>
          <w:cols w:space="720"/>
          <w:docGrid w:linePitch="360"/>
        </w:sectPr>
      </w:pPr>
      <w:r w:rsidRPr="000806AD">
        <w:rPr>
          <w:rStyle w:val="Emphasis"/>
          <w:i w:val="0"/>
        </w:rPr>
        <w:tab/>
      </w:r>
      <w:r w:rsidRPr="000806AD">
        <w:rPr>
          <w:rStyle w:val="Emphasis"/>
          <w:i w:val="0"/>
        </w:rPr>
        <w:tab/>
      </w:r>
      <w:r w:rsidRPr="000806AD">
        <w:rPr>
          <w:rStyle w:val="Emphasis"/>
          <w:i w:val="0"/>
        </w:rPr>
        <w:tab/>
      </w:r>
      <w:r w:rsidRPr="000806AD">
        <w:rPr>
          <w:rStyle w:val="Emphasis"/>
          <w:i w:val="0"/>
        </w:rPr>
        <w:tab/>
      </w:r>
      <w:r w:rsidRPr="000806AD">
        <w:rPr>
          <w:rStyle w:val="Emphasis"/>
          <w:i w:val="0"/>
        </w:rPr>
        <w:tab/>
      </w:r>
      <w:r w:rsidRPr="000806AD">
        <w:rPr>
          <w:rStyle w:val="Emphasis"/>
          <w:i w:val="0"/>
        </w:rPr>
        <w:tab/>
      </w:r>
      <w:r w:rsidRPr="000806AD">
        <w:rPr>
          <w:rStyle w:val="Emphasis"/>
          <w:i w:val="0"/>
        </w:rPr>
        <w:tab/>
        <w:t>Administrative Law Judge</w:t>
      </w:r>
    </w:p>
    <w:p w:rsidR="007947DD" w:rsidRDefault="007947DD" w:rsidP="007947DD">
      <w:pPr>
        <w:rPr>
          <w:rFonts w:ascii="Microsoft Sans Serif"/>
        </w:rPr>
      </w:pPr>
      <w:r>
        <w:rPr>
          <w:rFonts w:ascii="Microsoft Sans Serif"/>
          <w:b/>
          <w:u w:val="single"/>
        </w:rPr>
        <w:lastRenderedPageBreak/>
        <w:t>C-2012-2326728 - WILLIAM WIDDEMER v. PECO ENERGY COMPANY</w:t>
      </w:r>
      <w:r>
        <w:rPr>
          <w:rFonts w:ascii="Microsoft Sans Serif"/>
          <w:b/>
          <w:u w:val="single"/>
        </w:rPr>
        <w:cr/>
      </w:r>
      <w:r>
        <w:rPr>
          <w:rFonts w:ascii="Microsoft Sans Serif"/>
          <w:b/>
          <w:u w:val="single"/>
        </w:rPr>
        <w:cr/>
      </w:r>
      <w:r>
        <w:rPr>
          <w:rFonts w:ascii="Microsoft Sans Serif"/>
        </w:rPr>
        <w:t>SHAWANE L LEE ESQUIRE</w:t>
      </w:r>
      <w:r>
        <w:rPr>
          <w:rFonts w:ascii="Microsoft Sans Serif"/>
        </w:rPr>
        <w:cr/>
        <w:t>EXELON BUSINESS SERVICES</w:t>
      </w:r>
      <w:r>
        <w:rPr>
          <w:rFonts w:ascii="Microsoft Sans Serif"/>
        </w:rPr>
        <w:cr/>
        <w:t>2301 MARKET STREET S23-1</w:t>
      </w:r>
      <w:r>
        <w:rPr>
          <w:rFonts w:ascii="Microsoft Sans Serif"/>
        </w:rPr>
        <w:cr/>
        <w:t>PHILADELPHIA PA  19103</w:t>
      </w:r>
      <w:r>
        <w:rPr>
          <w:rFonts w:ascii="Microsoft Sans Serif"/>
        </w:rPr>
        <w:cr/>
        <w:t>215-841-6841</w:t>
      </w:r>
    </w:p>
    <w:p w:rsidR="007947DD" w:rsidRPr="004C1A16" w:rsidRDefault="007947DD" w:rsidP="007947DD">
      <w:pPr>
        <w:rPr>
          <w:rFonts w:ascii="Microsoft Sans Serif"/>
        </w:rPr>
      </w:pPr>
      <w:proofErr w:type="spellStart"/>
      <w:r w:rsidRPr="004C1A16">
        <w:rPr>
          <w:rFonts w:ascii="Microsoft Sans Serif"/>
          <w:u w:val="single"/>
        </w:rPr>
        <w:t>Eserve</w:t>
      </w:r>
      <w:proofErr w:type="spellEnd"/>
      <w:r>
        <w:rPr>
          <w:rFonts w:ascii="Microsoft Sans Serif"/>
        </w:rPr>
        <w:cr/>
      </w:r>
      <w:r>
        <w:rPr>
          <w:rFonts w:ascii="Microsoft Sans Serif"/>
        </w:rPr>
        <w:cr/>
        <w:t>WILLIAM WIDDEMER</w:t>
      </w:r>
      <w:r>
        <w:rPr>
          <w:rFonts w:ascii="Microsoft Sans Serif"/>
        </w:rPr>
        <w:cr/>
        <w:t>250 STRATFORD DRIVE</w:t>
      </w:r>
      <w:r>
        <w:rPr>
          <w:rFonts w:ascii="Microsoft Sans Serif"/>
        </w:rPr>
        <w:cr/>
        <w:t>CHURCHVILLE PA  18966</w:t>
      </w:r>
      <w:r>
        <w:rPr>
          <w:rFonts w:ascii="Microsoft Sans Serif"/>
        </w:rPr>
        <w:cr/>
        <w:t>215-355-2430</w:t>
      </w:r>
      <w:r>
        <w:rPr>
          <w:rFonts w:ascii="Microsoft Sans Serif"/>
        </w:rPr>
        <w:cr/>
      </w:r>
    </w:p>
    <w:p w:rsidR="007947DD" w:rsidRDefault="007947DD" w:rsidP="007947DD"/>
    <w:p w:rsidR="00C52EBE" w:rsidRPr="000806AD" w:rsidRDefault="00C52EBE" w:rsidP="000806AD">
      <w:pPr>
        <w:rPr>
          <w:rStyle w:val="Emphasis"/>
          <w:i w:val="0"/>
        </w:rPr>
      </w:pPr>
      <w:bookmarkStart w:id="0" w:name="_GoBack"/>
      <w:bookmarkEnd w:id="0"/>
    </w:p>
    <w:p w:rsidR="00113287" w:rsidRPr="00113287" w:rsidRDefault="00113287" w:rsidP="00113287">
      <w:pPr>
        <w:spacing w:line="360" w:lineRule="auto"/>
      </w:pPr>
    </w:p>
    <w:p w:rsidR="00E256FA" w:rsidRDefault="00E256FA" w:rsidP="00E256FA">
      <w:pPr>
        <w:spacing w:line="360" w:lineRule="auto"/>
      </w:pPr>
    </w:p>
    <w:p w:rsidR="00E256FA" w:rsidRPr="00E256FA" w:rsidRDefault="00E256FA" w:rsidP="000806AD">
      <w:pPr>
        <w:spacing w:line="360" w:lineRule="auto"/>
        <w:rPr>
          <w:rStyle w:val="Emphasis"/>
          <w:i w:val="0"/>
        </w:rPr>
      </w:pPr>
      <w:r>
        <w:tab/>
      </w:r>
      <w:r>
        <w:tab/>
      </w:r>
    </w:p>
    <w:p w:rsidR="00E256FA" w:rsidRDefault="00E256FA" w:rsidP="006C095B">
      <w:pPr>
        <w:spacing w:line="360" w:lineRule="auto"/>
      </w:pPr>
    </w:p>
    <w:sectPr w:rsidR="00E256FA">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16C1" w:rsidRDefault="00C616C1">
      <w:r>
        <w:separator/>
      </w:r>
    </w:p>
  </w:endnote>
  <w:endnote w:type="continuationSeparator" w:id="0">
    <w:p w:rsidR="00C616C1" w:rsidRDefault="00C616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0FB7" w:rsidRDefault="009933ED" w:rsidP="005629D6">
    <w:pPr>
      <w:pStyle w:val="Footer"/>
      <w:framePr w:wrap="around" w:vAnchor="text" w:hAnchor="margin" w:xAlign="center" w:y="1"/>
      <w:rPr>
        <w:rStyle w:val="PageNumber"/>
      </w:rPr>
    </w:pPr>
    <w:r>
      <w:rPr>
        <w:rStyle w:val="PageNumber"/>
      </w:rPr>
      <w:fldChar w:fldCharType="begin"/>
    </w:r>
    <w:r w:rsidR="004E0FB7">
      <w:rPr>
        <w:rStyle w:val="PageNumber"/>
      </w:rPr>
      <w:instrText xml:space="preserve">PAGE  </w:instrText>
    </w:r>
    <w:r>
      <w:rPr>
        <w:rStyle w:val="PageNumber"/>
      </w:rPr>
      <w:fldChar w:fldCharType="end"/>
    </w:r>
  </w:p>
  <w:p w:rsidR="004E0FB7" w:rsidRDefault="004E0FB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0FB7" w:rsidRDefault="009933ED" w:rsidP="005629D6">
    <w:pPr>
      <w:pStyle w:val="Footer"/>
      <w:framePr w:wrap="around" w:vAnchor="text" w:hAnchor="margin" w:xAlign="center" w:y="1"/>
      <w:rPr>
        <w:rStyle w:val="PageNumber"/>
      </w:rPr>
    </w:pPr>
    <w:r>
      <w:rPr>
        <w:rStyle w:val="PageNumber"/>
      </w:rPr>
      <w:fldChar w:fldCharType="begin"/>
    </w:r>
    <w:r w:rsidR="004E0FB7">
      <w:rPr>
        <w:rStyle w:val="PageNumber"/>
      </w:rPr>
      <w:instrText xml:space="preserve">PAGE  </w:instrText>
    </w:r>
    <w:r>
      <w:rPr>
        <w:rStyle w:val="PageNumber"/>
      </w:rPr>
      <w:fldChar w:fldCharType="separate"/>
    </w:r>
    <w:r w:rsidR="007947DD">
      <w:rPr>
        <w:rStyle w:val="PageNumber"/>
        <w:noProof/>
      </w:rPr>
      <w:t>7</w:t>
    </w:r>
    <w:r>
      <w:rPr>
        <w:rStyle w:val="PageNumber"/>
      </w:rPr>
      <w:fldChar w:fldCharType="end"/>
    </w:r>
  </w:p>
  <w:p w:rsidR="004E0FB7" w:rsidRDefault="004E0FB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7DD" w:rsidRDefault="007947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16C1" w:rsidRDefault="00C616C1">
      <w:r>
        <w:separator/>
      </w:r>
    </w:p>
  </w:footnote>
  <w:footnote w:type="continuationSeparator" w:id="0">
    <w:p w:rsidR="00C616C1" w:rsidRDefault="00C616C1">
      <w:r>
        <w:continuationSeparator/>
      </w:r>
    </w:p>
  </w:footnote>
  <w:footnote w:id="1">
    <w:p w:rsidR="00CC0214" w:rsidRDefault="00CC0214">
      <w:pPr>
        <w:pStyle w:val="FootnoteText"/>
      </w:pPr>
      <w:r>
        <w:rPr>
          <w:rStyle w:val="FootnoteReference"/>
        </w:rPr>
        <w:footnoteRef/>
      </w:r>
      <w:r>
        <w:t xml:space="preserve"> </w:t>
      </w:r>
      <w:r>
        <w:tab/>
        <w:t xml:space="preserve">It appears that Complainant has contacted the Commission’s Bureau of Consumer Services </w:t>
      </w:r>
      <w:r w:rsidR="00586AEE">
        <w:t xml:space="preserve">(BCS) </w:t>
      </w:r>
      <w:r>
        <w:t>with respect to this matter several times,</w:t>
      </w:r>
      <w:r w:rsidR="00586AEE">
        <w:t xml:space="preserve"> </w:t>
      </w:r>
      <w:r>
        <w:t xml:space="preserve">most recently at BCS Case No. </w:t>
      </w:r>
      <w:r w:rsidRPr="00CC0214">
        <w:t>3016922</w:t>
      </w:r>
      <w:r w:rsidR="00586AEE">
        <w:t>, but these have been informational inquiries, and no informal determination has been made by the BCS.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D90BD8"/>
    <w:multiLevelType w:val="hybridMultilevel"/>
    <w:tmpl w:val="AE7A0472"/>
    <w:lvl w:ilvl="0" w:tplc="A71C49E8">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4780"/>
    <w:rsid w:val="00000E2D"/>
    <w:rsid w:val="000017C4"/>
    <w:rsid w:val="00002A4C"/>
    <w:rsid w:val="000035BB"/>
    <w:rsid w:val="00006BC2"/>
    <w:rsid w:val="00007520"/>
    <w:rsid w:val="00007AD3"/>
    <w:rsid w:val="00007CCF"/>
    <w:rsid w:val="00010964"/>
    <w:rsid w:val="00010F3B"/>
    <w:rsid w:val="0001209D"/>
    <w:rsid w:val="00012624"/>
    <w:rsid w:val="00012AA7"/>
    <w:rsid w:val="00012F0F"/>
    <w:rsid w:val="000130CF"/>
    <w:rsid w:val="0001330B"/>
    <w:rsid w:val="0001395D"/>
    <w:rsid w:val="00013B00"/>
    <w:rsid w:val="00014B9B"/>
    <w:rsid w:val="00015637"/>
    <w:rsid w:val="00015FC5"/>
    <w:rsid w:val="000205EF"/>
    <w:rsid w:val="00020DD2"/>
    <w:rsid w:val="00021C47"/>
    <w:rsid w:val="00021E05"/>
    <w:rsid w:val="00021F05"/>
    <w:rsid w:val="000240FF"/>
    <w:rsid w:val="000315D8"/>
    <w:rsid w:val="00031968"/>
    <w:rsid w:val="000320EA"/>
    <w:rsid w:val="000359CF"/>
    <w:rsid w:val="00037AB9"/>
    <w:rsid w:val="00037FC7"/>
    <w:rsid w:val="0004187E"/>
    <w:rsid w:val="000431CB"/>
    <w:rsid w:val="00044226"/>
    <w:rsid w:val="000446DB"/>
    <w:rsid w:val="00046434"/>
    <w:rsid w:val="0004698F"/>
    <w:rsid w:val="00046F49"/>
    <w:rsid w:val="000479B4"/>
    <w:rsid w:val="00050656"/>
    <w:rsid w:val="00052AF9"/>
    <w:rsid w:val="0005373A"/>
    <w:rsid w:val="00053792"/>
    <w:rsid w:val="0005431F"/>
    <w:rsid w:val="0005568B"/>
    <w:rsid w:val="000566E7"/>
    <w:rsid w:val="00061CCC"/>
    <w:rsid w:val="0007460B"/>
    <w:rsid w:val="0007524A"/>
    <w:rsid w:val="000757AD"/>
    <w:rsid w:val="00076C46"/>
    <w:rsid w:val="00077E32"/>
    <w:rsid w:val="000806AD"/>
    <w:rsid w:val="000831AA"/>
    <w:rsid w:val="00085155"/>
    <w:rsid w:val="00085C0D"/>
    <w:rsid w:val="000868D6"/>
    <w:rsid w:val="000901CB"/>
    <w:rsid w:val="000928E5"/>
    <w:rsid w:val="000936AA"/>
    <w:rsid w:val="00093F1C"/>
    <w:rsid w:val="00094A2B"/>
    <w:rsid w:val="000962F2"/>
    <w:rsid w:val="000A07BD"/>
    <w:rsid w:val="000A094E"/>
    <w:rsid w:val="000A25EB"/>
    <w:rsid w:val="000A27C5"/>
    <w:rsid w:val="000A2D8C"/>
    <w:rsid w:val="000A5190"/>
    <w:rsid w:val="000A5360"/>
    <w:rsid w:val="000A741D"/>
    <w:rsid w:val="000A7657"/>
    <w:rsid w:val="000B4662"/>
    <w:rsid w:val="000B4A44"/>
    <w:rsid w:val="000C0751"/>
    <w:rsid w:val="000C0E75"/>
    <w:rsid w:val="000C1740"/>
    <w:rsid w:val="000C1854"/>
    <w:rsid w:val="000C1970"/>
    <w:rsid w:val="000C6FB8"/>
    <w:rsid w:val="000D02BC"/>
    <w:rsid w:val="000D0B38"/>
    <w:rsid w:val="000D2F5A"/>
    <w:rsid w:val="000D4D0A"/>
    <w:rsid w:val="000D567C"/>
    <w:rsid w:val="000D7958"/>
    <w:rsid w:val="000D7B4D"/>
    <w:rsid w:val="000E09CF"/>
    <w:rsid w:val="000E13B6"/>
    <w:rsid w:val="000E1B03"/>
    <w:rsid w:val="000E2485"/>
    <w:rsid w:val="000E39C2"/>
    <w:rsid w:val="000E3AA1"/>
    <w:rsid w:val="000E3CD7"/>
    <w:rsid w:val="000E4779"/>
    <w:rsid w:val="000E4AEA"/>
    <w:rsid w:val="000E5F0D"/>
    <w:rsid w:val="000E6383"/>
    <w:rsid w:val="000E70FF"/>
    <w:rsid w:val="000F0061"/>
    <w:rsid w:val="000F06B1"/>
    <w:rsid w:val="000F2AFC"/>
    <w:rsid w:val="000F3DD5"/>
    <w:rsid w:val="000F4EE1"/>
    <w:rsid w:val="000F546F"/>
    <w:rsid w:val="000F5F2C"/>
    <w:rsid w:val="000F62EA"/>
    <w:rsid w:val="000F6954"/>
    <w:rsid w:val="000F7778"/>
    <w:rsid w:val="001004D2"/>
    <w:rsid w:val="001060C5"/>
    <w:rsid w:val="001071E3"/>
    <w:rsid w:val="0010766A"/>
    <w:rsid w:val="00110DF3"/>
    <w:rsid w:val="0011139A"/>
    <w:rsid w:val="00111838"/>
    <w:rsid w:val="001129E3"/>
    <w:rsid w:val="00113287"/>
    <w:rsid w:val="00113B84"/>
    <w:rsid w:val="00114141"/>
    <w:rsid w:val="00116E34"/>
    <w:rsid w:val="0011780E"/>
    <w:rsid w:val="00120EE6"/>
    <w:rsid w:val="0012109F"/>
    <w:rsid w:val="00121685"/>
    <w:rsid w:val="00121BDE"/>
    <w:rsid w:val="00122AB3"/>
    <w:rsid w:val="0012348D"/>
    <w:rsid w:val="0012418E"/>
    <w:rsid w:val="0012462B"/>
    <w:rsid w:val="0012571B"/>
    <w:rsid w:val="001258D4"/>
    <w:rsid w:val="00125D24"/>
    <w:rsid w:val="0012681C"/>
    <w:rsid w:val="001274BA"/>
    <w:rsid w:val="00130550"/>
    <w:rsid w:val="001311DF"/>
    <w:rsid w:val="00132A1C"/>
    <w:rsid w:val="00134362"/>
    <w:rsid w:val="00134C94"/>
    <w:rsid w:val="00134EA8"/>
    <w:rsid w:val="001351C4"/>
    <w:rsid w:val="00136AF3"/>
    <w:rsid w:val="00136BC9"/>
    <w:rsid w:val="00136C9A"/>
    <w:rsid w:val="00137A58"/>
    <w:rsid w:val="00137DBE"/>
    <w:rsid w:val="00142279"/>
    <w:rsid w:val="00142920"/>
    <w:rsid w:val="00142C54"/>
    <w:rsid w:val="00143719"/>
    <w:rsid w:val="00143DCC"/>
    <w:rsid w:val="00144856"/>
    <w:rsid w:val="0014491A"/>
    <w:rsid w:val="00146443"/>
    <w:rsid w:val="00146F1F"/>
    <w:rsid w:val="00150D19"/>
    <w:rsid w:val="00151911"/>
    <w:rsid w:val="00152ADD"/>
    <w:rsid w:val="0015332A"/>
    <w:rsid w:val="00154FD6"/>
    <w:rsid w:val="001554C0"/>
    <w:rsid w:val="00155C48"/>
    <w:rsid w:val="00156140"/>
    <w:rsid w:val="001576E9"/>
    <w:rsid w:val="00162991"/>
    <w:rsid w:val="00163921"/>
    <w:rsid w:val="00164042"/>
    <w:rsid w:val="00164213"/>
    <w:rsid w:val="001671A3"/>
    <w:rsid w:val="00167E26"/>
    <w:rsid w:val="00170954"/>
    <w:rsid w:val="001719B5"/>
    <w:rsid w:val="00171B15"/>
    <w:rsid w:val="00172031"/>
    <w:rsid w:val="00175E13"/>
    <w:rsid w:val="00177450"/>
    <w:rsid w:val="001825C3"/>
    <w:rsid w:val="00185A40"/>
    <w:rsid w:val="00192956"/>
    <w:rsid w:val="00193B60"/>
    <w:rsid w:val="00193C8F"/>
    <w:rsid w:val="00194532"/>
    <w:rsid w:val="00195EBA"/>
    <w:rsid w:val="001973E5"/>
    <w:rsid w:val="001A039F"/>
    <w:rsid w:val="001A225A"/>
    <w:rsid w:val="001A4C79"/>
    <w:rsid w:val="001A4DCA"/>
    <w:rsid w:val="001A7526"/>
    <w:rsid w:val="001A77D3"/>
    <w:rsid w:val="001B009E"/>
    <w:rsid w:val="001B0BEE"/>
    <w:rsid w:val="001B39C2"/>
    <w:rsid w:val="001B4A47"/>
    <w:rsid w:val="001B6AFF"/>
    <w:rsid w:val="001B6F4A"/>
    <w:rsid w:val="001C0959"/>
    <w:rsid w:val="001C2D99"/>
    <w:rsid w:val="001C45AF"/>
    <w:rsid w:val="001C63D6"/>
    <w:rsid w:val="001C6995"/>
    <w:rsid w:val="001C7624"/>
    <w:rsid w:val="001C7868"/>
    <w:rsid w:val="001D02DA"/>
    <w:rsid w:val="001D057D"/>
    <w:rsid w:val="001D17E6"/>
    <w:rsid w:val="001D2EB6"/>
    <w:rsid w:val="001D2F5E"/>
    <w:rsid w:val="001D40D2"/>
    <w:rsid w:val="001D43E1"/>
    <w:rsid w:val="001D63E0"/>
    <w:rsid w:val="001D66A1"/>
    <w:rsid w:val="001D6E1D"/>
    <w:rsid w:val="001D708E"/>
    <w:rsid w:val="001E12A6"/>
    <w:rsid w:val="001E168D"/>
    <w:rsid w:val="001E3219"/>
    <w:rsid w:val="001E3ED5"/>
    <w:rsid w:val="001E4DE9"/>
    <w:rsid w:val="001E4F80"/>
    <w:rsid w:val="001E5C7B"/>
    <w:rsid w:val="001F2162"/>
    <w:rsid w:val="001F2E47"/>
    <w:rsid w:val="001F38DD"/>
    <w:rsid w:val="001F627F"/>
    <w:rsid w:val="001F6805"/>
    <w:rsid w:val="001F7426"/>
    <w:rsid w:val="002040B2"/>
    <w:rsid w:val="0020452F"/>
    <w:rsid w:val="0020455D"/>
    <w:rsid w:val="002049CE"/>
    <w:rsid w:val="00204E2B"/>
    <w:rsid w:val="002068A5"/>
    <w:rsid w:val="00206E08"/>
    <w:rsid w:val="00206FF0"/>
    <w:rsid w:val="00207226"/>
    <w:rsid w:val="002078BB"/>
    <w:rsid w:val="00210DF5"/>
    <w:rsid w:val="00211026"/>
    <w:rsid w:val="002118A9"/>
    <w:rsid w:val="002119BD"/>
    <w:rsid w:val="00212782"/>
    <w:rsid w:val="00214AFE"/>
    <w:rsid w:val="00214D60"/>
    <w:rsid w:val="002152B2"/>
    <w:rsid w:val="0021546F"/>
    <w:rsid w:val="00215D5A"/>
    <w:rsid w:val="002165C5"/>
    <w:rsid w:val="00220FE5"/>
    <w:rsid w:val="00221256"/>
    <w:rsid w:val="002224F9"/>
    <w:rsid w:val="0022431E"/>
    <w:rsid w:val="00224B6E"/>
    <w:rsid w:val="0022585A"/>
    <w:rsid w:val="00231435"/>
    <w:rsid w:val="00232EF1"/>
    <w:rsid w:val="00233425"/>
    <w:rsid w:val="002336DD"/>
    <w:rsid w:val="00234AF5"/>
    <w:rsid w:val="00234ECC"/>
    <w:rsid w:val="0023608D"/>
    <w:rsid w:val="002415F2"/>
    <w:rsid w:val="0024317F"/>
    <w:rsid w:val="00244CBE"/>
    <w:rsid w:val="00244D31"/>
    <w:rsid w:val="00244F8C"/>
    <w:rsid w:val="0024513C"/>
    <w:rsid w:val="002452E3"/>
    <w:rsid w:val="00247836"/>
    <w:rsid w:val="0025047B"/>
    <w:rsid w:val="00250849"/>
    <w:rsid w:val="002524AE"/>
    <w:rsid w:val="00252D91"/>
    <w:rsid w:val="002534FF"/>
    <w:rsid w:val="00254DC4"/>
    <w:rsid w:val="002562D2"/>
    <w:rsid w:val="002568A1"/>
    <w:rsid w:val="002573E2"/>
    <w:rsid w:val="0026175F"/>
    <w:rsid w:val="00261950"/>
    <w:rsid w:val="0026395A"/>
    <w:rsid w:val="0026397D"/>
    <w:rsid w:val="00265612"/>
    <w:rsid w:val="00266C2B"/>
    <w:rsid w:val="0026732E"/>
    <w:rsid w:val="00271FF8"/>
    <w:rsid w:val="00272A22"/>
    <w:rsid w:val="00273C64"/>
    <w:rsid w:val="0027536E"/>
    <w:rsid w:val="00276DCE"/>
    <w:rsid w:val="00277337"/>
    <w:rsid w:val="00277A4C"/>
    <w:rsid w:val="00281E25"/>
    <w:rsid w:val="00284168"/>
    <w:rsid w:val="00284CE5"/>
    <w:rsid w:val="002852ED"/>
    <w:rsid w:val="00286757"/>
    <w:rsid w:val="00286EC1"/>
    <w:rsid w:val="00286F6A"/>
    <w:rsid w:val="00291609"/>
    <w:rsid w:val="00291FFF"/>
    <w:rsid w:val="00296273"/>
    <w:rsid w:val="002A60FF"/>
    <w:rsid w:val="002A6EDE"/>
    <w:rsid w:val="002A78AA"/>
    <w:rsid w:val="002A7B2E"/>
    <w:rsid w:val="002B0A5C"/>
    <w:rsid w:val="002B2612"/>
    <w:rsid w:val="002B2735"/>
    <w:rsid w:val="002B2A86"/>
    <w:rsid w:val="002B2FD2"/>
    <w:rsid w:val="002B406F"/>
    <w:rsid w:val="002B4D3C"/>
    <w:rsid w:val="002B5408"/>
    <w:rsid w:val="002B69F6"/>
    <w:rsid w:val="002B725F"/>
    <w:rsid w:val="002B7335"/>
    <w:rsid w:val="002B78DD"/>
    <w:rsid w:val="002C0106"/>
    <w:rsid w:val="002C0B24"/>
    <w:rsid w:val="002C1729"/>
    <w:rsid w:val="002C398C"/>
    <w:rsid w:val="002C5896"/>
    <w:rsid w:val="002C665D"/>
    <w:rsid w:val="002C75EE"/>
    <w:rsid w:val="002D05FF"/>
    <w:rsid w:val="002D2E41"/>
    <w:rsid w:val="002D3A0E"/>
    <w:rsid w:val="002D45D1"/>
    <w:rsid w:val="002D5D82"/>
    <w:rsid w:val="002D79A2"/>
    <w:rsid w:val="002D7FA4"/>
    <w:rsid w:val="002E0D9D"/>
    <w:rsid w:val="002E1EED"/>
    <w:rsid w:val="002E4098"/>
    <w:rsid w:val="002E4FCF"/>
    <w:rsid w:val="002E546C"/>
    <w:rsid w:val="002E6570"/>
    <w:rsid w:val="002F1981"/>
    <w:rsid w:val="002F2838"/>
    <w:rsid w:val="002F2FC5"/>
    <w:rsid w:val="002F3C07"/>
    <w:rsid w:val="002F3EE1"/>
    <w:rsid w:val="002F6B84"/>
    <w:rsid w:val="003015CD"/>
    <w:rsid w:val="00301F30"/>
    <w:rsid w:val="00302A6D"/>
    <w:rsid w:val="0030574A"/>
    <w:rsid w:val="00305D74"/>
    <w:rsid w:val="0031249A"/>
    <w:rsid w:val="003124FC"/>
    <w:rsid w:val="00313833"/>
    <w:rsid w:val="00314D31"/>
    <w:rsid w:val="00317627"/>
    <w:rsid w:val="00320F10"/>
    <w:rsid w:val="0032153C"/>
    <w:rsid w:val="00321F00"/>
    <w:rsid w:val="0032281C"/>
    <w:rsid w:val="003271DE"/>
    <w:rsid w:val="003304AF"/>
    <w:rsid w:val="00331D84"/>
    <w:rsid w:val="003332E9"/>
    <w:rsid w:val="00333743"/>
    <w:rsid w:val="00333E5D"/>
    <w:rsid w:val="003362B8"/>
    <w:rsid w:val="00337524"/>
    <w:rsid w:val="00340895"/>
    <w:rsid w:val="00341495"/>
    <w:rsid w:val="00341A14"/>
    <w:rsid w:val="003426C9"/>
    <w:rsid w:val="00344367"/>
    <w:rsid w:val="003450D5"/>
    <w:rsid w:val="003465D9"/>
    <w:rsid w:val="003500FF"/>
    <w:rsid w:val="0035049A"/>
    <w:rsid w:val="00351F39"/>
    <w:rsid w:val="003531AF"/>
    <w:rsid w:val="00362686"/>
    <w:rsid w:val="00362EA2"/>
    <w:rsid w:val="00363ADD"/>
    <w:rsid w:val="00364825"/>
    <w:rsid w:val="003662E1"/>
    <w:rsid w:val="00370894"/>
    <w:rsid w:val="00370A05"/>
    <w:rsid w:val="0037197D"/>
    <w:rsid w:val="00372DCB"/>
    <w:rsid w:val="00374E61"/>
    <w:rsid w:val="0037508B"/>
    <w:rsid w:val="003756D2"/>
    <w:rsid w:val="00375A0B"/>
    <w:rsid w:val="00376639"/>
    <w:rsid w:val="00376858"/>
    <w:rsid w:val="003768EB"/>
    <w:rsid w:val="00376F6B"/>
    <w:rsid w:val="00377790"/>
    <w:rsid w:val="003824F6"/>
    <w:rsid w:val="00382C34"/>
    <w:rsid w:val="00383038"/>
    <w:rsid w:val="003838B9"/>
    <w:rsid w:val="00384A39"/>
    <w:rsid w:val="003861F0"/>
    <w:rsid w:val="00391F07"/>
    <w:rsid w:val="003923E4"/>
    <w:rsid w:val="00392D91"/>
    <w:rsid w:val="0039374E"/>
    <w:rsid w:val="00393B86"/>
    <w:rsid w:val="003946AE"/>
    <w:rsid w:val="00395648"/>
    <w:rsid w:val="00396DE8"/>
    <w:rsid w:val="0039789B"/>
    <w:rsid w:val="003A36F3"/>
    <w:rsid w:val="003B116B"/>
    <w:rsid w:val="003B205A"/>
    <w:rsid w:val="003B5667"/>
    <w:rsid w:val="003B5C86"/>
    <w:rsid w:val="003B645B"/>
    <w:rsid w:val="003B71A0"/>
    <w:rsid w:val="003B78F7"/>
    <w:rsid w:val="003C032E"/>
    <w:rsid w:val="003C04E8"/>
    <w:rsid w:val="003C08DA"/>
    <w:rsid w:val="003C0E2C"/>
    <w:rsid w:val="003C23C4"/>
    <w:rsid w:val="003C280C"/>
    <w:rsid w:val="003C31C3"/>
    <w:rsid w:val="003C3594"/>
    <w:rsid w:val="003C64A0"/>
    <w:rsid w:val="003C6D65"/>
    <w:rsid w:val="003C7165"/>
    <w:rsid w:val="003C7A78"/>
    <w:rsid w:val="003D112B"/>
    <w:rsid w:val="003D43BA"/>
    <w:rsid w:val="003D4CE7"/>
    <w:rsid w:val="003D53CA"/>
    <w:rsid w:val="003D55B8"/>
    <w:rsid w:val="003D575B"/>
    <w:rsid w:val="003D7B0C"/>
    <w:rsid w:val="003E2005"/>
    <w:rsid w:val="003E24CD"/>
    <w:rsid w:val="003E6024"/>
    <w:rsid w:val="003E670A"/>
    <w:rsid w:val="003E786D"/>
    <w:rsid w:val="003F0A3F"/>
    <w:rsid w:val="003F1704"/>
    <w:rsid w:val="003F459E"/>
    <w:rsid w:val="003F45A1"/>
    <w:rsid w:val="003F6606"/>
    <w:rsid w:val="003F7E03"/>
    <w:rsid w:val="004034CE"/>
    <w:rsid w:val="00403B5A"/>
    <w:rsid w:val="00405FDA"/>
    <w:rsid w:val="0040648E"/>
    <w:rsid w:val="004110EC"/>
    <w:rsid w:val="004123F9"/>
    <w:rsid w:val="00415F43"/>
    <w:rsid w:val="00416181"/>
    <w:rsid w:val="00420E18"/>
    <w:rsid w:val="00421A70"/>
    <w:rsid w:val="004229A6"/>
    <w:rsid w:val="004230D1"/>
    <w:rsid w:val="0042498C"/>
    <w:rsid w:val="004258F4"/>
    <w:rsid w:val="00426881"/>
    <w:rsid w:val="00426CEB"/>
    <w:rsid w:val="0043010B"/>
    <w:rsid w:val="00430E36"/>
    <w:rsid w:val="00434EFE"/>
    <w:rsid w:val="004351AD"/>
    <w:rsid w:val="004365FC"/>
    <w:rsid w:val="00437368"/>
    <w:rsid w:val="0043784A"/>
    <w:rsid w:val="00443515"/>
    <w:rsid w:val="00443DE2"/>
    <w:rsid w:val="00443E23"/>
    <w:rsid w:val="00450625"/>
    <w:rsid w:val="00456D91"/>
    <w:rsid w:val="00457018"/>
    <w:rsid w:val="00460B35"/>
    <w:rsid w:val="00460DCC"/>
    <w:rsid w:val="00461E61"/>
    <w:rsid w:val="0046382E"/>
    <w:rsid w:val="00464B98"/>
    <w:rsid w:val="00466080"/>
    <w:rsid w:val="004661AD"/>
    <w:rsid w:val="004663B3"/>
    <w:rsid w:val="00466C76"/>
    <w:rsid w:val="00466E13"/>
    <w:rsid w:val="00471DEB"/>
    <w:rsid w:val="00472CC3"/>
    <w:rsid w:val="00474243"/>
    <w:rsid w:val="00475928"/>
    <w:rsid w:val="00475949"/>
    <w:rsid w:val="00475D83"/>
    <w:rsid w:val="00475F0B"/>
    <w:rsid w:val="00480441"/>
    <w:rsid w:val="00480736"/>
    <w:rsid w:val="00480806"/>
    <w:rsid w:val="00481A65"/>
    <w:rsid w:val="0048289A"/>
    <w:rsid w:val="00482D88"/>
    <w:rsid w:val="00483E47"/>
    <w:rsid w:val="00485173"/>
    <w:rsid w:val="00485294"/>
    <w:rsid w:val="00485861"/>
    <w:rsid w:val="00486532"/>
    <w:rsid w:val="004873C6"/>
    <w:rsid w:val="00487A3E"/>
    <w:rsid w:val="00487B09"/>
    <w:rsid w:val="00493BB3"/>
    <w:rsid w:val="0049510E"/>
    <w:rsid w:val="00497922"/>
    <w:rsid w:val="004A3F84"/>
    <w:rsid w:val="004A69DB"/>
    <w:rsid w:val="004B0BCC"/>
    <w:rsid w:val="004B0F6B"/>
    <w:rsid w:val="004B1570"/>
    <w:rsid w:val="004B1B60"/>
    <w:rsid w:val="004B3046"/>
    <w:rsid w:val="004B3061"/>
    <w:rsid w:val="004B60FF"/>
    <w:rsid w:val="004C21C3"/>
    <w:rsid w:val="004C24C3"/>
    <w:rsid w:val="004C5E0F"/>
    <w:rsid w:val="004C6775"/>
    <w:rsid w:val="004C6C62"/>
    <w:rsid w:val="004D00F1"/>
    <w:rsid w:val="004D0854"/>
    <w:rsid w:val="004D0CD5"/>
    <w:rsid w:val="004D231C"/>
    <w:rsid w:val="004D3350"/>
    <w:rsid w:val="004D749A"/>
    <w:rsid w:val="004E0EDD"/>
    <w:rsid w:val="004E0FB7"/>
    <w:rsid w:val="004E109F"/>
    <w:rsid w:val="004E12A2"/>
    <w:rsid w:val="004E1D7C"/>
    <w:rsid w:val="004E3785"/>
    <w:rsid w:val="004E5A27"/>
    <w:rsid w:val="004E5D60"/>
    <w:rsid w:val="004E6B46"/>
    <w:rsid w:val="004E74A6"/>
    <w:rsid w:val="004E75A8"/>
    <w:rsid w:val="004F2BEE"/>
    <w:rsid w:val="004F52DC"/>
    <w:rsid w:val="004F5BBA"/>
    <w:rsid w:val="004F6F90"/>
    <w:rsid w:val="004F7610"/>
    <w:rsid w:val="004F7E21"/>
    <w:rsid w:val="0050099A"/>
    <w:rsid w:val="00500C09"/>
    <w:rsid w:val="00501145"/>
    <w:rsid w:val="005011AF"/>
    <w:rsid w:val="00502443"/>
    <w:rsid w:val="00503B86"/>
    <w:rsid w:val="00503E54"/>
    <w:rsid w:val="00504EB6"/>
    <w:rsid w:val="00505A90"/>
    <w:rsid w:val="00505EEE"/>
    <w:rsid w:val="0050663A"/>
    <w:rsid w:val="0050721B"/>
    <w:rsid w:val="00507EDD"/>
    <w:rsid w:val="00511CE3"/>
    <w:rsid w:val="00511ECD"/>
    <w:rsid w:val="005171C1"/>
    <w:rsid w:val="005172EA"/>
    <w:rsid w:val="005201EE"/>
    <w:rsid w:val="0052087C"/>
    <w:rsid w:val="00520BA7"/>
    <w:rsid w:val="00522427"/>
    <w:rsid w:val="005312D7"/>
    <w:rsid w:val="00532B8B"/>
    <w:rsid w:val="00533581"/>
    <w:rsid w:val="00533822"/>
    <w:rsid w:val="005370C0"/>
    <w:rsid w:val="005409C5"/>
    <w:rsid w:val="00541FE1"/>
    <w:rsid w:val="00542A59"/>
    <w:rsid w:val="00543B4D"/>
    <w:rsid w:val="005469BF"/>
    <w:rsid w:val="005470FD"/>
    <w:rsid w:val="00547E46"/>
    <w:rsid w:val="00550669"/>
    <w:rsid w:val="00552D57"/>
    <w:rsid w:val="005555A5"/>
    <w:rsid w:val="00561908"/>
    <w:rsid w:val="005624B6"/>
    <w:rsid w:val="005629D6"/>
    <w:rsid w:val="00562D3A"/>
    <w:rsid w:val="0056496B"/>
    <w:rsid w:val="00566FDB"/>
    <w:rsid w:val="00567200"/>
    <w:rsid w:val="005675B1"/>
    <w:rsid w:val="00567A3A"/>
    <w:rsid w:val="00572CAC"/>
    <w:rsid w:val="005747F6"/>
    <w:rsid w:val="00574E2F"/>
    <w:rsid w:val="00582597"/>
    <w:rsid w:val="005829ED"/>
    <w:rsid w:val="00582F1E"/>
    <w:rsid w:val="00583043"/>
    <w:rsid w:val="0058421D"/>
    <w:rsid w:val="00586449"/>
    <w:rsid w:val="00586718"/>
    <w:rsid w:val="00586AEE"/>
    <w:rsid w:val="005901BD"/>
    <w:rsid w:val="00590C92"/>
    <w:rsid w:val="0059326C"/>
    <w:rsid w:val="00593772"/>
    <w:rsid w:val="00593B6D"/>
    <w:rsid w:val="00594827"/>
    <w:rsid w:val="005948F4"/>
    <w:rsid w:val="00594AE8"/>
    <w:rsid w:val="00594B84"/>
    <w:rsid w:val="005A3ABC"/>
    <w:rsid w:val="005A6C80"/>
    <w:rsid w:val="005A6E9D"/>
    <w:rsid w:val="005A7A07"/>
    <w:rsid w:val="005A7F69"/>
    <w:rsid w:val="005B29AE"/>
    <w:rsid w:val="005B3179"/>
    <w:rsid w:val="005B31C8"/>
    <w:rsid w:val="005B53FA"/>
    <w:rsid w:val="005B72FC"/>
    <w:rsid w:val="005C0391"/>
    <w:rsid w:val="005C1D12"/>
    <w:rsid w:val="005C30C9"/>
    <w:rsid w:val="005C5469"/>
    <w:rsid w:val="005C780A"/>
    <w:rsid w:val="005D0166"/>
    <w:rsid w:val="005D26CB"/>
    <w:rsid w:val="005D2A76"/>
    <w:rsid w:val="005D4280"/>
    <w:rsid w:val="005D460A"/>
    <w:rsid w:val="005D5186"/>
    <w:rsid w:val="005D7F6F"/>
    <w:rsid w:val="005E100E"/>
    <w:rsid w:val="005E1CCD"/>
    <w:rsid w:val="005E2BB6"/>
    <w:rsid w:val="005E349A"/>
    <w:rsid w:val="005E3B4F"/>
    <w:rsid w:val="005E51CD"/>
    <w:rsid w:val="005E6B58"/>
    <w:rsid w:val="005E7BEB"/>
    <w:rsid w:val="005F1B8D"/>
    <w:rsid w:val="005F1C7E"/>
    <w:rsid w:val="005F1FCA"/>
    <w:rsid w:val="005F3559"/>
    <w:rsid w:val="005F4E63"/>
    <w:rsid w:val="005F6022"/>
    <w:rsid w:val="005F68FF"/>
    <w:rsid w:val="00600512"/>
    <w:rsid w:val="00601F5F"/>
    <w:rsid w:val="0060243A"/>
    <w:rsid w:val="006028A7"/>
    <w:rsid w:val="006032A8"/>
    <w:rsid w:val="006037EF"/>
    <w:rsid w:val="00603D85"/>
    <w:rsid w:val="006042B7"/>
    <w:rsid w:val="00604D9F"/>
    <w:rsid w:val="00604EEE"/>
    <w:rsid w:val="0060524E"/>
    <w:rsid w:val="006057DE"/>
    <w:rsid w:val="00605DC5"/>
    <w:rsid w:val="006064D4"/>
    <w:rsid w:val="00606750"/>
    <w:rsid w:val="006105D0"/>
    <w:rsid w:val="00611D3A"/>
    <w:rsid w:val="0061246F"/>
    <w:rsid w:val="00613BF1"/>
    <w:rsid w:val="00615BB8"/>
    <w:rsid w:val="00616CCF"/>
    <w:rsid w:val="00616F7B"/>
    <w:rsid w:val="00617D73"/>
    <w:rsid w:val="0062025B"/>
    <w:rsid w:val="00626A5C"/>
    <w:rsid w:val="00626FCB"/>
    <w:rsid w:val="00627A2B"/>
    <w:rsid w:val="00631336"/>
    <w:rsid w:val="00631B51"/>
    <w:rsid w:val="00632AD7"/>
    <w:rsid w:val="0063436E"/>
    <w:rsid w:val="00634DDA"/>
    <w:rsid w:val="0063529C"/>
    <w:rsid w:val="006353E5"/>
    <w:rsid w:val="00637E6E"/>
    <w:rsid w:val="00641579"/>
    <w:rsid w:val="00641629"/>
    <w:rsid w:val="00641E1B"/>
    <w:rsid w:val="00641FBD"/>
    <w:rsid w:val="0064320C"/>
    <w:rsid w:val="00644547"/>
    <w:rsid w:val="00644B43"/>
    <w:rsid w:val="006472F6"/>
    <w:rsid w:val="00647C81"/>
    <w:rsid w:val="0065008E"/>
    <w:rsid w:val="00651754"/>
    <w:rsid w:val="00652798"/>
    <w:rsid w:val="00652BC4"/>
    <w:rsid w:val="00653C1A"/>
    <w:rsid w:val="0065425D"/>
    <w:rsid w:val="00654315"/>
    <w:rsid w:val="006546E3"/>
    <w:rsid w:val="00654F90"/>
    <w:rsid w:val="0065547F"/>
    <w:rsid w:val="00657E49"/>
    <w:rsid w:val="00662E10"/>
    <w:rsid w:val="00665135"/>
    <w:rsid w:val="00665C79"/>
    <w:rsid w:val="00667157"/>
    <w:rsid w:val="006676D1"/>
    <w:rsid w:val="006677EE"/>
    <w:rsid w:val="00670904"/>
    <w:rsid w:val="00672D33"/>
    <w:rsid w:val="00675D17"/>
    <w:rsid w:val="006765AB"/>
    <w:rsid w:val="0067773D"/>
    <w:rsid w:val="006807DC"/>
    <w:rsid w:val="006821C5"/>
    <w:rsid w:val="006831A4"/>
    <w:rsid w:val="0068439A"/>
    <w:rsid w:val="006849CE"/>
    <w:rsid w:val="00685947"/>
    <w:rsid w:val="00685B43"/>
    <w:rsid w:val="00685EC0"/>
    <w:rsid w:val="00687E26"/>
    <w:rsid w:val="00690C53"/>
    <w:rsid w:val="00691C9D"/>
    <w:rsid w:val="00694BB0"/>
    <w:rsid w:val="006A1B4A"/>
    <w:rsid w:val="006A6ADB"/>
    <w:rsid w:val="006A73DE"/>
    <w:rsid w:val="006B011C"/>
    <w:rsid w:val="006B0567"/>
    <w:rsid w:val="006B0593"/>
    <w:rsid w:val="006B1EA3"/>
    <w:rsid w:val="006B252A"/>
    <w:rsid w:val="006B3FBF"/>
    <w:rsid w:val="006B4635"/>
    <w:rsid w:val="006C06F9"/>
    <w:rsid w:val="006C095B"/>
    <w:rsid w:val="006C1767"/>
    <w:rsid w:val="006C184E"/>
    <w:rsid w:val="006C4E10"/>
    <w:rsid w:val="006C742D"/>
    <w:rsid w:val="006D0342"/>
    <w:rsid w:val="006D100A"/>
    <w:rsid w:val="006D1FC7"/>
    <w:rsid w:val="006D4730"/>
    <w:rsid w:val="006D5DAE"/>
    <w:rsid w:val="006D5E05"/>
    <w:rsid w:val="006D69AA"/>
    <w:rsid w:val="006E0829"/>
    <w:rsid w:val="006E0CC8"/>
    <w:rsid w:val="006E11B8"/>
    <w:rsid w:val="006E12B8"/>
    <w:rsid w:val="006E22EE"/>
    <w:rsid w:val="006E5AAC"/>
    <w:rsid w:val="006E660F"/>
    <w:rsid w:val="006F3CEE"/>
    <w:rsid w:val="00704A41"/>
    <w:rsid w:val="00705290"/>
    <w:rsid w:val="00706EAD"/>
    <w:rsid w:val="007071A5"/>
    <w:rsid w:val="0070782F"/>
    <w:rsid w:val="0071063F"/>
    <w:rsid w:val="00711DB4"/>
    <w:rsid w:val="007125E3"/>
    <w:rsid w:val="007148DF"/>
    <w:rsid w:val="007161BC"/>
    <w:rsid w:val="00717239"/>
    <w:rsid w:val="007203F9"/>
    <w:rsid w:val="00720A5D"/>
    <w:rsid w:val="00720BB7"/>
    <w:rsid w:val="00721125"/>
    <w:rsid w:val="0072152C"/>
    <w:rsid w:val="00722A1F"/>
    <w:rsid w:val="00723174"/>
    <w:rsid w:val="007238AB"/>
    <w:rsid w:val="00724502"/>
    <w:rsid w:val="0072657D"/>
    <w:rsid w:val="007269F9"/>
    <w:rsid w:val="0072794D"/>
    <w:rsid w:val="00730DDB"/>
    <w:rsid w:val="0073193D"/>
    <w:rsid w:val="00735176"/>
    <w:rsid w:val="00736917"/>
    <w:rsid w:val="00737FEC"/>
    <w:rsid w:val="0074066D"/>
    <w:rsid w:val="00743C40"/>
    <w:rsid w:val="007453B1"/>
    <w:rsid w:val="0075097C"/>
    <w:rsid w:val="00750D18"/>
    <w:rsid w:val="00751F22"/>
    <w:rsid w:val="00753152"/>
    <w:rsid w:val="00753FD1"/>
    <w:rsid w:val="007544B1"/>
    <w:rsid w:val="00754791"/>
    <w:rsid w:val="00754893"/>
    <w:rsid w:val="00755583"/>
    <w:rsid w:val="00755971"/>
    <w:rsid w:val="00755E5F"/>
    <w:rsid w:val="007575B7"/>
    <w:rsid w:val="0076191C"/>
    <w:rsid w:val="007647B4"/>
    <w:rsid w:val="00766817"/>
    <w:rsid w:val="00766A47"/>
    <w:rsid w:val="00766D16"/>
    <w:rsid w:val="00766E4B"/>
    <w:rsid w:val="00767FA3"/>
    <w:rsid w:val="00770354"/>
    <w:rsid w:val="007705B6"/>
    <w:rsid w:val="00770F9F"/>
    <w:rsid w:val="007712D5"/>
    <w:rsid w:val="00771925"/>
    <w:rsid w:val="0077333C"/>
    <w:rsid w:val="007733E4"/>
    <w:rsid w:val="00774D85"/>
    <w:rsid w:val="0077529F"/>
    <w:rsid w:val="00775D75"/>
    <w:rsid w:val="007765FE"/>
    <w:rsid w:val="00780448"/>
    <w:rsid w:val="00781D0B"/>
    <w:rsid w:val="00782119"/>
    <w:rsid w:val="007836AD"/>
    <w:rsid w:val="007847DE"/>
    <w:rsid w:val="00786881"/>
    <w:rsid w:val="00787AB7"/>
    <w:rsid w:val="00790749"/>
    <w:rsid w:val="007910EF"/>
    <w:rsid w:val="0079417E"/>
    <w:rsid w:val="007947DD"/>
    <w:rsid w:val="0079526D"/>
    <w:rsid w:val="0079668E"/>
    <w:rsid w:val="007A1DC5"/>
    <w:rsid w:val="007A2046"/>
    <w:rsid w:val="007A2505"/>
    <w:rsid w:val="007A2B6B"/>
    <w:rsid w:val="007A30B2"/>
    <w:rsid w:val="007A3E44"/>
    <w:rsid w:val="007B0095"/>
    <w:rsid w:val="007B19AC"/>
    <w:rsid w:val="007B1E26"/>
    <w:rsid w:val="007B2034"/>
    <w:rsid w:val="007B25AD"/>
    <w:rsid w:val="007B505F"/>
    <w:rsid w:val="007B69C6"/>
    <w:rsid w:val="007C00B2"/>
    <w:rsid w:val="007C1657"/>
    <w:rsid w:val="007C34FB"/>
    <w:rsid w:val="007C44A0"/>
    <w:rsid w:val="007C4B96"/>
    <w:rsid w:val="007C5CA4"/>
    <w:rsid w:val="007C65FB"/>
    <w:rsid w:val="007D0D5D"/>
    <w:rsid w:val="007D19CE"/>
    <w:rsid w:val="007D49E4"/>
    <w:rsid w:val="007D4B51"/>
    <w:rsid w:val="007D7F7A"/>
    <w:rsid w:val="007E23B7"/>
    <w:rsid w:val="007E422C"/>
    <w:rsid w:val="007E4F3F"/>
    <w:rsid w:val="007E4F7B"/>
    <w:rsid w:val="007E5467"/>
    <w:rsid w:val="007E6426"/>
    <w:rsid w:val="007E7528"/>
    <w:rsid w:val="007F0356"/>
    <w:rsid w:val="007F0451"/>
    <w:rsid w:val="007F0952"/>
    <w:rsid w:val="007F1B3C"/>
    <w:rsid w:val="007F21B9"/>
    <w:rsid w:val="007F3175"/>
    <w:rsid w:val="007F55A8"/>
    <w:rsid w:val="007F5ED4"/>
    <w:rsid w:val="007F7F28"/>
    <w:rsid w:val="00805EDC"/>
    <w:rsid w:val="00807663"/>
    <w:rsid w:val="00807959"/>
    <w:rsid w:val="00807D17"/>
    <w:rsid w:val="00812D1B"/>
    <w:rsid w:val="00814C30"/>
    <w:rsid w:val="00815510"/>
    <w:rsid w:val="00816FE5"/>
    <w:rsid w:val="0081720D"/>
    <w:rsid w:val="00820A0C"/>
    <w:rsid w:val="00825C97"/>
    <w:rsid w:val="00827F90"/>
    <w:rsid w:val="008304C8"/>
    <w:rsid w:val="00830CFD"/>
    <w:rsid w:val="00831192"/>
    <w:rsid w:val="008324DA"/>
    <w:rsid w:val="008341BA"/>
    <w:rsid w:val="00834B0B"/>
    <w:rsid w:val="008355D3"/>
    <w:rsid w:val="00836757"/>
    <w:rsid w:val="00837B3B"/>
    <w:rsid w:val="00837F6A"/>
    <w:rsid w:val="00841336"/>
    <w:rsid w:val="00842A09"/>
    <w:rsid w:val="0084385D"/>
    <w:rsid w:val="0084647B"/>
    <w:rsid w:val="00850E6F"/>
    <w:rsid w:val="008511FD"/>
    <w:rsid w:val="008529AC"/>
    <w:rsid w:val="00854545"/>
    <w:rsid w:val="0085531B"/>
    <w:rsid w:val="008611EB"/>
    <w:rsid w:val="008627DA"/>
    <w:rsid w:val="00862C37"/>
    <w:rsid w:val="00863916"/>
    <w:rsid w:val="00864378"/>
    <w:rsid w:val="008646D8"/>
    <w:rsid w:val="00865587"/>
    <w:rsid w:val="00866A06"/>
    <w:rsid w:val="0086746B"/>
    <w:rsid w:val="0086770D"/>
    <w:rsid w:val="00870FDC"/>
    <w:rsid w:val="00871C4E"/>
    <w:rsid w:val="0087426A"/>
    <w:rsid w:val="00877702"/>
    <w:rsid w:val="00880197"/>
    <w:rsid w:val="00880410"/>
    <w:rsid w:val="00881B83"/>
    <w:rsid w:val="008840E7"/>
    <w:rsid w:val="00884945"/>
    <w:rsid w:val="00885CD4"/>
    <w:rsid w:val="00886683"/>
    <w:rsid w:val="008866C7"/>
    <w:rsid w:val="0088728A"/>
    <w:rsid w:val="008879F5"/>
    <w:rsid w:val="0089084E"/>
    <w:rsid w:val="00892232"/>
    <w:rsid w:val="00892917"/>
    <w:rsid w:val="00893A02"/>
    <w:rsid w:val="00893F35"/>
    <w:rsid w:val="00893F68"/>
    <w:rsid w:val="008948F4"/>
    <w:rsid w:val="008955B1"/>
    <w:rsid w:val="00897A03"/>
    <w:rsid w:val="008A199D"/>
    <w:rsid w:val="008A2224"/>
    <w:rsid w:val="008A2E30"/>
    <w:rsid w:val="008A36CB"/>
    <w:rsid w:val="008A3980"/>
    <w:rsid w:val="008A3ACC"/>
    <w:rsid w:val="008A3F67"/>
    <w:rsid w:val="008A70B4"/>
    <w:rsid w:val="008A7B2B"/>
    <w:rsid w:val="008A7DB0"/>
    <w:rsid w:val="008B1335"/>
    <w:rsid w:val="008B22BE"/>
    <w:rsid w:val="008B56B6"/>
    <w:rsid w:val="008C0E60"/>
    <w:rsid w:val="008C0EE5"/>
    <w:rsid w:val="008C0F6E"/>
    <w:rsid w:val="008C1B33"/>
    <w:rsid w:val="008C20EC"/>
    <w:rsid w:val="008C2807"/>
    <w:rsid w:val="008C290A"/>
    <w:rsid w:val="008C6208"/>
    <w:rsid w:val="008D11BB"/>
    <w:rsid w:val="008D1CD4"/>
    <w:rsid w:val="008D35DF"/>
    <w:rsid w:val="008D4696"/>
    <w:rsid w:val="008D5922"/>
    <w:rsid w:val="008D601F"/>
    <w:rsid w:val="008D7AE4"/>
    <w:rsid w:val="008E30E5"/>
    <w:rsid w:val="008E34FE"/>
    <w:rsid w:val="008E5B6A"/>
    <w:rsid w:val="008E7D23"/>
    <w:rsid w:val="008F0230"/>
    <w:rsid w:val="008F1C3C"/>
    <w:rsid w:val="008F32E3"/>
    <w:rsid w:val="008F3D70"/>
    <w:rsid w:val="0090091E"/>
    <w:rsid w:val="0090153F"/>
    <w:rsid w:val="00901973"/>
    <w:rsid w:val="00901A3D"/>
    <w:rsid w:val="00904675"/>
    <w:rsid w:val="00905130"/>
    <w:rsid w:val="0090680D"/>
    <w:rsid w:val="009068C9"/>
    <w:rsid w:val="00911D1D"/>
    <w:rsid w:val="009125F3"/>
    <w:rsid w:val="00912850"/>
    <w:rsid w:val="0091286D"/>
    <w:rsid w:val="00912CE5"/>
    <w:rsid w:val="00913550"/>
    <w:rsid w:val="00914F87"/>
    <w:rsid w:val="009150EE"/>
    <w:rsid w:val="00915BF2"/>
    <w:rsid w:val="00916A57"/>
    <w:rsid w:val="00916B55"/>
    <w:rsid w:val="00917013"/>
    <w:rsid w:val="00920115"/>
    <w:rsid w:val="0092380E"/>
    <w:rsid w:val="00926644"/>
    <w:rsid w:val="00926B12"/>
    <w:rsid w:val="00930A00"/>
    <w:rsid w:val="0093135F"/>
    <w:rsid w:val="009320B6"/>
    <w:rsid w:val="009326EF"/>
    <w:rsid w:val="00934BA5"/>
    <w:rsid w:val="00935382"/>
    <w:rsid w:val="00940104"/>
    <w:rsid w:val="0094041A"/>
    <w:rsid w:val="00940E3C"/>
    <w:rsid w:val="009413B8"/>
    <w:rsid w:val="00941573"/>
    <w:rsid w:val="00943130"/>
    <w:rsid w:val="00943E6C"/>
    <w:rsid w:val="00945DE7"/>
    <w:rsid w:val="0095032A"/>
    <w:rsid w:val="00950984"/>
    <w:rsid w:val="00950BD0"/>
    <w:rsid w:val="00951170"/>
    <w:rsid w:val="00953659"/>
    <w:rsid w:val="00953B78"/>
    <w:rsid w:val="00953C11"/>
    <w:rsid w:val="00953C14"/>
    <w:rsid w:val="00954FC5"/>
    <w:rsid w:val="0095679C"/>
    <w:rsid w:val="00962711"/>
    <w:rsid w:val="0096285C"/>
    <w:rsid w:val="00962F73"/>
    <w:rsid w:val="009648D0"/>
    <w:rsid w:val="00965150"/>
    <w:rsid w:val="00965596"/>
    <w:rsid w:val="00971270"/>
    <w:rsid w:val="00972005"/>
    <w:rsid w:val="00975481"/>
    <w:rsid w:val="0097747F"/>
    <w:rsid w:val="00980066"/>
    <w:rsid w:val="0098185A"/>
    <w:rsid w:val="009822A5"/>
    <w:rsid w:val="00983EA0"/>
    <w:rsid w:val="00986682"/>
    <w:rsid w:val="00991C41"/>
    <w:rsid w:val="00992621"/>
    <w:rsid w:val="009933ED"/>
    <w:rsid w:val="00994E33"/>
    <w:rsid w:val="00995309"/>
    <w:rsid w:val="00997697"/>
    <w:rsid w:val="0099796B"/>
    <w:rsid w:val="009979D7"/>
    <w:rsid w:val="009A18E2"/>
    <w:rsid w:val="009A1F82"/>
    <w:rsid w:val="009A217F"/>
    <w:rsid w:val="009A22A5"/>
    <w:rsid w:val="009A436E"/>
    <w:rsid w:val="009A5962"/>
    <w:rsid w:val="009A64B8"/>
    <w:rsid w:val="009A6D1E"/>
    <w:rsid w:val="009B243D"/>
    <w:rsid w:val="009B3326"/>
    <w:rsid w:val="009B5AA0"/>
    <w:rsid w:val="009B5B9D"/>
    <w:rsid w:val="009B5E4F"/>
    <w:rsid w:val="009C01E7"/>
    <w:rsid w:val="009C099B"/>
    <w:rsid w:val="009C0A14"/>
    <w:rsid w:val="009C0CA6"/>
    <w:rsid w:val="009C0D06"/>
    <w:rsid w:val="009C230C"/>
    <w:rsid w:val="009C36A8"/>
    <w:rsid w:val="009C3D4C"/>
    <w:rsid w:val="009C51C2"/>
    <w:rsid w:val="009C58E5"/>
    <w:rsid w:val="009C6066"/>
    <w:rsid w:val="009C6899"/>
    <w:rsid w:val="009D22F4"/>
    <w:rsid w:val="009D315A"/>
    <w:rsid w:val="009E1321"/>
    <w:rsid w:val="009E54F2"/>
    <w:rsid w:val="009F0BEF"/>
    <w:rsid w:val="009F3737"/>
    <w:rsid w:val="009F611D"/>
    <w:rsid w:val="009F6E81"/>
    <w:rsid w:val="009F7E45"/>
    <w:rsid w:val="00A008DB"/>
    <w:rsid w:val="00A00AA7"/>
    <w:rsid w:val="00A00F2D"/>
    <w:rsid w:val="00A0260B"/>
    <w:rsid w:val="00A02A5D"/>
    <w:rsid w:val="00A03B08"/>
    <w:rsid w:val="00A056DB"/>
    <w:rsid w:val="00A066B5"/>
    <w:rsid w:val="00A1010F"/>
    <w:rsid w:val="00A108C4"/>
    <w:rsid w:val="00A1150E"/>
    <w:rsid w:val="00A14EA7"/>
    <w:rsid w:val="00A15EEE"/>
    <w:rsid w:val="00A16467"/>
    <w:rsid w:val="00A1666F"/>
    <w:rsid w:val="00A16CFA"/>
    <w:rsid w:val="00A16E65"/>
    <w:rsid w:val="00A17889"/>
    <w:rsid w:val="00A20F0C"/>
    <w:rsid w:val="00A21A36"/>
    <w:rsid w:val="00A230A2"/>
    <w:rsid w:val="00A23EEF"/>
    <w:rsid w:val="00A258EB"/>
    <w:rsid w:val="00A267EC"/>
    <w:rsid w:val="00A26D9B"/>
    <w:rsid w:val="00A34056"/>
    <w:rsid w:val="00A36D45"/>
    <w:rsid w:val="00A36D91"/>
    <w:rsid w:val="00A3736C"/>
    <w:rsid w:val="00A408D7"/>
    <w:rsid w:val="00A40DD7"/>
    <w:rsid w:val="00A435B6"/>
    <w:rsid w:val="00A45267"/>
    <w:rsid w:val="00A470EF"/>
    <w:rsid w:val="00A47161"/>
    <w:rsid w:val="00A510E3"/>
    <w:rsid w:val="00A51A63"/>
    <w:rsid w:val="00A5506C"/>
    <w:rsid w:val="00A559AF"/>
    <w:rsid w:val="00A55E4E"/>
    <w:rsid w:val="00A574E2"/>
    <w:rsid w:val="00A57923"/>
    <w:rsid w:val="00A61137"/>
    <w:rsid w:val="00A61297"/>
    <w:rsid w:val="00A6294C"/>
    <w:rsid w:val="00A65A1C"/>
    <w:rsid w:val="00A65E2A"/>
    <w:rsid w:val="00A66540"/>
    <w:rsid w:val="00A74AE5"/>
    <w:rsid w:val="00A74CA6"/>
    <w:rsid w:val="00A751B8"/>
    <w:rsid w:val="00A75A9D"/>
    <w:rsid w:val="00A75DF9"/>
    <w:rsid w:val="00A7621A"/>
    <w:rsid w:val="00A763A8"/>
    <w:rsid w:val="00A76EDA"/>
    <w:rsid w:val="00A83524"/>
    <w:rsid w:val="00A8564A"/>
    <w:rsid w:val="00A87C77"/>
    <w:rsid w:val="00A909C4"/>
    <w:rsid w:val="00A90F08"/>
    <w:rsid w:val="00A92ED9"/>
    <w:rsid w:val="00A93BBB"/>
    <w:rsid w:val="00A93D69"/>
    <w:rsid w:val="00A941FB"/>
    <w:rsid w:val="00A95188"/>
    <w:rsid w:val="00A9559D"/>
    <w:rsid w:val="00A961DC"/>
    <w:rsid w:val="00A96A18"/>
    <w:rsid w:val="00AA04D1"/>
    <w:rsid w:val="00AA1646"/>
    <w:rsid w:val="00AA1D53"/>
    <w:rsid w:val="00AA213E"/>
    <w:rsid w:val="00AA5B4D"/>
    <w:rsid w:val="00AA75DA"/>
    <w:rsid w:val="00AB2ED0"/>
    <w:rsid w:val="00AB37D5"/>
    <w:rsid w:val="00AB3DCC"/>
    <w:rsid w:val="00AB3E36"/>
    <w:rsid w:val="00AB520A"/>
    <w:rsid w:val="00AB6499"/>
    <w:rsid w:val="00AB749D"/>
    <w:rsid w:val="00AC0FBC"/>
    <w:rsid w:val="00AC2DB7"/>
    <w:rsid w:val="00AC38C4"/>
    <w:rsid w:val="00AC454B"/>
    <w:rsid w:val="00AC5DF4"/>
    <w:rsid w:val="00AC6C2D"/>
    <w:rsid w:val="00AC6EE8"/>
    <w:rsid w:val="00AC722D"/>
    <w:rsid w:val="00AC7290"/>
    <w:rsid w:val="00AC72F9"/>
    <w:rsid w:val="00AC74B5"/>
    <w:rsid w:val="00AD21E1"/>
    <w:rsid w:val="00AD51D8"/>
    <w:rsid w:val="00AD60C4"/>
    <w:rsid w:val="00AD6DE5"/>
    <w:rsid w:val="00AD6E2D"/>
    <w:rsid w:val="00AD7983"/>
    <w:rsid w:val="00AD7D0A"/>
    <w:rsid w:val="00AE231B"/>
    <w:rsid w:val="00AE64F6"/>
    <w:rsid w:val="00AE6E3A"/>
    <w:rsid w:val="00AE7F92"/>
    <w:rsid w:val="00AF022B"/>
    <w:rsid w:val="00AF3324"/>
    <w:rsid w:val="00AF5A08"/>
    <w:rsid w:val="00AF7419"/>
    <w:rsid w:val="00AF7F9A"/>
    <w:rsid w:val="00B0780B"/>
    <w:rsid w:val="00B07A6C"/>
    <w:rsid w:val="00B07B2E"/>
    <w:rsid w:val="00B103BF"/>
    <w:rsid w:val="00B13271"/>
    <w:rsid w:val="00B1367F"/>
    <w:rsid w:val="00B137C9"/>
    <w:rsid w:val="00B14E5D"/>
    <w:rsid w:val="00B205EC"/>
    <w:rsid w:val="00B21863"/>
    <w:rsid w:val="00B21E57"/>
    <w:rsid w:val="00B224F8"/>
    <w:rsid w:val="00B22FCE"/>
    <w:rsid w:val="00B2377E"/>
    <w:rsid w:val="00B23B96"/>
    <w:rsid w:val="00B23F37"/>
    <w:rsid w:val="00B23F83"/>
    <w:rsid w:val="00B241C8"/>
    <w:rsid w:val="00B2512F"/>
    <w:rsid w:val="00B3163F"/>
    <w:rsid w:val="00B33CB5"/>
    <w:rsid w:val="00B35C45"/>
    <w:rsid w:val="00B35DA0"/>
    <w:rsid w:val="00B40C92"/>
    <w:rsid w:val="00B41BC3"/>
    <w:rsid w:val="00B420CB"/>
    <w:rsid w:val="00B42D67"/>
    <w:rsid w:val="00B42DBB"/>
    <w:rsid w:val="00B43E27"/>
    <w:rsid w:val="00B44BF7"/>
    <w:rsid w:val="00B44BF8"/>
    <w:rsid w:val="00B4523E"/>
    <w:rsid w:val="00B46B86"/>
    <w:rsid w:val="00B46BFF"/>
    <w:rsid w:val="00B51AB1"/>
    <w:rsid w:val="00B51B4D"/>
    <w:rsid w:val="00B521DC"/>
    <w:rsid w:val="00B5348C"/>
    <w:rsid w:val="00B54ABC"/>
    <w:rsid w:val="00B5703C"/>
    <w:rsid w:val="00B5707C"/>
    <w:rsid w:val="00B61066"/>
    <w:rsid w:val="00B61F24"/>
    <w:rsid w:val="00B62E3E"/>
    <w:rsid w:val="00B64663"/>
    <w:rsid w:val="00B66D65"/>
    <w:rsid w:val="00B67C7C"/>
    <w:rsid w:val="00B67E2E"/>
    <w:rsid w:val="00B67FE1"/>
    <w:rsid w:val="00B72423"/>
    <w:rsid w:val="00B740BD"/>
    <w:rsid w:val="00B742E9"/>
    <w:rsid w:val="00B76A92"/>
    <w:rsid w:val="00B81090"/>
    <w:rsid w:val="00B819CC"/>
    <w:rsid w:val="00B82BD3"/>
    <w:rsid w:val="00B83BF3"/>
    <w:rsid w:val="00B8424E"/>
    <w:rsid w:val="00B84AEB"/>
    <w:rsid w:val="00B86488"/>
    <w:rsid w:val="00B90D55"/>
    <w:rsid w:val="00B92DA4"/>
    <w:rsid w:val="00B963EF"/>
    <w:rsid w:val="00BA0872"/>
    <w:rsid w:val="00BA0BBA"/>
    <w:rsid w:val="00BA1206"/>
    <w:rsid w:val="00BA2170"/>
    <w:rsid w:val="00BA309E"/>
    <w:rsid w:val="00BA4584"/>
    <w:rsid w:val="00BA5C15"/>
    <w:rsid w:val="00BA66BE"/>
    <w:rsid w:val="00BA6FB4"/>
    <w:rsid w:val="00BB0C9F"/>
    <w:rsid w:val="00BB1285"/>
    <w:rsid w:val="00BB2136"/>
    <w:rsid w:val="00BB515E"/>
    <w:rsid w:val="00BB5DE3"/>
    <w:rsid w:val="00BB5EFD"/>
    <w:rsid w:val="00BB7BA3"/>
    <w:rsid w:val="00BC1758"/>
    <w:rsid w:val="00BC1C73"/>
    <w:rsid w:val="00BC4222"/>
    <w:rsid w:val="00BC5623"/>
    <w:rsid w:val="00BC593F"/>
    <w:rsid w:val="00BC6415"/>
    <w:rsid w:val="00BD0D1B"/>
    <w:rsid w:val="00BD15F0"/>
    <w:rsid w:val="00BD30A5"/>
    <w:rsid w:val="00BD3E1C"/>
    <w:rsid w:val="00BD54E8"/>
    <w:rsid w:val="00BD57BC"/>
    <w:rsid w:val="00BD5A67"/>
    <w:rsid w:val="00BE07A0"/>
    <w:rsid w:val="00BE0B3A"/>
    <w:rsid w:val="00BE13BD"/>
    <w:rsid w:val="00BE1D10"/>
    <w:rsid w:val="00BE1ECC"/>
    <w:rsid w:val="00BE2421"/>
    <w:rsid w:val="00BE2CA3"/>
    <w:rsid w:val="00BE2F79"/>
    <w:rsid w:val="00BE352F"/>
    <w:rsid w:val="00BE65D8"/>
    <w:rsid w:val="00BE65FA"/>
    <w:rsid w:val="00BF0478"/>
    <w:rsid w:val="00BF12CA"/>
    <w:rsid w:val="00BF14F0"/>
    <w:rsid w:val="00BF1BBF"/>
    <w:rsid w:val="00BF299C"/>
    <w:rsid w:val="00BF2A19"/>
    <w:rsid w:val="00BF2ADE"/>
    <w:rsid w:val="00BF4A61"/>
    <w:rsid w:val="00BF6191"/>
    <w:rsid w:val="00BF7ED6"/>
    <w:rsid w:val="00C01880"/>
    <w:rsid w:val="00C0194F"/>
    <w:rsid w:val="00C0256F"/>
    <w:rsid w:val="00C03B88"/>
    <w:rsid w:val="00C03CE7"/>
    <w:rsid w:val="00C041B3"/>
    <w:rsid w:val="00C0435C"/>
    <w:rsid w:val="00C0458C"/>
    <w:rsid w:val="00C05B41"/>
    <w:rsid w:val="00C068A2"/>
    <w:rsid w:val="00C134FC"/>
    <w:rsid w:val="00C136D1"/>
    <w:rsid w:val="00C1698C"/>
    <w:rsid w:val="00C16E89"/>
    <w:rsid w:val="00C21E65"/>
    <w:rsid w:val="00C24FB3"/>
    <w:rsid w:val="00C26934"/>
    <w:rsid w:val="00C27176"/>
    <w:rsid w:val="00C2720B"/>
    <w:rsid w:val="00C275DF"/>
    <w:rsid w:val="00C3124E"/>
    <w:rsid w:val="00C33327"/>
    <w:rsid w:val="00C337E0"/>
    <w:rsid w:val="00C40F59"/>
    <w:rsid w:val="00C4154F"/>
    <w:rsid w:val="00C41C20"/>
    <w:rsid w:val="00C43E8C"/>
    <w:rsid w:val="00C44469"/>
    <w:rsid w:val="00C4555E"/>
    <w:rsid w:val="00C477F6"/>
    <w:rsid w:val="00C50693"/>
    <w:rsid w:val="00C5245D"/>
    <w:rsid w:val="00C525AE"/>
    <w:rsid w:val="00C52CF5"/>
    <w:rsid w:val="00C52EBE"/>
    <w:rsid w:val="00C5370C"/>
    <w:rsid w:val="00C541DD"/>
    <w:rsid w:val="00C60C95"/>
    <w:rsid w:val="00C616C1"/>
    <w:rsid w:val="00C61944"/>
    <w:rsid w:val="00C63007"/>
    <w:rsid w:val="00C6446C"/>
    <w:rsid w:val="00C64D91"/>
    <w:rsid w:val="00C70971"/>
    <w:rsid w:val="00C7595C"/>
    <w:rsid w:val="00C803D5"/>
    <w:rsid w:val="00C807F7"/>
    <w:rsid w:val="00C81FA7"/>
    <w:rsid w:val="00C8226E"/>
    <w:rsid w:val="00C8360E"/>
    <w:rsid w:val="00C859CB"/>
    <w:rsid w:val="00C86EDC"/>
    <w:rsid w:val="00C8710E"/>
    <w:rsid w:val="00C87D84"/>
    <w:rsid w:val="00C90AFD"/>
    <w:rsid w:val="00C921E2"/>
    <w:rsid w:val="00C92DC0"/>
    <w:rsid w:val="00C94596"/>
    <w:rsid w:val="00C95299"/>
    <w:rsid w:val="00C95A39"/>
    <w:rsid w:val="00C95AA4"/>
    <w:rsid w:val="00C97132"/>
    <w:rsid w:val="00CA039C"/>
    <w:rsid w:val="00CA2672"/>
    <w:rsid w:val="00CA2EA5"/>
    <w:rsid w:val="00CA4525"/>
    <w:rsid w:val="00CA4F94"/>
    <w:rsid w:val="00CA66C0"/>
    <w:rsid w:val="00CB0A05"/>
    <w:rsid w:val="00CB2293"/>
    <w:rsid w:val="00CB5914"/>
    <w:rsid w:val="00CB5C53"/>
    <w:rsid w:val="00CB7E7E"/>
    <w:rsid w:val="00CC0214"/>
    <w:rsid w:val="00CC053F"/>
    <w:rsid w:val="00CC057D"/>
    <w:rsid w:val="00CC2C94"/>
    <w:rsid w:val="00CC37F1"/>
    <w:rsid w:val="00CC3B04"/>
    <w:rsid w:val="00CC3B26"/>
    <w:rsid w:val="00CC4229"/>
    <w:rsid w:val="00CC5A0F"/>
    <w:rsid w:val="00CC6182"/>
    <w:rsid w:val="00CC63CC"/>
    <w:rsid w:val="00CD2AFA"/>
    <w:rsid w:val="00CD3192"/>
    <w:rsid w:val="00CD3EFF"/>
    <w:rsid w:val="00CD4681"/>
    <w:rsid w:val="00CD50FB"/>
    <w:rsid w:val="00CD7A01"/>
    <w:rsid w:val="00CE0219"/>
    <w:rsid w:val="00CE09B6"/>
    <w:rsid w:val="00CE1B61"/>
    <w:rsid w:val="00CE3530"/>
    <w:rsid w:val="00CE4F46"/>
    <w:rsid w:val="00CE70C3"/>
    <w:rsid w:val="00CE7A35"/>
    <w:rsid w:val="00CF0A2D"/>
    <w:rsid w:val="00CF0B72"/>
    <w:rsid w:val="00CF3A9B"/>
    <w:rsid w:val="00CF4780"/>
    <w:rsid w:val="00CF4E75"/>
    <w:rsid w:val="00CF6038"/>
    <w:rsid w:val="00CF7061"/>
    <w:rsid w:val="00D00318"/>
    <w:rsid w:val="00D004EA"/>
    <w:rsid w:val="00D01DA1"/>
    <w:rsid w:val="00D0244C"/>
    <w:rsid w:val="00D02585"/>
    <w:rsid w:val="00D02BB0"/>
    <w:rsid w:val="00D02F9F"/>
    <w:rsid w:val="00D061A5"/>
    <w:rsid w:val="00D07606"/>
    <w:rsid w:val="00D07B01"/>
    <w:rsid w:val="00D07D43"/>
    <w:rsid w:val="00D10D2B"/>
    <w:rsid w:val="00D10E80"/>
    <w:rsid w:val="00D11997"/>
    <w:rsid w:val="00D12D7C"/>
    <w:rsid w:val="00D1413E"/>
    <w:rsid w:val="00D15442"/>
    <w:rsid w:val="00D1767C"/>
    <w:rsid w:val="00D20EAA"/>
    <w:rsid w:val="00D20F3C"/>
    <w:rsid w:val="00D21459"/>
    <w:rsid w:val="00D21AEF"/>
    <w:rsid w:val="00D23680"/>
    <w:rsid w:val="00D25456"/>
    <w:rsid w:val="00D259A7"/>
    <w:rsid w:val="00D25B02"/>
    <w:rsid w:val="00D2790D"/>
    <w:rsid w:val="00D33019"/>
    <w:rsid w:val="00D34FE1"/>
    <w:rsid w:val="00D351BC"/>
    <w:rsid w:val="00D36462"/>
    <w:rsid w:val="00D37701"/>
    <w:rsid w:val="00D417CC"/>
    <w:rsid w:val="00D4224A"/>
    <w:rsid w:val="00D42BC8"/>
    <w:rsid w:val="00D42BCE"/>
    <w:rsid w:val="00D42C51"/>
    <w:rsid w:val="00D4444F"/>
    <w:rsid w:val="00D45198"/>
    <w:rsid w:val="00D473E4"/>
    <w:rsid w:val="00D47D89"/>
    <w:rsid w:val="00D52053"/>
    <w:rsid w:val="00D53F20"/>
    <w:rsid w:val="00D5468B"/>
    <w:rsid w:val="00D600A5"/>
    <w:rsid w:val="00D6207A"/>
    <w:rsid w:val="00D62B9A"/>
    <w:rsid w:val="00D63402"/>
    <w:rsid w:val="00D64A38"/>
    <w:rsid w:val="00D65561"/>
    <w:rsid w:val="00D675A5"/>
    <w:rsid w:val="00D733F1"/>
    <w:rsid w:val="00D73F7B"/>
    <w:rsid w:val="00D74BCB"/>
    <w:rsid w:val="00D74CF1"/>
    <w:rsid w:val="00D7698B"/>
    <w:rsid w:val="00D76B14"/>
    <w:rsid w:val="00D76ECF"/>
    <w:rsid w:val="00D77590"/>
    <w:rsid w:val="00D82429"/>
    <w:rsid w:val="00D82462"/>
    <w:rsid w:val="00D82CCD"/>
    <w:rsid w:val="00D82DBF"/>
    <w:rsid w:val="00D83BA6"/>
    <w:rsid w:val="00D8644F"/>
    <w:rsid w:val="00D868C0"/>
    <w:rsid w:val="00D9297C"/>
    <w:rsid w:val="00D9314E"/>
    <w:rsid w:val="00D94A3E"/>
    <w:rsid w:val="00D962CC"/>
    <w:rsid w:val="00D96370"/>
    <w:rsid w:val="00D972B0"/>
    <w:rsid w:val="00DA1096"/>
    <w:rsid w:val="00DA16D3"/>
    <w:rsid w:val="00DA19F1"/>
    <w:rsid w:val="00DA453A"/>
    <w:rsid w:val="00DA4C57"/>
    <w:rsid w:val="00DA65E9"/>
    <w:rsid w:val="00DA734C"/>
    <w:rsid w:val="00DA7CD3"/>
    <w:rsid w:val="00DB09EB"/>
    <w:rsid w:val="00DB0E1A"/>
    <w:rsid w:val="00DB303E"/>
    <w:rsid w:val="00DB4421"/>
    <w:rsid w:val="00DB6F9D"/>
    <w:rsid w:val="00DC0281"/>
    <w:rsid w:val="00DC058A"/>
    <w:rsid w:val="00DC155E"/>
    <w:rsid w:val="00DC4D37"/>
    <w:rsid w:val="00DC4FF6"/>
    <w:rsid w:val="00DD0566"/>
    <w:rsid w:val="00DD1587"/>
    <w:rsid w:val="00DD4EB0"/>
    <w:rsid w:val="00DD6134"/>
    <w:rsid w:val="00DD7572"/>
    <w:rsid w:val="00DE0176"/>
    <w:rsid w:val="00DE1E09"/>
    <w:rsid w:val="00DE1E33"/>
    <w:rsid w:val="00DE278F"/>
    <w:rsid w:val="00DE449F"/>
    <w:rsid w:val="00DF0508"/>
    <w:rsid w:val="00DF1364"/>
    <w:rsid w:val="00DF231E"/>
    <w:rsid w:val="00DF3023"/>
    <w:rsid w:val="00DF38DF"/>
    <w:rsid w:val="00DF44B0"/>
    <w:rsid w:val="00DF44D8"/>
    <w:rsid w:val="00DF480E"/>
    <w:rsid w:val="00DF5F3D"/>
    <w:rsid w:val="00DF65DA"/>
    <w:rsid w:val="00DF6689"/>
    <w:rsid w:val="00DF7100"/>
    <w:rsid w:val="00E00575"/>
    <w:rsid w:val="00E01CF3"/>
    <w:rsid w:val="00E02C2F"/>
    <w:rsid w:val="00E02FC7"/>
    <w:rsid w:val="00E03590"/>
    <w:rsid w:val="00E03703"/>
    <w:rsid w:val="00E042D8"/>
    <w:rsid w:val="00E049DB"/>
    <w:rsid w:val="00E0619C"/>
    <w:rsid w:val="00E129D3"/>
    <w:rsid w:val="00E1415C"/>
    <w:rsid w:val="00E14AEB"/>
    <w:rsid w:val="00E14B86"/>
    <w:rsid w:val="00E163D0"/>
    <w:rsid w:val="00E1744E"/>
    <w:rsid w:val="00E2005E"/>
    <w:rsid w:val="00E20316"/>
    <w:rsid w:val="00E209F1"/>
    <w:rsid w:val="00E20E39"/>
    <w:rsid w:val="00E22C83"/>
    <w:rsid w:val="00E256FA"/>
    <w:rsid w:val="00E31EC6"/>
    <w:rsid w:val="00E31FEE"/>
    <w:rsid w:val="00E3214D"/>
    <w:rsid w:val="00E347FD"/>
    <w:rsid w:val="00E34978"/>
    <w:rsid w:val="00E37207"/>
    <w:rsid w:val="00E40952"/>
    <w:rsid w:val="00E4193B"/>
    <w:rsid w:val="00E45361"/>
    <w:rsid w:val="00E512C9"/>
    <w:rsid w:val="00E55B65"/>
    <w:rsid w:val="00E56E54"/>
    <w:rsid w:val="00E57A7C"/>
    <w:rsid w:val="00E62615"/>
    <w:rsid w:val="00E627BB"/>
    <w:rsid w:val="00E6537A"/>
    <w:rsid w:val="00E656C1"/>
    <w:rsid w:val="00E65BBE"/>
    <w:rsid w:val="00E661DD"/>
    <w:rsid w:val="00E66889"/>
    <w:rsid w:val="00E669B0"/>
    <w:rsid w:val="00E70A64"/>
    <w:rsid w:val="00E72297"/>
    <w:rsid w:val="00E76BC3"/>
    <w:rsid w:val="00E77178"/>
    <w:rsid w:val="00E777D1"/>
    <w:rsid w:val="00E80A41"/>
    <w:rsid w:val="00E83731"/>
    <w:rsid w:val="00E839FC"/>
    <w:rsid w:val="00E858BF"/>
    <w:rsid w:val="00E862D5"/>
    <w:rsid w:val="00E90ADA"/>
    <w:rsid w:val="00E910B7"/>
    <w:rsid w:val="00E93239"/>
    <w:rsid w:val="00E932D2"/>
    <w:rsid w:val="00E9565B"/>
    <w:rsid w:val="00EA00D4"/>
    <w:rsid w:val="00EA01A8"/>
    <w:rsid w:val="00EA3982"/>
    <w:rsid w:val="00EA3D52"/>
    <w:rsid w:val="00EA53BC"/>
    <w:rsid w:val="00EA6E21"/>
    <w:rsid w:val="00EB1169"/>
    <w:rsid w:val="00EB3B29"/>
    <w:rsid w:val="00EB6E59"/>
    <w:rsid w:val="00EB782E"/>
    <w:rsid w:val="00EC0DF2"/>
    <w:rsid w:val="00EC283A"/>
    <w:rsid w:val="00EC28DF"/>
    <w:rsid w:val="00EC2942"/>
    <w:rsid w:val="00EC47BC"/>
    <w:rsid w:val="00EC4A90"/>
    <w:rsid w:val="00EC51B5"/>
    <w:rsid w:val="00EC7BE7"/>
    <w:rsid w:val="00ED0CCF"/>
    <w:rsid w:val="00ED0D4E"/>
    <w:rsid w:val="00ED11BE"/>
    <w:rsid w:val="00ED1521"/>
    <w:rsid w:val="00ED301C"/>
    <w:rsid w:val="00ED39FA"/>
    <w:rsid w:val="00ED57FB"/>
    <w:rsid w:val="00ED719D"/>
    <w:rsid w:val="00EE0471"/>
    <w:rsid w:val="00EE17A4"/>
    <w:rsid w:val="00EE18E3"/>
    <w:rsid w:val="00EE51D6"/>
    <w:rsid w:val="00EE7EDA"/>
    <w:rsid w:val="00EF1FB8"/>
    <w:rsid w:val="00EF3E9C"/>
    <w:rsid w:val="00EF6033"/>
    <w:rsid w:val="00EF72FA"/>
    <w:rsid w:val="00F000AA"/>
    <w:rsid w:val="00F0200A"/>
    <w:rsid w:val="00F02022"/>
    <w:rsid w:val="00F03479"/>
    <w:rsid w:val="00F043F3"/>
    <w:rsid w:val="00F05EAC"/>
    <w:rsid w:val="00F06061"/>
    <w:rsid w:val="00F130A9"/>
    <w:rsid w:val="00F13605"/>
    <w:rsid w:val="00F155FD"/>
    <w:rsid w:val="00F1718B"/>
    <w:rsid w:val="00F24AAC"/>
    <w:rsid w:val="00F251C1"/>
    <w:rsid w:val="00F2704A"/>
    <w:rsid w:val="00F27D70"/>
    <w:rsid w:val="00F31552"/>
    <w:rsid w:val="00F316FF"/>
    <w:rsid w:val="00F317E5"/>
    <w:rsid w:val="00F32702"/>
    <w:rsid w:val="00F32808"/>
    <w:rsid w:val="00F34247"/>
    <w:rsid w:val="00F34C63"/>
    <w:rsid w:val="00F34C86"/>
    <w:rsid w:val="00F34DBB"/>
    <w:rsid w:val="00F358FC"/>
    <w:rsid w:val="00F3676D"/>
    <w:rsid w:val="00F36A0F"/>
    <w:rsid w:val="00F37AFA"/>
    <w:rsid w:val="00F40CF8"/>
    <w:rsid w:val="00F40FD2"/>
    <w:rsid w:val="00F419F7"/>
    <w:rsid w:val="00F41EAE"/>
    <w:rsid w:val="00F43373"/>
    <w:rsid w:val="00F443F5"/>
    <w:rsid w:val="00F511BF"/>
    <w:rsid w:val="00F51ADF"/>
    <w:rsid w:val="00F520F9"/>
    <w:rsid w:val="00F57FC3"/>
    <w:rsid w:val="00F6004E"/>
    <w:rsid w:val="00F60136"/>
    <w:rsid w:val="00F60852"/>
    <w:rsid w:val="00F6469C"/>
    <w:rsid w:val="00F648F9"/>
    <w:rsid w:val="00F64D43"/>
    <w:rsid w:val="00F70774"/>
    <w:rsid w:val="00F714CB"/>
    <w:rsid w:val="00F77A7A"/>
    <w:rsid w:val="00F77F2B"/>
    <w:rsid w:val="00F814C8"/>
    <w:rsid w:val="00F823C6"/>
    <w:rsid w:val="00F823E8"/>
    <w:rsid w:val="00F83844"/>
    <w:rsid w:val="00F83F79"/>
    <w:rsid w:val="00F85B69"/>
    <w:rsid w:val="00F85F9D"/>
    <w:rsid w:val="00F8648B"/>
    <w:rsid w:val="00F8690A"/>
    <w:rsid w:val="00F90BC9"/>
    <w:rsid w:val="00F90F6B"/>
    <w:rsid w:val="00F937D6"/>
    <w:rsid w:val="00F9541D"/>
    <w:rsid w:val="00F965E3"/>
    <w:rsid w:val="00F97AD9"/>
    <w:rsid w:val="00F97B31"/>
    <w:rsid w:val="00FA08A0"/>
    <w:rsid w:val="00FA0B35"/>
    <w:rsid w:val="00FA1243"/>
    <w:rsid w:val="00FA505C"/>
    <w:rsid w:val="00FA58BB"/>
    <w:rsid w:val="00FA5FDB"/>
    <w:rsid w:val="00FA6E2D"/>
    <w:rsid w:val="00FA7643"/>
    <w:rsid w:val="00FA7850"/>
    <w:rsid w:val="00FA786E"/>
    <w:rsid w:val="00FA78BB"/>
    <w:rsid w:val="00FA7F20"/>
    <w:rsid w:val="00FB0456"/>
    <w:rsid w:val="00FB11EF"/>
    <w:rsid w:val="00FB3431"/>
    <w:rsid w:val="00FB4438"/>
    <w:rsid w:val="00FB5A71"/>
    <w:rsid w:val="00FB62AB"/>
    <w:rsid w:val="00FB7379"/>
    <w:rsid w:val="00FB7B65"/>
    <w:rsid w:val="00FC016D"/>
    <w:rsid w:val="00FC0303"/>
    <w:rsid w:val="00FC7E81"/>
    <w:rsid w:val="00FD3164"/>
    <w:rsid w:val="00FD5B47"/>
    <w:rsid w:val="00FD6AC7"/>
    <w:rsid w:val="00FE14AD"/>
    <w:rsid w:val="00FE153E"/>
    <w:rsid w:val="00FE1D5C"/>
    <w:rsid w:val="00FE2D3A"/>
    <w:rsid w:val="00FE449A"/>
    <w:rsid w:val="00FE5ACD"/>
    <w:rsid w:val="00FE5BC5"/>
    <w:rsid w:val="00FE60FB"/>
    <w:rsid w:val="00FE6D1C"/>
    <w:rsid w:val="00FE79B1"/>
    <w:rsid w:val="00FF0963"/>
    <w:rsid w:val="00FF5059"/>
    <w:rsid w:val="00FF5570"/>
    <w:rsid w:val="00FF593D"/>
    <w:rsid w:val="00FF65AE"/>
    <w:rsid w:val="00FF6F78"/>
    <w:rsid w:val="00FF7A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D4280"/>
    <w:rPr>
      <w:sz w:val="24"/>
      <w:szCs w:val="24"/>
    </w:rPr>
  </w:style>
  <w:style w:type="paragraph" w:styleId="Heading1">
    <w:name w:val="heading 1"/>
    <w:basedOn w:val="Normal"/>
    <w:next w:val="Normal"/>
    <w:link w:val="Heading1Char"/>
    <w:qFormat/>
    <w:rsid w:val="00E256F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4E0FB7"/>
    <w:pPr>
      <w:tabs>
        <w:tab w:val="center" w:pos="4320"/>
        <w:tab w:val="right" w:pos="8640"/>
      </w:tabs>
    </w:pPr>
  </w:style>
  <w:style w:type="character" w:styleId="PageNumber">
    <w:name w:val="page number"/>
    <w:basedOn w:val="DefaultParagraphFont"/>
    <w:rsid w:val="004E0FB7"/>
  </w:style>
  <w:style w:type="paragraph" w:styleId="ListParagraph">
    <w:name w:val="List Paragraph"/>
    <w:basedOn w:val="Normal"/>
    <w:uiPriority w:val="34"/>
    <w:qFormat/>
    <w:rsid w:val="001E3ED5"/>
    <w:pPr>
      <w:ind w:left="720"/>
      <w:contextualSpacing/>
    </w:pPr>
  </w:style>
  <w:style w:type="paragraph" w:styleId="BalloonText">
    <w:name w:val="Balloon Text"/>
    <w:basedOn w:val="Normal"/>
    <w:link w:val="BalloonTextChar"/>
    <w:rsid w:val="00485173"/>
    <w:rPr>
      <w:rFonts w:ascii="Tahoma" w:hAnsi="Tahoma" w:cs="Tahoma"/>
      <w:sz w:val="16"/>
      <w:szCs w:val="16"/>
    </w:rPr>
  </w:style>
  <w:style w:type="character" w:customStyle="1" w:styleId="BalloonTextChar">
    <w:name w:val="Balloon Text Char"/>
    <w:basedOn w:val="DefaultParagraphFont"/>
    <w:link w:val="BalloonText"/>
    <w:rsid w:val="00485173"/>
    <w:rPr>
      <w:rFonts w:ascii="Tahoma" w:hAnsi="Tahoma" w:cs="Tahoma"/>
      <w:sz w:val="16"/>
      <w:szCs w:val="16"/>
    </w:rPr>
  </w:style>
  <w:style w:type="paragraph" w:styleId="FootnoteText">
    <w:name w:val="footnote text"/>
    <w:basedOn w:val="Normal"/>
    <w:link w:val="FootnoteTextChar"/>
    <w:rsid w:val="00D82CCD"/>
    <w:rPr>
      <w:sz w:val="20"/>
      <w:szCs w:val="20"/>
    </w:rPr>
  </w:style>
  <w:style w:type="character" w:customStyle="1" w:styleId="FootnoteTextChar">
    <w:name w:val="Footnote Text Char"/>
    <w:basedOn w:val="DefaultParagraphFont"/>
    <w:link w:val="FootnoteText"/>
    <w:rsid w:val="00D82CCD"/>
  </w:style>
  <w:style w:type="character" w:styleId="FootnoteReference">
    <w:name w:val="footnote reference"/>
    <w:basedOn w:val="DefaultParagraphFont"/>
    <w:rsid w:val="00D82CCD"/>
    <w:rPr>
      <w:vertAlign w:val="superscript"/>
    </w:rPr>
  </w:style>
  <w:style w:type="character" w:customStyle="1" w:styleId="Heading1Char">
    <w:name w:val="Heading 1 Char"/>
    <w:basedOn w:val="DefaultParagraphFont"/>
    <w:link w:val="Heading1"/>
    <w:rsid w:val="00E256FA"/>
    <w:rPr>
      <w:rFonts w:asciiTheme="majorHAnsi" w:eastAsiaTheme="majorEastAsia" w:hAnsiTheme="majorHAnsi" w:cstheme="majorBidi"/>
      <w:b/>
      <w:bCs/>
      <w:color w:val="365F91" w:themeColor="accent1" w:themeShade="BF"/>
      <w:sz w:val="28"/>
      <w:szCs w:val="28"/>
    </w:rPr>
  </w:style>
  <w:style w:type="character" w:styleId="Emphasis">
    <w:name w:val="Emphasis"/>
    <w:basedOn w:val="DefaultParagraphFont"/>
    <w:qFormat/>
    <w:rsid w:val="00E256FA"/>
    <w:rPr>
      <w:i/>
      <w:iCs/>
    </w:rPr>
  </w:style>
  <w:style w:type="paragraph" w:styleId="Header">
    <w:name w:val="header"/>
    <w:basedOn w:val="Normal"/>
    <w:link w:val="HeaderChar"/>
    <w:rsid w:val="007947DD"/>
    <w:pPr>
      <w:tabs>
        <w:tab w:val="center" w:pos="4680"/>
        <w:tab w:val="right" w:pos="9360"/>
      </w:tabs>
    </w:pPr>
  </w:style>
  <w:style w:type="character" w:customStyle="1" w:styleId="HeaderChar">
    <w:name w:val="Header Char"/>
    <w:basedOn w:val="DefaultParagraphFont"/>
    <w:link w:val="Header"/>
    <w:rsid w:val="007947DD"/>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D4280"/>
    <w:rPr>
      <w:sz w:val="24"/>
      <w:szCs w:val="24"/>
    </w:rPr>
  </w:style>
  <w:style w:type="paragraph" w:styleId="Heading1">
    <w:name w:val="heading 1"/>
    <w:basedOn w:val="Normal"/>
    <w:next w:val="Normal"/>
    <w:link w:val="Heading1Char"/>
    <w:qFormat/>
    <w:rsid w:val="00E256F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4E0FB7"/>
    <w:pPr>
      <w:tabs>
        <w:tab w:val="center" w:pos="4320"/>
        <w:tab w:val="right" w:pos="8640"/>
      </w:tabs>
    </w:pPr>
  </w:style>
  <w:style w:type="character" w:styleId="PageNumber">
    <w:name w:val="page number"/>
    <w:basedOn w:val="DefaultParagraphFont"/>
    <w:rsid w:val="004E0FB7"/>
  </w:style>
  <w:style w:type="paragraph" w:styleId="ListParagraph">
    <w:name w:val="List Paragraph"/>
    <w:basedOn w:val="Normal"/>
    <w:uiPriority w:val="34"/>
    <w:qFormat/>
    <w:rsid w:val="001E3ED5"/>
    <w:pPr>
      <w:ind w:left="720"/>
      <w:contextualSpacing/>
    </w:pPr>
  </w:style>
  <w:style w:type="paragraph" w:styleId="BalloonText">
    <w:name w:val="Balloon Text"/>
    <w:basedOn w:val="Normal"/>
    <w:link w:val="BalloonTextChar"/>
    <w:rsid w:val="00485173"/>
    <w:rPr>
      <w:rFonts w:ascii="Tahoma" w:hAnsi="Tahoma" w:cs="Tahoma"/>
      <w:sz w:val="16"/>
      <w:szCs w:val="16"/>
    </w:rPr>
  </w:style>
  <w:style w:type="character" w:customStyle="1" w:styleId="BalloonTextChar">
    <w:name w:val="Balloon Text Char"/>
    <w:basedOn w:val="DefaultParagraphFont"/>
    <w:link w:val="BalloonText"/>
    <w:rsid w:val="00485173"/>
    <w:rPr>
      <w:rFonts w:ascii="Tahoma" w:hAnsi="Tahoma" w:cs="Tahoma"/>
      <w:sz w:val="16"/>
      <w:szCs w:val="16"/>
    </w:rPr>
  </w:style>
  <w:style w:type="paragraph" w:styleId="FootnoteText">
    <w:name w:val="footnote text"/>
    <w:basedOn w:val="Normal"/>
    <w:link w:val="FootnoteTextChar"/>
    <w:rsid w:val="00D82CCD"/>
    <w:rPr>
      <w:sz w:val="20"/>
      <w:szCs w:val="20"/>
    </w:rPr>
  </w:style>
  <w:style w:type="character" w:customStyle="1" w:styleId="FootnoteTextChar">
    <w:name w:val="Footnote Text Char"/>
    <w:basedOn w:val="DefaultParagraphFont"/>
    <w:link w:val="FootnoteText"/>
    <w:rsid w:val="00D82CCD"/>
  </w:style>
  <w:style w:type="character" w:styleId="FootnoteReference">
    <w:name w:val="footnote reference"/>
    <w:basedOn w:val="DefaultParagraphFont"/>
    <w:rsid w:val="00D82CCD"/>
    <w:rPr>
      <w:vertAlign w:val="superscript"/>
    </w:rPr>
  </w:style>
  <w:style w:type="character" w:customStyle="1" w:styleId="Heading1Char">
    <w:name w:val="Heading 1 Char"/>
    <w:basedOn w:val="DefaultParagraphFont"/>
    <w:link w:val="Heading1"/>
    <w:rsid w:val="00E256FA"/>
    <w:rPr>
      <w:rFonts w:asciiTheme="majorHAnsi" w:eastAsiaTheme="majorEastAsia" w:hAnsiTheme="majorHAnsi" w:cstheme="majorBidi"/>
      <w:b/>
      <w:bCs/>
      <w:color w:val="365F91" w:themeColor="accent1" w:themeShade="BF"/>
      <w:sz w:val="28"/>
      <w:szCs w:val="28"/>
    </w:rPr>
  </w:style>
  <w:style w:type="character" w:styleId="Emphasis">
    <w:name w:val="Emphasis"/>
    <w:basedOn w:val="DefaultParagraphFont"/>
    <w:qFormat/>
    <w:rsid w:val="00E256FA"/>
    <w:rPr>
      <w:i/>
      <w:iCs/>
    </w:rPr>
  </w:style>
  <w:style w:type="paragraph" w:styleId="Header">
    <w:name w:val="header"/>
    <w:basedOn w:val="Normal"/>
    <w:link w:val="HeaderChar"/>
    <w:rsid w:val="007947DD"/>
    <w:pPr>
      <w:tabs>
        <w:tab w:val="center" w:pos="4680"/>
        <w:tab w:val="right" w:pos="9360"/>
      </w:tabs>
    </w:pPr>
  </w:style>
  <w:style w:type="character" w:customStyle="1" w:styleId="HeaderChar">
    <w:name w:val="Header Char"/>
    <w:basedOn w:val="DefaultParagraphFont"/>
    <w:link w:val="Header"/>
    <w:rsid w:val="007947D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4377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D908A-8552-4CA7-B93E-E54698CEC3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1632</Words>
  <Characters>9307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10918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scolwell</dc:creator>
  <cp:lastModifiedBy>Leonard, Allyson</cp:lastModifiedBy>
  <cp:revision>2</cp:revision>
  <cp:lastPrinted>2012-10-25T15:47:00Z</cp:lastPrinted>
  <dcterms:created xsi:type="dcterms:W3CDTF">2012-10-26T18:05:00Z</dcterms:created>
  <dcterms:modified xsi:type="dcterms:W3CDTF">2012-10-26T18:05:00Z</dcterms:modified>
</cp:coreProperties>
</file>