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D8232C" w:rsidRDefault="00DA5D8F" w:rsidP="00DA5D8F">
      <w:pPr>
        <w:spacing w:line="240" w:lineRule="auto"/>
        <w:rPr>
          <w:b/>
        </w:rPr>
      </w:pPr>
      <w:bookmarkStart w:id="0" w:name="_GoBack"/>
      <w:bookmarkEnd w:id="0"/>
      <w:r w:rsidRPr="00D8232C">
        <w:rPr>
          <w:b/>
        </w:rPr>
        <w:t>BEFORE THE</w:t>
      </w:r>
    </w:p>
    <w:p w:rsidR="00DA5D8F" w:rsidRPr="00D8232C" w:rsidRDefault="00DA5D8F" w:rsidP="00DA5D8F">
      <w:pPr>
        <w:spacing w:line="240" w:lineRule="auto"/>
        <w:rPr>
          <w:b/>
        </w:rPr>
      </w:pPr>
      <w:r w:rsidRPr="00D8232C">
        <w:rPr>
          <w:b/>
        </w:rPr>
        <w:t>PENNSYLVANIA PUBLIC UTILITY COMMISSION</w:t>
      </w:r>
    </w:p>
    <w:p w:rsidR="00DA5D8F" w:rsidRPr="00D8232C" w:rsidRDefault="00DA5D8F" w:rsidP="00DA5D8F">
      <w:pPr>
        <w:spacing w:line="240" w:lineRule="auto"/>
        <w:rPr>
          <w:b/>
        </w:rPr>
      </w:pPr>
    </w:p>
    <w:p w:rsidR="00DA5D8F" w:rsidRDefault="00DA5D8F" w:rsidP="00DA5D8F">
      <w:pPr>
        <w:spacing w:line="240" w:lineRule="auto"/>
        <w:rPr>
          <w:b/>
        </w:rPr>
      </w:pPr>
    </w:p>
    <w:p w:rsidR="00D8232C" w:rsidRPr="00D8232C" w:rsidRDefault="00D8232C" w:rsidP="00DA5D8F">
      <w:pPr>
        <w:spacing w:line="240" w:lineRule="auto"/>
        <w:rPr>
          <w:b/>
        </w:rPr>
      </w:pPr>
    </w:p>
    <w:p w:rsidR="00DA5D8F" w:rsidRPr="00D8232C" w:rsidRDefault="00DA5D8F" w:rsidP="00DA5D8F">
      <w:pPr>
        <w:spacing w:line="240" w:lineRule="auto"/>
        <w:jc w:val="left"/>
      </w:pPr>
      <w:r w:rsidRPr="00D8232C">
        <w:t>Stefan T. Cohen</w:t>
      </w:r>
      <w:r w:rsidRPr="00D8232C">
        <w:tab/>
      </w:r>
      <w:r w:rsidRPr="00D8232C">
        <w:tab/>
      </w:r>
      <w:r w:rsidRPr="00D8232C">
        <w:tab/>
      </w:r>
      <w:r w:rsidRPr="00D8232C">
        <w:tab/>
      </w:r>
      <w:r w:rsidRPr="00D8232C">
        <w:tab/>
        <w:t>:</w:t>
      </w:r>
    </w:p>
    <w:p w:rsidR="00DA5D8F" w:rsidRPr="00D8232C" w:rsidRDefault="00DA5D8F" w:rsidP="00DA5D8F">
      <w:pPr>
        <w:spacing w:line="240" w:lineRule="auto"/>
        <w:jc w:val="left"/>
      </w:pPr>
      <w:r w:rsidRPr="00D8232C">
        <w:tab/>
      </w:r>
      <w:r w:rsidRPr="00D8232C">
        <w:tab/>
      </w:r>
      <w:r w:rsidRPr="00D8232C">
        <w:tab/>
      </w:r>
      <w:r w:rsidRPr="00D8232C">
        <w:tab/>
      </w:r>
      <w:r w:rsidRPr="00D8232C">
        <w:tab/>
      </w:r>
      <w:r w:rsidRPr="00D8232C">
        <w:tab/>
      </w:r>
      <w:r w:rsidRPr="00D8232C">
        <w:tab/>
        <w:t>:</w:t>
      </w:r>
    </w:p>
    <w:p w:rsidR="00DA5D8F" w:rsidRPr="00D8232C" w:rsidRDefault="00DA5D8F" w:rsidP="00DA5D8F">
      <w:pPr>
        <w:spacing w:line="240" w:lineRule="auto"/>
        <w:jc w:val="left"/>
      </w:pPr>
      <w:r w:rsidRPr="00D8232C">
        <w:tab/>
        <w:t>v.</w:t>
      </w:r>
      <w:r w:rsidRPr="00D8232C">
        <w:tab/>
      </w:r>
      <w:r w:rsidRPr="00D8232C">
        <w:tab/>
      </w:r>
      <w:r w:rsidRPr="00D8232C">
        <w:tab/>
      </w:r>
      <w:r w:rsidRPr="00D8232C">
        <w:tab/>
      </w:r>
      <w:r w:rsidRPr="00D8232C">
        <w:tab/>
      </w:r>
      <w:r w:rsidRPr="00D8232C">
        <w:tab/>
      </w:r>
      <w:r w:rsidR="00D8232C">
        <w:t>:</w:t>
      </w:r>
      <w:r w:rsidR="00D8232C">
        <w:tab/>
      </w:r>
      <w:r w:rsidR="00D8232C">
        <w:tab/>
      </w:r>
      <w:r w:rsidRPr="00D8232C">
        <w:t>C-2011-2276818</w:t>
      </w:r>
    </w:p>
    <w:p w:rsidR="00DA5D8F" w:rsidRPr="00D8232C" w:rsidRDefault="00DA5D8F" w:rsidP="00DA5D8F">
      <w:pPr>
        <w:spacing w:line="240" w:lineRule="auto"/>
        <w:jc w:val="left"/>
      </w:pPr>
      <w:r w:rsidRPr="00D8232C">
        <w:tab/>
      </w:r>
      <w:r w:rsidRPr="00D8232C">
        <w:tab/>
      </w:r>
      <w:r w:rsidRPr="00D8232C">
        <w:tab/>
      </w:r>
      <w:r w:rsidRPr="00D8232C">
        <w:tab/>
      </w:r>
      <w:r w:rsidRPr="00D8232C">
        <w:tab/>
      </w:r>
      <w:r w:rsidRPr="00D8232C">
        <w:tab/>
      </w:r>
      <w:r w:rsidRPr="00D8232C">
        <w:tab/>
        <w:t>:</w:t>
      </w:r>
    </w:p>
    <w:p w:rsidR="00DA5D8F" w:rsidRPr="00D8232C" w:rsidRDefault="00DA5D8F" w:rsidP="00DA5D8F">
      <w:pPr>
        <w:spacing w:line="240" w:lineRule="auto"/>
        <w:jc w:val="left"/>
      </w:pPr>
      <w:r w:rsidRPr="00D8232C">
        <w:t>PPL Electric Utilities Corporation</w:t>
      </w:r>
      <w:r w:rsidRPr="00D8232C">
        <w:tab/>
      </w:r>
      <w:r w:rsidRPr="00D8232C">
        <w:tab/>
      </w:r>
      <w:r w:rsidRPr="00D8232C">
        <w:tab/>
        <w:t>:</w:t>
      </w:r>
    </w:p>
    <w:p w:rsidR="00DA5D8F" w:rsidRPr="00D8232C" w:rsidRDefault="00DA5D8F" w:rsidP="00DD4C85">
      <w:pPr>
        <w:spacing w:line="240" w:lineRule="auto"/>
        <w:jc w:val="left"/>
      </w:pPr>
    </w:p>
    <w:p w:rsidR="00DD4C85" w:rsidRDefault="00DD4C85" w:rsidP="00DD4C85">
      <w:pPr>
        <w:spacing w:line="240" w:lineRule="auto"/>
        <w:jc w:val="left"/>
      </w:pPr>
    </w:p>
    <w:p w:rsidR="00DD4C85" w:rsidRPr="00D8232C" w:rsidRDefault="00DD4C85" w:rsidP="00DD4C85">
      <w:pPr>
        <w:spacing w:line="240" w:lineRule="auto"/>
        <w:jc w:val="left"/>
      </w:pPr>
    </w:p>
    <w:p w:rsidR="00DA5D8F" w:rsidRPr="00D8232C" w:rsidRDefault="00DA5D8F" w:rsidP="00DD4C85">
      <w:pPr>
        <w:spacing w:line="240" w:lineRule="auto"/>
        <w:rPr>
          <w:b/>
        </w:rPr>
      </w:pPr>
      <w:r w:rsidRPr="00D8232C">
        <w:rPr>
          <w:b/>
        </w:rPr>
        <w:t>INITIAL DECISION</w:t>
      </w:r>
    </w:p>
    <w:p w:rsidR="00DA5D8F" w:rsidRDefault="00DA5D8F" w:rsidP="00DD4C85">
      <w:pPr>
        <w:spacing w:line="240" w:lineRule="auto"/>
        <w:rPr>
          <w:b/>
        </w:rPr>
      </w:pPr>
    </w:p>
    <w:p w:rsidR="00DD4C85" w:rsidRPr="00D8232C" w:rsidRDefault="00DD4C85" w:rsidP="00DD4C85">
      <w:pPr>
        <w:spacing w:line="240" w:lineRule="auto"/>
        <w:rPr>
          <w:b/>
        </w:rPr>
      </w:pPr>
    </w:p>
    <w:p w:rsidR="00DA5D8F" w:rsidRPr="00D8232C" w:rsidRDefault="00DA5D8F" w:rsidP="00DA5D8F">
      <w:pPr>
        <w:spacing w:line="240" w:lineRule="auto"/>
      </w:pPr>
      <w:r w:rsidRPr="00D8232C">
        <w:t>Before</w:t>
      </w:r>
    </w:p>
    <w:p w:rsidR="00DA5D8F" w:rsidRPr="00D8232C" w:rsidRDefault="00DA5D8F" w:rsidP="00DA5D8F">
      <w:pPr>
        <w:spacing w:line="240" w:lineRule="auto"/>
      </w:pPr>
      <w:r w:rsidRPr="00D8232C">
        <w:t>Susan D. Colwell</w:t>
      </w:r>
    </w:p>
    <w:p w:rsidR="00DA5D8F" w:rsidRPr="00D8232C" w:rsidRDefault="00DA5D8F" w:rsidP="00DA5D8F">
      <w:pPr>
        <w:spacing w:line="240" w:lineRule="auto"/>
      </w:pPr>
      <w:r w:rsidRPr="00D8232C">
        <w:t>Administrative Law Judge</w:t>
      </w:r>
    </w:p>
    <w:p w:rsidR="008857F8" w:rsidRDefault="008857F8" w:rsidP="00DA5D8F">
      <w:pPr>
        <w:spacing w:line="240" w:lineRule="auto"/>
      </w:pPr>
    </w:p>
    <w:p w:rsidR="00DD4C85" w:rsidRPr="00D8232C" w:rsidRDefault="00DD4C85" w:rsidP="00DA5D8F">
      <w:pPr>
        <w:spacing w:line="240" w:lineRule="auto"/>
      </w:pPr>
    </w:p>
    <w:p w:rsidR="00DA5D8F" w:rsidRPr="00D8232C" w:rsidRDefault="00DA5D8F" w:rsidP="00DD4C85">
      <w:pPr>
        <w:spacing w:line="240" w:lineRule="auto"/>
        <w:rPr>
          <w:u w:val="single"/>
        </w:rPr>
      </w:pPr>
      <w:r w:rsidRPr="00D8232C">
        <w:rPr>
          <w:u w:val="single"/>
        </w:rPr>
        <w:t>HISTORY OF THE PROCEEDING</w:t>
      </w:r>
    </w:p>
    <w:p w:rsidR="00DD4C85" w:rsidRDefault="00DD4C85" w:rsidP="00DD4C85">
      <w:pPr>
        <w:spacing w:line="240" w:lineRule="auto"/>
        <w:rPr>
          <w:u w:val="single"/>
        </w:rPr>
      </w:pPr>
    </w:p>
    <w:p w:rsidR="00DD4C85" w:rsidRPr="00D8232C" w:rsidRDefault="00DD4C85" w:rsidP="00DD4C85">
      <w:pPr>
        <w:spacing w:line="240" w:lineRule="auto"/>
        <w:rPr>
          <w:u w:val="single"/>
        </w:rPr>
      </w:pPr>
    </w:p>
    <w:p w:rsidR="008857F8" w:rsidRPr="00D8232C" w:rsidRDefault="008857F8" w:rsidP="008857F8">
      <w:pPr>
        <w:jc w:val="left"/>
      </w:pPr>
      <w:r w:rsidRPr="00D8232C">
        <w:tab/>
      </w:r>
      <w:r w:rsidRPr="00D8232C">
        <w:tab/>
        <w:t>This Initial Decision dismisses a formal Complaint for failure to prove that the utility has provided inadequate service because neighbors who are served from an underground electric tap line had their service restored substantially before Complainant's own above-ground service was restored following an extraordinary storm.</w:t>
      </w:r>
    </w:p>
    <w:p w:rsidR="00DA5D8F" w:rsidRPr="00D8232C" w:rsidRDefault="00DA5D8F">
      <w:pPr>
        <w:rPr>
          <w:u w:val="single"/>
        </w:rPr>
      </w:pPr>
    </w:p>
    <w:p w:rsidR="00DA5D8F" w:rsidRPr="00D8232C" w:rsidRDefault="00DA5D8F" w:rsidP="00DA5D8F">
      <w:pPr>
        <w:jc w:val="left"/>
      </w:pPr>
      <w:r w:rsidRPr="00D8232C">
        <w:tab/>
      </w:r>
      <w:r w:rsidRPr="00D8232C">
        <w:tab/>
        <w:t xml:space="preserve">On November 22, 2011, Stefan T. Cohen (Complainant) filed a formal Complaint alleging that on October 29, 2011, his electric service was lost </w:t>
      </w:r>
      <w:r w:rsidR="008C3470">
        <w:t>and not restored until November 3, </w:t>
      </w:r>
      <w:r w:rsidRPr="00D8232C">
        <w:t xml:space="preserve">2011, and that whenever his power is lost, his is the last to be restored in his area.  He alleges that PPL Electric Utilities Corporation (Respondent or utility or PPL or Company) has not maintained the lines in his area properly.  </w:t>
      </w:r>
      <w:r w:rsidR="008857F8" w:rsidRPr="00D8232C">
        <w:t xml:space="preserve">His Complaint </w:t>
      </w:r>
      <w:r w:rsidRPr="00D8232C">
        <w:t>seeks compensation for the loss of frozen and refrigerated products for his family of four</w:t>
      </w:r>
      <w:r w:rsidR="008857F8" w:rsidRPr="00D8232C">
        <w:t>, but he indicated at the hearing that he dropped that count.  He asked</w:t>
      </w:r>
      <w:r w:rsidRPr="00D8232C">
        <w:t xml:space="preserve"> that the Company reinvest in its power delivery system, maintain the lines, trim trees as required or bury the power lines.</w:t>
      </w:r>
    </w:p>
    <w:p w:rsidR="00DA5D8F" w:rsidRPr="00D8232C" w:rsidRDefault="00DA5D8F" w:rsidP="00DA5D8F">
      <w:pPr>
        <w:jc w:val="left"/>
      </w:pPr>
    </w:p>
    <w:p w:rsidR="00DA5D8F" w:rsidRPr="00D8232C" w:rsidRDefault="00DA5D8F" w:rsidP="00DA5D8F">
      <w:pPr>
        <w:jc w:val="left"/>
      </w:pPr>
      <w:r w:rsidRPr="00D8232C">
        <w:lastRenderedPageBreak/>
        <w:tab/>
      </w:r>
      <w:r w:rsidRPr="00D8232C">
        <w:tab/>
        <w:t>On December 28, 2011, PPL filed its Answer admitting that Complainant's power was lost for the time specified as a result of a late fall snowstorm which resulted in outages for approximately 400,000 PPL customers but alleging that Complainant's power was restored on November 2, 2011.  The Answer also states that PPL's records show that Complainant's power wa</w:t>
      </w:r>
      <w:r w:rsidR="006B7860" w:rsidRPr="00D8232C">
        <w:t>s out for three other times during the time period discussed in the Complaint, and that all three were associated with storms.  The Answer explains that Complainant's house is located on the side of a street which is served by a 1-phase line, while the neighbors across the street are served by a 2-phase line, and that it is possible that Complainant could lose power while most of the neighborhood does not.  In addition, more customers are served on the 2-phase line, which makes it a higher priority when the Company is restoring power.  PPL specifically denies that its maintenance practices are faulty.</w:t>
      </w:r>
    </w:p>
    <w:p w:rsidR="006B7860" w:rsidRPr="00D8232C" w:rsidRDefault="006B7860" w:rsidP="00DA5D8F">
      <w:pPr>
        <w:jc w:val="left"/>
      </w:pPr>
    </w:p>
    <w:p w:rsidR="006B7860" w:rsidRPr="00D8232C" w:rsidRDefault="006B7860" w:rsidP="00DA5D8F">
      <w:pPr>
        <w:jc w:val="left"/>
      </w:pPr>
      <w:r w:rsidRPr="00D8232C">
        <w:tab/>
      </w:r>
      <w:r w:rsidRPr="00D8232C">
        <w:tab/>
        <w:t>On December 29, 2011, Complainant filed a letter response to the PPL Answer, which counters some of PPL's allegations.</w:t>
      </w:r>
    </w:p>
    <w:p w:rsidR="006B7860" w:rsidRPr="00D8232C" w:rsidRDefault="006B7860" w:rsidP="00DA5D8F">
      <w:pPr>
        <w:jc w:val="left"/>
      </w:pPr>
    </w:p>
    <w:p w:rsidR="006B7860" w:rsidRPr="00D8232C" w:rsidRDefault="006B7860" w:rsidP="00DA5D8F">
      <w:pPr>
        <w:jc w:val="left"/>
      </w:pPr>
      <w:r w:rsidRPr="00D8232C">
        <w:tab/>
      </w:r>
      <w:r w:rsidRPr="00D8232C">
        <w:tab/>
        <w:t xml:space="preserve">On June 25, 2012, a Telephonic Hearing Notice was issued which set the evidentiary hearing for Tuesday, July 24, 2012 and assigned the matter to me.  </w:t>
      </w:r>
      <w:r w:rsidR="00CD38C0" w:rsidRPr="00D8232C">
        <w:t xml:space="preserve">A Prehearing Order was issued which sets forth some of the requirements of a formal hearing before the Commission.  </w:t>
      </w:r>
      <w:r w:rsidRPr="00D8232C">
        <w:t>Pursuant to a request for continuance,</w:t>
      </w:r>
      <w:r w:rsidR="00CD38C0" w:rsidRPr="00D8232C">
        <w:t xml:space="preserve"> on June 22, 2012,</w:t>
      </w:r>
      <w:r w:rsidRPr="00D8232C">
        <w:t xml:space="preserve"> </w:t>
      </w:r>
      <w:r w:rsidR="00CD38C0" w:rsidRPr="00D8232C">
        <w:t>I issued an order granting it and directing the parties to submit three dates which both agree that they would be available for a rescheduled hearing.</w:t>
      </w:r>
    </w:p>
    <w:p w:rsidR="00CD38C0" w:rsidRPr="00D8232C" w:rsidRDefault="00CD38C0" w:rsidP="00DA5D8F">
      <w:pPr>
        <w:jc w:val="left"/>
      </w:pPr>
    </w:p>
    <w:p w:rsidR="00CD38C0" w:rsidRPr="00D8232C" w:rsidRDefault="00CD38C0" w:rsidP="00DA5D8F">
      <w:pPr>
        <w:jc w:val="left"/>
      </w:pPr>
      <w:r w:rsidRPr="00D8232C">
        <w:tab/>
      </w:r>
      <w:r w:rsidRPr="00D8232C">
        <w:tab/>
        <w:t>On July 23, 2012, Complainant faxed a packet of documents to the Office of Administrative Law Judge but failed to serve a copy on the Company.  With a cover letter dated July 23, 2012, I sent a copy of Complainant's documents to PPL counsel and sent a copy to the Secretary for inclusion in the official file.  On July 24, 2012, a Rescheduled Telephonic Hearing Notice was issued which set the initial telephonic hearing for Monday, August 27, 2012 at 10:00 am.</w:t>
      </w:r>
    </w:p>
    <w:p w:rsidR="00CD38C0" w:rsidRPr="00D8232C" w:rsidRDefault="00CD38C0" w:rsidP="00DA5D8F">
      <w:pPr>
        <w:jc w:val="left"/>
      </w:pPr>
    </w:p>
    <w:p w:rsidR="00AA20EB" w:rsidRPr="00D8232C" w:rsidRDefault="00AA20EB" w:rsidP="00DA5D8F">
      <w:pPr>
        <w:jc w:val="left"/>
      </w:pPr>
      <w:r w:rsidRPr="00D8232C">
        <w:tab/>
      </w:r>
      <w:r w:rsidRPr="00D8232C">
        <w:tab/>
        <w:t xml:space="preserve">The hearing was held as scheduled.  The Company was represented by John H. Isom, Esq., and Jessica R. Rogers, Esq., who presented two witnesses and sponsored exhibits </w:t>
      </w:r>
      <w:r w:rsidRPr="00D8232C">
        <w:lastRenderedPageBreak/>
        <w:t>AL-1 through AL-8.  Complainant appeared pro se.  A transcript of 57 pages was generated and was filed on September 10, 2012.  The record was left open for the submission of an additional PPL exhibit requested by the Complainant.</w:t>
      </w:r>
    </w:p>
    <w:p w:rsidR="00AA20EB" w:rsidRPr="00D8232C" w:rsidRDefault="00AA20EB" w:rsidP="00DA5D8F">
      <w:pPr>
        <w:jc w:val="left"/>
      </w:pPr>
    </w:p>
    <w:p w:rsidR="00AA20EB" w:rsidRPr="00D8232C" w:rsidRDefault="00AA20EB" w:rsidP="00DA5D8F">
      <w:pPr>
        <w:jc w:val="left"/>
      </w:pPr>
      <w:r w:rsidRPr="00D8232C">
        <w:tab/>
      </w:r>
      <w:r w:rsidRPr="00D8232C">
        <w:tab/>
        <w:t>On September 21, 2012, the Company submitted Exhibit AL-9, which is a detailed estimate of the costs associated with providing underground service to Complainant's residence.  On September 30, 2012, Complainant sent a response to the Company and copied me.  He did not object to the admission of PPL Exhi</w:t>
      </w:r>
      <w:r w:rsidR="00C16F5A" w:rsidRPr="00D8232C">
        <w:t>bit AL-9, and he indicated that I should prepare a written decision on this matter.</w:t>
      </w:r>
      <w:r w:rsidR="0010502B" w:rsidRPr="00D8232C">
        <w:t xml:space="preserve">  As there is no objection, the exhibit is admitted and has been sent to the Secretary's Bureau for inclusion in the record.</w:t>
      </w:r>
    </w:p>
    <w:p w:rsidR="001D671E" w:rsidRPr="00D8232C" w:rsidRDefault="001D671E" w:rsidP="00DA5D8F">
      <w:pPr>
        <w:jc w:val="left"/>
      </w:pPr>
    </w:p>
    <w:p w:rsidR="001D671E" w:rsidRPr="00D8232C" w:rsidRDefault="001D671E" w:rsidP="00DA5D8F">
      <w:pPr>
        <w:jc w:val="left"/>
      </w:pPr>
      <w:r w:rsidRPr="00D8232C">
        <w:tab/>
      </w:r>
      <w:r w:rsidRPr="00D8232C">
        <w:tab/>
        <w:t>With the addition of the final exhibit, the record is closed on October 16, 2012, and the matter is ripe for disposition.</w:t>
      </w:r>
    </w:p>
    <w:p w:rsidR="006D2D25" w:rsidRPr="00D8232C" w:rsidRDefault="006D2D25" w:rsidP="00DA5D8F">
      <w:pPr>
        <w:jc w:val="left"/>
      </w:pPr>
    </w:p>
    <w:p w:rsidR="006D2D25" w:rsidRPr="00D8232C" w:rsidRDefault="006D2D25" w:rsidP="006D2D25">
      <w:pPr>
        <w:rPr>
          <w:u w:val="single"/>
        </w:rPr>
      </w:pPr>
      <w:r w:rsidRPr="00D8232C">
        <w:rPr>
          <w:u w:val="single"/>
        </w:rPr>
        <w:t>FINDINGS OF FACT</w:t>
      </w:r>
    </w:p>
    <w:p w:rsidR="006D2D25" w:rsidRPr="00D8232C" w:rsidRDefault="006D2D25" w:rsidP="006D2D25">
      <w:pPr>
        <w:rPr>
          <w:u w:val="single"/>
        </w:rPr>
      </w:pPr>
    </w:p>
    <w:p w:rsidR="006D2D25" w:rsidRPr="00D8232C" w:rsidRDefault="006D2D25" w:rsidP="006D2D25">
      <w:pPr>
        <w:jc w:val="left"/>
      </w:pPr>
      <w:r w:rsidRPr="00D8232C">
        <w:tab/>
      </w:r>
      <w:r w:rsidRPr="00D8232C">
        <w:tab/>
        <w:t>1.</w:t>
      </w:r>
      <w:r w:rsidRPr="00D8232C">
        <w:tab/>
        <w:t>Complainant is Stefan T. Cohen, 388 Tamarack Drive, Allentown PA 18104.</w:t>
      </w:r>
    </w:p>
    <w:p w:rsidR="006D2D25" w:rsidRPr="00D8232C" w:rsidRDefault="006D2D25" w:rsidP="006D2D25">
      <w:pPr>
        <w:jc w:val="left"/>
      </w:pPr>
    </w:p>
    <w:p w:rsidR="006D2D25" w:rsidRPr="00D8232C" w:rsidRDefault="006D2D25" w:rsidP="006D2D25">
      <w:pPr>
        <w:jc w:val="left"/>
      </w:pPr>
      <w:r w:rsidRPr="00D8232C">
        <w:tab/>
      </w:r>
      <w:r w:rsidRPr="00D8232C">
        <w:tab/>
        <w:t>2.</w:t>
      </w:r>
      <w:r w:rsidRPr="00D8232C">
        <w:tab/>
        <w:t>Respondent is PPL Electric Utilities Corporation, a jurisdictional public utility providing residential and commercial electric distribution service in the Commonwealth of Pennsylvania.</w:t>
      </w:r>
    </w:p>
    <w:p w:rsidR="006D2D25" w:rsidRPr="00D8232C" w:rsidRDefault="006D2D25" w:rsidP="006D2D25">
      <w:pPr>
        <w:jc w:val="left"/>
      </w:pPr>
    </w:p>
    <w:p w:rsidR="00C662B1" w:rsidRPr="00D8232C" w:rsidRDefault="006D2D25" w:rsidP="00C662B1">
      <w:pPr>
        <w:jc w:val="left"/>
      </w:pPr>
      <w:r w:rsidRPr="00D8232C">
        <w:tab/>
      </w:r>
      <w:r w:rsidRPr="00D8232C">
        <w:tab/>
        <w:t>3.</w:t>
      </w:r>
      <w:r w:rsidRPr="00D8232C">
        <w:tab/>
      </w:r>
      <w:r w:rsidR="00C662B1" w:rsidRPr="00D8232C">
        <w:t>The area where Complainant resides</w:t>
      </w:r>
      <w:r w:rsidR="00A04E15" w:rsidRPr="00D8232C">
        <w:t>, called Wedgewood Park,</w:t>
      </w:r>
      <w:r w:rsidR="00C662B1" w:rsidRPr="00D8232C">
        <w:t xml:space="preserve"> is comprised of row homes, primarily town homes, in sections of either seven or four.  The homes, including </w:t>
      </w:r>
      <w:proofErr w:type="gramStart"/>
      <w:r w:rsidR="00C662B1" w:rsidRPr="00D8232C">
        <w:t>his own,</w:t>
      </w:r>
      <w:proofErr w:type="gramEnd"/>
      <w:r w:rsidR="00C662B1" w:rsidRPr="00D8232C">
        <w:t xml:space="preserve"> were built in 1986 and the electrical service is distributed above-ground.  His house is number 388.  Across the street, and all of the homes numbered 390 and above</w:t>
      </w:r>
      <w:r w:rsidR="007910E3" w:rsidRPr="00D8232C">
        <w:t>,</w:t>
      </w:r>
      <w:r w:rsidR="00C662B1" w:rsidRPr="00D8232C">
        <w:t xml:space="preserve"> are served by an underground delivery system.  </w:t>
      </w:r>
      <w:proofErr w:type="gramStart"/>
      <w:r w:rsidR="00C662B1" w:rsidRPr="00D8232C">
        <w:t>Tr. 7.</w:t>
      </w:r>
      <w:proofErr w:type="gramEnd"/>
    </w:p>
    <w:p w:rsidR="00C662B1" w:rsidRPr="00D8232C" w:rsidRDefault="00C662B1" w:rsidP="00C662B1">
      <w:pPr>
        <w:jc w:val="left"/>
      </w:pPr>
    </w:p>
    <w:p w:rsidR="00C662B1" w:rsidRPr="00D8232C" w:rsidRDefault="00C662B1" w:rsidP="00C662B1">
      <w:pPr>
        <w:jc w:val="left"/>
      </w:pPr>
      <w:r w:rsidRPr="00D8232C">
        <w:lastRenderedPageBreak/>
        <w:tab/>
      </w:r>
      <w:r w:rsidRPr="00D8232C">
        <w:tab/>
        <w:t>4.</w:t>
      </w:r>
      <w:r w:rsidRPr="00D8232C">
        <w:tab/>
        <w:t xml:space="preserve">In October 2011, the homes on his block with above-ground service lost service for four and a half days while the homes receiving underground service were out of service for a much shorter period of time.  </w:t>
      </w:r>
      <w:proofErr w:type="gramStart"/>
      <w:r w:rsidRPr="00D8232C">
        <w:t>Tr. 9.</w:t>
      </w:r>
      <w:proofErr w:type="gramEnd"/>
    </w:p>
    <w:p w:rsidR="00C662B1" w:rsidRPr="00D8232C" w:rsidRDefault="00C662B1" w:rsidP="00C662B1">
      <w:pPr>
        <w:jc w:val="left"/>
      </w:pPr>
    </w:p>
    <w:p w:rsidR="00C662B1" w:rsidRPr="00D8232C" w:rsidRDefault="00C662B1" w:rsidP="00C662B1">
      <w:pPr>
        <w:jc w:val="left"/>
      </w:pPr>
      <w:r w:rsidRPr="00D8232C">
        <w:tab/>
      </w:r>
      <w:r w:rsidRPr="00D8232C">
        <w:tab/>
        <w:t>5.</w:t>
      </w:r>
      <w:r w:rsidRPr="00D8232C">
        <w:tab/>
        <w:t xml:space="preserve">Aaron Michael Lynn, reliability supervisor for PPL Electric Utilities Corporation for the northeast region, appeared and testified on behalf of Respondent.  </w:t>
      </w:r>
      <w:proofErr w:type="gramStart"/>
      <w:r w:rsidRPr="00D8232C">
        <w:t>Tr. 18.</w:t>
      </w:r>
      <w:proofErr w:type="gramEnd"/>
    </w:p>
    <w:p w:rsidR="00C662B1" w:rsidRPr="00D8232C" w:rsidRDefault="00C662B1" w:rsidP="00C662B1">
      <w:pPr>
        <w:jc w:val="left"/>
      </w:pPr>
    </w:p>
    <w:p w:rsidR="00C662B1" w:rsidRPr="00D8232C" w:rsidRDefault="00C662B1" w:rsidP="00C662B1">
      <w:pPr>
        <w:jc w:val="left"/>
      </w:pPr>
      <w:r w:rsidRPr="00D8232C">
        <w:tab/>
      </w:r>
      <w:r w:rsidRPr="00D8232C">
        <w:tab/>
        <w:t>6.</w:t>
      </w:r>
      <w:r w:rsidRPr="00D8232C">
        <w:tab/>
        <w:t xml:space="preserve">Mr. Lynn was formerly the reliability supervisor for the Lehigh Valley, in which Complainant's home is located.  </w:t>
      </w:r>
      <w:proofErr w:type="gramStart"/>
      <w:r w:rsidRPr="00D8232C">
        <w:t>Tr. 18.</w:t>
      </w:r>
      <w:proofErr w:type="gramEnd"/>
    </w:p>
    <w:p w:rsidR="00C662B1" w:rsidRPr="00D8232C" w:rsidRDefault="00C662B1" w:rsidP="00C662B1">
      <w:pPr>
        <w:jc w:val="left"/>
      </w:pPr>
    </w:p>
    <w:p w:rsidR="00C662B1" w:rsidRPr="00D8232C" w:rsidRDefault="00C662B1" w:rsidP="00C662B1">
      <w:pPr>
        <w:jc w:val="left"/>
      </w:pPr>
      <w:r w:rsidRPr="00D8232C">
        <w:tab/>
      </w:r>
      <w:r w:rsidRPr="00D8232C">
        <w:tab/>
        <w:t>7.</w:t>
      </w:r>
      <w:r w:rsidRPr="00D8232C">
        <w:tab/>
      </w:r>
      <w:r w:rsidR="002001BE" w:rsidRPr="00D8232C">
        <w:t>Complainant is served</w:t>
      </w:r>
      <w:r w:rsidR="00A04E15" w:rsidRPr="00D8232C">
        <w:t xml:space="preserve"> by a primary overhead distribution line, which is an above-ground overhead wire that serves customer transformers which subsequently serve customers.  </w:t>
      </w:r>
      <w:proofErr w:type="gramStart"/>
      <w:r w:rsidR="00A04E15" w:rsidRPr="00D8232C">
        <w:t>Tr. 19.</w:t>
      </w:r>
      <w:proofErr w:type="gramEnd"/>
    </w:p>
    <w:p w:rsidR="00A04E15" w:rsidRPr="00D8232C" w:rsidRDefault="00A04E15" w:rsidP="00C662B1">
      <w:pPr>
        <w:jc w:val="left"/>
      </w:pPr>
    </w:p>
    <w:p w:rsidR="00A04E15" w:rsidRPr="00D8232C" w:rsidRDefault="00A04E15" w:rsidP="00C662B1">
      <w:pPr>
        <w:jc w:val="left"/>
      </w:pPr>
      <w:r w:rsidRPr="00D8232C">
        <w:tab/>
      </w:r>
      <w:r w:rsidRPr="00D8232C">
        <w:tab/>
        <w:t>8.</w:t>
      </w:r>
      <w:r w:rsidRPr="00D8232C">
        <w:tab/>
        <w:t xml:space="preserve">The primary overhead distribution line connects to the local substation.  </w:t>
      </w:r>
      <w:proofErr w:type="gramStart"/>
      <w:r w:rsidRPr="00D8232C">
        <w:t>Tr. 19.</w:t>
      </w:r>
      <w:proofErr w:type="gramEnd"/>
    </w:p>
    <w:p w:rsidR="00A04E15" w:rsidRPr="00D8232C" w:rsidRDefault="00A04E15" w:rsidP="00C662B1">
      <w:pPr>
        <w:jc w:val="left"/>
      </w:pPr>
    </w:p>
    <w:p w:rsidR="00A04E15" w:rsidRPr="00D8232C" w:rsidRDefault="00A04E15" w:rsidP="00C662B1">
      <w:pPr>
        <w:jc w:val="left"/>
      </w:pPr>
      <w:r w:rsidRPr="00D8232C">
        <w:tab/>
      </w:r>
      <w:r w:rsidRPr="00D8232C">
        <w:tab/>
        <w:t>9.</w:t>
      </w:r>
      <w:r w:rsidRPr="00D8232C">
        <w:tab/>
        <w:t>Complainant's house is served by an overhead tap line along with other houses, and the remainder of the development is served through underground tap lines.  Tr. 19-20.</w:t>
      </w:r>
    </w:p>
    <w:p w:rsidR="00A04E15" w:rsidRPr="00D8232C" w:rsidRDefault="00A04E15" w:rsidP="00C662B1">
      <w:pPr>
        <w:jc w:val="left"/>
      </w:pPr>
    </w:p>
    <w:p w:rsidR="00A04E15" w:rsidRPr="00D8232C" w:rsidRDefault="00A04E15" w:rsidP="00C662B1">
      <w:pPr>
        <w:jc w:val="left"/>
      </w:pPr>
      <w:r w:rsidRPr="00D8232C">
        <w:tab/>
      </w:r>
      <w:r w:rsidRPr="00D8232C">
        <w:tab/>
        <w:t>10.</w:t>
      </w:r>
      <w:r w:rsidRPr="00D8232C">
        <w:tab/>
        <w:t>The distribution tap line that serves Complainant's residence was built in the 1950s.  Tr. 20-21.</w:t>
      </w:r>
    </w:p>
    <w:p w:rsidR="00A04E15" w:rsidRPr="00D8232C" w:rsidRDefault="00A04E15" w:rsidP="00C662B1">
      <w:pPr>
        <w:jc w:val="left"/>
      </w:pPr>
    </w:p>
    <w:p w:rsidR="00A04E15" w:rsidRPr="00D8232C" w:rsidRDefault="00A04E15" w:rsidP="00C662B1">
      <w:pPr>
        <w:jc w:val="left"/>
      </w:pPr>
      <w:r w:rsidRPr="00D8232C">
        <w:tab/>
      </w:r>
      <w:r w:rsidRPr="00D8232C">
        <w:tab/>
        <w:t>11.</w:t>
      </w:r>
      <w:r w:rsidRPr="00D8232C">
        <w:tab/>
        <w:t xml:space="preserve">The cost of placing the line underground would have been borne by the developer.  </w:t>
      </w:r>
      <w:proofErr w:type="gramStart"/>
      <w:r w:rsidRPr="00D8232C">
        <w:t>Tr. 21.</w:t>
      </w:r>
      <w:proofErr w:type="gramEnd"/>
    </w:p>
    <w:p w:rsidR="00A04E15" w:rsidRPr="00D8232C" w:rsidRDefault="00A04E15" w:rsidP="00C662B1">
      <w:pPr>
        <w:jc w:val="left"/>
      </w:pPr>
    </w:p>
    <w:p w:rsidR="00A04E15" w:rsidRPr="00D8232C" w:rsidRDefault="00A04E15" w:rsidP="00C662B1">
      <w:pPr>
        <w:jc w:val="left"/>
      </w:pPr>
      <w:r w:rsidRPr="00D8232C">
        <w:tab/>
      </w:r>
      <w:r w:rsidRPr="00D8232C">
        <w:tab/>
        <w:t>12.</w:t>
      </w:r>
      <w:r w:rsidRPr="00D8232C">
        <w:tab/>
        <w:t xml:space="preserve">PPL Exhibit AL-1 is a cost estimate for providing electric service to </w:t>
      </w:r>
      <w:r w:rsidR="00585A8C" w:rsidRPr="00D8232C">
        <w:t xml:space="preserve">town homes in </w:t>
      </w:r>
      <w:r w:rsidRPr="00D8232C">
        <w:t xml:space="preserve">Wedgewood Park.  </w:t>
      </w:r>
      <w:proofErr w:type="gramStart"/>
      <w:r w:rsidRPr="00D8232C">
        <w:t>Tr. 21.</w:t>
      </w:r>
      <w:proofErr w:type="gramEnd"/>
    </w:p>
    <w:p w:rsidR="00A04E15" w:rsidRPr="00D8232C" w:rsidRDefault="00A04E15" w:rsidP="00C662B1">
      <w:pPr>
        <w:jc w:val="left"/>
      </w:pPr>
    </w:p>
    <w:p w:rsidR="00A04E15" w:rsidRPr="00D8232C" w:rsidRDefault="00A04E15" w:rsidP="00C662B1">
      <w:pPr>
        <w:jc w:val="left"/>
      </w:pPr>
      <w:r w:rsidRPr="00D8232C">
        <w:lastRenderedPageBreak/>
        <w:tab/>
      </w:r>
      <w:r w:rsidRPr="00D8232C">
        <w:tab/>
        <w:t>13.</w:t>
      </w:r>
      <w:r w:rsidRPr="00D8232C">
        <w:tab/>
      </w:r>
      <w:r w:rsidR="00585A8C" w:rsidRPr="00D8232C">
        <w:t>Using the existing overhead lines reduces the costs that a developer would pay because it saves the developer the incremental costs of undergrounding the facilities.  Tr. 22-23.</w:t>
      </w:r>
    </w:p>
    <w:p w:rsidR="00585A8C" w:rsidRPr="00D8232C" w:rsidRDefault="00585A8C" w:rsidP="00C662B1">
      <w:pPr>
        <w:jc w:val="left"/>
      </w:pPr>
    </w:p>
    <w:p w:rsidR="00585A8C" w:rsidRPr="00D8232C" w:rsidRDefault="00585A8C" w:rsidP="00C662B1">
      <w:pPr>
        <w:jc w:val="left"/>
      </w:pPr>
      <w:r w:rsidRPr="00D8232C">
        <w:tab/>
      </w:r>
      <w:r w:rsidRPr="00D8232C">
        <w:tab/>
        <w:t>14.</w:t>
      </w:r>
      <w:r w:rsidRPr="00D8232C">
        <w:tab/>
        <w:t xml:space="preserve">The service line to Complainant's home was already in existence when the development was constructed.  </w:t>
      </w:r>
      <w:proofErr w:type="gramStart"/>
      <w:r w:rsidRPr="00D8232C">
        <w:t>Tr. 23.</w:t>
      </w:r>
      <w:proofErr w:type="gramEnd"/>
    </w:p>
    <w:p w:rsidR="00585A8C" w:rsidRPr="00D8232C" w:rsidRDefault="00585A8C" w:rsidP="00C662B1">
      <w:pPr>
        <w:jc w:val="left"/>
      </w:pPr>
    </w:p>
    <w:p w:rsidR="00585A8C" w:rsidRPr="00D8232C" w:rsidRDefault="00585A8C" w:rsidP="00C662B1">
      <w:pPr>
        <w:jc w:val="left"/>
      </w:pPr>
      <w:r w:rsidRPr="00D8232C">
        <w:tab/>
      </w:r>
      <w:r w:rsidRPr="00D8232C">
        <w:tab/>
        <w:t>15.</w:t>
      </w:r>
      <w:r w:rsidRPr="00D8232C">
        <w:tab/>
        <w:t xml:space="preserve">PPL Exhibit AL-2 is a copy of tariff Rule 4, Rules for Electric Service.  </w:t>
      </w:r>
      <w:proofErr w:type="gramStart"/>
      <w:r w:rsidRPr="00D8232C">
        <w:t>Tr. 23.</w:t>
      </w:r>
      <w:proofErr w:type="gramEnd"/>
    </w:p>
    <w:p w:rsidR="00585A8C" w:rsidRPr="00D8232C" w:rsidRDefault="00585A8C" w:rsidP="00C662B1">
      <w:pPr>
        <w:jc w:val="left"/>
      </w:pPr>
    </w:p>
    <w:p w:rsidR="00585A8C" w:rsidRPr="00D8232C" w:rsidRDefault="00585A8C" w:rsidP="00C662B1">
      <w:pPr>
        <w:jc w:val="left"/>
      </w:pPr>
      <w:r w:rsidRPr="00D8232C">
        <w:tab/>
      </w:r>
      <w:r w:rsidRPr="00D8232C">
        <w:tab/>
        <w:t>16.</w:t>
      </w:r>
      <w:r w:rsidRPr="00D8232C">
        <w:tab/>
        <w:t xml:space="preserve">The effective date of Exhibit AL-2 was August 26, 1976.  </w:t>
      </w:r>
      <w:proofErr w:type="gramStart"/>
      <w:r w:rsidRPr="00D8232C">
        <w:t>Tr. 24.</w:t>
      </w:r>
      <w:proofErr w:type="gramEnd"/>
    </w:p>
    <w:p w:rsidR="00585A8C" w:rsidRPr="00D8232C" w:rsidRDefault="00585A8C" w:rsidP="00C662B1">
      <w:pPr>
        <w:jc w:val="left"/>
      </w:pPr>
    </w:p>
    <w:p w:rsidR="00463610" w:rsidRPr="00D8232C" w:rsidRDefault="00585A8C" w:rsidP="00C662B1">
      <w:pPr>
        <w:jc w:val="left"/>
      </w:pPr>
      <w:r w:rsidRPr="00D8232C">
        <w:tab/>
      </w:r>
      <w:r w:rsidRPr="00D8232C">
        <w:tab/>
        <w:t>17.</w:t>
      </w:r>
      <w:r w:rsidRPr="00D8232C">
        <w:tab/>
        <w:t xml:space="preserve">PPL Exhibit AL-3 is </w:t>
      </w:r>
      <w:r w:rsidR="00463610" w:rsidRPr="00D8232C">
        <w:t xml:space="preserve">the same tariff provision as AL-2 effective </w:t>
      </w:r>
    </w:p>
    <w:p w:rsidR="00585A8C" w:rsidRPr="00D8232C" w:rsidRDefault="00463610" w:rsidP="00C662B1">
      <w:pPr>
        <w:jc w:val="left"/>
      </w:pPr>
      <w:r w:rsidRPr="00D8232C">
        <w:t>February 1, 1984.  Tr. 24-25.</w:t>
      </w:r>
    </w:p>
    <w:p w:rsidR="00463610" w:rsidRPr="00D8232C" w:rsidRDefault="00463610" w:rsidP="00C662B1">
      <w:pPr>
        <w:jc w:val="left"/>
      </w:pPr>
    </w:p>
    <w:p w:rsidR="00463610" w:rsidRPr="00D8232C" w:rsidRDefault="00463610" w:rsidP="00C662B1">
      <w:pPr>
        <w:jc w:val="left"/>
      </w:pPr>
      <w:r w:rsidRPr="00D8232C">
        <w:tab/>
      </w:r>
      <w:r w:rsidRPr="00D8232C">
        <w:tab/>
        <w:t>18.</w:t>
      </w:r>
      <w:r w:rsidRPr="00D8232C">
        <w:tab/>
        <w:t xml:space="preserve">PPL Exhibit AL-4 is the same tariff provision as AL-2 and AL-3 with the effective date of July 9, 1984.  </w:t>
      </w:r>
      <w:proofErr w:type="gramStart"/>
      <w:r w:rsidRPr="00D8232C">
        <w:t>Tr. 25.</w:t>
      </w:r>
      <w:proofErr w:type="gramEnd"/>
    </w:p>
    <w:p w:rsidR="00463610" w:rsidRPr="00D8232C" w:rsidRDefault="00463610" w:rsidP="00C662B1">
      <w:pPr>
        <w:jc w:val="left"/>
      </w:pPr>
    </w:p>
    <w:p w:rsidR="00463610" w:rsidRPr="00D8232C" w:rsidRDefault="00463610" w:rsidP="00C662B1">
      <w:pPr>
        <w:jc w:val="left"/>
      </w:pPr>
      <w:r w:rsidRPr="00D8232C">
        <w:tab/>
      </w:r>
      <w:r w:rsidRPr="00D8232C">
        <w:tab/>
        <w:t>19.</w:t>
      </w:r>
      <w:r w:rsidRPr="00D8232C">
        <w:tab/>
        <w:t xml:space="preserve">Complainant's neighborhood facilities were constructed in accordance with the relevant tariff provisions.  </w:t>
      </w:r>
      <w:proofErr w:type="gramStart"/>
      <w:r w:rsidRPr="00D8232C">
        <w:t>Tr. 25.</w:t>
      </w:r>
      <w:proofErr w:type="gramEnd"/>
    </w:p>
    <w:p w:rsidR="00463610" w:rsidRPr="00D8232C" w:rsidRDefault="00463610" w:rsidP="00C662B1">
      <w:pPr>
        <w:jc w:val="left"/>
      </w:pPr>
    </w:p>
    <w:p w:rsidR="00463610" w:rsidRPr="00D8232C" w:rsidRDefault="00463610" w:rsidP="00C662B1">
      <w:pPr>
        <w:jc w:val="left"/>
      </w:pPr>
      <w:r w:rsidRPr="00D8232C">
        <w:tab/>
      </w:r>
      <w:r w:rsidRPr="00D8232C">
        <w:tab/>
        <w:t>20.</w:t>
      </w:r>
      <w:r w:rsidRPr="00D8232C">
        <w:tab/>
        <w:t xml:space="preserve">PPL Exhibit AL-5 is a tariff provision for Rule 4, Supply of Service.  </w:t>
      </w:r>
      <w:proofErr w:type="gramStart"/>
      <w:r w:rsidRPr="00D8232C">
        <w:t>Tr. 26.</w:t>
      </w:r>
      <w:proofErr w:type="gramEnd"/>
    </w:p>
    <w:p w:rsidR="00463610" w:rsidRPr="00D8232C" w:rsidRDefault="00463610" w:rsidP="00C662B1">
      <w:pPr>
        <w:jc w:val="left"/>
      </w:pPr>
    </w:p>
    <w:p w:rsidR="00463610" w:rsidRPr="00D8232C" w:rsidRDefault="00463610" w:rsidP="00C662B1">
      <w:pPr>
        <w:jc w:val="left"/>
      </w:pPr>
      <w:r w:rsidRPr="00D8232C">
        <w:tab/>
      </w:r>
      <w:r w:rsidRPr="00D8232C">
        <w:tab/>
        <w:t>21.</w:t>
      </w:r>
      <w:r w:rsidRPr="00D8232C">
        <w:tab/>
        <w:t xml:space="preserve">PPL Exhibit AL-6 is </w:t>
      </w:r>
      <w:r w:rsidR="0047063F" w:rsidRPr="00D8232C">
        <w:t xml:space="preserve">the outage history for Complainant's residence from 2000 to the date of the hearing.  </w:t>
      </w:r>
      <w:proofErr w:type="gramStart"/>
      <w:r w:rsidR="0047063F" w:rsidRPr="00D8232C">
        <w:t>Tr. 27.</w:t>
      </w:r>
      <w:proofErr w:type="gramEnd"/>
    </w:p>
    <w:p w:rsidR="0047063F" w:rsidRPr="00D8232C" w:rsidRDefault="0047063F" w:rsidP="00C662B1">
      <w:pPr>
        <w:jc w:val="left"/>
      </w:pPr>
    </w:p>
    <w:p w:rsidR="0047063F" w:rsidRPr="00D8232C" w:rsidRDefault="0047063F" w:rsidP="00C662B1">
      <w:pPr>
        <w:jc w:val="left"/>
      </w:pPr>
      <w:r w:rsidRPr="00D8232C">
        <w:tab/>
      </w:r>
      <w:r w:rsidRPr="00D8232C">
        <w:tab/>
        <w:t>22.</w:t>
      </w:r>
      <w:r w:rsidRPr="00D8232C">
        <w:tab/>
        <w:t xml:space="preserve">PPL Exhibit AL-7 is the system average interruption duration indices for 2008 through the date of the hearing, excluding PUC-reportable events.  </w:t>
      </w:r>
      <w:proofErr w:type="gramStart"/>
      <w:r w:rsidRPr="00D8232C">
        <w:t>Tr. 27.</w:t>
      </w:r>
      <w:proofErr w:type="gramEnd"/>
    </w:p>
    <w:p w:rsidR="0047063F" w:rsidRPr="00D8232C" w:rsidRDefault="0047063F" w:rsidP="00C662B1">
      <w:pPr>
        <w:jc w:val="left"/>
      </w:pPr>
    </w:p>
    <w:p w:rsidR="0047063F" w:rsidRPr="00D8232C" w:rsidRDefault="0047063F" w:rsidP="00C662B1">
      <w:pPr>
        <w:jc w:val="left"/>
      </w:pPr>
      <w:r w:rsidRPr="00D8232C">
        <w:lastRenderedPageBreak/>
        <w:tab/>
      </w:r>
      <w:r w:rsidRPr="00D8232C">
        <w:tab/>
        <w:t>23.</w:t>
      </w:r>
      <w:r w:rsidRPr="00D8232C">
        <w:tab/>
        <w:t xml:space="preserve">Service to Complainant was better than the system average for four of the five years shown.  The exception was 2009.  </w:t>
      </w:r>
      <w:proofErr w:type="gramStart"/>
      <w:r w:rsidRPr="00D8232C">
        <w:t>Tr. 28.</w:t>
      </w:r>
      <w:proofErr w:type="gramEnd"/>
      <w:r w:rsidRPr="00D8232C">
        <w:br/>
      </w:r>
    </w:p>
    <w:p w:rsidR="0047063F" w:rsidRPr="00D8232C" w:rsidRDefault="0047063F" w:rsidP="00C662B1">
      <w:pPr>
        <w:jc w:val="left"/>
      </w:pPr>
      <w:r w:rsidRPr="00D8232C">
        <w:tab/>
      </w:r>
      <w:r w:rsidRPr="00D8232C">
        <w:tab/>
        <w:t>24.</w:t>
      </w:r>
      <w:r w:rsidRPr="00D8232C">
        <w:tab/>
        <w:t>The outage st</w:t>
      </w:r>
      <w:r w:rsidR="009556C1" w:rsidRPr="00D8232C">
        <w:t xml:space="preserve">arting on October 29, 2011 was triggered </w:t>
      </w:r>
      <w:r w:rsidRPr="00D8232C">
        <w:t>by a severe early season snowstorm which caused extensive damage throughout the Company's service territory</w:t>
      </w:r>
      <w:r w:rsidR="00C843D1" w:rsidRPr="00D8232C">
        <w:t xml:space="preserve">.  </w:t>
      </w:r>
      <w:proofErr w:type="gramStart"/>
      <w:r w:rsidR="00C843D1" w:rsidRPr="00D8232C">
        <w:t>Tr., 28.</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25.</w:t>
      </w:r>
      <w:r w:rsidRPr="00D8232C">
        <w:tab/>
      </w:r>
      <w:r w:rsidR="009556C1" w:rsidRPr="00D8232C">
        <w:t>A</w:t>
      </w:r>
      <w:r w:rsidRPr="00D8232C">
        <w:t xml:space="preserve"> tree located along the overhead primary distribution line that serves Complainant's service transformer f</w:t>
      </w:r>
      <w:r w:rsidR="009556C1" w:rsidRPr="00D8232C">
        <w:t>e</w:t>
      </w:r>
      <w:r w:rsidRPr="00D8232C">
        <w:t>l</w:t>
      </w:r>
      <w:r w:rsidR="009556C1" w:rsidRPr="00D8232C">
        <w:t>l</w:t>
      </w:r>
      <w:r w:rsidRPr="00D8232C">
        <w:t xml:space="preserve"> onto the overhead primary conductor and t</w:t>
      </w:r>
      <w:r w:rsidR="009556C1" w:rsidRPr="00D8232C">
        <w:t>ook</w:t>
      </w:r>
      <w:r w:rsidRPr="00D8232C">
        <w:t xml:space="preserve"> wires to the ground</w:t>
      </w:r>
      <w:r w:rsidR="009556C1" w:rsidRPr="00D8232C">
        <w:t>,</w:t>
      </w:r>
      <w:r w:rsidRPr="00D8232C">
        <w:t xml:space="preserve"> caus</w:t>
      </w:r>
      <w:r w:rsidR="009556C1" w:rsidRPr="00D8232C">
        <w:t>ing Complainant's</w:t>
      </w:r>
      <w:r w:rsidRPr="00D8232C">
        <w:t xml:space="preserve"> outage.  </w:t>
      </w:r>
      <w:proofErr w:type="gramStart"/>
      <w:r w:rsidRPr="00D8232C">
        <w:t>Tr. 28.</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26.</w:t>
      </w:r>
      <w:r w:rsidRPr="00D8232C">
        <w:tab/>
        <w:t xml:space="preserve">Had the tap </w:t>
      </w:r>
      <w:r w:rsidR="00444087" w:rsidRPr="00D8232C">
        <w:t xml:space="preserve">line </w:t>
      </w:r>
      <w:r w:rsidRPr="00D8232C">
        <w:t xml:space="preserve">been underground, this outage would not have occurred.  </w:t>
      </w:r>
      <w:proofErr w:type="gramStart"/>
      <w:r w:rsidRPr="00D8232C">
        <w:t>Tr. 29.</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27.</w:t>
      </w:r>
      <w:r w:rsidRPr="00D8232C">
        <w:tab/>
        <w:t xml:space="preserve">As a result of the October 29, 2011 storm, the longest outage lasted approximately six days.  </w:t>
      </w:r>
      <w:proofErr w:type="gramStart"/>
      <w:r w:rsidRPr="00D8232C">
        <w:t>Tr. 29.</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28.</w:t>
      </w:r>
      <w:r w:rsidRPr="00D8232C">
        <w:tab/>
        <w:t xml:space="preserve">The storm caused approximately $20 million in damage to PPL Electric's facilities.  </w:t>
      </w:r>
      <w:proofErr w:type="gramStart"/>
      <w:r w:rsidRPr="00D8232C">
        <w:t>Tr. 29.</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29.</w:t>
      </w:r>
      <w:r w:rsidRPr="00D8232C">
        <w:tab/>
        <w:t xml:space="preserve">Work is prioritized to restore service to the highest number of customers.  </w:t>
      </w:r>
      <w:proofErr w:type="gramStart"/>
      <w:r w:rsidRPr="00D8232C">
        <w:t>Tr. 30.</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30.</w:t>
      </w:r>
      <w:r w:rsidRPr="00D8232C">
        <w:tab/>
        <w:t xml:space="preserve">Trees and vegetation are trimmed every four years to prevent vegetation or trees from growing into the primary conductors before the next four-year cycle ends.  </w:t>
      </w:r>
      <w:proofErr w:type="gramStart"/>
      <w:r w:rsidRPr="00D8232C">
        <w:t>Tr. 30.</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31.</w:t>
      </w:r>
      <w:r w:rsidRPr="00D8232C">
        <w:tab/>
        <w:t xml:space="preserve">PPL Exhibit AL-8 is </w:t>
      </w:r>
      <w:r w:rsidR="00E22891" w:rsidRPr="00D8232C">
        <w:t>the</w:t>
      </w:r>
      <w:r w:rsidRPr="00D8232C">
        <w:t xml:space="preserve"> PPL Electric Utilities </w:t>
      </w:r>
      <w:r w:rsidR="00E22891" w:rsidRPr="00D8232C">
        <w:t>D</w:t>
      </w:r>
      <w:r w:rsidRPr="00D8232C">
        <w:t xml:space="preserve">istribution </w:t>
      </w:r>
      <w:r w:rsidR="00E22891" w:rsidRPr="00D8232C">
        <w:t>V</w:t>
      </w:r>
      <w:r w:rsidRPr="00D8232C">
        <w:t xml:space="preserve">egetation </w:t>
      </w:r>
      <w:r w:rsidR="00E22891" w:rsidRPr="00D8232C">
        <w:t>M</w:t>
      </w:r>
      <w:r w:rsidRPr="00D8232C">
        <w:t xml:space="preserve">anagement </w:t>
      </w:r>
      <w:r w:rsidR="00E22891" w:rsidRPr="00D8232C">
        <w:t>S</w:t>
      </w:r>
      <w:r w:rsidRPr="00D8232C">
        <w:t>pecification</w:t>
      </w:r>
      <w:r w:rsidR="00E22891" w:rsidRPr="00D8232C">
        <w:t>, updated December 10, 2010</w:t>
      </w:r>
      <w:r w:rsidRPr="00D8232C">
        <w:t xml:space="preserve">.  </w:t>
      </w:r>
      <w:proofErr w:type="gramStart"/>
      <w:r w:rsidRPr="00D8232C">
        <w:t>Tr. 30.</w:t>
      </w:r>
      <w:proofErr w:type="gramEnd"/>
    </w:p>
    <w:p w:rsidR="00C843D1" w:rsidRPr="00D8232C" w:rsidRDefault="00C843D1" w:rsidP="00C662B1">
      <w:pPr>
        <w:jc w:val="left"/>
      </w:pPr>
    </w:p>
    <w:p w:rsidR="00C843D1" w:rsidRPr="00D8232C" w:rsidRDefault="00C843D1" w:rsidP="00C662B1">
      <w:pPr>
        <w:jc w:val="left"/>
      </w:pPr>
      <w:r w:rsidRPr="00D8232C">
        <w:tab/>
      </w:r>
      <w:r w:rsidRPr="00D8232C">
        <w:tab/>
        <w:t>32.</w:t>
      </w:r>
      <w:r w:rsidRPr="00D8232C">
        <w:tab/>
      </w:r>
      <w:r w:rsidR="00E22891" w:rsidRPr="00D8232C">
        <w:t xml:space="preserve">PPL Exhibit AL-8 provides that hazardous trees are evaluated on a case-by-case basis and any dead or high risk trees are removed if they can strike the line from a </w:t>
      </w:r>
      <w:r w:rsidR="00E22891" w:rsidRPr="00D8232C">
        <w:lastRenderedPageBreak/>
        <w:t xml:space="preserve">potential fall-in.  If permission is secured from a property owner, hazardous trees may be dropped, limbed and left off the right-of-way where they have fallen.  </w:t>
      </w:r>
      <w:proofErr w:type="gramStart"/>
      <w:r w:rsidR="00E22891" w:rsidRPr="00D8232C">
        <w:t>Tr. 31.</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33.</w:t>
      </w:r>
      <w:r w:rsidRPr="00D8232C">
        <w:tab/>
        <w:t xml:space="preserve">PPL will not trim or remove trees outside its rights-of-way without permission of the owner.  </w:t>
      </w:r>
      <w:proofErr w:type="gramStart"/>
      <w:r w:rsidRPr="00D8232C">
        <w:t>Tr. 31.</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34.</w:t>
      </w:r>
      <w:r w:rsidRPr="00D8232C">
        <w:tab/>
        <w:t xml:space="preserve">A tree which poses a danger in a storm cannot always be identified in advance.  </w:t>
      </w:r>
      <w:proofErr w:type="gramStart"/>
      <w:r w:rsidRPr="00D8232C">
        <w:t>Tr. 32.</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35.</w:t>
      </w:r>
      <w:r w:rsidRPr="00D8232C">
        <w:tab/>
        <w:t xml:space="preserve">Burying distribution lines does not remove the threat of all outages as they are also susceptible to failure and damage.  </w:t>
      </w:r>
      <w:proofErr w:type="gramStart"/>
      <w:r w:rsidRPr="00D8232C">
        <w:t>Tr. 32.</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36.</w:t>
      </w:r>
      <w:r w:rsidRPr="00D8232C">
        <w:tab/>
        <w:t xml:space="preserve">Drawbacks to underground distribution lines include high maintenance costs and more difficulty trouble-shooting problems and restoring customers when there is a failure.  </w:t>
      </w:r>
      <w:proofErr w:type="gramStart"/>
      <w:r w:rsidRPr="00D8232C">
        <w:t>Tr. 32.</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37.</w:t>
      </w:r>
      <w:r w:rsidRPr="00D8232C">
        <w:tab/>
        <w:t xml:space="preserve">If the tap line that serves Complainant were buried, there would still be aerial lines serving him.  </w:t>
      </w:r>
      <w:proofErr w:type="gramStart"/>
      <w:r w:rsidRPr="00D8232C">
        <w:t>Tr. 33.</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38.</w:t>
      </w:r>
      <w:r w:rsidRPr="00D8232C">
        <w:tab/>
        <w:t xml:space="preserve">A customer who wants a distribution line buried may request it but must also pay for it.  </w:t>
      </w:r>
      <w:proofErr w:type="gramStart"/>
      <w:r w:rsidRPr="00D8232C">
        <w:t>Tr. 33.</w:t>
      </w:r>
      <w:proofErr w:type="gramEnd"/>
    </w:p>
    <w:p w:rsidR="008A7818" w:rsidRPr="00D8232C" w:rsidRDefault="008A7818" w:rsidP="00C662B1">
      <w:pPr>
        <w:jc w:val="left"/>
      </w:pPr>
    </w:p>
    <w:p w:rsidR="008A7818" w:rsidRPr="00D8232C" w:rsidRDefault="008A7818" w:rsidP="00C662B1">
      <w:pPr>
        <w:jc w:val="left"/>
      </w:pPr>
      <w:r w:rsidRPr="00D8232C">
        <w:tab/>
      </w:r>
      <w:r w:rsidRPr="00D8232C">
        <w:tab/>
        <w:t>39.</w:t>
      </w:r>
      <w:r w:rsidRPr="00D8232C">
        <w:tab/>
        <w:t>The cost of burying the approximately 2,200 foot tap line that serves Complainant and his neighbors, exclusive of excavation, boring, back-fill and mechanical facilities</w:t>
      </w:r>
      <w:r w:rsidR="008F3BE2" w:rsidRPr="00D8232C">
        <w:t xml:space="preserve"> is roughly $50,000.  Tr. 33-34.</w:t>
      </w:r>
    </w:p>
    <w:p w:rsidR="008F3BE2" w:rsidRPr="00D8232C" w:rsidRDefault="008F3BE2" w:rsidP="00C662B1">
      <w:pPr>
        <w:jc w:val="left"/>
      </w:pPr>
    </w:p>
    <w:p w:rsidR="008F3BE2" w:rsidRPr="00D8232C" w:rsidRDefault="008F3BE2" w:rsidP="00C662B1">
      <w:pPr>
        <w:jc w:val="left"/>
      </w:pPr>
      <w:r w:rsidRPr="00D8232C">
        <w:tab/>
      </w:r>
      <w:r w:rsidRPr="00D8232C">
        <w:tab/>
        <w:t>40.</w:t>
      </w:r>
      <w:r w:rsidRPr="00D8232C">
        <w:tab/>
        <w:t xml:space="preserve">The cost of extending the existing underground line to provide service to Complainant's residence, not including his neighbors, from it would be approximately $5,000, exclusive of excavation, boring, back-fill and mechanical facilities.  </w:t>
      </w:r>
      <w:proofErr w:type="gramStart"/>
      <w:r w:rsidRPr="00D8232C">
        <w:t>Tr. 34</w:t>
      </w:r>
      <w:r w:rsidR="00444087" w:rsidRPr="00D8232C">
        <w:t>,</w:t>
      </w:r>
      <w:r w:rsidRPr="00D8232C">
        <w:t xml:space="preserve"> 36.</w:t>
      </w:r>
      <w:proofErr w:type="gramEnd"/>
    </w:p>
    <w:p w:rsidR="008F3BE2" w:rsidRPr="00D8232C" w:rsidRDefault="008F3BE2" w:rsidP="00C662B1">
      <w:pPr>
        <w:jc w:val="left"/>
      </w:pPr>
    </w:p>
    <w:p w:rsidR="008F3BE2" w:rsidRPr="00D8232C" w:rsidRDefault="008F3BE2" w:rsidP="00C662B1">
      <w:pPr>
        <w:jc w:val="left"/>
      </w:pPr>
      <w:r w:rsidRPr="00D8232C">
        <w:lastRenderedPageBreak/>
        <w:tab/>
      </w:r>
      <w:r w:rsidRPr="00D8232C">
        <w:tab/>
        <w:t>41.</w:t>
      </w:r>
      <w:r w:rsidRPr="00D8232C">
        <w:tab/>
        <w:t xml:space="preserve">Serving Complainant from the existing underground line could require rewiring work inside Complainant's home, and he would be responsible for those costs as well.  </w:t>
      </w:r>
      <w:proofErr w:type="gramStart"/>
      <w:r w:rsidRPr="00D8232C">
        <w:t>Tr. 34.</w:t>
      </w:r>
      <w:proofErr w:type="gramEnd"/>
    </w:p>
    <w:p w:rsidR="008F3BE2" w:rsidRPr="00D8232C" w:rsidRDefault="008F3BE2" w:rsidP="00C662B1">
      <w:pPr>
        <w:jc w:val="left"/>
      </w:pPr>
    </w:p>
    <w:p w:rsidR="008F3BE2" w:rsidRPr="00D8232C" w:rsidRDefault="008F3BE2" w:rsidP="00C662B1">
      <w:pPr>
        <w:jc w:val="left"/>
      </w:pPr>
      <w:r w:rsidRPr="00D8232C">
        <w:tab/>
      </w:r>
      <w:r w:rsidRPr="00D8232C">
        <w:tab/>
        <w:t>42.</w:t>
      </w:r>
      <w:r w:rsidRPr="00D8232C">
        <w:tab/>
        <w:t xml:space="preserve">The </w:t>
      </w:r>
      <w:r w:rsidR="00444087" w:rsidRPr="00D8232C">
        <w:t xml:space="preserve">Company </w:t>
      </w:r>
      <w:r w:rsidRPr="00D8232C">
        <w:t xml:space="preserve">estimates were compiled using standard cost tables for determining estimated costs during design and engineering of new services and other work done on the system.  </w:t>
      </w:r>
      <w:proofErr w:type="gramStart"/>
      <w:r w:rsidRPr="00D8232C">
        <w:t>Tr. 35.</w:t>
      </w:r>
      <w:proofErr w:type="gramEnd"/>
    </w:p>
    <w:p w:rsidR="008F3BE2" w:rsidRPr="00D8232C" w:rsidRDefault="008F3BE2" w:rsidP="00C662B1">
      <w:pPr>
        <w:jc w:val="left"/>
      </w:pPr>
    </w:p>
    <w:p w:rsidR="008F3BE2" w:rsidRPr="00D8232C" w:rsidRDefault="008F3BE2" w:rsidP="00C662B1">
      <w:pPr>
        <w:jc w:val="left"/>
      </w:pPr>
      <w:r w:rsidRPr="00D8232C">
        <w:tab/>
      </w:r>
      <w:r w:rsidRPr="00D8232C">
        <w:tab/>
        <w:t>43.</w:t>
      </w:r>
      <w:r w:rsidRPr="00D8232C">
        <w:tab/>
        <w:t xml:space="preserve">PPL is willing to bury the lines if Complainant pays for the project.  </w:t>
      </w:r>
      <w:proofErr w:type="gramStart"/>
      <w:r w:rsidRPr="00D8232C">
        <w:t>Tr. 35.</w:t>
      </w:r>
      <w:proofErr w:type="gramEnd"/>
    </w:p>
    <w:p w:rsidR="008F3BE2" w:rsidRPr="00D8232C" w:rsidRDefault="008F3BE2" w:rsidP="00C662B1">
      <w:pPr>
        <w:jc w:val="left"/>
      </w:pPr>
    </w:p>
    <w:p w:rsidR="008F3BE2" w:rsidRPr="00D8232C" w:rsidRDefault="008F3BE2" w:rsidP="00C662B1">
      <w:pPr>
        <w:jc w:val="left"/>
      </w:pPr>
      <w:r w:rsidRPr="00D8232C">
        <w:tab/>
      </w:r>
      <w:r w:rsidRPr="00D8232C">
        <w:tab/>
        <w:t>44.</w:t>
      </w:r>
      <w:r w:rsidRPr="00D8232C">
        <w:tab/>
        <w:t xml:space="preserve">PPL Exhibit AL-9 is the cost estimate for installing underground electric service from the </w:t>
      </w:r>
      <w:proofErr w:type="spellStart"/>
      <w:r w:rsidRPr="00D8232C">
        <w:t>padmounted</w:t>
      </w:r>
      <w:proofErr w:type="spellEnd"/>
      <w:r w:rsidRPr="00D8232C">
        <w:t xml:space="preserve"> transformer across the street from Complainant's residence to the residence, which is $18,500.  </w:t>
      </w:r>
      <w:proofErr w:type="gramStart"/>
      <w:r w:rsidRPr="00D8232C">
        <w:t>Exhibit AL-9.</w:t>
      </w:r>
      <w:proofErr w:type="gramEnd"/>
    </w:p>
    <w:p w:rsidR="008F3BE2" w:rsidRPr="00D8232C" w:rsidRDefault="008F3BE2" w:rsidP="00C662B1">
      <w:pPr>
        <w:jc w:val="left"/>
      </w:pPr>
    </w:p>
    <w:p w:rsidR="008F3BE2" w:rsidRPr="00D8232C" w:rsidRDefault="008F3BE2" w:rsidP="00C662B1">
      <w:pPr>
        <w:jc w:val="left"/>
      </w:pPr>
      <w:r w:rsidRPr="00D8232C">
        <w:tab/>
      </w:r>
      <w:r w:rsidRPr="00D8232C">
        <w:tab/>
        <w:t>45.</w:t>
      </w:r>
      <w:r w:rsidRPr="00D8232C">
        <w:tab/>
      </w:r>
      <w:r w:rsidR="005509BE" w:rsidRPr="00D8232C">
        <w:t xml:space="preserve">Vegetation management tree trimming was performed in 2009 in the area where the tree caused the lengthy outage due to the storm on October 29, 2011.  </w:t>
      </w:r>
      <w:proofErr w:type="gramStart"/>
      <w:r w:rsidR="005509BE" w:rsidRPr="00D8232C">
        <w:t>Tr. 39.</w:t>
      </w:r>
      <w:proofErr w:type="gramEnd"/>
    </w:p>
    <w:p w:rsidR="005509BE" w:rsidRPr="00D8232C" w:rsidRDefault="005509BE" w:rsidP="00C662B1">
      <w:pPr>
        <w:jc w:val="left"/>
      </w:pPr>
    </w:p>
    <w:p w:rsidR="005509BE" w:rsidRPr="00D8232C" w:rsidRDefault="005509BE" w:rsidP="00C662B1">
      <w:pPr>
        <w:jc w:val="left"/>
      </w:pPr>
      <w:r w:rsidRPr="00D8232C">
        <w:tab/>
      </w:r>
      <w:r w:rsidRPr="00D8232C">
        <w:tab/>
        <w:t>46.</w:t>
      </w:r>
      <w:r w:rsidRPr="00D8232C">
        <w:tab/>
        <w:t xml:space="preserve">Joseph M. Kleha, manager of regulatory compliance and rates, appeared on behalf of Respondent.  </w:t>
      </w:r>
      <w:proofErr w:type="gramStart"/>
      <w:r w:rsidRPr="00D8232C">
        <w:t>Tr. 40.</w:t>
      </w:r>
      <w:proofErr w:type="gramEnd"/>
    </w:p>
    <w:p w:rsidR="005509BE" w:rsidRPr="00D8232C" w:rsidRDefault="005509BE" w:rsidP="00C662B1">
      <w:pPr>
        <w:jc w:val="left"/>
      </w:pPr>
    </w:p>
    <w:p w:rsidR="002003F0" w:rsidRPr="00D8232C" w:rsidRDefault="005509BE" w:rsidP="00C662B1">
      <w:pPr>
        <w:jc w:val="left"/>
      </w:pPr>
      <w:r w:rsidRPr="00D8232C">
        <w:tab/>
      </w:r>
      <w:r w:rsidRPr="00D8232C">
        <w:tab/>
        <w:t>47.</w:t>
      </w:r>
      <w:r w:rsidRPr="00D8232C">
        <w:tab/>
      </w:r>
      <w:r w:rsidR="002003F0" w:rsidRPr="00D8232C">
        <w:t xml:space="preserve">Rates are established by determining the cost of service </w:t>
      </w:r>
      <w:r w:rsidR="002326CC">
        <w:t xml:space="preserve">for </w:t>
      </w:r>
      <w:r w:rsidR="002003F0" w:rsidRPr="00D8232C">
        <w:t xml:space="preserve">each rate schedule, including associated facilities.  </w:t>
      </w:r>
      <w:proofErr w:type="gramStart"/>
      <w:r w:rsidR="002003F0" w:rsidRPr="00D8232C">
        <w:t>Tr. 42.</w:t>
      </w:r>
      <w:proofErr w:type="gramEnd"/>
    </w:p>
    <w:p w:rsidR="002003F0" w:rsidRPr="00D8232C" w:rsidRDefault="002003F0" w:rsidP="00C662B1">
      <w:pPr>
        <w:jc w:val="left"/>
      </w:pPr>
    </w:p>
    <w:p w:rsidR="002003F0" w:rsidRPr="00D8232C" w:rsidRDefault="002003F0" w:rsidP="00C662B1">
      <w:pPr>
        <w:jc w:val="left"/>
      </w:pPr>
      <w:r w:rsidRPr="00D8232C">
        <w:tab/>
      </w:r>
      <w:r w:rsidRPr="00D8232C">
        <w:tab/>
        <w:t>48.</w:t>
      </w:r>
      <w:r w:rsidRPr="00D8232C">
        <w:tab/>
        <w:t xml:space="preserve">Customers being served by overhead lines and customers on the same rate schedule being service by underground lines will be charged the same rate.  </w:t>
      </w:r>
      <w:proofErr w:type="gramStart"/>
      <w:r w:rsidRPr="00D8232C">
        <w:t>Tr. 42.</w:t>
      </w:r>
      <w:proofErr w:type="gramEnd"/>
    </w:p>
    <w:p w:rsidR="002003F0" w:rsidRPr="00D8232C" w:rsidRDefault="002003F0" w:rsidP="00C662B1">
      <w:pPr>
        <w:jc w:val="left"/>
      </w:pPr>
    </w:p>
    <w:p w:rsidR="005509BE" w:rsidRPr="00D8232C" w:rsidRDefault="002003F0" w:rsidP="00C662B1">
      <w:pPr>
        <w:jc w:val="left"/>
      </w:pPr>
      <w:r w:rsidRPr="00D8232C">
        <w:tab/>
      </w:r>
      <w:r w:rsidRPr="00D8232C">
        <w:tab/>
        <w:t>49.</w:t>
      </w:r>
      <w:r w:rsidRPr="00D8232C">
        <w:tab/>
        <w:t xml:space="preserve">Underground facilities are generally found in large residential developments of five or more homes.  </w:t>
      </w:r>
      <w:proofErr w:type="gramStart"/>
      <w:r w:rsidRPr="00D8232C">
        <w:t>Tr. 42.</w:t>
      </w:r>
      <w:proofErr w:type="gramEnd"/>
      <w:r w:rsidRPr="00D8232C">
        <w:t xml:space="preserve">  </w:t>
      </w:r>
    </w:p>
    <w:p w:rsidR="002003F0" w:rsidRPr="00D8232C" w:rsidRDefault="002003F0" w:rsidP="00C662B1">
      <w:pPr>
        <w:jc w:val="left"/>
      </w:pPr>
    </w:p>
    <w:p w:rsidR="002003F0" w:rsidRPr="00D8232C" w:rsidRDefault="002003F0" w:rsidP="00C662B1">
      <w:pPr>
        <w:jc w:val="left"/>
      </w:pPr>
      <w:r w:rsidRPr="00D8232C">
        <w:lastRenderedPageBreak/>
        <w:tab/>
      </w:r>
      <w:r w:rsidRPr="00D8232C">
        <w:tab/>
        <w:t>50.</w:t>
      </w:r>
      <w:r w:rsidRPr="00D8232C">
        <w:tab/>
        <w:t xml:space="preserve">Individual homeowners applying for underground service will pay for the undergrounding.  </w:t>
      </w:r>
      <w:proofErr w:type="gramStart"/>
      <w:r w:rsidRPr="00D8232C">
        <w:t>Tr. 42.</w:t>
      </w:r>
      <w:proofErr w:type="gramEnd"/>
    </w:p>
    <w:p w:rsidR="002003F0" w:rsidRPr="00D8232C" w:rsidRDefault="002003F0" w:rsidP="00C662B1">
      <w:pPr>
        <w:jc w:val="left"/>
      </w:pPr>
    </w:p>
    <w:p w:rsidR="002003F0" w:rsidRPr="00D8232C" w:rsidRDefault="002003F0" w:rsidP="00C662B1">
      <w:pPr>
        <w:jc w:val="left"/>
      </w:pPr>
      <w:r w:rsidRPr="00D8232C">
        <w:tab/>
      </w:r>
      <w:r w:rsidRPr="00D8232C">
        <w:tab/>
        <w:t>51.</w:t>
      </w:r>
      <w:r w:rsidRPr="00D8232C">
        <w:tab/>
        <w:t xml:space="preserve">In the case of a development where the service is underground, the developer will pay for the undergrounding.  </w:t>
      </w:r>
      <w:proofErr w:type="gramStart"/>
      <w:r w:rsidRPr="00D8232C">
        <w:t>Tr. 43.</w:t>
      </w:r>
      <w:proofErr w:type="gramEnd"/>
    </w:p>
    <w:p w:rsidR="002003F0" w:rsidRPr="00D8232C" w:rsidRDefault="002003F0" w:rsidP="00C662B1">
      <w:pPr>
        <w:jc w:val="left"/>
      </w:pPr>
    </w:p>
    <w:p w:rsidR="002003F0" w:rsidRPr="00D8232C" w:rsidRDefault="002003F0" w:rsidP="00C662B1">
      <w:pPr>
        <w:jc w:val="left"/>
      </w:pPr>
      <w:r w:rsidRPr="00D8232C">
        <w:tab/>
      </w:r>
      <w:r w:rsidRPr="00D8232C">
        <w:tab/>
        <w:t>52.</w:t>
      </w:r>
      <w:r w:rsidRPr="00D8232C">
        <w:tab/>
        <w:t xml:space="preserve">The cost to the Company for supplying underground lines when the homes in a development are built </w:t>
      </w:r>
      <w:r w:rsidR="002326CC">
        <w:t xml:space="preserve">is </w:t>
      </w:r>
      <w:r w:rsidRPr="00D8232C">
        <w:t xml:space="preserve">roughly the same as for overhead service.  </w:t>
      </w:r>
      <w:proofErr w:type="gramStart"/>
      <w:r w:rsidRPr="00D8232C">
        <w:t>Tr. 43.</w:t>
      </w:r>
      <w:proofErr w:type="gramEnd"/>
    </w:p>
    <w:p w:rsidR="002003F0" w:rsidRPr="00D8232C" w:rsidRDefault="002003F0" w:rsidP="00C662B1">
      <w:pPr>
        <w:jc w:val="left"/>
      </w:pPr>
    </w:p>
    <w:p w:rsidR="002003F0" w:rsidRPr="00D8232C" w:rsidRDefault="002003F0" w:rsidP="00C662B1">
      <w:pPr>
        <w:jc w:val="left"/>
      </w:pPr>
      <w:r w:rsidRPr="00D8232C">
        <w:tab/>
      </w:r>
      <w:r w:rsidRPr="00D8232C">
        <w:tab/>
        <w:t>53.</w:t>
      </w:r>
      <w:r w:rsidRPr="00D8232C">
        <w:tab/>
        <w:t xml:space="preserve">The rates for underground and above-ground service are the same because the cost of establishing and maintaining service are roughly the same.  </w:t>
      </w:r>
      <w:proofErr w:type="gramStart"/>
      <w:r w:rsidRPr="00D8232C">
        <w:t>Tr. 44.</w:t>
      </w:r>
      <w:proofErr w:type="gramEnd"/>
    </w:p>
    <w:p w:rsidR="002003F0" w:rsidRPr="00D8232C" w:rsidRDefault="002003F0" w:rsidP="00C662B1">
      <w:pPr>
        <w:jc w:val="left"/>
      </w:pPr>
    </w:p>
    <w:p w:rsidR="002003F0" w:rsidRPr="00D8232C" w:rsidRDefault="002003F0" w:rsidP="00C662B1">
      <w:pPr>
        <w:jc w:val="left"/>
      </w:pPr>
      <w:r w:rsidRPr="00D8232C">
        <w:tab/>
      </w:r>
      <w:r w:rsidRPr="00D8232C">
        <w:tab/>
        <w:t>54.</w:t>
      </w:r>
      <w:r w:rsidRPr="00D8232C">
        <w:tab/>
      </w:r>
      <w:r w:rsidR="00A5187B" w:rsidRPr="00D8232C">
        <w:t>PPL cannot control all potential service interruptions that might occur.  Tr. 45-46.</w:t>
      </w:r>
    </w:p>
    <w:p w:rsidR="00A5187B" w:rsidRPr="00D8232C" w:rsidRDefault="00A5187B" w:rsidP="00C662B1">
      <w:pPr>
        <w:jc w:val="left"/>
      </w:pPr>
    </w:p>
    <w:p w:rsidR="006D2D25" w:rsidRPr="00D8232C" w:rsidRDefault="006D2D25" w:rsidP="00A5187B">
      <w:pPr>
        <w:rPr>
          <w:u w:val="single"/>
        </w:rPr>
      </w:pPr>
      <w:r w:rsidRPr="00D8232C">
        <w:rPr>
          <w:u w:val="single"/>
        </w:rPr>
        <w:t>DISCUSSION</w:t>
      </w:r>
    </w:p>
    <w:p w:rsidR="006D2D25" w:rsidRPr="00D8232C" w:rsidRDefault="006D2D25" w:rsidP="006D2D25">
      <w:pPr>
        <w:rPr>
          <w:u w:val="single"/>
        </w:rPr>
      </w:pPr>
    </w:p>
    <w:p w:rsidR="006D2D25" w:rsidRPr="00D8232C" w:rsidRDefault="006D2D25" w:rsidP="006D2D25">
      <w:pPr>
        <w:contextualSpacing/>
        <w:jc w:val="left"/>
      </w:pPr>
      <w:r w:rsidRPr="00D8232C">
        <w:tab/>
      </w:r>
      <w:r w:rsidRPr="00D8232C">
        <w:tab/>
        <w:t xml:space="preserve">The issue is whether the Company's existing distribution system is providing adequate service to the Complainant's residence or whether </w:t>
      </w:r>
      <w:r w:rsidR="00444087" w:rsidRPr="00D8232C">
        <w:t>the Company</w:t>
      </w:r>
      <w:r w:rsidRPr="00D8232C">
        <w:t xml:space="preserve"> should be required to re-route its lines</w:t>
      </w:r>
      <w:r w:rsidR="00151B30" w:rsidRPr="00D8232C">
        <w:t xml:space="preserve"> and provide storm damage protection by placing them underground</w:t>
      </w:r>
      <w:r w:rsidRPr="00D8232C">
        <w:t>.</w:t>
      </w:r>
      <w:r w:rsidRPr="00D8232C">
        <w:tab/>
      </w:r>
      <w:r w:rsidRPr="00D8232C">
        <w:tab/>
      </w:r>
    </w:p>
    <w:p w:rsidR="006D2D25" w:rsidRPr="00D8232C" w:rsidRDefault="006D2D25" w:rsidP="006D2D25">
      <w:pPr>
        <w:contextualSpacing/>
        <w:jc w:val="left"/>
      </w:pPr>
    </w:p>
    <w:p w:rsidR="006D2D25" w:rsidRPr="00D8232C" w:rsidRDefault="00614E70" w:rsidP="006D2D25">
      <w:pPr>
        <w:contextualSpacing/>
        <w:jc w:val="left"/>
      </w:pPr>
      <w:r w:rsidRPr="00D8232C">
        <w:tab/>
      </w:r>
      <w:r w:rsidRPr="00D8232C">
        <w:tab/>
      </w:r>
      <w:r w:rsidR="006D2D25" w:rsidRPr="00D8232C">
        <w:t xml:space="preserve">The proponent of a rule or order in any Commission proceeding has the burden of proof, 66 Pa. C.S. § 332, and therefore, the Applicant has the burden of proving its case by a preponderance of the evidence, or evidence which is more convincing than the evidence presented by the other parties.  </w:t>
      </w:r>
      <w:proofErr w:type="gramStart"/>
      <w:r w:rsidR="006D2D25" w:rsidRPr="00D8232C">
        <w:rPr>
          <w:i/>
        </w:rPr>
        <w:t>Se-Ling Hosiery v. Margulies</w:t>
      </w:r>
      <w:r w:rsidR="006D2D25" w:rsidRPr="00D8232C">
        <w:t xml:space="preserve">, 364 Pa. 45, 70 A.3d 854 (1950); </w:t>
      </w:r>
      <w:r w:rsidR="006D2D25" w:rsidRPr="00D8232C">
        <w:rPr>
          <w:i/>
        </w:rPr>
        <w:t>Samuel J. Lansberry, Inc. v. Pa. Publ. Util. Comm’n</w:t>
      </w:r>
      <w:r w:rsidR="006D2D25" w:rsidRPr="00D8232C">
        <w:t>, 578 A.2d 600 (Pa. Cmwlth. 1990).</w:t>
      </w:r>
      <w:proofErr w:type="gramEnd"/>
    </w:p>
    <w:p w:rsidR="006D2D25" w:rsidRPr="00D8232C" w:rsidRDefault="006D2D25" w:rsidP="006D2D25">
      <w:pPr>
        <w:contextualSpacing/>
        <w:jc w:val="left"/>
      </w:pPr>
    </w:p>
    <w:p w:rsidR="006D2D25" w:rsidRPr="00D8232C" w:rsidRDefault="006D2D25" w:rsidP="006D2D25">
      <w:pPr>
        <w:jc w:val="left"/>
      </w:pPr>
      <w:r w:rsidRPr="00D8232C">
        <w:tab/>
      </w:r>
      <w:r w:rsidRPr="00D8232C">
        <w:tab/>
        <w:t xml:space="preserve">Additionally, any finding of fact necessary to support an adjudication of the Commission must be based upon substantial evidence, which is such relevant evidence as a reasonable mind might accept as adequate to support a conclusion.  </w:t>
      </w:r>
      <w:proofErr w:type="gramStart"/>
      <w:r w:rsidRPr="00D8232C">
        <w:rPr>
          <w:i/>
        </w:rPr>
        <w:t>Mill v. Comm., Pa. Publ. Util. Comm’n</w:t>
      </w:r>
      <w:r w:rsidRPr="00D8232C">
        <w:t xml:space="preserve">, 447 A.2d 1100 (Pa. Cmwlth. Ct.1982); </w:t>
      </w:r>
      <w:r w:rsidRPr="00D8232C">
        <w:rPr>
          <w:i/>
        </w:rPr>
        <w:t xml:space="preserve">Edan Transportation Corp. v. Pa. Publ. </w:t>
      </w:r>
      <w:r w:rsidRPr="00D8232C">
        <w:rPr>
          <w:i/>
        </w:rPr>
        <w:lastRenderedPageBreak/>
        <w:t>Util. Comm’n,</w:t>
      </w:r>
      <w:r w:rsidRPr="00D8232C">
        <w:t xml:space="preserve"> 623 A.2d 6 (Pa. Cmwlth. Ct.1993), 2 Pa. C.S. § 704.</w:t>
      </w:r>
      <w:proofErr w:type="gramEnd"/>
      <w:r w:rsidRPr="00D8232C">
        <w:t xml:space="preserve">  More is required than a mere trace of evidence or a suspicion of the existence of a fact sought to be established.  </w:t>
      </w:r>
      <w:proofErr w:type="gramStart"/>
      <w:r w:rsidRPr="00D8232C">
        <w:rPr>
          <w:i/>
        </w:rPr>
        <w:t xml:space="preserve">Norfolk &amp; Western Ry. V. Pa. Publ. Util. Comm’n, </w:t>
      </w:r>
      <w:r w:rsidRPr="00D8232C">
        <w:t xml:space="preserve">489 Pa. 109, 413 A.2d 1037 (1980); </w:t>
      </w:r>
      <w:r w:rsidRPr="00D8232C">
        <w:rPr>
          <w:i/>
        </w:rPr>
        <w:t>Erie Resistor Corp. v. Unemployment Com. Bd.</w:t>
      </w:r>
      <w:proofErr w:type="gramEnd"/>
      <w:r w:rsidRPr="00D8232C">
        <w:rPr>
          <w:i/>
        </w:rPr>
        <w:t xml:space="preserve"> </w:t>
      </w:r>
      <w:proofErr w:type="gramStart"/>
      <w:r w:rsidRPr="00D8232C">
        <w:rPr>
          <w:i/>
        </w:rPr>
        <w:t>Of Review</w:t>
      </w:r>
      <w:r w:rsidRPr="00D8232C">
        <w:t>, 166 A.2d 96 (Pa. Super.</w:t>
      </w:r>
      <w:proofErr w:type="gramEnd"/>
      <w:r w:rsidRPr="00D8232C">
        <w:t xml:space="preserve"> </w:t>
      </w:r>
      <w:proofErr w:type="gramStart"/>
      <w:r w:rsidRPr="00D8232C">
        <w:t xml:space="preserve">Ct.1960); </w:t>
      </w:r>
      <w:r w:rsidRPr="00D8232C">
        <w:rPr>
          <w:i/>
        </w:rPr>
        <w:t xml:space="preserve">Murphy v. Comm., Dept. of Public Welfare, White Haven Center, </w:t>
      </w:r>
      <w:r w:rsidRPr="00D8232C">
        <w:t>480 A.2d 382 (Pa. Cmwlth. Ct.1984).</w:t>
      </w:r>
      <w:proofErr w:type="gramEnd"/>
    </w:p>
    <w:p w:rsidR="006D2D25" w:rsidRPr="00D8232C" w:rsidRDefault="006D2D25" w:rsidP="006D2D25">
      <w:pPr>
        <w:jc w:val="left"/>
      </w:pPr>
    </w:p>
    <w:p w:rsidR="006D2D25" w:rsidRPr="00D8232C" w:rsidRDefault="006D2D25" w:rsidP="006D2D25">
      <w:pPr>
        <w:jc w:val="left"/>
        <w:rPr>
          <w:spacing w:val="-3"/>
        </w:rPr>
      </w:pPr>
      <w:r w:rsidRPr="00D8232C">
        <w:tab/>
      </w:r>
      <w:r w:rsidRPr="00D8232C">
        <w:tab/>
      </w:r>
      <w:r w:rsidRPr="00D8232C">
        <w:rPr>
          <w:spacing w:val="-3"/>
        </w:rPr>
        <w:t xml:space="preserve">The “burden of proof” is composed of two distinct burdens: the burden of production and the burden of persuasion.  </w:t>
      </w:r>
      <w:r w:rsidRPr="00D8232C">
        <w:rPr>
          <w:i/>
          <w:spacing w:val="-3"/>
        </w:rPr>
        <w:t>Hurley v. Hurley</w:t>
      </w:r>
      <w:r w:rsidRPr="00D8232C">
        <w:rPr>
          <w:spacing w:val="-3"/>
        </w:rPr>
        <w:t xml:space="preserve">, 2000 </w:t>
      </w:r>
      <w:proofErr w:type="spellStart"/>
      <w:r w:rsidRPr="00D8232C">
        <w:rPr>
          <w:spacing w:val="-3"/>
        </w:rPr>
        <w:t>Pa.Super</w:t>
      </w:r>
      <w:proofErr w:type="spellEnd"/>
      <w:r w:rsidRPr="00D8232C">
        <w:rPr>
          <w:spacing w:val="-3"/>
        </w:rPr>
        <w:t xml:space="preserve">. </w:t>
      </w:r>
      <w:proofErr w:type="gramStart"/>
      <w:r w:rsidRPr="00D8232C">
        <w:rPr>
          <w:spacing w:val="-3"/>
        </w:rPr>
        <w:t>178, 754 A.2d 1283 (2000).</w:t>
      </w:r>
      <w:proofErr w:type="gramEnd"/>
    </w:p>
    <w:p w:rsidR="006D2D25" w:rsidRPr="00D8232C" w:rsidRDefault="006D2D25" w:rsidP="006D2D25">
      <w:pPr>
        <w:jc w:val="left"/>
        <w:rPr>
          <w:spacing w:val="-3"/>
        </w:rPr>
      </w:pPr>
    </w:p>
    <w:p w:rsidR="006D2D25" w:rsidRPr="00D8232C" w:rsidRDefault="006D2D25" w:rsidP="006D2D25">
      <w:pPr>
        <w:tabs>
          <w:tab w:val="left" w:pos="-1440"/>
          <w:tab w:val="left" w:pos="-720"/>
        </w:tabs>
        <w:suppressAutoHyphens/>
        <w:ind w:firstLine="1440"/>
        <w:jc w:val="left"/>
        <w:rPr>
          <w:spacing w:val="-3"/>
        </w:rPr>
      </w:pPr>
      <w:r w:rsidRPr="00D8232C">
        <w:rPr>
          <w:spacing w:val="-3"/>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w:t>
      </w:r>
      <w:proofErr w:type="gramStart"/>
      <w:r w:rsidRPr="00D8232C">
        <w:rPr>
          <w:spacing w:val="-3"/>
        </w:rPr>
        <w:t>Once the party with the initial burden of production introduces sufficient evidence to make out a prima facie case, the burden of production shifts to the opposing party.</w:t>
      </w:r>
      <w:proofErr w:type="gramEnd"/>
      <w:r w:rsidRPr="00D8232C">
        <w:rPr>
          <w:spacing w:val="-3"/>
        </w:rPr>
        <w:t xml:space="preserve">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6D2D25" w:rsidRPr="00D8232C" w:rsidRDefault="006D2D25" w:rsidP="006D2D25">
      <w:pPr>
        <w:tabs>
          <w:tab w:val="left" w:pos="-1440"/>
          <w:tab w:val="left" w:pos="-720"/>
        </w:tabs>
        <w:suppressAutoHyphens/>
        <w:ind w:firstLine="1440"/>
        <w:jc w:val="left"/>
        <w:rPr>
          <w:spacing w:val="-3"/>
        </w:rPr>
      </w:pPr>
    </w:p>
    <w:p w:rsidR="006D2D25" w:rsidRPr="00D8232C" w:rsidRDefault="00614E70" w:rsidP="006D2D25">
      <w:pPr>
        <w:pStyle w:val="FootnoteText"/>
        <w:spacing w:line="360" w:lineRule="auto"/>
        <w:jc w:val="left"/>
        <w:rPr>
          <w:spacing w:val="-3"/>
          <w:sz w:val="24"/>
          <w:szCs w:val="24"/>
        </w:rPr>
      </w:pPr>
      <w:r w:rsidRPr="00D8232C">
        <w:rPr>
          <w:spacing w:val="-3"/>
          <w:sz w:val="24"/>
          <w:szCs w:val="24"/>
        </w:rPr>
        <w:tab/>
      </w:r>
      <w:r w:rsidRPr="00D8232C">
        <w:rPr>
          <w:spacing w:val="-3"/>
          <w:sz w:val="24"/>
          <w:szCs w:val="24"/>
        </w:rPr>
        <w:tab/>
      </w:r>
      <w:r w:rsidR="006D2D25" w:rsidRPr="00D8232C">
        <w:rPr>
          <w:spacing w:val="-3"/>
          <w:sz w:val="24"/>
          <w:szCs w:val="24"/>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006D2D25" w:rsidRPr="00D8232C">
        <w:rPr>
          <w:i/>
          <w:spacing w:val="-3"/>
          <w:sz w:val="24"/>
          <w:szCs w:val="24"/>
        </w:rPr>
        <w:t>Riedel v. County of Allegheny</w:t>
      </w:r>
      <w:r w:rsidR="006D2D25" w:rsidRPr="00D8232C">
        <w:rPr>
          <w:spacing w:val="-3"/>
          <w:sz w:val="24"/>
          <w:szCs w:val="24"/>
        </w:rPr>
        <w:t xml:space="preserve">, </w:t>
      </w:r>
      <w:proofErr w:type="gramStart"/>
      <w:r w:rsidR="006D2D25" w:rsidRPr="00D8232C">
        <w:rPr>
          <w:spacing w:val="-3"/>
          <w:sz w:val="24"/>
          <w:szCs w:val="24"/>
        </w:rPr>
        <w:t>159 Pa.Cmwlth</w:t>
      </w:r>
      <w:proofErr w:type="gramEnd"/>
      <w:r w:rsidR="006D2D25" w:rsidRPr="00D8232C">
        <w:rPr>
          <w:spacing w:val="-3"/>
          <w:sz w:val="24"/>
          <w:szCs w:val="24"/>
        </w:rPr>
        <w:t xml:space="preserve">. </w:t>
      </w:r>
      <w:proofErr w:type="gramStart"/>
      <w:r w:rsidR="006D2D25" w:rsidRPr="00D8232C">
        <w:rPr>
          <w:spacing w:val="-3"/>
          <w:sz w:val="24"/>
          <w:szCs w:val="24"/>
        </w:rPr>
        <w:t>583; 591, 633 A.2d 1325; 1328 n. 11 (1993).</w:t>
      </w:r>
      <w:proofErr w:type="gramEnd"/>
      <w:r w:rsidR="006D2D25" w:rsidRPr="00D8232C">
        <w:rPr>
          <w:spacing w:val="-3"/>
          <w:sz w:val="24"/>
          <w:szCs w:val="24"/>
        </w:rPr>
        <w:t xml:space="preserve">  The burden of persuasion, usually placed on the complainant, applicant, or petitioner, determines which party must produce sufficient evidence to meet the applicable standard of proof.  </w:t>
      </w:r>
      <w:r w:rsidR="006D2D25" w:rsidRPr="00D8232C">
        <w:rPr>
          <w:sz w:val="24"/>
          <w:szCs w:val="24"/>
        </w:rPr>
        <w:t xml:space="preserve">See, </w:t>
      </w:r>
      <w:proofErr w:type="gramStart"/>
      <w:r w:rsidR="006D2D25" w:rsidRPr="00D8232C">
        <w:rPr>
          <w:sz w:val="24"/>
          <w:szCs w:val="24"/>
        </w:rPr>
        <w:t xml:space="preserve">66 </w:t>
      </w:r>
      <w:proofErr w:type="spellStart"/>
      <w:r w:rsidR="006D2D25" w:rsidRPr="00D8232C">
        <w:rPr>
          <w:sz w:val="24"/>
          <w:szCs w:val="24"/>
        </w:rPr>
        <w:t>Pa.C.S.A</w:t>
      </w:r>
      <w:proofErr w:type="spellEnd"/>
      <w:proofErr w:type="gramEnd"/>
      <w:r w:rsidR="006D2D25" w:rsidRPr="00D8232C">
        <w:rPr>
          <w:sz w:val="24"/>
          <w:szCs w:val="24"/>
        </w:rPr>
        <w:t xml:space="preserve">. </w:t>
      </w:r>
      <w:proofErr w:type="gramStart"/>
      <w:r w:rsidR="006D2D25" w:rsidRPr="00D8232C">
        <w:rPr>
          <w:sz w:val="24"/>
          <w:szCs w:val="24"/>
        </w:rPr>
        <w:t>§§ 332(a), 315.</w:t>
      </w:r>
      <w:r w:rsidR="006D2D25" w:rsidRPr="00D8232C">
        <w:rPr>
          <w:i/>
          <w:spacing w:val="-3"/>
          <w:sz w:val="24"/>
          <w:szCs w:val="24"/>
        </w:rPr>
        <w:t>Hurley v. Hurley</w:t>
      </w:r>
      <w:r w:rsidR="006D2D25" w:rsidRPr="00D8232C">
        <w:rPr>
          <w:spacing w:val="-3"/>
          <w:sz w:val="24"/>
          <w:szCs w:val="24"/>
        </w:rPr>
        <w:t xml:space="preserve">, 2000 </w:t>
      </w:r>
      <w:proofErr w:type="spellStart"/>
      <w:r w:rsidR="006D2D25" w:rsidRPr="00D8232C">
        <w:rPr>
          <w:spacing w:val="-3"/>
          <w:sz w:val="24"/>
          <w:szCs w:val="24"/>
        </w:rPr>
        <w:t>Pa.Super</w:t>
      </w:r>
      <w:proofErr w:type="spellEnd"/>
      <w:r w:rsidR="006D2D25" w:rsidRPr="00D8232C">
        <w:rPr>
          <w:spacing w:val="-3"/>
          <w:sz w:val="24"/>
          <w:szCs w:val="24"/>
        </w:rPr>
        <w:t>.</w:t>
      </w:r>
      <w:proofErr w:type="gramEnd"/>
      <w:r w:rsidR="006D2D25" w:rsidRPr="00D8232C">
        <w:rPr>
          <w:spacing w:val="-3"/>
          <w:sz w:val="24"/>
          <w:szCs w:val="24"/>
        </w:rPr>
        <w:t xml:space="preserve"> </w:t>
      </w:r>
      <w:proofErr w:type="gramStart"/>
      <w:r w:rsidR="006D2D25" w:rsidRPr="00D8232C">
        <w:rPr>
          <w:spacing w:val="-3"/>
          <w:sz w:val="24"/>
          <w:szCs w:val="24"/>
        </w:rPr>
        <w:t>178, 754 A.2d 1283 (2000).</w:t>
      </w:r>
      <w:proofErr w:type="gramEnd"/>
      <w:r w:rsidR="006D2D25" w:rsidRPr="00D8232C">
        <w:rPr>
          <w:spacing w:val="-3"/>
          <w:sz w:val="24"/>
          <w:szCs w:val="24"/>
        </w:rPr>
        <w:t xml:space="preserve">  It is entirely possible for a party to successfully bear the </w:t>
      </w:r>
      <w:r w:rsidR="006D2D25" w:rsidRPr="00D8232C">
        <w:rPr>
          <w:spacing w:val="-3"/>
          <w:sz w:val="24"/>
          <w:szCs w:val="24"/>
        </w:rPr>
        <w:lastRenderedPageBreak/>
        <w:t xml:space="preserve">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proofErr w:type="spellStart"/>
      <w:proofErr w:type="gramStart"/>
      <w:r w:rsidR="006D2D25" w:rsidRPr="00D8232C">
        <w:rPr>
          <w:i/>
          <w:spacing w:val="-3"/>
          <w:sz w:val="24"/>
          <w:szCs w:val="24"/>
        </w:rPr>
        <w:t>Suber</w:t>
      </w:r>
      <w:proofErr w:type="spellEnd"/>
      <w:r w:rsidR="006D2D25" w:rsidRPr="00D8232C">
        <w:rPr>
          <w:i/>
          <w:spacing w:val="-3"/>
          <w:sz w:val="24"/>
          <w:szCs w:val="24"/>
        </w:rPr>
        <w:t xml:space="preserve"> v. Pa. Comm’n on Crime and Delinquency</w:t>
      </w:r>
      <w:r w:rsidR="006D2D25" w:rsidRPr="00D8232C">
        <w:rPr>
          <w:spacing w:val="-3"/>
          <w:sz w:val="24"/>
          <w:szCs w:val="24"/>
        </w:rPr>
        <w:t>, 885 A.2d 678 (Pa.Cmwlth. 2005), app. denied, 586 Pa. 776, 895 A.2d 1264 (2006).</w:t>
      </w:r>
      <w:proofErr w:type="gramEnd"/>
      <w:r w:rsidR="006D2D25" w:rsidRPr="00D8232C">
        <w:rPr>
          <w:spacing w:val="-3"/>
          <w:sz w:val="24"/>
          <w:szCs w:val="24"/>
        </w:rPr>
        <w:t xml:space="preserve">  In order to bear the burden of proof and be entitled to a decision in his favor, a party must bear both the burden of production and the burden of persuasion.</w:t>
      </w:r>
    </w:p>
    <w:p w:rsidR="006D2D25" w:rsidRPr="00D8232C" w:rsidRDefault="006D2D25" w:rsidP="006D2D25">
      <w:pPr>
        <w:jc w:val="left"/>
      </w:pPr>
    </w:p>
    <w:p w:rsidR="00D431FF" w:rsidRPr="00D8232C" w:rsidRDefault="00614E70" w:rsidP="006D2D25">
      <w:pPr>
        <w:jc w:val="left"/>
      </w:pPr>
      <w:r w:rsidRPr="00D8232C">
        <w:tab/>
      </w:r>
      <w:r w:rsidRPr="00D8232C">
        <w:tab/>
        <w:t xml:space="preserve">Complainant testified that the area where he resides is comprised of row homes, primarily town homes, in sections of either seven or four.  The homes, including </w:t>
      </w:r>
      <w:proofErr w:type="gramStart"/>
      <w:r w:rsidRPr="00D8232C">
        <w:t>his own,</w:t>
      </w:r>
      <w:proofErr w:type="gramEnd"/>
      <w:r w:rsidRPr="00D8232C">
        <w:t xml:space="preserve"> were built in 1986 and the electrical service is distributed </w:t>
      </w:r>
      <w:r w:rsidR="000F595B" w:rsidRPr="00D8232C">
        <w:t xml:space="preserve">through </w:t>
      </w:r>
      <w:r w:rsidRPr="00D8232C">
        <w:t>above-ground</w:t>
      </w:r>
      <w:r w:rsidR="000F595B" w:rsidRPr="00D8232C">
        <w:t xml:space="preserve"> facilities</w:t>
      </w:r>
      <w:r w:rsidRPr="00D8232C">
        <w:t xml:space="preserve">.  His house is number 388.  Across the street, and all of the homes numbered 390 and above are served by an underground delivery system.  </w:t>
      </w:r>
      <w:proofErr w:type="gramStart"/>
      <w:r w:rsidRPr="00D8232C">
        <w:t>Tr. 7.</w:t>
      </w:r>
      <w:proofErr w:type="gramEnd"/>
    </w:p>
    <w:p w:rsidR="00D7083E" w:rsidRPr="00D8232C" w:rsidRDefault="00D7083E" w:rsidP="006D2D25">
      <w:pPr>
        <w:jc w:val="left"/>
      </w:pPr>
    </w:p>
    <w:p w:rsidR="00D7083E" w:rsidRPr="00D8232C" w:rsidRDefault="00444087" w:rsidP="00D7083E">
      <w:pPr>
        <w:jc w:val="left"/>
      </w:pPr>
      <w:r w:rsidRPr="00D8232C">
        <w:tab/>
      </w:r>
      <w:r w:rsidRPr="00D8232C">
        <w:tab/>
      </w:r>
      <w:r w:rsidR="00D7083E" w:rsidRPr="00D8232C">
        <w:t xml:space="preserve">In October 2011, the homes on his block with above-ground service lost service for four and a half days while the homes receiving underground service were only out of service for twelve to twenty-four hours.  He testified that the Company told him that the reason for the lengthy outage was vegetation and the weight of the snowfall.  </w:t>
      </w:r>
      <w:proofErr w:type="gramStart"/>
      <w:r w:rsidR="00D7083E" w:rsidRPr="00D8232C">
        <w:t>Tr. 9.</w:t>
      </w:r>
      <w:proofErr w:type="gramEnd"/>
    </w:p>
    <w:p w:rsidR="00D7083E" w:rsidRPr="00D8232C" w:rsidRDefault="00D7083E" w:rsidP="00D7083E">
      <w:pPr>
        <w:jc w:val="left"/>
      </w:pPr>
    </w:p>
    <w:p w:rsidR="00D7083E" w:rsidRPr="00D8232C" w:rsidRDefault="00D7083E" w:rsidP="00D7083E">
      <w:pPr>
        <w:jc w:val="left"/>
      </w:pPr>
      <w:r w:rsidRPr="00D8232C">
        <w:tab/>
      </w:r>
      <w:r w:rsidRPr="00D8232C">
        <w:tab/>
        <w:t xml:space="preserve">He believes that the marked difference in the time to restore service between the homes served by underground distribution lines and the homes served by above-ground distribution lines means that the service to the above-ground distribution homes is, therefore, inadequate.  He would like to resolve the issue by the Company either proactively handling the vegetation issue to diminish the likelihood of recurrence of the lengthy outage, or placing the distribution lines underground.  </w:t>
      </w:r>
      <w:proofErr w:type="gramStart"/>
      <w:r w:rsidRPr="00D8232C">
        <w:t>Tr. 13.</w:t>
      </w:r>
      <w:proofErr w:type="gramEnd"/>
      <w:r w:rsidR="00444087" w:rsidRPr="00D8232C">
        <w:t xml:space="preserve"> </w:t>
      </w:r>
      <w:r w:rsidRPr="00D8232C">
        <w:t xml:space="preserve"> After all, the customers receiving underground service do not pay more for it.  </w:t>
      </w:r>
      <w:proofErr w:type="gramStart"/>
      <w:r w:rsidRPr="00D8232C">
        <w:t>Tr. 15.</w:t>
      </w:r>
      <w:proofErr w:type="gramEnd"/>
      <w:r w:rsidRPr="00D8232C">
        <w:t xml:space="preserve">  </w:t>
      </w:r>
      <w:r w:rsidRPr="00D8232C">
        <w:rPr>
          <w:i/>
        </w:rPr>
        <w:t xml:space="preserve">See also </w:t>
      </w:r>
      <w:r w:rsidRPr="00D8232C">
        <w:t>Tr. 51.</w:t>
      </w:r>
    </w:p>
    <w:p w:rsidR="00D7083E" w:rsidRPr="00D8232C" w:rsidRDefault="00D7083E" w:rsidP="00D7083E">
      <w:pPr>
        <w:jc w:val="left"/>
      </w:pPr>
    </w:p>
    <w:p w:rsidR="00D7083E" w:rsidRPr="00D8232C" w:rsidRDefault="00324572" w:rsidP="00D7083E">
      <w:pPr>
        <w:jc w:val="left"/>
      </w:pPr>
      <w:r w:rsidRPr="00D8232C">
        <w:tab/>
      </w:r>
      <w:r w:rsidRPr="00D8232C">
        <w:tab/>
      </w:r>
      <w:r w:rsidR="00D7083E" w:rsidRPr="00D8232C">
        <w:t>A utility is required to provide just and reasonable service:</w:t>
      </w:r>
    </w:p>
    <w:p w:rsidR="00D7083E" w:rsidRPr="00D8232C" w:rsidRDefault="00FF6413" w:rsidP="00D7083E">
      <w:pPr>
        <w:rPr>
          <w:u w:val="single"/>
        </w:rPr>
      </w:pPr>
      <w:r>
        <w:tab/>
      </w:r>
      <w:r>
        <w:tab/>
      </w:r>
    </w:p>
    <w:p w:rsidR="00D7083E" w:rsidRPr="00D8232C" w:rsidRDefault="00D7083E" w:rsidP="00D7083E">
      <w:pPr>
        <w:spacing w:line="240" w:lineRule="auto"/>
        <w:ind w:left="1440" w:right="1440"/>
        <w:jc w:val="left"/>
        <w:rPr>
          <w:b/>
        </w:rPr>
      </w:pPr>
      <w:r w:rsidRPr="00D8232C">
        <w:rPr>
          <w:b/>
        </w:rPr>
        <w:t>§ 1501.  Character of service and facilities</w:t>
      </w:r>
    </w:p>
    <w:p w:rsidR="00D7083E" w:rsidRPr="00D8232C" w:rsidRDefault="00D7083E" w:rsidP="00D7083E">
      <w:pPr>
        <w:spacing w:line="240" w:lineRule="auto"/>
        <w:ind w:left="1440" w:right="1440"/>
        <w:jc w:val="left"/>
        <w:rPr>
          <w:b/>
        </w:rPr>
      </w:pPr>
    </w:p>
    <w:p w:rsidR="00D7083E" w:rsidRPr="00D8232C" w:rsidRDefault="00D7083E" w:rsidP="00D7083E">
      <w:pPr>
        <w:spacing w:line="240" w:lineRule="auto"/>
        <w:ind w:left="1440" w:right="1440"/>
        <w:jc w:val="left"/>
      </w:pPr>
      <w:r w:rsidRPr="00D8232C">
        <w:lastRenderedPageBreak/>
        <w:tab/>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w:t>
      </w:r>
    </w:p>
    <w:p w:rsidR="00D7083E" w:rsidRPr="00D8232C" w:rsidRDefault="00D7083E" w:rsidP="00D7083E">
      <w:pPr>
        <w:spacing w:line="240" w:lineRule="auto"/>
        <w:ind w:left="1440" w:right="1440"/>
        <w:jc w:val="left"/>
      </w:pPr>
      <w:proofErr w:type="gramStart"/>
      <w:r w:rsidRPr="00D8232C">
        <w:t>66 Pa. C.S. § 1501.</w:t>
      </w:r>
      <w:proofErr w:type="gramEnd"/>
    </w:p>
    <w:p w:rsidR="00D7083E" w:rsidRPr="00D8232C" w:rsidRDefault="00D7083E" w:rsidP="00D7083E">
      <w:pPr>
        <w:jc w:val="left"/>
      </w:pPr>
    </w:p>
    <w:p w:rsidR="000F595B" w:rsidRPr="00D8232C" w:rsidRDefault="00D7083E" w:rsidP="006D2D25">
      <w:pPr>
        <w:jc w:val="left"/>
      </w:pPr>
      <w:r w:rsidRPr="00D8232C">
        <w:tab/>
      </w:r>
      <w:r w:rsidRPr="00D8232C">
        <w:tab/>
        <w:t>The statutory definition of “service”</w:t>
      </w:r>
      <w:r w:rsidRPr="00D8232C">
        <w:rPr>
          <w:rStyle w:val="FootnoteReference"/>
        </w:rPr>
        <w:footnoteReference w:id="1"/>
      </w:r>
      <w:r w:rsidRPr="00D8232C">
        <w:t xml:space="preserve"> is to be broadly construed.  </w:t>
      </w:r>
      <w:proofErr w:type="gramStart"/>
      <w:r w:rsidRPr="00D8232C">
        <w:rPr>
          <w:i/>
        </w:rPr>
        <w:t xml:space="preserve">Country Place Waste Treatment Co., Inc. v. Pa. Publ. Util. Comm’n, </w:t>
      </w:r>
      <w:r w:rsidRPr="00D8232C">
        <w:t>654 A.2d 72 (Pa. Cmwlth. 1995).</w:t>
      </w:r>
      <w:proofErr w:type="gramEnd"/>
      <w:r w:rsidRPr="00D8232C">
        <w:t xml:space="preserve">  </w:t>
      </w:r>
      <w:r w:rsidR="00444087" w:rsidRPr="00D8232C">
        <w:t xml:space="preserve">Complainant's testimony that his home remained out of service for three days more than it took to restore the power of his neighbors across the street is sufficient to establish a legally sufficient complaint.  </w:t>
      </w:r>
      <w:proofErr w:type="gramStart"/>
      <w:r w:rsidR="000F595B" w:rsidRPr="00D8232C">
        <w:t>Having passed the test of legal sufficiency, the burden of production shifts to the Respondent.</w:t>
      </w:r>
      <w:proofErr w:type="gramEnd"/>
    </w:p>
    <w:p w:rsidR="000F595B" w:rsidRPr="00D8232C" w:rsidRDefault="000F595B" w:rsidP="006D2D25">
      <w:pPr>
        <w:jc w:val="left"/>
      </w:pPr>
    </w:p>
    <w:p w:rsidR="00536CA2" w:rsidRPr="00D8232C" w:rsidRDefault="00536CA2" w:rsidP="00536CA2">
      <w:pPr>
        <w:jc w:val="left"/>
      </w:pPr>
      <w:r w:rsidRPr="00D8232C">
        <w:tab/>
      </w:r>
      <w:r w:rsidRPr="00D8232C">
        <w:tab/>
        <w:t>Complainant's house is served by an overhead tap line along with other houses, and the remainder of the development</w:t>
      </w:r>
      <w:r w:rsidR="00772C13" w:rsidRPr="00D8232C">
        <w:t>, built later than the group including Complainant's house,</w:t>
      </w:r>
      <w:r w:rsidRPr="00D8232C">
        <w:t xml:space="preserve"> is served through underground tap lines.  Tr. 19-20.</w:t>
      </w:r>
    </w:p>
    <w:p w:rsidR="00536CA2" w:rsidRPr="00D8232C" w:rsidRDefault="00536CA2" w:rsidP="00536CA2">
      <w:pPr>
        <w:jc w:val="left"/>
      </w:pPr>
    </w:p>
    <w:p w:rsidR="00772C13" w:rsidRPr="00D8232C" w:rsidRDefault="00536CA2" w:rsidP="00536CA2">
      <w:pPr>
        <w:jc w:val="left"/>
      </w:pPr>
      <w:r w:rsidRPr="00D8232C">
        <w:tab/>
      </w:r>
      <w:r w:rsidRPr="00D8232C">
        <w:tab/>
        <w:t>The Company established that the distribution tap line that serves Complainant's residence was built in the 1950s, and the cost of placing the line underground would have been borne by the developer.  Tr. 20-21.</w:t>
      </w:r>
      <w:r w:rsidR="008F7067" w:rsidRPr="00D8232C">
        <w:t xml:space="preserve">  </w:t>
      </w:r>
      <w:r w:rsidRPr="00D8232C">
        <w:t xml:space="preserve">The service line to Complainant's home was already in existence when the development was constructed.  </w:t>
      </w:r>
      <w:proofErr w:type="gramStart"/>
      <w:r w:rsidRPr="00D8232C">
        <w:t>Tr. 23.</w:t>
      </w:r>
      <w:proofErr w:type="gramEnd"/>
      <w:r w:rsidR="008F7067" w:rsidRPr="00D8232C">
        <w:t xml:space="preserve">  </w:t>
      </w:r>
      <w:r w:rsidR="00772C13" w:rsidRPr="00D8232C">
        <w:t>When the part of the development containing Complainant's house was built, the developer did not seek underground service.</w:t>
      </w:r>
    </w:p>
    <w:p w:rsidR="00772C13" w:rsidRPr="00D8232C" w:rsidRDefault="00772C13" w:rsidP="00536CA2">
      <w:pPr>
        <w:jc w:val="left"/>
      </w:pPr>
    </w:p>
    <w:p w:rsidR="00536CA2" w:rsidRPr="00D8232C" w:rsidRDefault="00772C13" w:rsidP="00536CA2">
      <w:pPr>
        <w:jc w:val="left"/>
      </w:pPr>
      <w:r w:rsidRPr="00D8232C">
        <w:tab/>
      </w:r>
      <w:r w:rsidRPr="00D8232C">
        <w:tab/>
      </w:r>
      <w:r w:rsidR="008F7067" w:rsidRPr="00D8232C">
        <w:t>The tariff governing this issue has been unchanged since before Complainant's residence was constructed, Tr. 23-25; PPL Electric Exhibits AL-2, 3, and 4, and the</w:t>
      </w:r>
      <w:r w:rsidR="00536CA2" w:rsidRPr="00D8232C">
        <w:t xml:space="preserve"> </w:t>
      </w:r>
      <w:r w:rsidR="00536CA2" w:rsidRPr="00D8232C">
        <w:lastRenderedPageBreak/>
        <w:t>neighborhood facilities were constructed in accordance with the r</w:t>
      </w:r>
      <w:r w:rsidR="00240EA8">
        <w:t xml:space="preserve">elevant tariff provisions.  </w:t>
      </w:r>
      <w:proofErr w:type="gramStart"/>
      <w:r w:rsidR="00240EA8">
        <w:t>Tr. </w:t>
      </w:r>
      <w:r w:rsidR="00536CA2" w:rsidRPr="00D8232C">
        <w:t>25.</w:t>
      </w:r>
      <w:proofErr w:type="gramEnd"/>
    </w:p>
    <w:p w:rsidR="00536CA2" w:rsidRPr="00D8232C" w:rsidRDefault="00536CA2" w:rsidP="00536CA2">
      <w:pPr>
        <w:jc w:val="left"/>
      </w:pPr>
    </w:p>
    <w:p w:rsidR="00536CA2" w:rsidRPr="00D8232C" w:rsidRDefault="00536CA2" w:rsidP="00536CA2">
      <w:pPr>
        <w:jc w:val="left"/>
      </w:pPr>
      <w:r w:rsidRPr="00D8232C">
        <w:tab/>
      </w:r>
      <w:r w:rsidRPr="00D8232C">
        <w:tab/>
      </w:r>
      <w:r w:rsidR="008F7067" w:rsidRPr="00D8232C">
        <w:t xml:space="preserve">The Company presented a list of outages for the Complainant's residence starting in 2008, which shows six events with measurable outages.  </w:t>
      </w:r>
      <w:proofErr w:type="gramStart"/>
      <w:r w:rsidR="008F7067" w:rsidRPr="00D8232C">
        <w:t>PPL Exhibit AL-6.</w:t>
      </w:r>
      <w:proofErr w:type="gramEnd"/>
      <w:r w:rsidR="008F7067" w:rsidRPr="00D8232C">
        <w:t xml:space="preserve">  Two of the six events were attributed to equipment failure, while the remaining four events were due to trees falling on the facilities.  The two events which were considerably longer in duration than the others were </w:t>
      </w:r>
      <w:r w:rsidR="00965987" w:rsidRPr="00D8232C">
        <w:t>the two which affected the lowest number of customers, as expected considering the Company policy to restore service to the highest number of customers quickly by repairing those facilities which affect the higher number before moving to the repairs that affect lower numbers of customers.  This policy is both long-standing and reasonable.</w:t>
      </w:r>
    </w:p>
    <w:p w:rsidR="00965987" w:rsidRPr="00D8232C" w:rsidRDefault="00965987" w:rsidP="00536CA2">
      <w:pPr>
        <w:jc w:val="left"/>
      </w:pPr>
    </w:p>
    <w:p w:rsidR="00CC05F7" w:rsidRPr="00D8232C" w:rsidRDefault="00965987" w:rsidP="00536CA2">
      <w:pPr>
        <w:jc w:val="left"/>
      </w:pPr>
      <w:r w:rsidRPr="00D8232C">
        <w:tab/>
      </w:r>
      <w:r w:rsidRPr="00D8232C">
        <w:tab/>
        <w:t xml:space="preserve">The number of outages is not inconsistent with the accepted system averages that this Company maintains, as shown by </w:t>
      </w:r>
      <w:r w:rsidR="00536CA2" w:rsidRPr="00D8232C">
        <w:t>PPL Exhibit AL-7</w:t>
      </w:r>
      <w:r w:rsidRPr="00D8232C">
        <w:t xml:space="preserve">; </w:t>
      </w:r>
      <w:r w:rsidR="00536CA2" w:rsidRPr="00D8232C">
        <w:t>Tr. 27.</w:t>
      </w:r>
      <w:r w:rsidRPr="00D8232C">
        <w:t xml:space="preserve">  In fact, s</w:t>
      </w:r>
      <w:r w:rsidR="00536CA2" w:rsidRPr="00D8232C">
        <w:t xml:space="preserve">ervice to Complainant was better than the system average for four of the five years shown.  </w:t>
      </w:r>
      <w:proofErr w:type="gramStart"/>
      <w:r w:rsidR="00536CA2" w:rsidRPr="00D8232C">
        <w:t>Tr. 28.</w:t>
      </w:r>
      <w:proofErr w:type="gramEnd"/>
    </w:p>
    <w:p w:rsidR="00CC05F7" w:rsidRPr="00D8232C" w:rsidRDefault="00CC05F7" w:rsidP="00536CA2">
      <w:pPr>
        <w:jc w:val="left"/>
      </w:pPr>
    </w:p>
    <w:p w:rsidR="00536CA2" w:rsidRPr="00D8232C" w:rsidRDefault="00CC05F7" w:rsidP="00536CA2">
      <w:pPr>
        <w:jc w:val="left"/>
      </w:pPr>
      <w:r w:rsidRPr="00D8232C">
        <w:tab/>
      </w:r>
      <w:r w:rsidRPr="00D8232C">
        <w:tab/>
        <w:t>Five of the six events cut the electricity for less than a day, and three of them were less than one hour in duration.  Only one event resulted in power loss for longer than 24 hours.</w:t>
      </w:r>
      <w:r w:rsidR="00536CA2" w:rsidRPr="00D8232C">
        <w:br/>
      </w:r>
    </w:p>
    <w:p w:rsidR="00536CA2" w:rsidRPr="00D8232C" w:rsidRDefault="00536CA2" w:rsidP="00536CA2">
      <w:pPr>
        <w:jc w:val="left"/>
      </w:pPr>
      <w:r w:rsidRPr="00D8232C">
        <w:tab/>
      </w:r>
      <w:r w:rsidRPr="00D8232C">
        <w:tab/>
        <w:t xml:space="preserve">The </w:t>
      </w:r>
      <w:r w:rsidR="00965987" w:rsidRPr="00D8232C">
        <w:t xml:space="preserve">incident that triggered this Complaint is the </w:t>
      </w:r>
      <w:r w:rsidR="00D774C1">
        <w:t>outage starting on October 29, </w:t>
      </w:r>
      <w:r w:rsidRPr="00D8232C">
        <w:t>2011</w:t>
      </w:r>
      <w:r w:rsidR="00965987" w:rsidRPr="00D8232C">
        <w:t>, which</w:t>
      </w:r>
      <w:r w:rsidRPr="00D8232C">
        <w:t xml:space="preserve"> was </w:t>
      </w:r>
      <w:r w:rsidR="00151B30" w:rsidRPr="00D8232C">
        <w:t>caused</w:t>
      </w:r>
      <w:r w:rsidRPr="00D8232C">
        <w:t xml:space="preserve"> by a severe early season snowstorm</w:t>
      </w:r>
      <w:r w:rsidR="00151B30" w:rsidRPr="00D8232C">
        <w:t xml:space="preserve"> of wet, heavy snow,</w:t>
      </w:r>
      <w:r w:rsidRPr="00D8232C">
        <w:t xml:space="preserve"> which caused extensive damage throughout the Company's service territory.  </w:t>
      </w:r>
      <w:proofErr w:type="gramStart"/>
      <w:r w:rsidRPr="00D8232C">
        <w:t>Tr. 28.</w:t>
      </w:r>
      <w:proofErr w:type="gramEnd"/>
      <w:r w:rsidR="00965987" w:rsidRPr="00D8232C">
        <w:t xml:space="preserve">  </w:t>
      </w:r>
      <w:r w:rsidR="00793BEA" w:rsidRPr="00D8232C">
        <w:t xml:space="preserve">During that storm, </w:t>
      </w:r>
      <w:r w:rsidRPr="00D8232C">
        <w:t>a tree located along the overhead primary distribution line that serves Complainant's service transformer f</w:t>
      </w:r>
      <w:r w:rsidR="00151B30" w:rsidRPr="00D8232C">
        <w:t>ell</w:t>
      </w:r>
      <w:r w:rsidRPr="00D8232C">
        <w:t xml:space="preserve"> onto the overhead primary conductor and </w:t>
      </w:r>
      <w:r w:rsidR="00151B30" w:rsidRPr="00D8232C">
        <w:t>knocked</w:t>
      </w:r>
      <w:r w:rsidRPr="00D8232C">
        <w:t xml:space="preserve"> wires to the ground</w:t>
      </w:r>
      <w:r w:rsidR="00151B30" w:rsidRPr="00D8232C">
        <w:t>,</w:t>
      </w:r>
      <w:r w:rsidRPr="00D8232C">
        <w:t xml:space="preserve"> caus</w:t>
      </w:r>
      <w:r w:rsidR="00151B30" w:rsidRPr="00D8232C">
        <w:t>ing</w:t>
      </w:r>
      <w:r w:rsidRPr="00D8232C">
        <w:t xml:space="preserve"> his outage.  </w:t>
      </w:r>
      <w:proofErr w:type="gramStart"/>
      <w:r w:rsidRPr="00D8232C">
        <w:t>Tr. 28.</w:t>
      </w:r>
      <w:proofErr w:type="gramEnd"/>
      <w:r w:rsidRPr="00D8232C">
        <w:t xml:space="preserve"> </w:t>
      </w:r>
      <w:r w:rsidR="00793BEA" w:rsidRPr="00D8232C">
        <w:t xml:space="preserve"> </w:t>
      </w:r>
      <w:r w:rsidR="00965987" w:rsidRPr="00D8232C">
        <w:t xml:space="preserve">As only 80 customers were affected by this specific issue, repairs were made to the Company facilities which would have restored service to higher numbers of customers first.  This outage </w:t>
      </w:r>
      <w:r w:rsidR="00793BEA" w:rsidRPr="00D8232C">
        <w:t>was for</w:t>
      </w:r>
      <w:r w:rsidR="00965987" w:rsidRPr="00D8232C">
        <w:t xml:space="preserve"> 6148 minutes, or </w:t>
      </w:r>
      <w:r w:rsidR="00793BEA" w:rsidRPr="00D8232C">
        <w:t xml:space="preserve">roughly </w:t>
      </w:r>
      <w:r w:rsidR="00965987" w:rsidRPr="00D8232C">
        <w:t>four a</w:t>
      </w:r>
      <w:r w:rsidR="002326CC">
        <w:t xml:space="preserve">nd </w:t>
      </w:r>
      <w:proofErr w:type="gramStart"/>
      <w:r w:rsidR="002326CC">
        <w:t>a quarter days</w:t>
      </w:r>
      <w:proofErr w:type="gramEnd"/>
      <w:r w:rsidR="002326CC">
        <w:t xml:space="preserve">.  </w:t>
      </w:r>
      <w:proofErr w:type="gramStart"/>
      <w:r w:rsidR="002326CC">
        <w:t xml:space="preserve">PPL </w:t>
      </w:r>
      <w:r w:rsidR="00965987" w:rsidRPr="00D8232C">
        <w:t xml:space="preserve"> Exhibit</w:t>
      </w:r>
      <w:proofErr w:type="gramEnd"/>
      <w:r w:rsidR="00965987" w:rsidRPr="00D8232C">
        <w:t xml:space="preserve"> AL-6.</w:t>
      </w:r>
    </w:p>
    <w:p w:rsidR="00536CA2" w:rsidRPr="00D8232C" w:rsidRDefault="00536CA2" w:rsidP="00536CA2">
      <w:pPr>
        <w:jc w:val="left"/>
      </w:pPr>
    </w:p>
    <w:p w:rsidR="00536CA2" w:rsidRPr="00D8232C" w:rsidRDefault="00536CA2" w:rsidP="00536CA2">
      <w:pPr>
        <w:jc w:val="left"/>
      </w:pPr>
      <w:r w:rsidRPr="00D8232C">
        <w:lastRenderedPageBreak/>
        <w:tab/>
      </w:r>
      <w:r w:rsidRPr="00D8232C">
        <w:tab/>
      </w:r>
      <w:r w:rsidR="00CC05F7" w:rsidRPr="00D8232C">
        <w:t>The Company testified that a</w:t>
      </w:r>
      <w:r w:rsidRPr="00D8232C">
        <w:t>s a result of the October 29, 2011 storm, the longest outage lasted approximately six days</w:t>
      </w:r>
      <w:r w:rsidR="00CC05F7" w:rsidRPr="00D8232C">
        <w:t xml:space="preserve">, </w:t>
      </w:r>
      <w:r w:rsidRPr="00D8232C">
        <w:t>Tr. 29</w:t>
      </w:r>
      <w:r w:rsidR="00CC05F7" w:rsidRPr="00D8232C">
        <w:t>, and t</w:t>
      </w:r>
      <w:r w:rsidRPr="00D8232C">
        <w:t>he storm caused approximately $20 m</w:t>
      </w:r>
      <w:r w:rsidR="002326CC">
        <w:t>illion in damage to PPL</w:t>
      </w:r>
      <w:r w:rsidRPr="00D8232C">
        <w:t xml:space="preserve">'s facilities. </w:t>
      </w:r>
      <w:r w:rsidR="003D11CA">
        <w:t xml:space="preserve"> </w:t>
      </w:r>
      <w:proofErr w:type="gramStart"/>
      <w:r w:rsidRPr="00D8232C">
        <w:t>Tr. 29.</w:t>
      </w:r>
      <w:proofErr w:type="gramEnd"/>
    </w:p>
    <w:p w:rsidR="00151B30" w:rsidRPr="00D8232C" w:rsidRDefault="00151B30" w:rsidP="00536CA2">
      <w:pPr>
        <w:jc w:val="left"/>
      </w:pPr>
    </w:p>
    <w:p w:rsidR="00556AE0" w:rsidRPr="00D8232C" w:rsidRDefault="00151B30" w:rsidP="00556AE0">
      <w:pPr>
        <w:jc w:val="left"/>
      </w:pPr>
      <w:r w:rsidRPr="00D8232C">
        <w:tab/>
      </w:r>
      <w:r w:rsidRPr="00D8232C">
        <w:tab/>
        <w:t xml:space="preserve">The length of time that Complainant was without power seems excessive, until placed in the context of the magnitude of a storm with wet, heavy snow, which caused $20 million in damage to Company facilities.  </w:t>
      </w:r>
      <w:r w:rsidR="00793BEA" w:rsidRPr="00D8232C">
        <w:t>A</w:t>
      </w:r>
      <w:r w:rsidR="00556AE0" w:rsidRPr="00D8232C">
        <w:t xml:space="preserve"> utility company is required to provide safe, adequate, reasonable and efficient service, and is not expected to provide perfect service.</w:t>
      </w:r>
      <w:r w:rsidR="00DE66CB">
        <w:t xml:space="preserve">  </w:t>
      </w:r>
    </w:p>
    <w:p w:rsidR="00556AE0" w:rsidRPr="00D8232C" w:rsidRDefault="00151B30" w:rsidP="00536CA2">
      <w:pPr>
        <w:jc w:val="left"/>
      </w:pPr>
      <w:r w:rsidRPr="00D8232C">
        <w:t>This single event is not enough to support a finding of inefficient, unsafe or unreasonable s</w:t>
      </w:r>
      <w:r w:rsidR="00556AE0" w:rsidRPr="00D8232C">
        <w:t>ervice.  Even when viewed in addition to the other outages experienced since 2008, the record does not support a finding of unreasonable, inefficient,</w:t>
      </w:r>
      <w:r w:rsidR="006B596A" w:rsidRPr="00D8232C">
        <w:t xml:space="preserve"> inadequate</w:t>
      </w:r>
      <w:r w:rsidR="00556AE0" w:rsidRPr="00D8232C">
        <w:t xml:space="preserve"> or unsafe service.</w:t>
      </w:r>
    </w:p>
    <w:p w:rsidR="006B596A" w:rsidRPr="00D8232C" w:rsidRDefault="006B596A" w:rsidP="00536CA2">
      <w:pPr>
        <w:jc w:val="left"/>
      </w:pPr>
    </w:p>
    <w:p w:rsidR="006B596A" w:rsidRPr="00D8232C" w:rsidRDefault="006B596A" w:rsidP="00536CA2">
      <w:pPr>
        <w:jc w:val="left"/>
      </w:pPr>
      <w:r w:rsidRPr="00D8232C">
        <w:tab/>
      </w:r>
      <w:r w:rsidRPr="00D8232C">
        <w:tab/>
        <w:t>Without a finding of unreasonable, inadequate, inefficient or unsafe service, there is no justification for directing the undergrounding of the distribution line at the Company's expense.</w:t>
      </w:r>
    </w:p>
    <w:p w:rsidR="00556AE0" w:rsidRPr="00D8232C" w:rsidRDefault="00556AE0" w:rsidP="00536CA2">
      <w:pPr>
        <w:jc w:val="left"/>
      </w:pPr>
    </w:p>
    <w:p w:rsidR="00536CA2" w:rsidRPr="00D8232C" w:rsidRDefault="00556AE0" w:rsidP="00536CA2">
      <w:pPr>
        <w:jc w:val="left"/>
      </w:pPr>
      <w:r w:rsidRPr="00D8232C">
        <w:tab/>
      </w:r>
      <w:r w:rsidRPr="00D8232C">
        <w:tab/>
        <w:t>The next</w:t>
      </w:r>
      <w:r w:rsidR="00793BEA" w:rsidRPr="00D8232C">
        <w:t xml:space="preserve"> issue is whether the Company provided </w:t>
      </w:r>
      <w:r w:rsidRPr="00D8232C">
        <w:t>inadequate, unsafe, unreasonable or inefficient service to the Complainant</w:t>
      </w:r>
      <w:r w:rsidR="00793BEA" w:rsidRPr="00D8232C">
        <w:t xml:space="preserve"> in failing to prevent the outages caused by falling trees</w:t>
      </w:r>
      <w:r w:rsidRPr="00D8232C">
        <w:t>.</w:t>
      </w:r>
    </w:p>
    <w:p w:rsidR="00556AE0" w:rsidRPr="00D8232C" w:rsidRDefault="00556AE0" w:rsidP="00536CA2">
      <w:pPr>
        <w:jc w:val="left"/>
      </w:pPr>
    </w:p>
    <w:p w:rsidR="00536CA2" w:rsidRPr="00D8232C" w:rsidRDefault="00536CA2" w:rsidP="00536CA2">
      <w:pPr>
        <w:jc w:val="left"/>
      </w:pPr>
      <w:r w:rsidRPr="00D8232C">
        <w:tab/>
      </w:r>
      <w:r w:rsidRPr="00D8232C">
        <w:tab/>
      </w:r>
      <w:r w:rsidR="00CC05F7" w:rsidRPr="00D8232C">
        <w:t>Company policy is to trim t</w:t>
      </w:r>
      <w:r w:rsidRPr="00D8232C">
        <w:t xml:space="preserve">rees and vegetation every four years to prevent vegetation or trees from growing into the primary conductors before the next four-year cycle ends.  </w:t>
      </w:r>
      <w:proofErr w:type="gramStart"/>
      <w:r w:rsidRPr="00D8232C">
        <w:t>Tr. 30</w:t>
      </w:r>
      <w:r w:rsidR="00CC05F7" w:rsidRPr="00D8232C">
        <w:t xml:space="preserve">; </w:t>
      </w:r>
      <w:r w:rsidRPr="00D8232C">
        <w:t>PPL Exhibit AL-8</w:t>
      </w:r>
      <w:r w:rsidR="00CC05F7" w:rsidRPr="00D8232C">
        <w:t>.</w:t>
      </w:r>
      <w:proofErr w:type="gramEnd"/>
      <w:r w:rsidR="00CC05F7" w:rsidRPr="00D8232C">
        <w:t xml:space="preserve">  </w:t>
      </w:r>
      <w:r w:rsidRPr="00D8232C">
        <w:t xml:space="preserve">PPL Exhibit AL-8 provides that hazardous trees are evaluated on a case-by-case basis and any dead or high risk trees are removed if they can strike the line from a potential fall-in.  If permission is secured from a property owner, hazardous trees may be dropped, limbed and left off the right-of-way where they have fallen.  </w:t>
      </w:r>
      <w:proofErr w:type="gramStart"/>
      <w:r w:rsidRPr="00D8232C">
        <w:t>Tr. 31.</w:t>
      </w:r>
      <w:proofErr w:type="gramEnd"/>
      <w:r w:rsidR="00CC05F7" w:rsidRPr="00D8232C">
        <w:t xml:space="preserve">  However, </w:t>
      </w:r>
      <w:proofErr w:type="gramStart"/>
      <w:r w:rsidR="002326CC">
        <w:t xml:space="preserve">PPL </w:t>
      </w:r>
      <w:r w:rsidRPr="00D8232C">
        <w:t xml:space="preserve"> will</w:t>
      </w:r>
      <w:proofErr w:type="gramEnd"/>
      <w:r w:rsidRPr="00D8232C">
        <w:t xml:space="preserve"> not trim or remove trees outside its rights-of-way without permission of the owner.  </w:t>
      </w:r>
      <w:proofErr w:type="gramStart"/>
      <w:r w:rsidRPr="00D8232C">
        <w:t>Tr. 31.</w:t>
      </w:r>
      <w:proofErr w:type="gramEnd"/>
      <w:r w:rsidR="00CC05F7" w:rsidRPr="00D8232C">
        <w:t xml:space="preserve">  While a potentially hazardous tree may be identified outside of the four-year cycle, a </w:t>
      </w:r>
      <w:r w:rsidRPr="00D8232C">
        <w:t xml:space="preserve">tree which poses a danger in a storm cannot always be identified in advance.  </w:t>
      </w:r>
      <w:proofErr w:type="gramStart"/>
      <w:r w:rsidRPr="00D8232C">
        <w:t>Tr. 32.</w:t>
      </w:r>
      <w:proofErr w:type="gramEnd"/>
    </w:p>
    <w:p w:rsidR="00CE1E11" w:rsidRPr="00D8232C" w:rsidRDefault="00CE1E11" w:rsidP="00536CA2">
      <w:pPr>
        <w:jc w:val="left"/>
      </w:pPr>
    </w:p>
    <w:p w:rsidR="00914204" w:rsidRPr="00D8232C" w:rsidRDefault="00CE1E11" w:rsidP="00536CA2">
      <w:pPr>
        <w:jc w:val="left"/>
      </w:pPr>
      <w:r w:rsidRPr="00D8232C">
        <w:lastRenderedPageBreak/>
        <w:tab/>
      </w:r>
      <w:r w:rsidRPr="00D8232C">
        <w:tab/>
        <w:t xml:space="preserve">The Company witness testified that the tree-trimming and vegetation maintenance was performed on the area in question in 2009, and that it was scheduled for routine maintenance again in 2013.  There was </w:t>
      </w:r>
      <w:proofErr w:type="gramStart"/>
      <w:r w:rsidRPr="00D8232C">
        <w:t>no allegation nor</w:t>
      </w:r>
      <w:proofErr w:type="gramEnd"/>
      <w:r w:rsidRPr="00D8232C">
        <w:t xml:space="preserve"> evidence that</w:t>
      </w:r>
      <w:r w:rsidR="007A7F11" w:rsidRPr="00D8232C">
        <w:t xml:space="preserve"> the scheduled maintenance</w:t>
      </w:r>
      <w:r w:rsidRPr="00D8232C">
        <w:t xml:space="preserve"> had not been performed or that it had been performed </w:t>
      </w:r>
      <w:r w:rsidR="007A7F11" w:rsidRPr="00D8232C">
        <w:t>inadequately</w:t>
      </w:r>
      <w:r w:rsidRPr="00D8232C">
        <w:t xml:space="preserve">.  </w:t>
      </w:r>
      <w:r w:rsidR="007A7F11" w:rsidRPr="00D8232C">
        <w:t xml:space="preserve">Whether the trees causing the events were located on the Company right-of-way or next to it was not established.  </w:t>
      </w:r>
      <w:r w:rsidRPr="00D8232C">
        <w:t xml:space="preserve">Aside from the four events in four years related to trees falling on facilities, there was no evidence of a persistent problem.  </w:t>
      </w:r>
      <w:r w:rsidR="00914204" w:rsidRPr="00D8232C">
        <w:t>Only the October 29, 2011, event was an unusual duration, and the storm was itself an extraordinary event which prompted a Commission investigation into utility responses to it.</w:t>
      </w:r>
    </w:p>
    <w:p w:rsidR="00914204" w:rsidRPr="00D8232C" w:rsidRDefault="00914204" w:rsidP="00536CA2">
      <w:pPr>
        <w:jc w:val="left"/>
      </w:pPr>
    </w:p>
    <w:p w:rsidR="006D2D25" w:rsidRPr="00D8232C" w:rsidRDefault="00914204" w:rsidP="006D2D25">
      <w:pPr>
        <w:jc w:val="left"/>
      </w:pPr>
      <w:r w:rsidRPr="00D8232C">
        <w:tab/>
      </w:r>
      <w:r w:rsidRPr="00D8232C">
        <w:tab/>
        <w:t>Complainant is, quite understandably</w:t>
      </w:r>
      <w:r w:rsidR="00D7083E" w:rsidRPr="00D8232C">
        <w:t xml:space="preserve">, frustrated when his neighbors across the street have their lights on, and his own house remains dark.  However, the Company extended the service that the developer ordered.  There is no requirement that the houses on opposite sides of a street be served by the same tap line.  Further, the Company has agreed to extend underground service to the Complainant if the Complainant pays for it, as the tariff provides. </w:t>
      </w:r>
      <w:r w:rsidR="009E7255">
        <w:t xml:space="preserve"> </w:t>
      </w:r>
      <w:r w:rsidR="00D7083E" w:rsidRPr="00D8232C">
        <w:t xml:space="preserve">This is reasonable service. </w:t>
      </w:r>
      <w:r w:rsidR="003818DC">
        <w:t xml:space="preserve"> </w:t>
      </w:r>
      <w:r w:rsidR="00D7083E" w:rsidRPr="00D8232C">
        <w:t xml:space="preserve">There is insufficient evidence to support a directive that the Company </w:t>
      </w:r>
      <w:proofErr w:type="gramStart"/>
      <w:r w:rsidR="00D7083E" w:rsidRPr="00D8232C">
        <w:t>expend</w:t>
      </w:r>
      <w:proofErr w:type="gramEnd"/>
      <w:r w:rsidR="00D7083E" w:rsidRPr="00D8232C">
        <w:t xml:space="preserve"> ratepayer funds to extend underground service to the Complainant's home, and this Complaint is dismissed.</w:t>
      </w:r>
    </w:p>
    <w:p w:rsidR="006D2D25" w:rsidRPr="00D8232C" w:rsidRDefault="006D2D25" w:rsidP="006D2D25">
      <w:pPr>
        <w:jc w:val="left"/>
      </w:pPr>
    </w:p>
    <w:p w:rsidR="006D2D25" w:rsidRPr="00D8232C" w:rsidRDefault="006D2D25" w:rsidP="006D2D25">
      <w:pPr>
        <w:rPr>
          <w:u w:val="single"/>
        </w:rPr>
      </w:pPr>
      <w:r w:rsidRPr="00D8232C">
        <w:rPr>
          <w:u w:val="single"/>
        </w:rPr>
        <w:t>CONCLUSIONS OF LAW</w:t>
      </w:r>
    </w:p>
    <w:p w:rsidR="006D2D25" w:rsidRPr="00D8232C" w:rsidRDefault="006D2D25" w:rsidP="006D2D25">
      <w:pPr>
        <w:rPr>
          <w:u w:val="single"/>
        </w:rPr>
      </w:pPr>
    </w:p>
    <w:p w:rsidR="006D2D25" w:rsidRPr="00D8232C" w:rsidRDefault="006D2D25" w:rsidP="006D2D25">
      <w:pPr>
        <w:contextualSpacing/>
        <w:jc w:val="left"/>
      </w:pPr>
      <w:r w:rsidRPr="00D8232C">
        <w:tab/>
      </w:r>
      <w:r w:rsidRPr="00D8232C">
        <w:tab/>
        <w:t>1.</w:t>
      </w:r>
      <w:r w:rsidRPr="00D8232C">
        <w:tab/>
        <w:t xml:space="preserve">The proponent of a rule or order in any Commission proceeding has the burden of proof, 66 Pa. C.S. § 332, and therefore, the Applicant has the burden of proving its case by a preponderance of the evidence, or evidence which is more convincing than the evidence presented by the other parties.  </w:t>
      </w:r>
      <w:proofErr w:type="gramStart"/>
      <w:r w:rsidRPr="00D8232C">
        <w:rPr>
          <w:i/>
        </w:rPr>
        <w:t>Se-Ling Hosiery v. Margulies</w:t>
      </w:r>
      <w:r w:rsidRPr="00D8232C">
        <w:t xml:space="preserve">, 364 Pa. 45, 70 A.3d 854 (1950); </w:t>
      </w:r>
      <w:r w:rsidRPr="00D8232C">
        <w:rPr>
          <w:i/>
        </w:rPr>
        <w:t>Samuel J. Lansberry, Inc. v. Pa. Publ. Util. Comm’n</w:t>
      </w:r>
      <w:r w:rsidRPr="00D8232C">
        <w:t>, 578 A.2d 600 (Pa. Cmwlth. 1990).</w:t>
      </w:r>
      <w:proofErr w:type="gramEnd"/>
    </w:p>
    <w:p w:rsidR="006D2D25" w:rsidRPr="00D8232C" w:rsidRDefault="006D2D25" w:rsidP="006D2D25">
      <w:pPr>
        <w:contextualSpacing/>
        <w:jc w:val="left"/>
      </w:pPr>
    </w:p>
    <w:p w:rsidR="006D2D25" w:rsidRPr="00D8232C" w:rsidRDefault="006D2D25" w:rsidP="006D2D25">
      <w:pPr>
        <w:jc w:val="left"/>
      </w:pPr>
      <w:r w:rsidRPr="00D8232C">
        <w:tab/>
      </w:r>
      <w:r w:rsidRPr="00D8232C">
        <w:tab/>
        <w:t>2.</w:t>
      </w:r>
      <w:r w:rsidRPr="00D8232C">
        <w:tab/>
        <w:t xml:space="preserve">Additionally, any finding of fact necessary to support an adjudication of the Commission must be based upon substantial evidence, which is such relevant evidence as a reasonable mind might accept as adequate to support a conclusion.  </w:t>
      </w:r>
      <w:proofErr w:type="gramStart"/>
      <w:r w:rsidRPr="00D8232C">
        <w:rPr>
          <w:i/>
        </w:rPr>
        <w:t>Mill v. Comm., Pa. Publ. Util. Comm’n</w:t>
      </w:r>
      <w:r w:rsidRPr="00D8232C">
        <w:t xml:space="preserve">, 447 A.2d 1100 (Pa. Cmwlth. Ct.1982); </w:t>
      </w:r>
      <w:r w:rsidRPr="00D8232C">
        <w:rPr>
          <w:i/>
        </w:rPr>
        <w:t>Edan Transportation Corp. v. Pa. Publ. Util. Comm’n,</w:t>
      </w:r>
      <w:r w:rsidRPr="00D8232C">
        <w:t xml:space="preserve"> 623 A.2d 6 (Pa. Cmwlth. Ct.1993), 2 Pa. C.S. § 704.</w:t>
      </w:r>
      <w:proofErr w:type="gramEnd"/>
      <w:r w:rsidRPr="00D8232C">
        <w:t xml:space="preserve">  More is required than a </w:t>
      </w:r>
      <w:r w:rsidRPr="00D8232C">
        <w:lastRenderedPageBreak/>
        <w:t xml:space="preserve">mere trace of evidence or a suspicion of the existence of a fact sought to be established.  </w:t>
      </w:r>
      <w:proofErr w:type="gramStart"/>
      <w:r w:rsidRPr="00D8232C">
        <w:rPr>
          <w:i/>
        </w:rPr>
        <w:t xml:space="preserve">Norfolk &amp; Western Ry. V. Pa. Publ. Util. Comm’n, </w:t>
      </w:r>
      <w:r w:rsidRPr="00D8232C">
        <w:t xml:space="preserve">489 Pa. 109, 413 A.2d 1037 (1980); </w:t>
      </w:r>
      <w:r w:rsidRPr="00D8232C">
        <w:rPr>
          <w:i/>
        </w:rPr>
        <w:t>Erie Resistor Corp. v. Unemployment Com. Bd.</w:t>
      </w:r>
      <w:proofErr w:type="gramEnd"/>
      <w:r w:rsidRPr="00D8232C">
        <w:rPr>
          <w:i/>
        </w:rPr>
        <w:t xml:space="preserve"> </w:t>
      </w:r>
      <w:proofErr w:type="gramStart"/>
      <w:r w:rsidRPr="00D8232C">
        <w:rPr>
          <w:i/>
        </w:rPr>
        <w:t>Of Review</w:t>
      </w:r>
      <w:r w:rsidRPr="00D8232C">
        <w:t>, 166 A.2d 96 (Pa. Super.</w:t>
      </w:r>
      <w:proofErr w:type="gramEnd"/>
      <w:r w:rsidRPr="00D8232C">
        <w:t xml:space="preserve"> </w:t>
      </w:r>
      <w:proofErr w:type="gramStart"/>
      <w:r w:rsidRPr="00D8232C">
        <w:t xml:space="preserve">Ct.1960); </w:t>
      </w:r>
      <w:r w:rsidRPr="00D8232C">
        <w:rPr>
          <w:i/>
        </w:rPr>
        <w:t xml:space="preserve">Murphy v. Comm., Dept. of Public Welfare, White Haven Center, </w:t>
      </w:r>
      <w:r w:rsidRPr="00D8232C">
        <w:t>480 A.2d 382 (Pa. Cmwlth. Ct.1984).</w:t>
      </w:r>
      <w:proofErr w:type="gramEnd"/>
    </w:p>
    <w:p w:rsidR="006D2D25" w:rsidRPr="00D8232C" w:rsidRDefault="006D2D25" w:rsidP="006D2D25">
      <w:pPr>
        <w:jc w:val="left"/>
      </w:pPr>
    </w:p>
    <w:p w:rsidR="006D2D25" w:rsidRPr="00D8232C" w:rsidRDefault="006D2D25" w:rsidP="006D2D25">
      <w:pPr>
        <w:jc w:val="left"/>
        <w:rPr>
          <w:spacing w:val="-3"/>
        </w:rPr>
      </w:pPr>
      <w:r w:rsidRPr="00D8232C">
        <w:tab/>
      </w:r>
      <w:r w:rsidRPr="00D8232C">
        <w:tab/>
        <w:t>3.</w:t>
      </w:r>
      <w:r w:rsidRPr="00D8232C">
        <w:tab/>
      </w:r>
      <w:r w:rsidRPr="00D8232C">
        <w:rPr>
          <w:spacing w:val="-3"/>
        </w:rPr>
        <w:t xml:space="preserve">The “burden of proof” is composed of two distinct burdens: the burden of production and the burden of persuasion.  </w:t>
      </w:r>
      <w:r w:rsidRPr="00D8232C">
        <w:rPr>
          <w:i/>
          <w:spacing w:val="-3"/>
        </w:rPr>
        <w:t>Hurley v. Hurley</w:t>
      </w:r>
      <w:r w:rsidRPr="00D8232C">
        <w:rPr>
          <w:spacing w:val="-3"/>
        </w:rPr>
        <w:t xml:space="preserve">, 2000 </w:t>
      </w:r>
      <w:proofErr w:type="spellStart"/>
      <w:r w:rsidRPr="00D8232C">
        <w:rPr>
          <w:spacing w:val="-3"/>
        </w:rPr>
        <w:t>Pa.Super</w:t>
      </w:r>
      <w:proofErr w:type="spellEnd"/>
      <w:r w:rsidRPr="00D8232C">
        <w:rPr>
          <w:spacing w:val="-3"/>
        </w:rPr>
        <w:t xml:space="preserve">. </w:t>
      </w:r>
      <w:proofErr w:type="gramStart"/>
      <w:r w:rsidRPr="00D8232C">
        <w:rPr>
          <w:spacing w:val="-3"/>
        </w:rPr>
        <w:t>178, 754 A.2d 1283 (2000).</w:t>
      </w:r>
      <w:proofErr w:type="gramEnd"/>
    </w:p>
    <w:p w:rsidR="006D2D25" w:rsidRPr="00D8232C" w:rsidRDefault="006D2D25" w:rsidP="006D2D25">
      <w:pPr>
        <w:jc w:val="left"/>
        <w:rPr>
          <w:spacing w:val="-3"/>
        </w:rPr>
      </w:pPr>
    </w:p>
    <w:p w:rsidR="006D2D25" w:rsidRPr="00D8232C" w:rsidRDefault="006D2D25" w:rsidP="006D2D25">
      <w:pPr>
        <w:tabs>
          <w:tab w:val="left" w:pos="-1440"/>
          <w:tab w:val="left" w:pos="-720"/>
        </w:tabs>
        <w:suppressAutoHyphens/>
        <w:ind w:firstLine="1440"/>
        <w:jc w:val="left"/>
        <w:rPr>
          <w:spacing w:val="-3"/>
        </w:rPr>
      </w:pPr>
      <w:r w:rsidRPr="00D8232C">
        <w:rPr>
          <w:spacing w:val="-3"/>
        </w:rPr>
        <w:t>4.</w:t>
      </w:r>
      <w:r w:rsidRPr="00D8232C">
        <w:rPr>
          <w:spacing w:val="-3"/>
        </w:rPr>
        <w:tab/>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w:t>
      </w:r>
      <w:proofErr w:type="gramStart"/>
      <w:r w:rsidRPr="00D8232C">
        <w:rPr>
          <w:spacing w:val="-3"/>
        </w:rPr>
        <w:t>Once the party with the initial burden of production introduces sufficient evidence to make out a prima facie case, the burden of production shifts to the opposing party.</w:t>
      </w:r>
      <w:proofErr w:type="gramEnd"/>
      <w:r w:rsidRPr="00D8232C">
        <w:rPr>
          <w:spacing w:val="-3"/>
        </w:rPr>
        <w:t xml:space="preserve">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6D2D25" w:rsidRPr="00D8232C" w:rsidRDefault="006D2D25" w:rsidP="006D2D25">
      <w:pPr>
        <w:tabs>
          <w:tab w:val="left" w:pos="-1440"/>
          <w:tab w:val="left" w:pos="-720"/>
        </w:tabs>
        <w:suppressAutoHyphens/>
        <w:ind w:firstLine="1440"/>
        <w:jc w:val="left"/>
        <w:rPr>
          <w:spacing w:val="-3"/>
        </w:rPr>
      </w:pPr>
    </w:p>
    <w:p w:rsidR="006D2D25" w:rsidRPr="00D8232C" w:rsidRDefault="006D2D25" w:rsidP="006D2D25">
      <w:pPr>
        <w:tabs>
          <w:tab w:val="left" w:pos="-1440"/>
          <w:tab w:val="left" w:pos="-720"/>
        </w:tabs>
        <w:suppressAutoHyphens/>
        <w:ind w:firstLine="1440"/>
        <w:jc w:val="left"/>
        <w:rPr>
          <w:spacing w:val="-3"/>
        </w:rPr>
      </w:pPr>
      <w:r w:rsidRPr="00D8232C">
        <w:rPr>
          <w:spacing w:val="-3"/>
        </w:rPr>
        <w:t>5.</w:t>
      </w:r>
      <w:r w:rsidRPr="00D8232C">
        <w:rPr>
          <w:spacing w:val="-3"/>
        </w:rPr>
        <w:tab/>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D8232C">
        <w:rPr>
          <w:i/>
          <w:spacing w:val="-3"/>
        </w:rPr>
        <w:t>Riedel v. County of Allegheny</w:t>
      </w:r>
      <w:r w:rsidRPr="00D8232C">
        <w:rPr>
          <w:spacing w:val="-3"/>
        </w:rPr>
        <w:t xml:space="preserve">, </w:t>
      </w:r>
      <w:proofErr w:type="gramStart"/>
      <w:r w:rsidRPr="00D8232C">
        <w:rPr>
          <w:spacing w:val="-3"/>
        </w:rPr>
        <w:t>159 Pa.Cmwlth</w:t>
      </w:r>
      <w:proofErr w:type="gramEnd"/>
      <w:r w:rsidRPr="00D8232C">
        <w:rPr>
          <w:spacing w:val="-3"/>
        </w:rPr>
        <w:t xml:space="preserve">. </w:t>
      </w:r>
      <w:proofErr w:type="gramStart"/>
      <w:r w:rsidRPr="00D8232C">
        <w:rPr>
          <w:spacing w:val="-3"/>
        </w:rPr>
        <w:t>583; 591, 633 A.2d 1325; 1328 n. 11 (1993).</w:t>
      </w:r>
      <w:proofErr w:type="gramEnd"/>
      <w:r w:rsidRPr="00D8232C">
        <w:rPr>
          <w:spacing w:val="-3"/>
        </w:rPr>
        <w:t xml:space="preserve">  The burden of persuasion, usually placed on the complainant, applicant, or petitioner, determines which party must produce sufficient evidence to meet the applicable standard of proof.  </w:t>
      </w:r>
      <w:r w:rsidRPr="00D8232C">
        <w:rPr>
          <w:i/>
          <w:spacing w:val="-3"/>
        </w:rPr>
        <w:t>Hurley v. Hurley</w:t>
      </w:r>
      <w:r w:rsidRPr="00D8232C">
        <w:rPr>
          <w:spacing w:val="-3"/>
        </w:rPr>
        <w:t xml:space="preserve">, 2000 </w:t>
      </w:r>
      <w:proofErr w:type="spellStart"/>
      <w:r w:rsidRPr="00D8232C">
        <w:rPr>
          <w:spacing w:val="-3"/>
        </w:rPr>
        <w:t>Pa.Super</w:t>
      </w:r>
      <w:proofErr w:type="spellEnd"/>
      <w:r w:rsidRPr="00D8232C">
        <w:rPr>
          <w:spacing w:val="-3"/>
        </w:rPr>
        <w:t xml:space="preserve">. </w:t>
      </w:r>
      <w:proofErr w:type="gramStart"/>
      <w:r w:rsidRPr="00D8232C">
        <w:rPr>
          <w:spacing w:val="-3"/>
        </w:rPr>
        <w:t>178, 754 A.2d 1283 (2000).</w:t>
      </w:r>
      <w:proofErr w:type="gramEnd"/>
    </w:p>
    <w:p w:rsidR="006D2D25" w:rsidRPr="00D8232C" w:rsidRDefault="006D2D25" w:rsidP="006D2D25">
      <w:pPr>
        <w:tabs>
          <w:tab w:val="left" w:pos="-1440"/>
          <w:tab w:val="left" w:pos="-720"/>
        </w:tabs>
        <w:suppressAutoHyphens/>
        <w:ind w:firstLine="1440"/>
        <w:jc w:val="left"/>
        <w:rPr>
          <w:spacing w:val="-3"/>
        </w:rPr>
      </w:pPr>
    </w:p>
    <w:p w:rsidR="006D2D25" w:rsidRPr="00D8232C" w:rsidRDefault="006D2D25" w:rsidP="006D2D25">
      <w:pPr>
        <w:tabs>
          <w:tab w:val="left" w:pos="-1440"/>
          <w:tab w:val="left" w:pos="-720"/>
        </w:tabs>
        <w:suppressAutoHyphens/>
        <w:ind w:firstLine="1440"/>
        <w:jc w:val="left"/>
        <w:rPr>
          <w:spacing w:val="-3"/>
        </w:rPr>
      </w:pPr>
      <w:r w:rsidRPr="00D8232C">
        <w:rPr>
          <w:spacing w:val="-3"/>
        </w:rPr>
        <w:lastRenderedPageBreak/>
        <w:t>6.</w:t>
      </w:r>
      <w:r w:rsidRPr="00D8232C">
        <w:rPr>
          <w:spacing w:val="-3"/>
        </w:rPr>
        <w:tab/>
        <w:t xml:space="preserve">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proofErr w:type="spellStart"/>
      <w:proofErr w:type="gramStart"/>
      <w:r w:rsidRPr="00D8232C">
        <w:rPr>
          <w:i/>
          <w:spacing w:val="-3"/>
        </w:rPr>
        <w:t>Suber</w:t>
      </w:r>
      <w:proofErr w:type="spellEnd"/>
      <w:r w:rsidRPr="00D8232C">
        <w:rPr>
          <w:i/>
          <w:spacing w:val="-3"/>
        </w:rPr>
        <w:t xml:space="preserve"> v. Pa. Comm’n on Crime and Delinquency</w:t>
      </w:r>
      <w:r w:rsidRPr="00D8232C">
        <w:rPr>
          <w:spacing w:val="-3"/>
        </w:rPr>
        <w:t>, 885 A.2d 678 (Pa.Cmwlth. 2005), app. denied, 586 Pa. 776, 895 A.2d 1264 (2006).</w:t>
      </w:r>
      <w:proofErr w:type="gramEnd"/>
      <w:r w:rsidRPr="00D8232C">
        <w:rPr>
          <w:spacing w:val="-3"/>
        </w:rPr>
        <w:t xml:space="preserve">  In order to bear the burden of proof and be entitled to a decision in his favor, a party must bear both the burden of production and the burden of persuasion.</w:t>
      </w:r>
    </w:p>
    <w:p w:rsidR="006D2D25" w:rsidRPr="00D8232C" w:rsidRDefault="006D2D25" w:rsidP="006D2D25">
      <w:pPr>
        <w:jc w:val="left"/>
      </w:pPr>
    </w:p>
    <w:p w:rsidR="006D2D25" w:rsidRPr="00D8232C" w:rsidRDefault="006D2D25" w:rsidP="006D2D25">
      <w:pPr>
        <w:jc w:val="left"/>
      </w:pPr>
      <w:r w:rsidRPr="00D8232C">
        <w:tab/>
      </w:r>
      <w:r w:rsidRPr="00D8232C">
        <w:tab/>
        <w:t>7.</w:t>
      </w:r>
      <w:r w:rsidRPr="00D8232C">
        <w:tab/>
        <w:t xml:space="preserve">A utility is required to provide just and reasonable service.  </w:t>
      </w:r>
      <w:proofErr w:type="gramStart"/>
      <w:r w:rsidRPr="00D8232C">
        <w:t>66 Pa. C.S.</w:t>
      </w:r>
      <w:proofErr w:type="gramEnd"/>
      <w:r w:rsidRPr="00D8232C">
        <w:t xml:space="preserve"> </w:t>
      </w:r>
    </w:p>
    <w:p w:rsidR="006D2D25" w:rsidRPr="00D8232C" w:rsidRDefault="006D2D25" w:rsidP="006D2D25">
      <w:pPr>
        <w:jc w:val="left"/>
      </w:pPr>
      <w:r w:rsidRPr="00D8232C">
        <w:t>§ 1501.</w:t>
      </w:r>
    </w:p>
    <w:p w:rsidR="006D2D25" w:rsidRPr="00D8232C" w:rsidRDefault="003E3470" w:rsidP="006D2D25">
      <w:pPr>
        <w:rPr>
          <w:u w:val="single"/>
        </w:rPr>
      </w:pPr>
      <w:r>
        <w:tab/>
      </w:r>
      <w:r>
        <w:tab/>
      </w:r>
    </w:p>
    <w:p w:rsidR="006D2D25" w:rsidRPr="00D8232C" w:rsidRDefault="006D2D25" w:rsidP="006D2D25">
      <w:pPr>
        <w:jc w:val="left"/>
      </w:pPr>
      <w:r w:rsidRPr="00D8232C">
        <w:tab/>
      </w:r>
      <w:r w:rsidRPr="00D8232C">
        <w:tab/>
        <w:t>8.</w:t>
      </w:r>
      <w:r w:rsidRPr="00D8232C">
        <w:tab/>
        <w:t xml:space="preserve">The statutory definition of “service” is to be broadly construed.  </w:t>
      </w:r>
      <w:proofErr w:type="gramStart"/>
      <w:r w:rsidRPr="00D8232C">
        <w:rPr>
          <w:i/>
        </w:rPr>
        <w:t xml:space="preserve">Country Place Waste Treatment Co., Inc. v. Pa. Publ. Util. Comm’n, </w:t>
      </w:r>
      <w:r w:rsidRPr="00D8232C">
        <w:t>654 A.2d 72 (Pa. Cmwlth. 1995).</w:t>
      </w:r>
      <w:proofErr w:type="gramEnd"/>
    </w:p>
    <w:p w:rsidR="006D2D25" w:rsidRPr="00D8232C" w:rsidRDefault="006D2D25" w:rsidP="006D2D25">
      <w:pPr>
        <w:jc w:val="left"/>
      </w:pPr>
    </w:p>
    <w:p w:rsidR="00C16F5A" w:rsidRPr="00D8232C" w:rsidRDefault="00585A8C" w:rsidP="00DA5D8F">
      <w:pPr>
        <w:jc w:val="left"/>
      </w:pPr>
      <w:r w:rsidRPr="00D8232C">
        <w:tab/>
      </w:r>
      <w:r w:rsidRPr="00D8232C">
        <w:tab/>
      </w:r>
      <w:r w:rsidR="002326CC">
        <w:t>9.</w:t>
      </w:r>
      <w:r w:rsidR="002326CC">
        <w:tab/>
        <w:t xml:space="preserve">PPL </w:t>
      </w:r>
      <w:r w:rsidRPr="00D8232C">
        <w:t xml:space="preserve">Tariff Rule 4, Rules for Electric Service, Section </w:t>
      </w:r>
      <w:proofErr w:type="gramStart"/>
      <w:r w:rsidRPr="00D8232C">
        <w:t>C(</w:t>
      </w:r>
      <w:proofErr w:type="gramEnd"/>
      <w:r w:rsidRPr="00D8232C">
        <w:t xml:space="preserve">3) states that the Company installs all lines, primary and secondary, along streets and public roads or over private property to a terminal pole located within a service span distance of the customer's point of delivery to which the company installs the service conductors and makes the connection with exceptions, including the exception of underground electric service in new residential developments.  </w:t>
      </w:r>
      <w:proofErr w:type="gramStart"/>
      <w:r w:rsidRPr="00D8232C">
        <w:t>Tr. 23-24; PPL Exhibit AL-2.</w:t>
      </w:r>
      <w:proofErr w:type="gramEnd"/>
    </w:p>
    <w:p w:rsidR="00CD38C0" w:rsidRPr="00D8232C" w:rsidRDefault="00C16F5A" w:rsidP="00DA5D8F">
      <w:pPr>
        <w:jc w:val="left"/>
      </w:pPr>
      <w:r w:rsidRPr="00D8232C">
        <w:tab/>
      </w:r>
      <w:r w:rsidRPr="00D8232C">
        <w:tab/>
      </w:r>
    </w:p>
    <w:p w:rsidR="00E22891" w:rsidRPr="00D8232C" w:rsidRDefault="00E22891" w:rsidP="00DA5D8F">
      <w:pPr>
        <w:jc w:val="left"/>
      </w:pPr>
      <w:r w:rsidRPr="00D8232C">
        <w:tab/>
      </w:r>
      <w:r w:rsidRPr="00D8232C">
        <w:tab/>
        <w:t>10.</w:t>
      </w:r>
      <w:r w:rsidRPr="00D8232C">
        <w:tab/>
      </w:r>
      <w:r w:rsidR="00281D7A" w:rsidRPr="00D8232C">
        <w:t>Complainant has not sustained his burden of proving that the level of service provided by Respondent is unsafe, unreasonable, inadequate or inefficient.</w:t>
      </w:r>
    </w:p>
    <w:p w:rsidR="00281D7A" w:rsidRPr="00D8232C" w:rsidRDefault="00281D7A" w:rsidP="00DA5D8F">
      <w:pPr>
        <w:jc w:val="left"/>
      </w:pPr>
    </w:p>
    <w:p w:rsidR="00281D7A" w:rsidRPr="00D8232C" w:rsidRDefault="00281D7A" w:rsidP="00281D7A">
      <w:pPr>
        <w:rPr>
          <w:b/>
          <w:u w:val="single"/>
        </w:rPr>
      </w:pPr>
      <w:r w:rsidRPr="00D8232C">
        <w:rPr>
          <w:b/>
          <w:u w:val="single"/>
        </w:rPr>
        <w:t>ORDER</w:t>
      </w:r>
    </w:p>
    <w:p w:rsidR="00281D7A" w:rsidRDefault="00281D7A" w:rsidP="00281D7A">
      <w:pPr>
        <w:rPr>
          <w:b/>
          <w:u w:val="single"/>
        </w:rPr>
      </w:pPr>
    </w:p>
    <w:p w:rsidR="003D1310" w:rsidRPr="00D8232C" w:rsidRDefault="003D1310" w:rsidP="00281D7A">
      <w:pPr>
        <w:rPr>
          <w:b/>
          <w:u w:val="single"/>
        </w:rPr>
      </w:pPr>
    </w:p>
    <w:p w:rsidR="00281D7A" w:rsidRPr="00D8232C" w:rsidRDefault="00281D7A" w:rsidP="00281D7A">
      <w:pPr>
        <w:jc w:val="left"/>
      </w:pPr>
      <w:r w:rsidRPr="00D8232C">
        <w:tab/>
      </w:r>
      <w:r w:rsidRPr="00D8232C">
        <w:tab/>
        <w:t>THEREFORE,</w:t>
      </w:r>
    </w:p>
    <w:p w:rsidR="00281D7A" w:rsidRPr="00D8232C" w:rsidRDefault="00281D7A" w:rsidP="00281D7A">
      <w:pPr>
        <w:jc w:val="left"/>
      </w:pPr>
    </w:p>
    <w:p w:rsidR="00281D7A" w:rsidRPr="00D8232C" w:rsidRDefault="00281D7A" w:rsidP="00281D7A">
      <w:pPr>
        <w:jc w:val="left"/>
      </w:pPr>
      <w:r w:rsidRPr="00D8232C">
        <w:tab/>
      </w:r>
      <w:r w:rsidRPr="00D8232C">
        <w:tab/>
        <w:t>IT IS ORDERED:</w:t>
      </w:r>
    </w:p>
    <w:p w:rsidR="00281D7A" w:rsidRPr="00D8232C" w:rsidRDefault="00281D7A" w:rsidP="00281D7A">
      <w:pPr>
        <w:jc w:val="left"/>
      </w:pPr>
    </w:p>
    <w:p w:rsidR="00281D7A" w:rsidRPr="00D8232C" w:rsidRDefault="00281D7A" w:rsidP="00281D7A">
      <w:pPr>
        <w:jc w:val="left"/>
      </w:pPr>
      <w:r w:rsidRPr="00D8232C">
        <w:lastRenderedPageBreak/>
        <w:tab/>
      </w:r>
      <w:r w:rsidRPr="00D8232C">
        <w:tab/>
        <w:t>1.</w:t>
      </w:r>
      <w:r w:rsidRPr="00D8232C">
        <w:tab/>
        <w:t>That PPL Electric Exhibit AL-9 is admitted to the evidentiary record.</w:t>
      </w:r>
    </w:p>
    <w:p w:rsidR="00281D7A" w:rsidRPr="00D8232C" w:rsidRDefault="00281D7A" w:rsidP="00281D7A">
      <w:pPr>
        <w:jc w:val="left"/>
      </w:pPr>
    </w:p>
    <w:p w:rsidR="00281D7A" w:rsidRPr="00D8232C" w:rsidRDefault="00281D7A" w:rsidP="00281D7A">
      <w:pPr>
        <w:jc w:val="left"/>
      </w:pPr>
      <w:r w:rsidRPr="00D8232C">
        <w:tab/>
      </w:r>
      <w:r w:rsidRPr="00D8232C">
        <w:tab/>
        <w:t>2.</w:t>
      </w:r>
      <w:r w:rsidRPr="00D8232C">
        <w:tab/>
        <w:t>That the Complaint filed by Stefan T. Cohen against PPL Electric Utilities Corporation at Docket No. C-2011-</w:t>
      </w:r>
      <w:proofErr w:type="gramStart"/>
      <w:r w:rsidRPr="00D8232C">
        <w:t>2276818,</w:t>
      </w:r>
      <w:proofErr w:type="gramEnd"/>
      <w:r w:rsidRPr="00D8232C">
        <w:t xml:space="preserve"> is dismissed.</w:t>
      </w:r>
    </w:p>
    <w:p w:rsidR="00281D7A" w:rsidRPr="00D8232C" w:rsidRDefault="00281D7A" w:rsidP="00281D7A">
      <w:pPr>
        <w:jc w:val="left"/>
      </w:pPr>
    </w:p>
    <w:p w:rsidR="00281D7A" w:rsidRPr="00D8232C" w:rsidRDefault="00281D7A" w:rsidP="00281D7A">
      <w:pPr>
        <w:jc w:val="left"/>
      </w:pPr>
      <w:r w:rsidRPr="00D8232C">
        <w:tab/>
      </w:r>
      <w:r w:rsidRPr="00D8232C">
        <w:tab/>
        <w:t>3.</w:t>
      </w:r>
      <w:r w:rsidRPr="00D8232C">
        <w:tab/>
        <w:t xml:space="preserve">That the Secretary </w:t>
      </w:r>
      <w:proofErr w:type="gramStart"/>
      <w:r w:rsidRPr="00D8232C">
        <w:t>mark</w:t>
      </w:r>
      <w:proofErr w:type="gramEnd"/>
      <w:r w:rsidRPr="00D8232C">
        <w:t xml:space="preserve"> this docket closed.</w:t>
      </w:r>
    </w:p>
    <w:p w:rsidR="00281D7A" w:rsidRDefault="00281D7A" w:rsidP="00281D7A">
      <w:pPr>
        <w:jc w:val="left"/>
      </w:pPr>
    </w:p>
    <w:p w:rsidR="003D1310" w:rsidRPr="00D8232C" w:rsidRDefault="003D1310" w:rsidP="00281D7A">
      <w:pPr>
        <w:jc w:val="left"/>
      </w:pPr>
    </w:p>
    <w:p w:rsidR="00281D7A" w:rsidRPr="00D8232C" w:rsidRDefault="00281D7A" w:rsidP="00281D7A">
      <w:pPr>
        <w:spacing w:line="240" w:lineRule="auto"/>
        <w:jc w:val="left"/>
      </w:pPr>
      <w:r w:rsidRPr="00D8232C">
        <w:t xml:space="preserve">Dated: </w:t>
      </w:r>
      <w:r w:rsidR="007A7F11" w:rsidRPr="00D8232C">
        <w:rPr>
          <w:u w:val="single"/>
        </w:rPr>
        <w:t>October 18</w:t>
      </w:r>
      <w:r w:rsidRPr="00D8232C">
        <w:rPr>
          <w:u w:val="single"/>
        </w:rPr>
        <w:t>, 2012</w:t>
      </w:r>
      <w:r w:rsidRPr="00D8232C">
        <w:tab/>
      </w:r>
      <w:r w:rsidRPr="00D8232C">
        <w:tab/>
      </w:r>
      <w:r w:rsidRPr="00D8232C">
        <w:tab/>
      </w:r>
      <w:r w:rsidRPr="00D8232C">
        <w:tab/>
        <w:t>_______________________________</w:t>
      </w:r>
    </w:p>
    <w:p w:rsidR="00281D7A" w:rsidRPr="00D8232C" w:rsidRDefault="00281D7A" w:rsidP="00281D7A">
      <w:pPr>
        <w:spacing w:line="240" w:lineRule="auto"/>
        <w:jc w:val="left"/>
      </w:pPr>
      <w:r w:rsidRPr="00D8232C">
        <w:tab/>
      </w:r>
      <w:r w:rsidRPr="00D8232C">
        <w:tab/>
      </w:r>
      <w:r w:rsidRPr="00D8232C">
        <w:tab/>
      </w:r>
      <w:r w:rsidRPr="00D8232C">
        <w:tab/>
      </w:r>
      <w:r w:rsidRPr="00D8232C">
        <w:tab/>
      </w:r>
      <w:r w:rsidRPr="00D8232C">
        <w:tab/>
      </w:r>
      <w:r w:rsidRPr="00D8232C">
        <w:tab/>
        <w:t>Susan D. Colwell</w:t>
      </w:r>
    </w:p>
    <w:p w:rsidR="00281D7A" w:rsidRPr="00D8232C" w:rsidRDefault="00281D7A" w:rsidP="00281D7A">
      <w:pPr>
        <w:spacing w:line="240" w:lineRule="auto"/>
        <w:jc w:val="left"/>
      </w:pPr>
      <w:r w:rsidRPr="00D8232C">
        <w:tab/>
      </w:r>
      <w:r w:rsidRPr="00D8232C">
        <w:tab/>
      </w:r>
      <w:r w:rsidRPr="00D8232C">
        <w:tab/>
      </w:r>
      <w:r w:rsidRPr="00D8232C">
        <w:tab/>
      </w:r>
      <w:r w:rsidRPr="00D8232C">
        <w:tab/>
      </w:r>
      <w:r w:rsidRPr="00D8232C">
        <w:tab/>
      </w:r>
      <w:r w:rsidRPr="00D8232C">
        <w:tab/>
        <w:t>Administrative Law Judge</w:t>
      </w:r>
    </w:p>
    <w:sectPr w:rsidR="00281D7A" w:rsidRPr="00D8232C" w:rsidSect="006D2D2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79" w:rsidRDefault="00305279" w:rsidP="006D2D25">
      <w:pPr>
        <w:spacing w:line="240" w:lineRule="auto"/>
      </w:pPr>
      <w:r>
        <w:separator/>
      </w:r>
    </w:p>
  </w:endnote>
  <w:endnote w:type="continuationSeparator" w:id="0">
    <w:p w:rsidR="00305279" w:rsidRDefault="00305279" w:rsidP="006D2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616474"/>
      <w:docPartObj>
        <w:docPartGallery w:val="Page Numbers (Bottom of Page)"/>
        <w:docPartUnique/>
      </w:docPartObj>
    </w:sdtPr>
    <w:sdtEndPr>
      <w:rPr>
        <w:noProof/>
        <w:sz w:val="20"/>
        <w:szCs w:val="20"/>
      </w:rPr>
    </w:sdtEndPr>
    <w:sdtContent>
      <w:p w:rsidR="006D2D25" w:rsidRPr="00A70710" w:rsidRDefault="006D2D25" w:rsidP="00A70710">
        <w:pPr>
          <w:pStyle w:val="Footer"/>
          <w:rPr>
            <w:sz w:val="20"/>
            <w:szCs w:val="20"/>
          </w:rPr>
        </w:pPr>
        <w:r w:rsidRPr="00A70710">
          <w:rPr>
            <w:sz w:val="20"/>
            <w:szCs w:val="20"/>
          </w:rPr>
          <w:fldChar w:fldCharType="begin"/>
        </w:r>
        <w:r w:rsidRPr="00A70710">
          <w:rPr>
            <w:sz w:val="20"/>
            <w:szCs w:val="20"/>
          </w:rPr>
          <w:instrText xml:space="preserve"> PAGE   \* MERGEFORMAT </w:instrText>
        </w:r>
        <w:r w:rsidRPr="00A70710">
          <w:rPr>
            <w:sz w:val="20"/>
            <w:szCs w:val="20"/>
          </w:rPr>
          <w:fldChar w:fldCharType="separate"/>
        </w:r>
        <w:r w:rsidR="00F31888">
          <w:rPr>
            <w:noProof/>
            <w:sz w:val="20"/>
            <w:szCs w:val="20"/>
          </w:rPr>
          <w:t>18</w:t>
        </w:r>
        <w:r w:rsidRPr="00A7071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79" w:rsidRDefault="00305279" w:rsidP="00240EA8">
      <w:pPr>
        <w:spacing w:line="240" w:lineRule="auto"/>
        <w:jc w:val="left"/>
      </w:pPr>
      <w:r>
        <w:separator/>
      </w:r>
    </w:p>
  </w:footnote>
  <w:footnote w:type="continuationSeparator" w:id="0">
    <w:p w:rsidR="00305279" w:rsidRDefault="00305279" w:rsidP="006A6B42">
      <w:pPr>
        <w:spacing w:line="240" w:lineRule="auto"/>
        <w:jc w:val="left"/>
      </w:pPr>
    </w:p>
  </w:footnote>
  <w:footnote w:id="1">
    <w:p w:rsidR="00D7083E" w:rsidRDefault="00D7083E" w:rsidP="0078398F">
      <w:pPr>
        <w:pStyle w:val="FootnoteText"/>
        <w:jc w:val="left"/>
      </w:pPr>
      <w:r>
        <w:rPr>
          <w:rStyle w:val="FootnoteReference"/>
        </w:rPr>
        <w:footnoteRef/>
      </w:r>
      <w:r w:rsidR="002326CC">
        <w:tab/>
      </w:r>
      <w:proofErr w:type="gramStart"/>
      <w:r>
        <w:t>“Service.”</w:t>
      </w:r>
      <w:proofErr w:type="gramEnd"/>
      <w: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but shall not include any acts done, rendered or performed, or </w:t>
      </w:r>
      <w:proofErr w:type="spellStart"/>
      <w:r>
        <w:t>any thing</w:t>
      </w:r>
      <w:proofErr w:type="spellEnd"/>
      <w:r>
        <w:t xml:space="preserve"> furnished or supplied, or any facility used, furnished or supplied by public utilities or contract carriers by motor vehicle in the transportation of voting machines to and from polling places for or on behalf of any political subdivision of this Commonwealth for use in any primary, general or special election, or in the transportation of any injured, ill or dead person, or in the transportation by towing of wrecked or disabled motor vehicles, or in the transportation of pulpwood or chemical wood fro</w:t>
      </w:r>
      <w:r w:rsidR="00BE4462">
        <w:t xml:space="preserve">m woodlots.  </w:t>
      </w:r>
      <w:proofErr w:type="gramStart"/>
      <w:r w:rsidR="00BE4462">
        <w:t>66 Pa. C.S. § 102.</w:t>
      </w:r>
      <w:proofErr w:type="gramEnd"/>
    </w:p>
    <w:p w:rsidR="00D7083E" w:rsidRDefault="00D7083E" w:rsidP="00D7083E">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8F"/>
    <w:rsid w:val="00001E3A"/>
    <w:rsid w:val="00001EF6"/>
    <w:rsid w:val="000028EA"/>
    <w:rsid w:val="00003D11"/>
    <w:rsid w:val="00004AA3"/>
    <w:rsid w:val="00005558"/>
    <w:rsid w:val="000079FE"/>
    <w:rsid w:val="00012104"/>
    <w:rsid w:val="000121F6"/>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396"/>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A7725"/>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595B"/>
    <w:rsid w:val="000F678B"/>
    <w:rsid w:val="000F680A"/>
    <w:rsid w:val="000F78BE"/>
    <w:rsid w:val="0010080E"/>
    <w:rsid w:val="001021FB"/>
    <w:rsid w:val="00102A77"/>
    <w:rsid w:val="0010420D"/>
    <w:rsid w:val="00104518"/>
    <w:rsid w:val="0010502B"/>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B30"/>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4623"/>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D58DA"/>
    <w:rsid w:val="001D671E"/>
    <w:rsid w:val="001D692E"/>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1BE"/>
    <w:rsid w:val="002003F0"/>
    <w:rsid w:val="002004A8"/>
    <w:rsid w:val="002019B1"/>
    <w:rsid w:val="00201E65"/>
    <w:rsid w:val="00201F9D"/>
    <w:rsid w:val="00205C33"/>
    <w:rsid w:val="0021162B"/>
    <w:rsid w:val="002125E4"/>
    <w:rsid w:val="002131B7"/>
    <w:rsid w:val="00214E49"/>
    <w:rsid w:val="00215381"/>
    <w:rsid w:val="00215BA6"/>
    <w:rsid w:val="002163B7"/>
    <w:rsid w:val="00216C32"/>
    <w:rsid w:val="00216F76"/>
    <w:rsid w:val="0021750E"/>
    <w:rsid w:val="002178EA"/>
    <w:rsid w:val="0022017F"/>
    <w:rsid w:val="002203D0"/>
    <w:rsid w:val="002205EC"/>
    <w:rsid w:val="00220D97"/>
    <w:rsid w:val="00221A88"/>
    <w:rsid w:val="002241D0"/>
    <w:rsid w:val="00224756"/>
    <w:rsid w:val="0022478F"/>
    <w:rsid w:val="00227A4A"/>
    <w:rsid w:val="00230CC6"/>
    <w:rsid w:val="002326CC"/>
    <w:rsid w:val="002337D7"/>
    <w:rsid w:val="00234DEB"/>
    <w:rsid w:val="0023584A"/>
    <w:rsid w:val="00236C44"/>
    <w:rsid w:val="00240343"/>
    <w:rsid w:val="002403E6"/>
    <w:rsid w:val="00240EA8"/>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1D7A"/>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5279"/>
    <w:rsid w:val="0030682B"/>
    <w:rsid w:val="00306C33"/>
    <w:rsid w:val="003106E6"/>
    <w:rsid w:val="00311531"/>
    <w:rsid w:val="003115D2"/>
    <w:rsid w:val="00312F06"/>
    <w:rsid w:val="00313595"/>
    <w:rsid w:val="0031425A"/>
    <w:rsid w:val="00314713"/>
    <w:rsid w:val="003149F5"/>
    <w:rsid w:val="003151E4"/>
    <w:rsid w:val="003156D7"/>
    <w:rsid w:val="00317261"/>
    <w:rsid w:val="0032130D"/>
    <w:rsid w:val="00321DB1"/>
    <w:rsid w:val="00324572"/>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8DC"/>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1CA"/>
    <w:rsid w:val="003D1310"/>
    <w:rsid w:val="003D1F46"/>
    <w:rsid w:val="003D41CF"/>
    <w:rsid w:val="003D5045"/>
    <w:rsid w:val="003E1442"/>
    <w:rsid w:val="003E2B14"/>
    <w:rsid w:val="003E2FDE"/>
    <w:rsid w:val="003E3470"/>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08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610"/>
    <w:rsid w:val="00464B18"/>
    <w:rsid w:val="00465D71"/>
    <w:rsid w:val="00466D15"/>
    <w:rsid w:val="00467E5D"/>
    <w:rsid w:val="0047063F"/>
    <w:rsid w:val="0047070D"/>
    <w:rsid w:val="00477A71"/>
    <w:rsid w:val="00481269"/>
    <w:rsid w:val="004839FC"/>
    <w:rsid w:val="00483C70"/>
    <w:rsid w:val="00484589"/>
    <w:rsid w:val="00484BCE"/>
    <w:rsid w:val="00487E8F"/>
    <w:rsid w:val="00491F39"/>
    <w:rsid w:val="004938B5"/>
    <w:rsid w:val="00493AC3"/>
    <w:rsid w:val="0049422F"/>
    <w:rsid w:val="0049475D"/>
    <w:rsid w:val="0049526D"/>
    <w:rsid w:val="0049575D"/>
    <w:rsid w:val="00496D95"/>
    <w:rsid w:val="00496DB8"/>
    <w:rsid w:val="004A11A6"/>
    <w:rsid w:val="004A1729"/>
    <w:rsid w:val="004A21F4"/>
    <w:rsid w:val="004A3363"/>
    <w:rsid w:val="004A45F8"/>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36CA2"/>
    <w:rsid w:val="00540B74"/>
    <w:rsid w:val="00540B8B"/>
    <w:rsid w:val="00540ED6"/>
    <w:rsid w:val="00541C1D"/>
    <w:rsid w:val="005449AC"/>
    <w:rsid w:val="00544A16"/>
    <w:rsid w:val="005472EC"/>
    <w:rsid w:val="00547C82"/>
    <w:rsid w:val="005509BE"/>
    <w:rsid w:val="0055122B"/>
    <w:rsid w:val="00552915"/>
    <w:rsid w:val="005534BD"/>
    <w:rsid w:val="00556AE0"/>
    <w:rsid w:val="00561597"/>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A8C"/>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0E0B"/>
    <w:rsid w:val="005E1521"/>
    <w:rsid w:val="005E3768"/>
    <w:rsid w:val="005E448D"/>
    <w:rsid w:val="005F064D"/>
    <w:rsid w:val="005F208F"/>
    <w:rsid w:val="005F512E"/>
    <w:rsid w:val="005F5A21"/>
    <w:rsid w:val="005F6A04"/>
    <w:rsid w:val="00600458"/>
    <w:rsid w:val="0060118D"/>
    <w:rsid w:val="0060369E"/>
    <w:rsid w:val="00603824"/>
    <w:rsid w:val="0060530E"/>
    <w:rsid w:val="00605D75"/>
    <w:rsid w:val="006073B5"/>
    <w:rsid w:val="00610CE1"/>
    <w:rsid w:val="006113D8"/>
    <w:rsid w:val="00612C6B"/>
    <w:rsid w:val="00614E70"/>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5DD5"/>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6803"/>
    <w:rsid w:val="006A6B42"/>
    <w:rsid w:val="006B1A6D"/>
    <w:rsid w:val="006B2B00"/>
    <w:rsid w:val="006B2FA8"/>
    <w:rsid w:val="006B3210"/>
    <w:rsid w:val="006B3E08"/>
    <w:rsid w:val="006B49AE"/>
    <w:rsid w:val="006B529B"/>
    <w:rsid w:val="006B596A"/>
    <w:rsid w:val="006B7860"/>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2D25"/>
    <w:rsid w:val="006D3945"/>
    <w:rsid w:val="006D4C15"/>
    <w:rsid w:val="006D7692"/>
    <w:rsid w:val="006E1753"/>
    <w:rsid w:val="006E2230"/>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2C13"/>
    <w:rsid w:val="00775812"/>
    <w:rsid w:val="00781AFB"/>
    <w:rsid w:val="00782461"/>
    <w:rsid w:val="0078261F"/>
    <w:rsid w:val="007833DA"/>
    <w:rsid w:val="00783492"/>
    <w:rsid w:val="0078398F"/>
    <w:rsid w:val="00784522"/>
    <w:rsid w:val="0078470A"/>
    <w:rsid w:val="00784C15"/>
    <w:rsid w:val="0078583D"/>
    <w:rsid w:val="00785939"/>
    <w:rsid w:val="00785D73"/>
    <w:rsid w:val="00786FA8"/>
    <w:rsid w:val="00787AF1"/>
    <w:rsid w:val="007910E3"/>
    <w:rsid w:val="0079132B"/>
    <w:rsid w:val="0079360E"/>
    <w:rsid w:val="00793BEA"/>
    <w:rsid w:val="00795245"/>
    <w:rsid w:val="007969E6"/>
    <w:rsid w:val="00796DA1"/>
    <w:rsid w:val="007A2C57"/>
    <w:rsid w:val="007A3440"/>
    <w:rsid w:val="007A34B3"/>
    <w:rsid w:val="007A7F11"/>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59CA"/>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10"/>
    <w:rsid w:val="00840A53"/>
    <w:rsid w:val="008427B3"/>
    <w:rsid w:val="008428A1"/>
    <w:rsid w:val="0085047D"/>
    <w:rsid w:val="008524EA"/>
    <w:rsid w:val="0085263B"/>
    <w:rsid w:val="008530B9"/>
    <w:rsid w:val="008537C0"/>
    <w:rsid w:val="00855167"/>
    <w:rsid w:val="00857642"/>
    <w:rsid w:val="00857872"/>
    <w:rsid w:val="00857F8E"/>
    <w:rsid w:val="00860589"/>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7F8"/>
    <w:rsid w:val="00885F50"/>
    <w:rsid w:val="00887314"/>
    <w:rsid w:val="00890EB4"/>
    <w:rsid w:val="00891D35"/>
    <w:rsid w:val="00893901"/>
    <w:rsid w:val="0089667B"/>
    <w:rsid w:val="0089728F"/>
    <w:rsid w:val="008A0874"/>
    <w:rsid w:val="008A0FF6"/>
    <w:rsid w:val="008A28F5"/>
    <w:rsid w:val="008A51AD"/>
    <w:rsid w:val="008A7818"/>
    <w:rsid w:val="008B2982"/>
    <w:rsid w:val="008B2F05"/>
    <w:rsid w:val="008B456E"/>
    <w:rsid w:val="008B51B9"/>
    <w:rsid w:val="008B5BC6"/>
    <w:rsid w:val="008B6119"/>
    <w:rsid w:val="008B62FA"/>
    <w:rsid w:val="008B7153"/>
    <w:rsid w:val="008C03AD"/>
    <w:rsid w:val="008C11EE"/>
    <w:rsid w:val="008C1485"/>
    <w:rsid w:val="008C175C"/>
    <w:rsid w:val="008C2DAF"/>
    <w:rsid w:val="008C3470"/>
    <w:rsid w:val="008C3720"/>
    <w:rsid w:val="008C668F"/>
    <w:rsid w:val="008D2DBA"/>
    <w:rsid w:val="008D530C"/>
    <w:rsid w:val="008D56D1"/>
    <w:rsid w:val="008D638B"/>
    <w:rsid w:val="008D6F0F"/>
    <w:rsid w:val="008D7ECE"/>
    <w:rsid w:val="008E01A0"/>
    <w:rsid w:val="008E1BF6"/>
    <w:rsid w:val="008E44FF"/>
    <w:rsid w:val="008E5A58"/>
    <w:rsid w:val="008E5EFA"/>
    <w:rsid w:val="008E5F96"/>
    <w:rsid w:val="008E6FB7"/>
    <w:rsid w:val="008E7557"/>
    <w:rsid w:val="008E7FE5"/>
    <w:rsid w:val="008F1874"/>
    <w:rsid w:val="008F25DF"/>
    <w:rsid w:val="008F29E0"/>
    <w:rsid w:val="008F3BE2"/>
    <w:rsid w:val="008F4FCE"/>
    <w:rsid w:val="008F63E4"/>
    <w:rsid w:val="008F7067"/>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204"/>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6C1"/>
    <w:rsid w:val="0095579C"/>
    <w:rsid w:val="00956E7E"/>
    <w:rsid w:val="0096539B"/>
    <w:rsid w:val="00965987"/>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7255"/>
    <w:rsid w:val="009F1AEE"/>
    <w:rsid w:val="009F1DB1"/>
    <w:rsid w:val="009F1EA5"/>
    <w:rsid w:val="009F5E68"/>
    <w:rsid w:val="009F69E5"/>
    <w:rsid w:val="009F7476"/>
    <w:rsid w:val="009F768D"/>
    <w:rsid w:val="00A00F26"/>
    <w:rsid w:val="00A018F7"/>
    <w:rsid w:val="00A02ABC"/>
    <w:rsid w:val="00A039B4"/>
    <w:rsid w:val="00A04E15"/>
    <w:rsid w:val="00A0555A"/>
    <w:rsid w:val="00A063F2"/>
    <w:rsid w:val="00A0799C"/>
    <w:rsid w:val="00A07D8F"/>
    <w:rsid w:val="00A12531"/>
    <w:rsid w:val="00A13C95"/>
    <w:rsid w:val="00A15615"/>
    <w:rsid w:val="00A1707A"/>
    <w:rsid w:val="00A215E2"/>
    <w:rsid w:val="00A2164F"/>
    <w:rsid w:val="00A236D2"/>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187B"/>
    <w:rsid w:val="00A52A4E"/>
    <w:rsid w:val="00A5343C"/>
    <w:rsid w:val="00A55081"/>
    <w:rsid w:val="00A5538B"/>
    <w:rsid w:val="00A57796"/>
    <w:rsid w:val="00A57AB1"/>
    <w:rsid w:val="00A635D9"/>
    <w:rsid w:val="00A64C8D"/>
    <w:rsid w:val="00A6721B"/>
    <w:rsid w:val="00A70355"/>
    <w:rsid w:val="00A7046F"/>
    <w:rsid w:val="00A70710"/>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0EB"/>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E36"/>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89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462"/>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F5A"/>
    <w:rsid w:val="00C211F9"/>
    <w:rsid w:val="00C22F92"/>
    <w:rsid w:val="00C238EE"/>
    <w:rsid w:val="00C25927"/>
    <w:rsid w:val="00C27126"/>
    <w:rsid w:val="00C273D7"/>
    <w:rsid w:val="00C2755A"/>
    <w:rsid w:val="00C3028D"/>
    <w:rsid w:val="00C30E3C"/>
    <w:rsid w:val="00C310B8"/>
    <w:rsid w:val="00C31DBD"/>
    <w:rsid w:val="00C32633"/>
    <w:rsid w:val="00C3305D"/>
    <w:rsid w:val="00C3343C"/>
    <w:rsid w:val="00C3343E"/>
    <w:rsid w:val="00C3643C"/>
    <w:rsid w:val="00C36C29"/>
    <w:rsid w:val="00C41646"/>
    <w:rsid w:val="00C4383B"/>
    <w:rsid w:val="00C44993"/>
    <w:rsid w:val="00C4601A"/>
    <w:rsid w:val="00C478FE"/>
    <w:rsid w:val="00C502DD"/>
    <w:rsid w:val="00C613E2"/>
    <w:rsid w:val="00C621E3"/>
    <w:rsid w:val="00C6430C"/>
    <w:rsid w:val="00C64E24"/>
    <w:rsid w:val="00C65047"/>
    <w:rsid w:val="00C653CC"/>
    <w:rsid w:val="00C662B1"/>
    <w:rsid w:val="00C665D4"/>
    <w:rsid w:val="00C67E56"/>
    <w:rsid w:val="00C73CE1"/>
    <w:rsid w:val="00C74775"/>
    <w:rsid w:val="00C76F9B"/>
    <w:rsid w:val="00C77064"/>
    <w:rsid w:val="00C80AB6"/>
    <w:rsid w:val="00C824FE"/>
    <w:rsid w:val="00C833D6"/>
    <w:rsid w:val="00C843D1"/>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5F7"/>
    <w:rsid w:val="00CC074E"/>
    <w:rsid w:val="00CC1659"/>
    <w:rsid w:val="00CC3092"/>
    <w:rsid w:val="00CC30C3"/>
    <w:rsid w:val="00CC363A"/>
    <w:rsid w:val="00CC3D4E"/>
    <w:rsid w:val="00CC4003"/>
    <w:rsid w:val="00CC74BD"/>
    <w:rsid w:val="00CD0768"/>
    <w:rsid w:val="00CD38C0"/>
    <w:rsid w:val="00CD3CC4"/>
    <w:rsid w:val="00CD788F"/>
    <w:rsid w:val="00CE047D"/>
    <w:rsid w:val="00CE1017"/>
    <w:rsid w:val="00CE1E11"/>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025"/>
    <w:rsid w:val="00D431F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83E"/>
    <w:rsid w:val="00D709A0"/>
    <w:rsid w:val="00D70A78"/>
    <w:rsid w:val="00D71394"/>
    <w:rsid w:val="00D7252A"/>
    <w:rsid w:val="00D73BC0"/>
    <w:rsid w:val="00D76C93"/>
    <w:rsid w:val="00D774C1"/>
    <w:rsid w:val="00D80799"/>
    <w:rsid w:val="00D81512"/>
    <w:rsid w:val="00D8232C"/>
    <w:rsid w:val="00D84747"/>
    <w:rsid w:val="00D84BD3"/>
    <w:rsid w:val="00D85346"/>
    <w:rsid w:val="00D90E7B"/>
    <w:rsid w:val="00D91EDC"/>
    <w:rsid w:val="00D92D94"/>
    <w:rsid w:val="00D961DB"/>
    <w:rsid w:val="00DA0625"/>
    <w:rsid w:val="00DA3748"/>
    <w:rsid w:val="00DA4C82"/>
    <w:rsid w:val="00DA5D8F"/>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4C85"/>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66C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891"/>
    <w:rsid w:val="00E23825"/>
    <w:rsid w:val="00E24543"/>
    <w:rsid w:val="00E2457B"/>
    <w:rsid w:val="00E247DE"/>
    <w:rsid w:val="00E257AB"/>
    <w:rsid w:val="00E303B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598"/>
    <w:rsid w:val="00EE2928"/>
    <w:rsid w:val="00EE2E23"/>
    <w:rsid w:val="00EE359A"/>
    <w:rsid w:val="00EE4BD0"/>
    <w:rsid w:val="00EE5BA1"/>
    <w:rsid w:val="00EE6A82"/>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888"/>
    <w:rsid w:val="00F31BDC"/>
    <w:rsid w:val="00F32232"/>
    <w:rsid w:val="00F32242"/>
    <w:rsid w:val="00F32877"/>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42"/>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413"/>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6D2D25"/>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6D2D25"/>
    <w:rPr>
      <w:sz w:val="20"/>
      <w:szCs w:val="20"/>
    </w:rPr>
  </w:style>
  <w:style w:type="character" w:styleId="FootnoteReference">
    <w:name w:val="footnote reference"/>
    <w:aliases w:val="o,fr"/>
    <w:basedOn w:val="DefaultParagraphFont"/>
    <w:unhideWhenUsed/>
    <w:rsid w:val="006D2D25"/>
    <w:rPr>
      <w:vertAlign w:val="superscript"/>
    </w:rPr>
  </w:style>
  <w:style w:type="paragraph" w:styleId="Header">
    <w:name w:val="header"/>
    <w:basedOn w:val="Normal"/>
    <w:link w:val="HeaderChar"/>
    <w:uiPriority w:val="99"/>
    <w:unhideWhenUsed/>
    <w:rsid w:val="006D2D25"/>
    <w:pPr>
      <w:tabs>
        <w:tab w:val="center" w:pos="4680"/>
        <w:tab w:val="right" w:pos="9360"/>
      </w:tabs>
      <w:spacing w:line="240" w:lineRule="auto"/>
    </w:pPr>
  </w:style>
  <w:style w:type="character" w:customStyle="1" w:styleId="HeaderChar">
    <w:name w:val="Header Char"/>
    <w:basedOn w:val="DefaultParagraphFont"/>
    <w:link w:val="Header"/>
    <w:uiPriority w:val="99"/>
    <w:rsid w:val="006D2D25"/>
  </w:style>
  <w:style w:type="paragraph" w:styleId="Footer">
    <w:name w:val="footer"/>
    <w:basedOn w:val="Normal"/>
    <w:link w:val="FooterChar"/>
    <w:uiPriority w:val="99"/>
    <w:unhideWhenUsed/>
    <w:rsid w:val="006D2D25"/>
    <w:pPr>
      <w:tabs>
        <w:tab w:val="center" w:pos="4680"/>
        <w:tab w:val="right" w:pos="9360"/>
      </w:tabs>
      <w:spacing w:line="240" w:lineRule="auto"/>
    </w:pPr>
  </w:style>
  <w:style w:type="character" w:customStyle="1" w:styleId="FooterChar">
    <w:name w:val="Footer Char"/>
    <w:basedOn w:val="DefaultParagraphFont"/>
    <w:link w:val="Footer"/>
    <w:uiPriority w:val="99"/>
    <w:rsid w:val="006D2D25"/>
  </w:style>
  <w:style w:type="paragraph" w:styleId="BalloonText">
    <w:name w:val="Balloon Text"/>
    <w:basedOn w:val="Normal"/>
    <w:link w:val="BalloonTextChar"/>
    <w:uiPriority w:val="99"/>
    <w:semiHidden/>
    <w:unhideWhenUsed/>
    <w:rsid w:val="00324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6D2D25"/>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6D2D25"/>
    <w:rPr>
      <w:sz w:val="20"/>
      <w:szCs w:val="20"/>
    </w:rPr>
  </w:style>
  <w:style w:type="character" w:styleId="FootnoteReference">
    <w:name w:val="footnote reference"/>
    <w:aliases w:val="o,fr"/>
    <w:basedOn w:val="DefaultParagraphFont"/>
    <w:unhideWhenUsed/>
    <w:rsid w:val="006D2D25"/>
    <w:rPr>
      <w:vertAlign w:val="superscript"/>
    </w:rPr>
  </w:style>
  <w:style w:type="paragraph" w:styleId="Header">
    <w:name w:val="header"/>
    <w:basedOn w:val="Normal"/>
    <w:link w:val="HeaderChar"/>
    <w:uiPriority w:val="99"/>
    <w:unhideWhenUsed/>
    <w:rsid w:val="006D2D25"/>
    <w:pPr>
      <w:tabs>
        <w:tab w:val="center" w:pos="4680"/>
        <w:tab w:val="right" w:pos="9360"/>
      </w:tabs>
      <w:spacing w:line="240" w:lineRule="auto"/>
    </w:pPr>
  </w:style>
  <w:style w:type="character" w:customStyle="1" w:styleId="HeaderChar">
    <w:name w:val="Header Char"/>
    <w:basedOn w:val="DefaultParagraphFont"/>
    <w:link w:val="Header"/>
    <w:uiPriority w:val="99"/>
    <w:rsid w:val="006D2D25"/>
  </w:style>
  <w:style w:type="paragraph" w:styleId="Footer">
    <w:name w:val="footer"/>
    <w:basedOn w:val="Normal"/>
    <w:link w:val="FooterChar"/>
    <w:uiPriority w:val="99"/>
    <w:unhideWhenUsed/>
    <w:rsid w:val="006D2D25"/>
    <w:pPr>
      <w:tabs>
        <w:tab w:val="center" w:pos="4680"/>
        <w:tab w:val="right" w:pos="9360"/>
      </w:tabs>
      <w:spacing w:line="240" w:lineRule="auto"/>
    </w:pPr>
  </w:style>
  <w:style w:type="character" w:customStyle="1" w:styleId="FooterChar">
    <w:name w:val="Footer Char"/>
    <w:basedOn w:val="DefaultParagraphFont"/>
    <w:link w:val="Footer"/>
    <w:uiPriority w:val="99"/>
    <w:rsid w:val="006D2D25"/>
  </w:style>
  <w:style w:type="paragraph" w:styleId="BalloonText">
    <w:name w:val="Balloon Text"/>
    <w:basedOn w:val="Normal"/>
    <w:link w:val="BalloonTextChar"/>
    <w:uiPriority w:val="99"/>
    <w:semiHidden/>
    <w:unhideWhenUsed/>
    <w:rsid w:val="00324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2681-01F9-4299-A2C4-9B8102FB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4556</Words>
  <Characters>25974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2012-10-18T17:54:00Z</cp:lastPrinted>
  <dcterms:created xsi:type="dcterms:W3CDTF">2012-10-26T14:36:00Z</dcterms:created>
  <dcterms:modified xsi:type="dcterms:W3CDTF">2012-10-26T14:36:00Z</dcterms:modified>
</cp:coreProperties>
</file>