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733646" w:rsidRDefault="00ED3EC8" w:rsidP="005D3B50">
      <w:pPr>
        <w:jc w:val="center"/>
        <w:rPr>
          <w:b/>
          <w:sz w:val="24"/>
          <w:szCs w:val="24"/>
        </w:rPr>
      </w:pPr>
      <w:bookmarkStart w:id="0" w:name="_GoBack"/>
      <w:bookmarkEnd w:id="0"/>
      <w:r w:rsidRPr="00733646">
        <w:rPr>
          <w:b/>
          <w:sz w:val="24"/>
          <w:szCs w:val="24"/>
        </w:rPr>
        <w:t>BEFORE THE</w:t>
      </w:r>
    </w:p>
    <w:p w:rsidR="00ED3EC8" w:rsidRPr="00733646" w:rsidRDefault="00ED3EC8" w:rsidP="005D3B50">
      <w:pPr>
        <w:jc w:val="center"/>
        <w:rPr>
          <w:b/>
          <w:sz w:val="24"/>
          <w:szCs w:val="24"/>
        </w:rPr>
      </w:pPr>
      <w:r w:rsidRPr="00733646">
        <w:rPr>
          <w:b/>
          <w:sz w:val="24"/>
          <w:szCs w:val="24"/>
        </w:rPr>
        <w:t>PENNSYLVANIA PUBLIC UTILITY COMMISSION</w:t>
      </w:r>
    </w:p>
    <w:p w:rsidR="00A22DCF" w:rsidRPr="00733646" w:rsidRDefault="00A22DCF" w:rsidP="005D3B50">
      <w:pPr>
        <w:jc w:val="center"/>
        <w:rPr>
          <w:b/>
          <w:sz w:val="24"/>
          <w:szCs w:val="24"/>
        </w:rPr>
      </w:pPr>
    </w:p>
    <w:p w:rsidR="00ED3EC8" w:rsidRPr="00733646" w:rsidRDefault="00ED3EC8" w:rsidP="005D3B50">
      <w:pPr>
        <w:jc w:val="center"/>
        <w:rPr>
          <w:b/>
          <w:sz w:val="24"/>
          <w:szCs w:val="24"/>
        </w:rPr>
      </w:pPr>
    </w:p>
    <w:p w:rsidR="00ED3EC8" w:rsidRPr="00733646" w:rsidRDefault="00ED3EC8" w:rsidP="005D3B50">
      <w:pPr>
        <w:jc w:val="center"/>
        <w:rPr>
          <w:b/>
          <w:sz w:val="24"/>
          <w:szCs w:val="24"/>
        </w:rPr>
      </w:pPr>
    </w:p>
    <w:p w:rsidR="00D30923" w:rsidRPr="00733646" w:rsidRDefault="0096659D" w:rsidP="00D30923">
      <w:pPr>
        <w:rPr>
          <w:sz w:val="24"/>
          <w:szCs w:val="24"/>
        </w:rPr>
      </w:pPr>
      <w:r w:rsidRPr="00733646">
        <w:rPr>
          <w:sz w:val="24"/>
          <w:szCs w:val="24"/>
        </w:rPr>
        <w:t xml:space="preserve">Walter </w:t>
      </w:r>
      <w:proofErr w:type="spellStart"/>
      <w:r w:rsidRPr="00733646">
        <w:rPr>
          <w:sz w:val="24"/>
          <w:szCs w:val="24"/>
        </w:rPr>
        <w:t>Hodorowski</w:t>
      </w:r>
      <w:proofErr w:type="spellEnd"/>
      <w:r w:rsidR="00461296" w:rsidRPr="00733646">
        <w:rPr>
          <w:sz w:val="24"/>
          <w:szCs w:val="24"/>
        </w:rPr>
        <w:t xml:space="preserve"> for Jean </w:t>
      </w:r>
      <w:proofErr w:type="spellStart"/>
      <w:r w:rsidR="00461296" w:rsidRPr="00733646">
        <w:rPr>
          <w:sz w:val="24"/>
          <w:szCs w:val="24"/>
        </w:rPr>
        <w:t>Hodorowski</w:t>
      </w:r>
      <w:proofErr w:type="spellEnd"/>
      <w:r w:rsidR="00D30923" w:rsidRPr="00733646">
        <w:rPr>
          <w:sz w:val="24"/>
          <w:szCs w:val="24"/>
        </w:rPr>
        <w:tab/>
      </w:r>
      <w:r w:rsidR="00D30923" w:rsidRPr="00733646">
        <w:rPr>
          <w:sz w:val="24"/>
          <w:szCs w:val="24"/>
        </w:rPr>
        <w:tab/>
        <w:t>:</w:t>
      </w:r>
    </w:p>
    <w:p w:rsidR="0096659D" w:rsidRPr="00733646" w:rsidRDefault="0096659D" w:rsidP="00D30923">
      <w:pPr>
        <w:rPr>
          <w:sz w:val="24"/>
          <w:szCs w:val="24"/>
        </w:rPr>
      </w:pP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t>:</w:t>
      </w:r>
    </w:p>
    <w:p w:rsidR="00D30923" w:rsidRPr="00733646" w:rsidRDefault="00D30923" w:rsidP="00D30923">
      <w:pPr>
        <w:rPr>
          <w:sz w:val="24"/>
          <w:szCs w:val="24"/>
        </w:rPr>
      </w:pPr>
      <w:r w:rsidRPr="00733646">
        <w:rPr>
          <w:sz w:val="24"/>
          <w:szCs w:val="24"/>
        </w:rPr>
        <w:tab/>
        <w:t>v.</w:t>
      </w:r>
      <w:r w:rsidRPr="00733646">
        <w:rPr>
          <w:sz w:val="24"/>
          <w:szCs w:val="24"/>
        </w:rPr>
        <w:tab/>
      </w:r>
      <w:r w:rsidRPr="00733646">
        <w:rPr>
          <w:sz w:val="24"/>
          <w:szCs w:val="24"/>
        </w:rPr>
        <w:tab/>
      </w:r>
      <w:r w:rsidRPr="00733646">
        <w:rPr>
          <w:sz w:val="24"/>
          <w:szCs w:val="24"/>
        </w:rPr>
        <w:tab/>
      </w:r>
      <w:r w:rsidR="00AA44EC" w:rsidRPr="00733646">
        <w:rPr>
          <w:sz w:val="24"/>
          <w:szCs w:val="24"/>
        </w:rPr>
        <w:tab/>
      </w:r>
      <w:r w:rsidRPr="00733646">
        <w:rPr>
          <w:sz w:val="24"/>
          <w:szCs w:val="24"/>
        </w:rPr>
        <w:tab/>
      </w:r>
      <w:r w:rsidRPr="00733646">
        <w:rPr>
          <w:sz w:val="24"/>
          <w:szCs w:val="24"/>
        </w:rPr>
        <w:tab/>
        <w:t>:</w:t>
      </w:r>
      <w:r w:rsidRPr="00733646">
        <w:rPr>
          <w:sz w:val="24"/>
          <w:szCs w:val="24"/>
        </w:rPr>
        <w:tab/>
      </w:r>
      <w:r w:rsidRPr="00733646">
        <w:rPr>
          <w:sz w:val="24"/>
          <w:szCs w:val="24"/>
        </w:rPr>
        <w:tab/>
        <w:t>C-2012-2</w:t>
      </w:r>
      <w:r w:rsidR="0096659D" w:rsidRPr="00733646">
        <w:rPr>
          <w:sz w:val="24"/>
          <w:szCs w:val="24"/>
        </w:rPr>
        <w:t>305049</w:t>
      </w:r>
    </w:p>
    <w:p w:rsidR="00D30923" w:rsidRPr="00733646" w:rsidRDefault="00D30923" w:rsidP="00D30923">
      <w:pPr>
        <w:rPr>
          <w:sz w:val="24"/>
          <w:szCs w:val="24"/>
        </w:rPr>
      </w:pP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00AA44EC" w:rsidRPr="00733646">
        <w:rPr>
          <w:sz w:val="24"/>
          <w:szCs w:val="24"/>
        </w:rPr>
        <w:tab/>
      </w:r>
      <w:r w:rsidRPr="00733646">
        <w:rPr>
          <w:sz w:val="24"/>
          <w:szCs w:val="24"/>
        </w:rPr>
        <w:tab/>
        <w:t>:</w:t>
      </w:r>
    </w:p>
    <w:p w:rsidR="00D30923" w:rsidRPr="00733646" w:rsidRDefault="00D30923" w:rsidP="00D30923">
      <w:pPr>
        <w:rPr>
          <w:sz w:val="24"/>
          <w:szCs w:val="24"/>
        </w:rPr>
      </w:pPr>
      <w:r w:rsidRPr="00733646">
        <w:rPr>
          <w:sz w:val="24"/>
          <w:szCs w:val="24"/>
        </w:rPr>
        <w:t>P</w:t>
      </w:r>
      <w:r w:rsidR="0096659D" w:rsidRPr="00733646">
        <w:rPr>
          <w:sz w:val="24"/>
          <w:szCs w:val="24"/>
        </w:rPr>
        <w:t>hiladelphia Gas Works</w:t>
      </w:r>
      <w:r w:rsidRPr="00733646">
        <w:rPr>
          <w:sz w:val="24"/>
          <w:szCs w:val="24"/>
        </w:rPr>
        <w:tab/>
      </w:r>
      <w:r w:rsidRPr="00733646">
        <w:rPr>
          <w:sz w:val="24"/>
          <w:szCs w:val="24"/>
        </w:rPr>
        <w:tab/>
      </w:r>
      <w:r w:rsidR="00AA44EC" w:rsidRPr="00733646">
        <w:rPr>
          <w:sz w:val="24"/>
          <w:szCs w:val="24"/>
        </w:rPr>
        <w:tab/>
      </w:r>
      <w:r w:rsidRPr="00733646">
        <w:rPr>
          <w:sz w:val="24"/>
          <w:szCs w:val="24"/>
        </w:rPr>
        <w:tab/>
        <w:t>:</w:t>
      </w:r>
    </w:p>
    <w:p w:rsidR="00BE68F7" w:rsidRPr="00733646" w:rsidRDefault="00BE68F7" w:rsidP="005D3B50">
      <w:pPr>
        <w:rPr>
          <w:sz w:val="24"/>
          <w:szCs w:val="24"/>
        </w:rPr>
      </w:pPr>
    </w:p>
    <w:p w:rsidR="00BE68F7" w:rsidRPr="00733646" w:rsidRDefault="00BE68F7" w:rsidP="005D3B50">
      <w:pPr>
        <w:rPr>
          <w:sz w:val="24"/>
          <w:szCs w:val="24"/>
        </w:rPr>
      </w:pPr>
    </w:p>
    <w:p w:rsidR="00ED3EC8" w:rsidRPr="00733646" w:rsidRDefault="00ED3EC8" w:rsidP="005D3B50">
      <w:pPr>
        <w:rPr>
          <w:sz w:val="24"/>
          <w:szCs w:val="24"/>
        </w:rPr>
      </w:pPr>
    </w:p>
    <w:p w:rsidR="00ED3EC8" w:rsidRPr="00733646" w:rsidRDefault="00F8605D" w:rsidP="005D3B50">
      <w:pPr>
        <w:jc w:val="center"/>
        <w:rPr>
          <w:b/>
          <w:sz w:val="24"/>
          <w:szCs w:val="24"/>
          <w:u w:val="single"/>
        </w:rPr>
      </w:pPr>
      <w:r w:rsidRPr="00733646">
        <w:rPr>
          <w:b/>
          <w:sz w:val="24"/>
          <w:szCs w:val="24"/>
          <w:u w:val="single"/>
        </w:rPr>
        <w:t>INITIAL DECISION</w:t>
      </w:r>
    </w:p>
    <w:p w:rsidR="00ED3EC8" w:rsidRPr="00733646" w:rsidRDefault="00ED3EC8" w:rsidP="005D3B50">
      <w:pPr>
        <w:jc w:val="center"/>
        <w:rPr>
          <w:b/>
          <w:sz w:val="24"/>
          <w:szCs w:val="24"/>
        </w:rPr>
      </w:pPr>
    </w:p>
    <w:p w:rsidR="00A22DCF" w:rsidRPr="00733646" w:rsidRDefault="00A22DCF" w:rsidP="005D3B50">
      <w:pPr>
        <w:jc w:val="center"/>
        <w:rPr>
          <w:b/>
          <w:sz w:val="24"/>
          <w:szCs w:val="24"/>
        </w:rPr>
      </w:pPr>
    </w:p>
    <w:p w:rsidR="00FC763F" w:rsidRPr="00733646" w:rsidRDefault="00FC763F" w:rsidP="005D3B50">
      <w:pPr>
        <w:pStyle w:val="BodyTextIndent"/>
        <w:widowControl/>
        <w:spacing w:line="240" w:lineRule="auto"/>
        <w:ind w:firstLine="0"/>
        <w:jc w:val="center"/>
        <w:rPr>
          <w:bCs/>
          <w:sz w:val="24"/>
          <w:szCs w:val="24"/>
        </w:rPr>
      </w:pPr>
      <w:r w:rsidRPr="00733646">
        <w:rPr>
          <w:bCs/>
          <w:sz w:val="24"/>
          <w:szCs w:val="24"/>
        </w:rPr>
        <w:t>Before</w:t>
      </w:r>
    </w:p>
    <w:p w:rsidR="00FC763F" w:rsidRPr="00733646" w:rsidRDefault="00FC763F" w:rsidP="005D3B50">
      <w:pPr>
        <w:pStyle w:val="BodyTextIndent"/>
        <w:widowControl/>
        <w:spacing w:line="240" w:lineRule="auto"/>
        <w:ind w:firstLine="0"/>
        <w:jc w:val="center"/>
        <w:rPr>
          <w:bCs/>
          <w:sz w:val="24"/>
          <w:szCs w:val="24"/>
        </w:rPr>
      </w:pPr>
      <w:r w:rsidRPr="00733646">
        <w:rPr>
          <w:bCs/>
          <w:sz w:val="24"/>
          <w:szCs w:val="24"/>
        </w:rPr>
        <w:t>Dennis J. Buckley</w:t>
      </w:r>
    </w:p>
    <w:p w:rsidR="00FC763F" w:rsidRPr="00733646" w:rsidRDefault="00FC763F" w:rsidP="005D3B50">
      <w:pPr>
        <w:pStyle w:val="BodyTextIndent"/>
        <w:widowControl/>
        <w:spacing w:line="240" w:lineRule="auto"/>
        <w:ind w:firstLine="0"/>
        <w:jc w:val="center"/>
        <w:rPr>
          <w:bCs/>
          <w:sz w:val="24"/>
          <w:szCs w:val="24"/>
        </w:rPr>
      </w:pPr>
      <w:r w:rsidRPr="00733646">
        <w:rPr>
          <w:bCs/>
          <w:sz w:val="24"/>
          <w:szCs w:val="24"/>
        </w:rPr>
        <w:t>Administrative Law Judge</w:t>
      </w:r>
    </w:p>
    <w:p w:rsidR="00ED3EC8" w:rsidRPr="00733646" w:rsidRDefault="00ED3EC8" w:rsidP="00932060">
      <w:pPr>
        <w:jc w:val="center"/>
        <w:rPr>
          <w:b/>
          <w:sz w:val="24"/>
          <w:szCs w:val="24"/>
        </w:rPr>
      </w:pPr>
    </w:p>
    <w:p w:rsidR="00FC763F" w:rsidRPr="00733646" w:rsidRDefault="00FC763F" w:rsidP="00932060">
      <w:pPr>
        <w:jc w:val="center"/>
        <w:rPr>
          <w:b/>
          <w:sz w:val="24"/>
          <w:szCs w:val="24"/>
        </w:rPr>
      </w:pPr>
    </w:p>
    <w:p w:rsidR="00FC763F" w:rsidRPr="00733646" w:rsidRDefault="00FC763F" w:rsidP="005D3B50">
      <w:pPr>
        <w:jc w:val="center"/>
        <w:rPr>
          <w:sz w:val="24"/>
          <w:szCs w:val="24"/>
          <w:u w:val="single"/>
        </w:rPr>
      </w:pPr>
      <w:r w:rsidRPr="00733646">
        <w:rPr>
          <w:sz w:val="24"/>
          <w:szCs w:val="24"/>
          <w:u w:val="single"/>
        </w:rPr>
        <w:t>HISTORY OF THE PROCEEDING</w:t>
      </w:r>
    </w:p>
    <w:p w:rsidR="007C2CDF" w:rsidRPr="00733646" w:rsidRDefault="007C2CDF" w:rsidP="005D3B50">
      <w:pPr>
        <w:jc w:val="center"/>
        <w:rPr>
          <w:sz w:val="24"/>
          <w:szCs w:val="24"/>
          <w:u w:val="single"/>
        </w:rPr>
      </w:pPr>
    </w:p>
    <w:p w:rsidR="00FC763F" w:rsidRPr="00733646" w:rsidRDefault="00FC763F" w:rsidP="005D3B50">
      <w:pPr>
        <w:jc w:val="center"/>
        <w:rPr>
          <w:sz w:val="24"/>
          <w:szCs w:val="24"/>
          <w:u w:val="single"/>
        </w:rPr>
      </w:pPr>
    </w:p>
    <w:p w:rsidR="0096659D" w:rsidRPr="00733646" w:rsidRDefault="00FC763F" w:rsidP="005D3B50">
      <w:pPr>
        <w:spacing w:line="360" w:lineRule="auto"/>
        <w:rPr>
          <w:sz w:val="24"/>
          <w:szCs w:val="24"/>
        </w:rPr>
      </w:pPr>
      <w:r w:rsidRPr="00733646">
        <w:rPr>
          <w:sz w:val="24"/>
          <w:szCs w:val="24"/>
        </w:rPr>
        <w:tab/>
      </w:r>
      <w:r w:rsidRPr="00733646">
        <w:rPr>
          <w:sz w:val="24"/>
          <w:szCs w:val="24"/>
        </w:rPr>
        <w:tab/>
      </w:r>
      <w:r w:rsidR="00FE3410" w:rsidRPr="00733646">
        <w:rPr>
          <w:sz w:val="24"/>
          <w:szCs w:val="24"/>
        </w:rPr>
        <w:t xml:space="preserve">On </w:t>
      </w:r>
      <w:r w:rsidR="0096659D" w:rsidRPr="00733646">
        <w:rPr>
          <w:sz w:val="24"/>
          <w:szCs w:val="24"/>
        </w:rPr>
        <w:t>May 8</w:t>
      </w:r>
      <w:r w:rsidR="00D30923" w:rsidRPr="00733646">
        <w:rPr>
          <w:sz w:val="24"/>
          <w:szCs w:val="24"/>
        </w:rPr>
        <w:t>, 2012</w:t>
      </w:r>
      <w:r w:rsidR="00FE3410" w:rsidRPr="00733646">
        <w:rPr>
          <w:sz w:val="24"/>
          <w:szCs w:val="24"/>
        </w:rPr>
        <w:t xml:space="preserve">, </w:t>
      </w:r>
      <w:r w:rsidR="0096659D" w:rsidRPr="00733646">
        <w:rPr>
          <w:sz w:val="24"/>
          <w:szCs w:val="24"/>
        </w:rPr>
        <w:t xml:space="preserve">Walter </w:t>
      </w:r>
      <w:proofErr w:type="spellStart"/>
      <w:r w:rsidR="0096659D" w:rsidRPr="00733646">
        <w:rPr>
          <w:sz w:val="24"/>
          <w:szCs w:val="24"/>
        </w:rPr>
        <w:t>Hodorowski</w:t>
      </w:r>
      <w:proofErr w:type="spellEnd"/>
      <w:r w:rsidR="00D30923" w:rsidRPr="00733646">
        <w:rPr>
          <w:sz w:val="24"/>
          <w:szCs w:val="24"/>
        </w:rPr>
        <w:t xml:space="preserve"> (</w:t>
      </w:r>
      <w:r w:rsidR="00FE3410" w:rsidRPr="00733646">
        <w:rPr>
          <w:sz w:val="24"/>
          <w:szCs w:val="24"/>
        </w:rPr>
        <w:t>Complainant)</w:t>
      </w:r>
      <w:r w:rsidR="0096659D" w:rsidRPr="00733646">
        <w:rPr>
          <w:sz w:val="24"/>
          <w:szCs w:val="24"/>
        </w:rPr>
        <w:t xml:space="preserve">, the holder of a General Power of Attorney from Jean </w:t>
      </w:r>
      <w:proofErr w:type="spellStart"/>
      <w:r w:rsidR="0096659D" w:rsidRPr="00733646">
        <w:rPr>
          <w:sz w:val="24"/>
          <w:szCs w:val="24"/>
        </w:rPr>
        <w:t>Hodorowski</w:t>
      </w:r>
      <w:proofErr w:type="spellEnd"/>
      <w:r w:rsidR="0096659D" w:rsidRPr="00733646">
        <w:rPr>
          <w:sz w:val="24"/>
          <w:szCs w:val="24"/>
        </w:rPr>
        <w:t>,</w:t>
      </w:r>
      <w:r w:rsidR="00FE3410" w:rsidRPr="00733646">
        <w:rPr>
          <w:sz w:val="24"/>
          <w:szCs w:val="24"/>
        </w:rPr>
        <w:t xml:space="preserve"> filed a formal Complaint against </w:t>
      </w:r>
      <w:r w:rsidR="00D30923" w:rsidRPr="00733646">
        <w:rPr>
          <w:sz w:val="24"/>
          <w:szCs w:val="24"/>
        </w:rPr>
        <w:t>P</w:t>
      </w:r>
      <w:r w:rsidR="0096659D" w:rsidRPr="00733646">
        <w:rPr>
          <w:sz w:val="24"/>
          <w:szCs w:val="24"/>
        </w:rPr>
        <w:t>hiladelphia Gas Works</w:t>
      </w:r>
      <w:r w:rsidR="00D30923" w:rsidRPr="00733646">
        <w:rPr>
          <w:sz w:val="24"/>
          <w:szCs w:val="24"/>
        </w:rPr>
        <w:t xml:space="preserve"> </w:t>
      </w:r>
      <w:r w:rsidR="00FE3410" w:rsidRPr="00733646">
        <w:rPr>
          <w:sz w:val="24"/>
          <w:szCs w:val="24"/>
        </w:rPr>
        <w:t>(</w:t>
      </w:r>
      <w:r w:rsidR="00D30923" w:rsidRPr="00733646">
        <w:rPr>
          <w:sz w:val="24"/>
          <w:szCs w:val="24"/>
        </w:rPr>
        <w:t>P</w:t>
      </w:r>
      <w:r w:rsidR="0096659D" w:rsidRPr="00733646">
        <w:rPr>
          <w:sz w:val="24"/>
          <w:szCs w:val="24"/>
        </w:rPr>
        <w:t>GW</w:t>
      </w:r>
      <w:r w:rsidR="00FE3410" w:rsidRPr="00733646">
        <w:rPr>
          <w:sz w:val="24"/>
          <w:szCs w:val="24"/>
        </w:rPr>
        <w:t xml:space="preserve"> or Respondent).  The Complain</w:t>
      </w:r>
      <w:r w:rsidR="00C77D6B" w:rsidRPr="00733646">
        <w:rPr>
          <w:sz w:val="24"/>
          <w:szCs w:val="24"/>
        </w:rPr>
        <w:t>an</w:t>
      </w:r>
      <w:r w:rsidR="00FE3410" w:rsidRPr="00733646">
        <w:rPr>
          <w:sz w:val="24"/>
          <w:szCs w:val="24"/>
        </w:rPr>
        <w:t xml:space="preserve">t alleged that </w:t>
      </w:r>
      <w:r w:rsidR="0096659D" w:rsidRPr="00733646">
        <w:rPr>
          <w:sz w:val="24"/>
          <w:szCs w:val="24"/>
        </w:rPr>
        <w:t xml:space="preserve">due to the limited income of the household and the health issues faced by Jean </w:t>
      </w:r>
      <w:proofErr w:type="spellStart"/>
      <w:r w:rsidR="0096659D" w:rsidRPr="00733646">
        <w:rPr>
          <w:sz w:val="24"/>
          <w:szCs w:val="24"/>
        </w:rPr>
        <w:t>Hodorowski</w:t>
      </w:r>
      <w:proofErr w:type="spellEnd"/>
      <w:r w:rsidR="0096659D" w:rsidRPr="00733646">
        <w:rPr>
          <w:sz w:val="24"/>
          <w:szCs w:val="24"/>
        </w:rPr>
        <w:t xml:space="preserve">, the </w:t>
      </w:r>
      <w:proofErr w:type="spellStart"/>
      <w:r w:rsidR="0096659D" w:rsidRPr="00733646">
        <w:rPr>
          <w:sz w:val="24"/>
          <w:szCs w:val="24"/>
        </w:rPr>
        <w:t>Hodorowskis</w:t>
      </w:r>
      <w:proofErr w:type="spellEnd"/>
      <w:r w:rsidR="0096659D" w:rsidRPr="00733646">
        <w:rPr>
          <w:sz w:val="24"/>
          <w:szCs w:val="24"/>
        </w:rPr>
        <w:t xml:space="preserve"> cannot afford the payments required by PGW.  The </w:t>
      </w:r>
      <w:proofErr w:type="spellStart"/>
      <w:r w:rsidR="0096659D" w:rsidRPr="00733646">
        <w:rPr>
          <w:sz w:val="24"/>
          <w:szCs w:val="24"/>
        </w:rPr>
        <w:t>Hodorowskis</w:t>
      </w:r>
      <w:proofErr w:type="spellEnd"/>
      <w:r w:rsidR="0096659D" w:rsidRPr="00733646">
        <w:rPr>
          <w:sz w:val="24"/>
          <w:szCs w:val="24"/>
        </w:rPr>
        <w:t xml:space="preserve"> want to pay $115 per month to PGW.</w:t>
      </w:r>
    </w:p>
    <w:p w:rsidR="0096659D" w:rsidRPr="00733646" w:rsidRDefault="0096659D" w:rsidP="005D3B50">
      <w:pPr>
        <w:spacing w:line="360" w:lineRule="auto"/>
        <w:rPr>
          <w:sz w:val="24"/>
          <w:szCs w:val="24"/>
        </w:rPr>
      </w:pPr>
    </w:p>
    <w:p w:rsidR="00D30923" w:rsidRPr="00733646" w:rsidRDefault="001B445B" w:rsidP="005D3B50">
      <w:pPr>
        <w:spacing w:line="360" w:lineRule="auto"/>
        <w:rPr>
          <w:sz w:val="24"/>
          <w:szCs w:val="24"/>
        </w:rPr>
      </w:pPr>
      <w:r w:rsidRPr="00733646">
        <w:rPr>
          <w:sz w:val="24"/>
          <w:szCs w:val="24"/>
        </w:rPr>
        <w:tab/>
      </w:r>
      <w:r w:rsidRPr="00733646">
        <w:rPr>
          <w:sz w:val="24"/>
          <w:szCs w:val="24"/>
        </w:rPr>
        <w:tab/>
      </w:r>
      <w:r w:rsidR="00D30923" w:rsidRPr="00733646">
        <w:rPr>
          <w:sz w:val="24"/>
          <w:szCs w:val="24"/>
        </w:rPr>
        <w:t>The Complaint was served on P</w:t>
      </w:r>
      <w:r w:rsidR="0096659D" w:rsidRPr="00733646">
        <w:rPr>
          <w:sz w:val="24"/>
          <w:szCs w:val="24"/>
        </w:rPr>
        <w:t>GW</w:t>
      </w:r>
      <w:r w:rsidR="00D30923" w:rsidRPr="00733646">
        <w:rPr>
          <w:sz w:val="24"/>
          <w:szCs w:val="24"/>
        </w:rPr>
        <w:t xml:space="preserve"> on </w:t>
      </w:r>
      <w:r w:rsidR="0096659D" w:rsidRPr="00733646">
        <w:rPr>
          <w:sz w:val="24"/>
          <w:szCs w:val="24"/>
        </w:rPr>
        <w:t xml:space="preserve">May 18, </w:t>
      </w:r>
      <w:r w:rsidR="00D30923" w:rsidRPr="00733646">
        <w:rPr>
          <w:sz w:val="24"/>
          <w:szCs w:val="24"/>
        </w:rPr>
        <w:t>2012.</w:t>
      </w:r>
    </w:p>
    <w:p w:rsidR="00D30923" w:rsidRPr="00733646" w:rsidRDefault="00D30923" w:rsidP="005D3B50">
      <w:pPr>
        <w:spacing w:line="360" w:lineRule="auto"/>
        <w:rPr>
          <w:sz w:val="24"/>
          <w:szCs w:val="24"/>
        </w:rPr>
      </w:pPr>
    </w:p>
    <w:p w:rsidR="00676DAD" w:rsidRPr="00733646" w:rsidRDefault="00D30923" w:rsidP="005D3B50">
      <w:pPr>
        <w:spacing w:line="360" w:lineRule="auto"/>
        <w:rPr>
          <w:sz w:val="24"/>
          <w:szCs w:val="24"/>
        </w:rPr>
      </w:pPr>
      <w:r w:rsidRPr="00733646">
        <w:rPr>
          <w:sz w:val="24"/>
          <w:szCs w:val="24"/>
        </w:rPr>
        <w:tab/>
      </w:r>
      <w:r w:rsidRPr="00733646">
        <w:rPr>
          <w:sz w:val="24"/>
          <w:szCs w:val="24"/>
        </w:rPr>
        <w:tab/>
        <w:t xml:space="preserve">On </w:t>
      </w:r>
      <w:r w:rsidR="0096659D" w:rsidRPr="00733646">
        <w:rPr>
          <w:sz w:val="24"/>
          <w:szCs w:val="24"/>
        </w:rPr>
        <w:t>June 7</w:t>
      </w:r>
      <w:r w:rsidRPr="00733646">
        <w:rPr>
          <w:sz w:val="24"/>
          <w:szCs w:val="24"/>
        </w:rPr>
        <w:t>, 2012, P</w:t>
      </w:r>
      <w:r w:rsidR="0096659D" w:rsidRPr="00733646">
        <w:rPr>
          <w:sz w:val="24"/>
          <w:szCs w:val="24"/>
        </w:rPr>
        <w:t xml:space="preserve">GW </w:t>
      </w:r>
      <w:r w:rsidR="001B445B" w:rsidRPr="00733646">
        <w:rPr>
          <w:sz w:val="24"/>
          <w:szCs w:val="24"/>
        </w:rPr>
        <w:t xml:space="preserve">timely filed an Answer </w:t>
      </w:r>
      <w:r w:rsidR="00667B42">
        <w:rPr>
          <w:sz w:val="24"/>
          <w:szCs w:val="24"/>
        </w:rPr>
        <w:t>stating that as of February 13, </w:t>
      </w:r>
      <w:r w:rsidR="0096659D" w:rsidRPr="00733646">
        <w:rPr>
          <w:sz w:val="24"/>
          <w:szCs w:val="24"/>
        </w:rPr>
        <w:t xml:space="preserve">2012, the Complainant was over the income eligibility level for participation in the </w:t>
      </w:r>
      <w:r w:rsidR="00C77D6B" w:rsidRPr="00733646">
        <w:rPr>
          <w:sz w:val="24"/>
          <w:szCs w:val="24"/>
        </w:rPr>
        <w:t xml:space="preserve">PGW </w:t>
      </w:r>
      <w:r w:rsidR="0096659D" w:rsidRPr="00733646">
        <w:rPr>
          <w:sz w:val="24"/>
          <w:szCs w:val="24"/>
        </w:rPr>
        <w:t>C</w:t>
      </w:r>
      <w:r w:rsidR="00BF483D" w:rsidRPr="00733646">
        <w:rPr>
          <w:sz w:val="24"/>
          <w:szCs w:val="24"/>
        </w:rPr>
        <w:t xml:space="preserve">ustomer </w:t>
      </w:r>
      <w:r w:rsidR="0096659D" w:rsidRPr="00733646">
        <w:rPr>
          <w:sz w:val="24"/>
          <w:szCs w:val="24"/>
        </w:rPr>
        <w:t>R</w:t>
      </w:r>
      <w:r w:rsidR="00BF483D" w:rsidRPr="00733646">
        <w:rPr>
          <w:sz w:val="24"/>
          <w:szCs w:val="24"/>
        </w:rPr>
        <w:t xml:space="preserve">esponsibility </w:t>
      </w:r>
      <w:r w:rsidR="0096659D" w:rsidRPr="00733646">
        <w:rPr>
          <w:sz w:val="24"/>
          <w:szCs w:val="24"/>
        </w:rPr>
        <w:t>P</w:t>
      </w:r>
      <w:r w:rsidR="00BF483D" w:rsidRPr="00733646">
        <w:rPr>
          <w:sz w:val="24"/>
          <w:szCs w:val="24"/>
        </w:rPr>
        <w:t>lan (CRP),</w:t>
      </w:r>
      <w:r w:rsidR="0096659D" w:rsidRPr="00733646">
        <w:rPr>
          <w:sz w:val="24"/>
          <w:szCs w:val="24"/>
        </w:rPr>
        <w:t xml:space="preserve"> that the full outstanding balance on the account ($9,365.58) </w:t>
      </w:r>
      <w:r w:rsidR="00C77D6B" w:rsidRPr="00733646">
        <w:rPr>
          <w:sz w:val="24"/>
          <w:szCs w:val="24"/>
        </w:rPr>
        <w:t>is</w:t>
      </w:r>
      <w:r w:rsidR="0096659D" w:rsidRPr="00733646">
        <w:rPr>
          <w:sz w:val="24"/>
          <w:szCs w:val="24"/>
        </w:rPr>
        <w:t xml:space="preserve"> due</w:t>
      </w:r>
      <w:r w:rsidR="00676DAD" w:rsidRPr="00733646">
        <w:rPr>
          <w:sz w:val="24"/>
          <w:szCs w:val="24"/>
        </w:rPr>
        <w:t>, and that Complainant was provided with payment terms of $303.00 plus $157.00 towards arrears for 60 months.</w:t>
      </w:r>
    </w:p>
    <w:p w:rsidR="00676DAD" w:rsidRPr="00733646" w:rsidRDefault="00676DAD" w:rsidP="005D3B50">
      <w:pPr>
        <w:spacing w:line="360" w:lineRule="auto"/>
        <w:rPr>
          <w:sz w:val="24"/>
          <w:szCs w:val="24"/>
        </w:rPr>
      </w:pPr>
    </w:p>
    <w:p w:rsidR="007C10F7" w:rsidRPr="00733646" w:rsidRDefault="0096659D" w:rsidP="005D3B50">
      <w:pPr>
        <w:spacing w:line="360" w:lineRule="auto"/>
        <w:rPr>
          <w:sz w:val="24"/>
          <w:szCs w:val="24"/>
        </w:rPr>
      </w:pPr>
      <w:r w:rsidRPr="00733646">
        <w:rPr>
          <w:sz w:val="24"/>
          <w:szCs w:val="24"/>
        </w:rPr>
        <w:lastRenderedPageBreak/>
        <w:t xml:space="preserve"> </w:t>
      </w:r>
      <w:r w:rsidR="00676DAD" w:rsidRPr="00733646">
        <w:rPr>
          <w:sz w:val="24"/>
          <w:szCs w:val="24"/>
        </w:rPr>
        <w:tab/>
      </w:r>
      <w:r w:rsidR="007C10F7" w:rsidRPr="00733646">
        <w:rPr>
          <w:sz w:val="24"/>
          <w:szCs w:val="24"/>
        </w:rPr>
        <w:tab/>
        <w:t xml:space="preserve">By notice dated </w:t>
      </w:r>
      <w:r w:rsidR="00676DAD" w:rsidRPr="00733646">
        <w:rPr>
          <w:sz w:val="24"/>
          <w:szCs w:val="24"/>
        </w:rPr>
        <w:t>July 9, 2012</w:t>
      </w:r>
      <w:r w:rsidR="007C10F7" w:rsidRPr="00733646">
        <w:rPr>
          <w:sz w:val="24"/>
          <w:szCs w:val="24"/>
        </w:rPr>
        <w:t xml:space="preserve">, the parties were advised that a telephonic hearing </w:t>
      </w:r>
      <w:r w:rsidR="000115B5" w:rsidRPr="00733646">
        <w:rPr>
          <w:sz w:val="24"/>
          <w:szCs w:val="24"/>
        </w:rPr>
        <w:t xml:space="preserve">in this matter </w:t>
      </w:r>
      <w:r w:rsidR="007C10F7" w:rsidRPr="00733646">
        <w:rPr>
          <w:sz w:val="24"/>
          <w:szCs w:val="24"/>
        </w:rPr>
        <w:t xml:space="preserve">would take place on </w:t>
      </w:r>
      <w:r w:rsidR="00C47D00" w:rsidRPr="00733646">
        <w:rPr>
          <w:sz w:val="24"/>
          <w:szCs w:val="24"/>
        </w:rPr>
        <w:t>A</w:t>
      </w:r>
      <w:r w:rsidR="00676DAD" w:rsidRPr="00733646">
        <w:rPr>
          <w:sz w:val="24"/>
          <w:szCs w:val="24"/>
        </w:rPr>
        <w:t>ugust 7</w:t>
      </w:r>
      <w:r w:rsidR="00C47D00" w:rsidRPr="00733646">
        <w:rPr>
          <w:sz w:val="24"/>
          <w:szCs w:val="24"/>
        </w:rPr>
        <w:t>, 2</w:t>
      </w:r>
      <w:r w:rsidR="007C10F7" w:rsidRPr="00733646">
        <w:rPr>
          <w:sz w:val="24"/>
          <w:szCs w:val="24"/>
        </w:rPr>
        <w:t>01</w:t>
      </w:r>
      <w:r w:rsidR="00C47D00" w:rsidRPr="00733646">
        <w:rPr>
          <w:sz w:val="24"/>
          <w:szCs w:val="24"/>
        </w:rPr>
        <w:t>2</w:t>
      </w:r>
      <w:r w:rsidR="007C10F7" w:rsidRPr="00733646">
        <w:rPr>
          <w:sz w:val="24"/>
          <w:szCs w:val="24"/>
        </w:rPr>
        <w:t>.</w:t>
      </w:r>
    </w:p>
    <w:p w:rsidR="007C10F7" w:rsidRPr="00733646" w:rsidRDefault="007C10F7" w:rsidP="005D3B50">
      <w:pPr>
        <w:spacing w:line="360" w:lineRule="auto"/>
        <w:rPr>
          <w:sz w:val="24"/>
          <w:szCs w:val="24"/>
        </w:rPr>
      </w:pPr>
    </w:p>
    <w:p w:rsidR="00250B10" w:rsidRPr="00733646" w:rsidRDefault="007C10F7" w:rsidP="005D3B50">
      <w:pPr>
        <w:spacing w:line="360" w:lineRule="auto"/>
        <w:rPr>
          <w:sz w:val="24"/>
          <w:szCs w:val="24"/>
        </w:rPr>
      </w:pPr>
      <w:r w:rsidRPr="00733646">
        <w:rPr>
          <w:sz w:val="24"/>
          <w:szCs w:val="24"/>
        </w:rPr>
        <w:tab/>
      </w:r>
      <w:r w:rsidRPr="00733646">
        <w:rPr>
          <w:sz w:val="24"/>
          <w:szCs w:val="24"/>
        </w:rPr>
        <w:tab/>
      </w:r>
      <w:r w:rsidR="00250B10" w:rsidRPr="00733646">
        <w:rPr>
          <w:sz w:val="24"/>
          <w:szCs w:val="24"/>
        </w:rPr>
        <w:t xml:space="preserve">On </w:t>
      </w:r>
      <w:r w:rsidR="00676DAD" w:rsidRPr="00733646">
        <w:rPr>
          <w:sz w:val="24"/>
          <w:szCs w:val="24"/>
        </w:rPr>
        <w:t xml:space="preserve">July 31, </w:t>
      </w:r>
      <w:r w:rsidR="00C47D00" w:rsidRPr="00733646">
        <w:rPr>
          <w:sz w:val="24"/>
          <w:szCs w:val="24"/>
        </w:rPr>
        <w:t>2012</w:t>
      </w:r>
      <w:r w:rsidR="00250B10" w:rsidRPr="00733646">
        <w:rPr>
          <w:sz w:val="24"/>
          <w:szCs w:val="24"/>
        </w:rPr>
        <w:t xml:space="preserve">, </w:t>
      </w:r>
      <w:r w:rsidR="00C47D00" w:rsidRPr="00733646">
        <w:rPr>
          <w:sz w:val="24"/>
          <w:szCs w:val="24"/>
        </w:rPr>
        <w:t>P</w:t>
      </w:r>
      <w:r w:rsidR="00676DAD" w:rsidRPr="00733646">
        <w:rPr>
          <w:sz w:val="24"/>
          <w:szCs w:val="24"/>
        </w:rPr>
        <w:t>GW</w:t>
      </w:r>
      <w:r w:rsidR="00250B10" w:rsidRPr="00733646">
        <w:rPr>
          <w:sz w:val="24"/>
          <w:szCs w:val="24"/>
        </w:rPr>
        <w:t xml:space="preserve"> served on the Complainant and the Presiding Officer copies of the </w:t>
      </w:r>
      <w:r w:rsidR="007C2CDF" w:rsidRPr="00733646">
        <w:rPr>
          <w:sz w:val="24"/>
          <w:szCs w:val="24"/>
        </w:rPr>
        <w:t>documents</w:t>
      </w:r>
      <w:r w:rsidR="00250B10" w:rsidRPr="00733646">
        <w:rPr>
          <w:sz w:val="24"/>
          <w:szCs w:val="24"/>
        </w:rPr>
        <w:t xml:space="preserve"> that </w:t>
      </w:r>
      <w:r w:rsidR="00C47D00" w:rsidRPr="00733646">
        <w:rPr>
          <w:sz w:val="24"/>
          <w:szCs w:val="24"/>
        </w:rPr>
        <w:t>P</w:t>
      </w:r>
      <w:r w:rsidR="00676DAD" w:rsidRPr="00733646">
        <w:rPr>
          <w:sz w:val="24"/>
          <w:szCs w:val="24"/>
        </w:rPr>
        <w:t>GW</w:t>
      </w:r>
      <w:r w:rsidR="00250B10" w:rsidRPr="00733646">
        <w:rPr>
          <w:sz w:val="24"/>
          <w:szCs w:val="24"/>
        </w:rPr>
        <w:t xml:space="preserve"> proposed to offer </w:t>
      </w:r>
      <w:r w:rsidR="007C2CDF" w:rsidRPr="00733646">
        <w:rPr>
          <w:sz w:val="24"/>
          <w:szCs w:val="24"/>
        </w:rPr>
        <w:t xml:space="preserve">as exhibits </w:t>
      </w:r>
      <w:r w:rsidR="00250B10" w:rsidRPr="00733646">
        <w:rPr>
          <w:sz w:val="24"/>
          <w:szCs w:val="24"/>
        </w:rPr>
        <w:t>at hearing.</w:t>
      </w:r>
    </w:p>
    <w:p w:rsidR="00366B3E" w:rsidRPr="00733646" w:rsidRDefault="00366B3E" w:rsidP="005D3B50">
      <w:pPr>
        <w:spacing w:line="360" w:lineRule="auto"/>
        <w:rPr>
          <w:sz w:val="24"/>
          <w:szCs w:val="24"/>
        </w:rPr>
      </w:pPr>
    </w:p>
    <w:p w:rsidR="00C47D00" w:rsidRPr="00733646" w:rsidRDefault="00366B3E" w:rsidP="005D3B50">
      <w:pPr>
        <w:spacing w:line="360" w:lineRule="auto"/>
        <w:rPr>
          <w:sz w:val="24"/>
          <w:szCs w:val="24"/>
        </w:rPr>
      </w:pPr>
      <w:r w:rsidRPr="00733646">
        <w:rPr>
          <w:sz w:val="24"/>
          <w:szCs w:val="24"/>
        </w:rPr>
        <w:tab/>
      </w:r>
      <w:r w:rsidRPr="00733646">
        <w:rPr>
          <w:sz w:val="24"/>
          <w:szCs w:val="24"/>
        </w:rPr>
        <w:tab/>
        <w:t xml:space="preserve">On </w:t>
      </w:r>
      <w:r w:rsidR="00C47D00" w:rsidRPr="00733646">
        <w:rPr>
          <w:sz w:val="24"/>
          <w:szCs w:val="24"/>
        </w:rPr>
        <w:t>A</w:t>
      </w:r>
      <w:r w:rsidR="00676DAD" w:rsidRPr="00733646">
        <w:rPr>
          <w:sz w:val="24"/>
          <w:szCs w:val="24"/>
        </w:rPr>
        <w:t>ugust 7</w:t>
      </w:r>
      <w:r w:rsidR="00C47D00" w:rsidRPr="00733646">
        <w:rPr>
          <w:sz w:val="24"/>
          <w:szCs w:val="24"/>
        </w:rPr>
        <w:t xml:space="preserve">, </w:t>
      </w:r>
      <w:r w:rsidRPr="00733646">
        <w:rPr>
          <w:sz w:val="24"/>
          <w:szCs w:val="24"/>
        </w:rPr>
        <w:t>201</w:t>
      </w:r>
      <w:r w:rsidR="00C47D00" w:rsidRPr="00733646">
        <w:rPr>
          <w:sz w:val="24"/>
          <w:szCs w:val="24"/>
        </w:rPr>
        <w:t>2</w:t>
      </w:r>
      <w:r w:rsidRPr="00733646">
        <w:rPr>
          <w:sz w:val="24"/>
          <w:szCs w:val="24"/>
        </w:rPr>
        <w:t xml:space="preserve">, a telephonic hearing was held in this case.  Complainant appeared and represented </w:t>
      </w:r>
      <w:r w:rsidR="00676DAD" w:rsidRPr="00733646">
        <w:rPr>
          <w:sz w:val="24"/>
          <w:szCs w:val="24"/>
        </w:rPr>
        <w:t xml:space="preserve">Jean </w:t>
      </w:r>
      <w:proofErr w:type="spellStart"/>
      <w:r w:rsidR="00676DAD" w:rsidRPr="00733646">
        <w:rPr>
          <w:sz w:val="24"/>
          <w:szCs w:val="24"/>
        </w:rPr>
        <w:t>Hodorowski</w:t>
      </w:r>
      <w:proofErr w:type="spellEnd"/>
      <w:r w:rsidRPr="00733646">
        <w:rPr>
          <w:sz w:val="24"/>
          <w:szCs w:val="24"/>
        </w:rPr>
        <w:t xml:space="preserve">, providing </w:t>
      </w:r>
      <w:r w:rsidR="00676DAD" w:rsidRPr="00733646">
        <w:rPr>
          <w:sz w:val="24"/>
          <w:szCs w:val="24"/>
        </w:rPr>
        <w:t xml:space="preserve">his own testimony and presenting the </w:t>
      </w:r>
      <w:r w:rsidRPr="00733646">
        <w:rPr>
          <w:sz w:val="24"/>
          <w:szCs w:val="24"/>
        </w:rPr>
        <w:t>testimony</w:t>
      </w:r>
      <w:r w:rsidR="00C47D00" w:rsidRPr="00733646">
        <w:rPr>
          <w:sz w:val="24"/>
          <w:szCs w:val="24"/>
        </w:rPr>
        <w:t xml:space="preserve"> </w:t>
      </w:r>
      <w:r w:rsidR="00676DAD" w:rsidRPr="00733646">
        <w:rPr>
          <w:sz w:val="24"/>
          <w:szCs w:val="24"/>
        </w:rPr>
        <w:t xml:space="preserve">of Jean </w:t>
      </w:r>
      <w:proofErr w:type="spellStart"/>
      <w:r w:rsidR="00676DAD" w:rsidRPr="00733646">
        <w:rPr>
          <w:sz w:val="24"/>
          <w:szCs w:val="24"/>
        </w:rPr>
        <w:t>Hodorowski</w:t>
      </w:r>
      <w:proofErr w:type="spellEnd"/>
      <w:r w:rsidR="00676DAD" w:rsidRPr="00733646">
        <w:rPr>
          <w:sz w:val="24"/>
          <w:szCs w:val="24"/>
        </w:rPr>
        <w:t>.</w:t>
      </w:r>
      <w:r w:rsidR="00826389" w:rsidRPr="00733646">
        <w:rPr>
          <w:rStyle w:val="FootnoteReference"/>
          <w:sz w:val="24"/>
          <w:szCs w:val="24"/>
        </w:rPr>
        <w:footnoteReference w:id="1"/>
      </w:r>
      <w:r w:rsidR="00676DAD" w:rsidRPr="00733646">
        <w:rPr>
          <w:sz w:val="24"/>
          <w:szCs w:val="24"/>
        </w:rPr>
        <w:t xml:space="preserve">  </w:t>
      </w:r>
      <w:proofErr w:type="spellStart"/>
      <w:r w:rsidR="00676DAD" w:rsidRPr="00733646">
        <w:rPr>
          <w:sz w:val="24"/>
          <w:szCs w:val="24"/>
        </w:rPr>
        <w:t>PGW</w:t>
      </w:r>
      <w:proofErr w:type="spellEnd"/>
      <w:r w:rsidR="00676DAD" w:rsidRPr="00733646">
        <w:rPr>
          <w:sz w:val="24"/>
          <w:szCs w:val="24"/>
        </w:rPr>
        <w:t xml:space="preserve"> </w:t>
      </w:r>
      <w:r w:rsidRPr="00733646">
        <w:rPr>
          <w:sz w:val="24"/>
          <w:szCs w:val="24"/>
        </w:rPr>
        <w:t xml:space="preserve">was represented by </w:t>
      </w:r>
      <w:r w:rsidR="00676DAD" w:rsidRPr="00733646">
        <w:rPr>
          <w:sz w:val="24"/>
          <w:szCs w:val="24"/>
        </w:rPr>
        <w:t>Laureto A. Farinas</w:t>
      </w:r>
      <w:r w:rsidRPr="00733646">
        <w:rPr>
          <w:sz w:val="24"/>
          <w:szCs w:val="24"/>
        </w:rPr>
        <w:t xml:space="preserve">, Esquire, </w:t>
      </w:r>
      <w:r w:rsidR="00676DAD" w:rsidRPr="00733646">
        <w:rPr>
          <w:sz w:val="24"/>
          <w:szCs w:val="24"/>
        </w:rPr>
        <w:t>who</w:t>
      </w:r>
      <w:r w:rsidRPr="00733646">
        <w:rPr>
          <w:sz w:val="24"/>
          <w:szCs w:val="24"/>
        </w:rPr>
        <w:t xml:space="preserve"> presented the testimony of </w:t>
      </w:r>
      <w:r w:rsidR="00676DAD" w:rsidRPr="00733646">
        <w:rPr>
          <w:sz w:val="24"/>
          <w:szCs w:val="24"/>
        </w:rPr>
        <w:t xml:space="preserve">Wendy </w:t>
      </w:r>
      <w:proofErr w:type="spellStart"/>
      <w:proofErr w:type="gramStart"/>
      <w:r w:rsidR="00676DAD" w:rsidRPr="00733646">
        <w:rPr>
          <w:sz w:val="24"/>
          <w:szCs w:val="24"/>
        </w:rPr>
        <w:t>Vacca</w:t>
      </w:r>
      <w:proofErr w:type="spellEnd"/>
      <w:r w:rsidR="00676DAD" w:rsidRPr="00733646">
        <w:rPr>
          <w:sz w:val="24"/>
          <w:szCs w:val="24"/>
        </w:rPr>
        <w:t>,</w:t>
      </w:r>
      <w:proofErr w:type="gramEnd"/>
      <w:r w:rsidR="00676DAD" w:rsidRPr="00733646">
        <w:rPr>
          <w:sz w:val="24"/>
          <w:szCs w:val="24"/>
        </w:rPr>
        <w:t xml:space="preserve"> </w:t>
      </w:r>
      <w:r w:rsidRPr="00733646">
        <w:rPr>
          <w:sz w:val="24"/>
          <w:szCs w:val="24"/>
        </w:rPr>
        <w:t xml:space="preserve">a </w:t>
      </w:r>
      <w:r w:rsidR="00676DAD" w:rsidRPr="00733646">
        <w:rPr>
          <w:sz w:val="24"/>
          <w:szCs w:val="24"/>
        </w:rPr>
        <w:t xml:space="preserve">Customer Review Officer employed by </w:t>
      </w:r>
      <w:r w:rsidR="00C47D00" w:rsidRPr="00733646">
        <w:rPr>
          <w:sz w:val="24"/>
          <w:szCs w:val="24"/>
        </w:rPr>
        <w:t>P</w:t>
      </w:r>
      <w:r w:rsidR="00676DAD" w:rsidRPr="00733646">
        <w:rPr>
          <w:sz w:val="24"/>
          <w:szCs w:val="24"/>
        </w:rPr>
        <w:t>GW</w:t>
      </w:r>
      <w:r w:rsidRPr="00733646">
        <w:rPr>
          <w:sz w:val="24"/>
          <w:szCs w:val="24"/>
        </w:rPr>
        <w:t>, and offered a</w:t>
      </w:r>
      <w:r w:rsidR="00676DAD" w:rsidRPr="00733646">
        <w:rPr>
          <w:sz w:val="24"/>
          <w:szCs w:val="24"/>
        </w:rPr>
        <w:t xml:space="preserve"> Statement of Account for Jean </w:t>
      </w:r>
      <w:proofErr w:type="spellStart"/>
      <w:r w:rsidR="00676DAD" w:rsidRPr="00733646">
        <w:rPr>
          <w:sz w:val="24"/>
          <w:szCs w:val="24"/>
        </w:rPr>
        <w:t>Hodorowski</w:t>
      </w:r>
      <w:proofErr w:type="spellEnd"/>
      <w:r w:rsidR="00676DAD" w:rsidRPr="00733646">
        <w:rPr>
          <w:sz w:val="24"/>
          <w:szCs w:val="24"/>
        </w:rPr>
        <w:t xml:space="preserve"> </w:t>
      </w:r>
      <w:r w:rsidRPr="00733646">
        <w:rPr>
          <w:sz w:val="24"/>
          <w:szCs w:val="24"/>
        </w:rPr>
        <w:t>(</w:t>
      </w:r>
      <w:proofErr w:type="spellStart"/>
      <w:r w:rsidR="00C47D00" w:rsidRPr="00733646">
        <w:rPr>
          <w:sz w:val="24"/>
          <w:szCs w:val="24"/>
        </w:rPr>
        <w:t>P</w:t>
      </w:r>
      <w:r w:rsidR="00676DAD" w:rsidRPr="00733646">
        <w:rPr>
          <w:sz w:val="24"/>
          <w:szCs w:val="24"/>
        </w:rPr>
        <w:t>GW</w:t>
      </w:r>
      <w:proofErr w:type="spellEnd"/>
      <w:r w:rsidR="00676DAD" w:rsidRPr="00733646">
        <w:rPr>
          <w:sz w:val="24"/>
          <w:szCs w:val="24"/>
        </w:rPr>
        <w:t xml:space="preserve"> </w:t>
      </w:r>
      <w:r w:rsidRPr="00733646">
        <w:rPr>
          <w:sz w:val="24"/>
          <w:szCs w:val="24"/>
        </w:rPr>
        <w:t xml:space="preserve">Exhibit </w:t>
      </w:r>
      <w:r w:rsidR="00DA3285" w:rsidRPr="00733646">
        <w:rPr>
          <w:sz w:val="24"/>
          <w:szCs w:val="24"/>
        </w:rPr>
        <w:t xml:space="preserve">No. </w:t>
      </w:r>
      <w:r w:rsidRPr="00733646">
        <w:rPr>
          <w:sz w:val="24"/>
          <w:szCs w:val="24"/>
        </w:rPr>
        <w:t>1)</w:t>
      </w:r>
      <w:r w:rsidR="004F55A3" w:rsidRPr="00733646">
        <w:rPr>
          <w:sz w:val="24"/>
          <w:szCs w:val="24"/>
        </w:rPr>
        <w:t>,</w:t>
      </w:r>
      <w:r w:rsidRPr="00733646">
        <w:rPr>
          <w:sz w:val="24"/>
          <w:szCs w:val="24"/>
        </w:rPr>
        <w:t xml:space="preserve"> a</w:t>
      </w:r>
      <w:r w:rsidR="00C47D00" w:rsidRPr="00733646">
        <w:rPr>
          <w:sz w:val="24"/>
          <w:szCs w:val="24"/>
        </w:rPr>
        <w:t>n</w:t>
      </w:r>
      <w:r w:rsidR="00676DAD" w:rsidRPr="00733646">
        <w:rPr>
          <w:sz w:val="24"/>
          <w:szCs w:val="24"/>
        </w:rPr>
        <w:t>d a Customer Contact Sheet</w:t>
      </w:r>
      <w:r w:rsidR="00DA3285" w:rsidRPr="00733646">
        <w:rPr>
          <w:sz w:val="24"/>
          <w:szCs w:val="24"/>
        </w:rPr>
        <w:t xml:space="preserve"> </w:t>
      </w:r>
      <w:r w:rsidRPr="00733646">
        <w:rPr>
          <w:sz w:val="24"/>
          <w:szCs w:val="24"/>
        </w:rPr>
        <w:t>(</w:t>
      </w:r>
      <w:r w:rsidR="00C47D00" w:rsidRPr="00733646">
        <w:rPr>
          <w:sz w:val="24"/>
          <w:szCs w:val="24"/>
        </w:rPr>
        <w:t>P</w:t>
      </w:r>
      <w:r w:rsidR="00676DAD" w:rsidRPr="00733646">
        <w:rPr>
          <w:sz w:val="24"/>
          <w:szCs w:val="24"/>
        </w:rPr>
        <w:t xml:space="preserve">GW </w:t>
      </w:r>
      <w:r w:rsidRPr="00733646">
        <w:rPr>
          <w:sz w:val="24"/>
          <w:szCs w:val="24"/>
        </w:rPr>
        <w:t xml:space="preserve">Exhibit </w:t>
      </w:r>
      <w:r w:rsidR="00DA3285" w:rsidRPr="00733646">
        <w:rPr>
          <w:sz w:val="24"/>
          <w:szCs w:val="24"/>
        </w:rPr>
        <w:t xml:space="preserve">No. </w:t>
      </w:r>
      <w:r w:rsidRPr="00733646">
        <w:rPr>
          <w:sz w:val="24"/>
          <w:szCs w:val="24"/>
        </w:rPr>
        <w:t>2)</w:t>
      </w:r>
      <w:r w:rsidR="00C47D00" w:rsidRPr="00733646">
        <w:rPr>
          <w:sz w:val="24"/>
          <w:szCs w:val="24"/>
        </w:rPr>
        <w:t>.</w:t>
      </w:r>
    </w:p>
    <w:p w:rsidR="00C47D00" w:rsidRPr="00733646" w:rsidRDefault="00C47D00" w:rsidP="005D3B50">
      <w:pPr>
        <w:spacing w:line="360" w:lineRule="auto"/>
        <w:rPr>
          <w:sz w:val="24"/>
          <w:szCs w:val="24"/>
        </w:rPr>
      </w:pPr>
    </w:p>
    <w:p w:rsidR="001B445B" w:rsidRPr="00733646" w:rsidRDefault="00C47D00" w:rsidP="005D3B50">
      <w:pPr>
        <w:spacing w:line="360" w:lineRule="auto"/>
        <w:rPr>
          <w:sz w:val="24"/>
          <w:szCs w:val="24"/>
        </w:rPr>
      </w:pPr>
      <w:r w:rsidRPr="00733646">
        <w:rPr>
          <w:sz w:val="24"/>
          <w:szCs w:val="24"/>
        </w:rPr>
        <w:tab/>
      </w:r>
      <w:r w:rsidRPr="00733646">
        <w:rPr>
          <w:sz w:val="24"/>
          <w:szCs w:val="24"/>
        </w:rPr>
        <w:tab/>
      </w:r>
      <w:r w:rsidR="00676DAD" w:rsidRPr="00733646">
        <w:rPr>
          <w:sz w:val="24"/>
          <w:szCs w:val="24"/>
        </w:rPr>
        <w:t>T</w:t>
      </w:r>
      <w:r w:rsidRPr="00733646">
        <w:rPr>
          <w:sz w:val="24"/>
          <w:szCs w:val="24"/>
        </w:rPr>
        <w:t xml:space="preserve">he record in the case closed </w:t>
      </w:r>
      <w:r w:rsidR="00676DAD" w:rsidRPr="00733646">
        <w:rPr>
          <w:sz w:val="24"/>
          <w:szCs w:val="24"/>
        </w:rPr>
        <w:t>on August 21, 2012, with the filing of the transcript of the hearing</w:t>
      </w:r>
      <w:r w:rsidRPr="00733646">
        <w:rPr>
          <w:sz w:val="24"/>
          <w:szCs w:val="24"/>
        </w:rPr>
        <w:t xml:space="preserve">.  The record consists of a </w:t>
      </w:r>
      <w:r w:rsidR="00752C01" w:rsidRPr="00733646">
        <w:rPr>
          <w:sz w:val="24"/>
          <w:szCs w:val="24"/>
        </w:rPr>
        <w:t>45</w:t>
      </w:r>
      <w:r w:rsidRPr="00733646">
        <w:rPr>
          <w:sz w:val="24"/>
          <w:szCs w:val="24"/>
        </w:rPr>
        <w:t xml:space="preserve"> page transcript and P</w:t>
      </w:r>
      <w:r w:rsidR="00752C01" w:rsidRPr="00733646">
        <w:rPr>
          <w:sz w:val="24"/>
          <w:szCs w:val="24"/>
        </w:rPr>
        <w:t>GW</w:t>
      </w:r>
      <w:r w:rsidRPr="00733646">
        <w:rPr>
          <w:sz w:val="24"/>
          <w:szCs w:val="24"/>
        </w:rPr>
        <w:t>’s Exhibit Nos. 1-</w:t>
      </w:r>
      <w:r w:rsidR="00752C01" w:rsidRPr="00733646">
        <w:rPr>
          <w:sz w:val="24"/>
          <w:szCs w:val="24"/>
        </w:rPr>
        <w:t>2</w:t>
      </w:r>
      <w:r w:rsidR="00667B42">
        <w:rPr>
          <w:sz w:val="24"/>
          <w:szCs w:val="24"/>
        </w:rPr>
        <w:t>.</w:t>
      </w:r>
    </w:p>
    <w:p w:rsidR="00C47D00" w:rsidRPr="00733646" w:rsidRDefault="00C47D00" w:rsidP="005D3B50">
      <w:pPr>
        <w:spacing w:line="360" w:lineRule="auto"/>
        <w:rPr>
          <w:sz w:val="24"/>
          <w:szCs w:val="24"/>
        </w:rPr>
      </w:pPr>
    </w:p>
    <w:p w:rsidR="00BE2FC0" w:rsidRPr="00733646" w:rsidRDefault="006C5928" w:rsidP="005D3B50">
      <w:pPr>
        <w:spacing w:line="360" w:lineRule="auto"/>
        <w:jc w:val="center"/>
        <w:rPr>
          <w:sz w:val="24"/>
          <w:szCs w:val="24"/>
        </w:rPr>
      </w:pPr>
      <w:r w:rsidRPr="00733646">
        <w:rPr>
          <w:sz w:val="24"/>
          <w:szCs w:val="24"/>
          <w:u w:val="single"/>
        </w:rPr>
        <w:t>FINDINGS OF FACT</w:t>
      </w:r>
    </w:p>
    <w:p w:rsidR="006C5928" w:rsidRPr="00733646" w:rsidRDefault="006C5928" w:rsidP="005D3B50">
      <w:pPr>
        <w:spacing w:line="360" w:lineRule="auto"/>
        <w:jc w:val="center"/>
        <w:rPr>
          <w:sz w:val="24"/>
          <w:szCs w:val="24"/>
        </w:rPr>
      </w:pPr>
    </w:p>
    <w:p w:rsidR="00DF13AF" w:rsidRPr="00733646" w:rsidRDefault="000006BA" w:rsidP="005D3B50">
      <w:pPr>
        <w:spacing w:line="360" w:lineRule="auto"/>
        <w:rPr>
          <w:sz w:val="24"/>
          <w:szCs w:val="24"/>
        </w:rPr>
      </w:pPr>
      <w:r w:rsidRPr="00733646">
        <w:rPr>
          <w:sz w:val="24"/>
          <w:szCs w:val="24"/>
        </w:rPr>
        <w:tab/>
      </w:r>
      <w:r w:rsidRPr="00733646">
        <w:rPr>
          <w:sz w:val="24"/>
          <w:szCs w:val="24"/>
        </w:rPr>
        <w:tab/>
        <w:t>1.</w:t>
      </w:r>
      <w:r w:rsidRPr="00733646">
        <w:rPr>
          <w:sz w:val="24"/>
          <w:szCs w:val="24"/>
        </w:rPr>
        <w:tab/>
        <w:t>Complainant is</w:t>
      </w:r>
      <w:r w:rsidR="00274FF9" w:rsidRPr="00733646">
        <w:rPr>
          <w:sz w:val="24"/>
          <w:szCs w:val="24"/>
        </w:rPr>
        <w:t xml:space="preserve"> </w:t>
      </w:r>
      <w:r w:rsidR="00752C01" w:rsidRPr="00733646">
        <w:rPr>
          <w:sz w:val="24"/>
          <w:szCs w:val="24"/>
        </w:rPr>
        <w:t xml:space="preserve">Walter </w:t>
      </w:r>
      <w:proofErr w:type="spellStart"/>
      <w:r w:rsidR="00752C01" w:rsidRPr="00733646">
        <w:rPr>
          <w:sz w:val="24"/>
          <w:szCs w:val="24"/>
        </w:rPr>
        <w:t>Hodorowski</w:t>
      </w:r>
      <w:proofErr w:type="spellEnd"/>
      <w:r w:rsidR="00752C01" w:rsidRPr="00733646">
        <w:rPr>
          <w:sz w:val="24"/>
          <w:szCs w:val="24"/>
        </w:rPr>
        <w:t xml:space="preserve">, who resides with his mother, Jean </w:t>
      </w:r>
      <w:proofErr w:type="spellStart"/>
      <w:r w:rsidR="00752C01" w:rsidRPr="00733646">
        <w:rPr>
          <w:sz w:val="24"/>
          <w:szCs w:val="24"/>
        </w:rPr>
        <w:t>Hodorowski</w:t>
      </w:r>
      <w:proofErr w:type="spellEnd"/>
      <w:r w:rsidR="00752C01" w:rsidRPr="00733646">
        <w:rPr>
          <w:sz w:val="24"/>
          <w:szCs w:val="24"/>
        </w:rPr>
        <w:t xml:space="preserve">, at 3012 Richmond Street, </w:t>
      </w:r>
      <w:r w:rsidR="007A7E49" w:rsidRPr="00733646">
        <w:rPr>
          <w:sz w:val="24"/>
          <w:szCs w:val="24"/>
        </w:rPr>
        <w:t>Philadelphia, Pennsylvania</w:t>
      </w:r>
      <w:r w:rsidR="00EE3AFA" w:rsidRPr="00733646">
        <w:rPr>
          <w:sz w:val="24"/>
          <w:szCs w:val="24"/>
        </w:rPr>
        <w:t xml:space="preserve">. </w:t>
      </w:r>
      <w:proofErr w:type="gramStart"/>
      <w:r w:rsidR="00752C01" w:rsidRPr="00733646">
        <w:rPr>
          <w:sz w:val="24"/>
          <w:szCs w:val="24"/>
        </w:rPr>
        <w:t>Complaint at 5, ¶ 1.</w:t>
      </w:r>
      <w:proofErr w:type="gramEnd"/>
    </w:p>
    <w:p w:rsidR="00DF13AF" w:rsidRPr="00733646" w:rsidRDefault="00DF13AF" w:rsidP="005D3B50">
      <w:pPr>
        <w:spacing w:line="360" w:lineRule="auto"/>
        <w:rPr>
          <w:sz w:val="24"/>
          <w:szCs w:val="24"/>
        </w:rPr>
      </w:pPr>
    </w:p>
    <w:p w:rsidR="00141AFE" w:rsidRPr="00733646" w:rsidRDefault="00ED3EC8" w:rsidP="005D3B50">
      <w:pPr>
        <w:spacing w:line="360" w:lineRule="auto"/>
        <w:rPr>
          <w:sz w:val="24"/>
          <w:szCs w:val="24"/>
        </w:rPr>
      </w:pPr>
      <w:r w:rsidRPr="00733646">
        <w:rPr>
          <w:sz w:val="24"/>
          <w:szCs w:val="24"/>
        </w:rPr>
        <w:tab/>
      </w:r>
      <w:r w:rsidRPr="00733646">
        <w:rPr>
          <w:sz w:val="24"/>
          <w:szCs w:val="24"/>
        </w:rPr>
        <w:tab/>
      </w:r>
      <w:r w:rsidR="00141AFE" w:rsidRPr="00733646">
        <w:rPr>
          <w:sz w:val="24"/>
          <w:szCs w:val="24"/>
        </w:rPr>
        <w:t>2.</w:t>
      </w:r>
      <w:r w:rsidR="00141AFE" w:rsidRPr="00733646">
        <w:rPr>
          <w:sz w:val="24"/>
          <w:szCs w:val="24"/>
        </w:rPr>
        <w:tab/>
        <w:t xml:space="preserve">Respondent is </w:t>
      </w:r>
      <w:r w:rsidR="00DF13AF" w:rsidRPr="00733646">
        <w:rPr>
          <w:sz w:val="24"/>
          <w:szCs w:val="24"/>
        </w:rPr>
        <w:t>P</w:t>
      </w:r>
      <w:r w:rsidR="00752C01" w:rsidRPr="00733646">
        <w:rPr>
          <w:sz w:val="24"/>
          <w:szCs w:val="24"/>
        </w:rPr>
        <w:t>hiladelphia Gas Works</w:t>
      </w:r>
      <w:r w:rsidR="00141AFE" w:rsidRPr="00733646">
        <w:rPr>
          <w:sz w:val="24"/>
          <w:szCs w:val="24"/>
        </w:rPr>
        <w:t xml:space="preserve">, a jurisdictional public utility company providing </w:t>
      </w:r>
      <w:r w:rsidR="00752C01" w:rsidRPr="00733646">
        <w:rPr>
          <w:sz w:val="24"/>
          <w:szCs w:val="24"/>
        </w:rPr>
        <w:t xml:space="preserve">natural gas </w:t>
      </w:r>
      <w:r w:rsidR="00DF13AF" w:rsidRPr="00733646">
        <w:rPr>
          <w:sz w:val="24"/>
          <w:szCs w:val="24"/>
        </w:rPr>
        <w:t>s</w:t>
      </w:r>
      <w:r w:rsidR="00141AFE" w:rsidRPr="00733646">
        <w:rPr>
          <w:sz w:val="24"/>
          <w:szCs w:val="24"/>
        </w:rPr>
        <w:t xml:space="preserve">ervice </w:t>
      </w:r>
      <w:r w:rsidR="003876C4" w:rsidRPr="00733646">
        <w:rPr>
          <w:sz w:val="24"/>
          <w:szCs w:val="24"/>
        </w:rPr>
        <w:t xml:space="preserve">to the Complainant’s </w:t>
      </w:r>
      <w:r w:rsidR="00DF13AF" w:rsidRPr="00733646">
        <w:rPr>
          <w:sz w:val="24"/>
          <w:szCs w:val="24"/>
        </w:rPr>
        <w:t>service address</w:t>
      </w:r>
      <w:r w:rsidR="00141AFE" w:rsidRPr="00733646">
        <w:rPr>
          <w:sz w:val="24"/>
          <w:szCs w:val="24"/>
        </w:rPr>
        <w:t>.</w:t>
      </w:r>
    </w:p>
    <w:p w:rsidR="00141AFE" w:rsidRPr="00733646" w:rsidRDefault="00141AFE" w:rsidP="005D3B50">
      <w:pPr>
        <w:spacing w:line="360" w:lineRule="auto"/>
        <w:rPr>
          <w:sz w:val="24"/>
          <w:szCs w:val="24"/>
        </w:rPr>
      </w:pPr>
    </w:p>
    <w:p w:rsidR="00752C01" w:rsidRPr="00733646" w:rsidRDefault="00141AFE" w:rsidP="005D3B50">
      <w:pPr>
        <w:spacing w:line="360" w:lineRule="auto"/>
        <w:rPr>
          <w:sz w:val="24"/>
          <w:szCs w:val="24"/>
        </w:rPr>
      </w:pPr>
      <w:r w:rsidRPr="00733646">
        <w:rPr>
          <w:sz w:val="24"/>
          <w:szCs w:val="24"/>
        </w:rPr>
        <w:tab/>
      </w:r>
      <w:r w:rsidRPr="00733646">
        <w:rPr>
          <w:sz w:val="24"/>
          <w:szCs w:val="24"/>
        </w:rPr>
        <w:tab/>
        <w:t>3.</w:t>
      </w:r>
      <w:r w:rsidRPr="00733646">
        <w:rPr>
          <w:sz w:val="24"/>
          <w:szCs w:val="24"/>
        </w:rPr>
        <w:tab/>
      </w:r>
      <w:r w:rsidR="00DF13AF" w:rsidRPr="00733646">
        <w:rPr>
          <w:sz w:val="24"/>
          <w:szCs w:val="24"/>
        </w:rPr>
        <w:t xml:space="preserve">On </w:t>
      </w:r>
      <w:r w:rsidR="00752C01" w:rsidRPr="00733646">
        <w:rPr>
          <w:sz w:val="24"/>
          <w:szCs w:val="24"/>
        </w:rPr>
        <w:t xml:space="preserve">May 8, 2012, Walter </w:t>
      </w:r>
      <w:proofErr w:type="spellStart"/>
      <w:r w:rsidR="00752C01" w:rsidRPr="00733646">
        <w:rPr>
          <w:sz w:val="24"/>
          <w:szCs w:val="24"/>
        </w:rPr>
        <w:t>Hodorowski</w:t>
      </w:r>
      <w:proofErr w:type="spellEnd"/>
      <w:r w:rsidR="00752C01" w:rsidRPr="00733646">
        <w:rPr>
          <w:sz w:val="24"/>
          <w:szCs w:val="24"/>
        </w:rPr>
        <w:t xml:space="preserve"> filed a formal Complaint with the Commission alleging that due to the limited income of the household and the health issues faced by Jean </w:t>
      </w:r>
      <w:proofErr w:type="spellStart"/>
      <w:r w:rsidR="00752C01" w:rsidRPr="00733646">
        <w:rPr>
          <w:sz w:val="24"/>
          <w:szCs w:val="24"/>
        </w:rPr>
        <w:t>Hodorowski</w:t>
      </w:r>
      <w:proofErr w:type="spellEnd"/>
      <w:r w:rsidR="00752C01" w:rsidRPr="00733646">
        <w:rPr>
          <w:sz w:val="24"/>
          <w:szCs w:val="24"/>
        </w:rPr>
        <w:t xml:space="preserve">, the </w:t>
      </w:r>
      <w:proofErr w:type="spellStart"/>
      <w:r w:rsidR="00752C01" w:rsidRPr="00733646">
        <w:rPr>
          <w:sz w:val="24"/>
          <w:szCs w:val="24"/>
        </w:rPr>
        <w:t>Hodorowskis</w:t>
      </w:r>
      <w:proofErr w:type="spellEnd"/>
      <w:r w:rsidR="00752C01" w:rsidRPr="00733646">
        <w:rPr>
          <w:sz w:val="24"/>
          <w:szCs w:val="24"/>
        </w:rPr>
        <w:t xml:space="preserve"> cannot afford the monthly payments required by PGW.  The </w:t>
      </w:r>
      <w:proofErr w:type="spellStart"/>
      <w:r w:rsidR="00752C01" w:rsidRPr="00733646">
        <w:rPr>
          <w:sz w:val="24"/>
          <w:szCs w:val="24"/>
        </w:rPr>
        <w:t>Hodorowskis</w:t>
      </w:r>
      <w:proofErr w:type="spellEnd"/>
      <w:r w:rsidR="00752C01" w:rsidRPr="00733646">
        <w:rPr>
          <w:sz w:val="24"/>
          <w:szCs w:val="24"/>
        </w:rPr>
        <w:t xml:space="preserve"> want to pay $115 per month to PGW.  Complaint at 6-7, ¶¶ 4B, 5;</w:t>
      </w:r>
      <w:r w:rsidR="00FA670D" w:rsidRPr="00733646">
        <w:rPr>
          <w:sz w:val="24"/>
          <w:szCs w:val="24"/>
        </w:rPr>
        <w:t xml:space="preserve"> N.T. 9, 11</w:t>
      </w:r>
      <w:r w:rsidR="00386720" w:rsidRPr="00733646">
        <w:rPr>
          <w:sz w:val="24"/>
          <w:szCs w:val="24"/>
        </w:rPr>
        <w:t>, 31; PGW Exhibit No. 2 at 2</w:t>
      </w:r>
      <w:r w:rsidR="00FA670D" w:rsidRPr="00733646">
        <w:rPr>
          <w:sz w:val="24"/>
          <w:szCs w:val="24"/>
        </w:rPr>
        <w:t>.</w:t>
      </w:r>
    </w:p>
    <w:p w:rsidR="00752C01" w:rsidRPr="00733646" w:rsidRDefault="00752C01" w:rsidP="005D3B50">
      <w:pPr>
        <w:spacing w:line="360" w:lineRule="auto"/>
        <w:rPr>
          <w:sz w:val="24"/>
          <w:szCs w:val="24"/>
        </w:rPr>
      </w:pPr>
    </w:p>
    <w:p w:rsidR="00DF13AF" w:rsidRPr="00733646" w:rsidRDefault="00141AFE" w:rsidP="00FA670D">
      <w:pPr>
        <w:spacing w:line="360" w:lineRule="auto"/>
        <w:rPr>
          <w:sz w:val="24"/>
          <w:szCs w:val="24"/>
        </w:rPr>
      </w:pPr>
      <w:r w:rsidRPr="00733646">
        <w:rPr>
          <w:sz w:val="24"/>
          <w:szCs w:val="24"/>
        </w:rPr>
        <w:tab/>
      </w:r>
      <w:r w:rsidRPr="00733646">
        <w:rPr>
          <w:sz w:val="24"/>
          <w:szCs w:val="24"/>
        </w:rPr>
        <w:tab/>
        <w:t>4.</w:t>
      </w:r>
      <w:r w:rsidRPr="00733646">
        <w:rPr>
          <w:sz w:val="24"/>
          <w:szCs w:val="24"/>
        </w:rPr>
        <w:tab/>
      </w:r>
      <w:r w:rsidR="00757711" w:rsidRPr="00733646">
        <w:rPr>
          <w:sz w:val="24"/>
          <w:szCs w:val="24"/>
        </w:rPr>
        <w:t xml:space="preserve">Mr. </w:t>
      </w:r>
      <w:proofErr w:type="spellStart"/>
      <w:r w:rsidR="00757711" w:rsidRPr="00733646">
        <w:rPr>
          <w:sz w:val="24"/>
          <w:szCs w:val="24"/>
        </w:rPr>
        <w:t>Hodorowski</w:t>
      </w:r>
      <w:proofErr w:type="spellEnd"/>
      <w:r w:rsidR="00757711" w:rsidRPr="00733646">
        <w:rPr>
          <w:sz w:val="24"/>
          <w:szCs w:val="24"/>
        </w:rPr>
        <w:t xml:space="preserve"> is employed on a part-time basis by Wawa, Inc., a convenience store chain.  He has no guaranteed work hours but makes approximately $1,000 per month, gross.  N.T. 12-13.</w:t>
      </w:r>
    </w:p>
    <w:p w:rsidR="00757711" w:rsidRPr="00733646" w:rsidRDefault="00757711" w:rsidP="00FA670D">
      <w:pPr>
        <w:spacing w:line="360" w:lineRule="auto"/>
        <w:rPr>
          <w:sz w:val="24"/>
          <w:szCs w:val="24"/>
        </w:rPr>
      </w:pPr>
    </w:p>
    <w:p w:rsidR="00757711" w:rsidRPr="00733646" w:rsidRDefault="00757711" w:rsidP="00FA670D">
      <w:pPr>
        <w:spacing w:line="360" w:lineRule="auto"/>
        <w:rPr>
          <w:sz w:val="24"/>
          <w:szCs w:val="24"/>
        </w:rPr>
      </w:pPr>
      <w:r w:rsidRPr="00733646">
        <w:rPr>
          <w:sz w:val="24"/>
          <w:szCs w:val="24"/>
        </w:rPr>
        <w:tab/>
      </w:r>
      <w:r w:rsidRPr="00733646">
        <w:rPr>
          <w:sz w:val="24"/>
          <w:szCs w:val="24"/>
        </w:rPr>
        <w:tab/>
        <w:t>5.</w:t>
      </w:r>
      <w:r w:rsidRPr="00733646">
        <w:rPr>
          <w:sz w:val="24"/>
          <w:szCs w:val="24"/>
        </w:rPr>
        <w:tab/>
        <w:t xml:space="preserve">Jean </w:t>
      </w:r>
      <w:proofErr w:type="spellStart"/>
      <w:r w:rsidRPr="00733646">
        <w:rPr>
          <w:sz w:val="24"/>
          <w:szCs w:val="24"/>
        </w:rPr>
        <w:t>Hodorowski</w:t>
      </w:r>
      <w:proofErr w:type="spellEnd"/>
      <w:r w:rsidRPr="00733646">
        <w:rPr>
          <w:sz w:val="24"/>
          <w:szCs w:val="24"/>
        </w:rPr>
        <w:t xml:space="preserve"> is permanently disabled with circulatory and heart problems</w:t>
      </w:r>
      <w:r w:rsidR="008459A8" w:rsidRPr="00733646">
        <w:rPr>
          <w:sz w:val="24"/>
          <w:szCs w:val="24"/>
        </w:rPr>
        <w:t xml:space="preserve">, hip replacement and </w:t>
      </w:r>
      <w:r w:rsidR="009B6DE8" w:rsidRPr="00733646">
        <w:rPr>
          <w:sz w:val="24"/>
          <w:szCs w:val="24"/>
        </w:rPr>
        <w:t>a stroke</w:t>
      </w:r>
      <w:r w:rsidRPr="00733646">
        <w:rPr>
          <w:sz w:val="24"/>
          <w:szCs w:val="24"/>
        </w:rPr>
        <w:t>.</w:t>
      </w:r>
      <w:r w:rsidR="00487474" w:rsidRPr="00733646">
        <w:rPr>
          <w:sz w:val="24"/>
          <w:szCs w:val="24"/>
        </w:rPr>
        <w:t xml:space="preserve">  She has outstanding medical bills of $14,611.00.</w:t>
      </w:r>
      <w:r w:rsidRPr="00733646">
        <w:rPr>
          <w:sz w:val="24"/>
          <w:szCs w:val="24"/>
        </w:rPr>
        <w:t xml:space="preserve">  N.T. at </w:t>
      </w:r>
      <w:r w:rsidR="00487474" w:rsidRPr="00733646">
        <w:rPr>
          <w:sz w:val="24"/>
          <w:szCs w:val="24"/>
        </w:rPr>
        <w:t xml:space="preserve">9, </w:t>
      </w:r>
      <w:r w:rsidRPr="00733646">
        <w:rPr>
          <w:sz w:val="24"/>
          <w:szCs w:val="24"/>
        </w:rPr>
        <w:t>14</w:t>
      </w:r>
      <w:r w:rsidR="00BF483D" w:rsidRPr="00733646">
        <w:rPr>
          <w:sz w:val="24"/>
          <w:szCs w:val="24"/>
        </w:rPr>
        <w:t>, 17-18</w:t>
      </w:r>
      <w:r w:rsidRPr="00733646">
        <w:rPr>
          <w:sz w:val="24"/>
          <w:szCs w:val="24"/>
        </w:rPr>
        <w:t>.</w:t>
      </w:r>
    </w:p>
    <w:p w:rsidR="00487474" w:rsidRPr="00733646" w:rsidRDefault="00487474" w:rsidP="00FA670D">
      <w:pPr>
        <w:spacing w:line="360" w:lineRule="auto"/>
        <w:rPr>
          <w:sz w:val="24"/>
          <w:szCs w:val="24"/>
        </w:rPr>
      </w:pPr>
    </w:p>
    <w:p w:rsidR="00487474" w:rsidRPr="00733646" w:rsidRDefault="00487474" w:rsidP="00FA670D">
      <w:pPr>
        <w:spacing w:line="360" w:lineRule="auto"/>
        <w:rPr>
          <w:sz w:val="24"/>
          <w:szCs w:val="24"/>
        </w:rPr>
      </w:pPr>
      <w:r w:rsidRPr="00733646">
        <w:rPr>
          <w:sz w:val="24"/>
          <w:szCs w:val="24"/>
        </w:rPr>
        <w:tab/>
      </w:r>
      <w:r w:rsidRPr="00733646">
        <w:rPr>
          <w:sz w:val="24"/>
          <w:szCs w:val="24"/>
        </w:rPr>
        <w:tab/>
      </w:r>
      <w:r w:rsidR="00BF483D" w:rsidRPr="00733646">
        <w:rPr>
          <w:sz w:val="24"/>
          <w:szCs w:val="24"/>
        </w:rPr>
        <w:t>6</w:t>
      </w:r>
      <w:r w:rsidRPr="00733646">
        <w:rPr>
          <w:sz w:val="24"/>
          <w:szCs w:val="24"/>
        </w:rPr>
        <w:t>.</w:t>
      </w:r>
      <w:r w:rsidRPr="00733646">
        <w:rPr>
          <w:sz w:val="24"/>
          <w:szCs w:val="24"/>
        </w:rPr>
        <w:tab/>
        <w:t xml:space="preserve">Jean </w:t>
      </w:r>
      <w:proofErr w:type="spellStart"/>
      <w:r w:rsidRPr="00733646">
        <w:rPr>
          <w:sz w:val="24"/>
          <w:szCs w:val="24"/>
        </w:rPr>
        <w:t>Hodorowski</w:t>
      </w:r>
      <w:proofErr w:type="spellEnd"/>
      <w:r w:rsidRPr="00733646">
        <w:rPr>
          <w:sz w:val="24"/>
          <w:szCs w:val="24"/>
        </w:rPr>
        <w:t xml:space="preserve"> receives Social Security Income in the amount of $1,158.00 per month though with a</w:t>
      </w:r>
      <w:r w:rsidR="008459A8" w:rsidRPr="00733646">
        <w:rPr>
          <w:sz w:val="24"/>
          <w:szCs w:val="24"/>
        </w:rPr>
        <w:t>n unspecified</w:t>
      </w:r>
      <w:r w:rsidRPr="00733646">
        <w:rPr>
          <w:sz w:val="24"/>
          <w:szCs w:val="24"/>
        </w:rPr>
        <w:t xml:space="preserve"> deduction for outstanding educational loans being repaid to the Pennsylvania Higher Education Assistance Agency (PHEAA).  </w:t>
      </w:r>
      <w:proofErr w:type="gramStart"/>
      <w:r w:rsidRPr="00733646">
        <w:rPr>
          <w:sz w:val="24"/>
          <w:szCs w:val="24"/>
        </w:rPr>
        <w:t>N.T. at 16.</w:t>
      </w:r>
      <w:proofErr w:type="gramEnd"/>
    </w:p>
    <w:p w:rsidR="00757711" w:rsidRPr="00733646" w:rsidRDefault="00757711" w:rsidP="00FA670D">
      <w:pPr>
        <w:spacing w:line="360" w:lineRule="auto"/>
        <w:rPr>
          <w:sz w:val="24"/>
          <w:szCs w:val="24"/>
        </w:rPr>
      </w:pPr>
    </w:p>
    <w:p w:rsidR="00757711" w:rsidRPr="00733646" w:rsidRDefault="00757711" w:rsidP="00FA670D">
      <w:pPr>
        <w:spacing w:line="360" w:lineRule="auto"/>
        <w:rPr>
          <w:sz w:val="24"/>
          <w:szCs w:val="24"/>
        </w:rPr>
      </w:pPr>
      <w:r w:rsidRPr="00733646">
        <w:rPr>
          <w:sz w:val="24"/>
          <w:szCs w:val="24"/>
        </w:rPr>
        <w:tab/>
      </w:r>
      <w:r w:rsidRPr="00733646">
        <w:rPr>
          <w:sz w:val="24"/>
          <w:szCs w:val="24"/>
        </w:rPr>
        <w:tab/>
      </w:r>
      <w:r w:rsidR="00BF483D" w:rsidRPr="00733646">
        <w:rPr>
          <w:sz w:val="24"/>
          <w:szCs w:val="24"/>
        </w:rPr>
        <w:t>7</w:t>
      </w:r>
      <w:r w:rsidRPr="00733646">
        <w:rPr>
          <w:sz w:val="24"/>
          <w:szCs w:val="24"/>
        </w:rPr>
        <w:t>.</w:t>
      </w:r>
      <w:r w:rsidRPr="00733646">
        <w:rPr>
          <w:sz w:val="24"/>
          <w:szCs w:val="24"/>
        </w:rPr>
        <w:tab/>
        <w:t xml:space="preserve">The </w:t>
      </w:r>
      <w:proofErr w:type="spellStart"/>
      <w:r w:rsidRPr="00733646">
        <w:rPr>
          <w:sz w:val="24"/>
          <w:szCs w:val="24"/>
        </w:rPr>
        <w:t>Hodorowskis</w:t>
      </w:r>
      <w:proofErr w:type="spellEnd"/>
      <w:r w:rsidRPr="00733646">
        <w:rPr>
          <w:sz w:val="24"/>
          <w:szCs w:val="24"/>
        </w:rPr>
        <w:t xml:space="preserve"> pay a monthly mortgage of $550 per month.  </w:t>
      </w:r>
      <w:proofErr w:type="gramStart"/>
      <w:r w:rsidRPr="00733646">
        <w:rPr>
          <w:sz w:val="24"/>
          <w:szCs w:val="24"/>
        </w:rPr>
        <w:t>N.T. at 14.</w:t>
      </w:r>
      <w:proofErr w:type="gramEnd"/>
    </w:p>
    <w:p w:rsidR="00BF483D" w:rsidRPr="00733646" w:rsidRDefault="00BF483D" w:rsidP="00FA670D">
      <w:pPr>
        <w:spacing w:line="360" w:lineRule="auto"/>
        <w:rPr>
          <w:sz w:val="24"/>
          <w:szCs w:val="24"/>
        </w:rPr>
      </w:pPr>
    </w:p>
    <w:p w:rsidR="00BF483D" w:rsidRPr="00733646" w:rsidRDefault="00BF483D" w:rsidP="00FA670D">
      <w:pPr>
        <w:spacing w:line="360" w:lineRule="auto"/>
        <w:rPr>
          <w:sz w:val="24"/>
          <w:szCs w:val="24"/>
        </w:rPr>
      </w:pPr>
      <w:r w:rsidRPr="00733646">
        <w:rPr>
          <w:sz w:val="24"/>
          <w:szCs w:val="24"/>
        </w:rPr>
        <w:tab/>
      </w:r>
      <w:r w:rsidRPr="00733646">
        <w:rPr>
          <w:sz w:val="24"/>
          <w:szCs w:val="24"/>
        </w:rPr>
        <w:tab/>
        <w:t>8.</w:t>
      </w:r>
      <w:r w:rsidRPr="00733646">
        <w:rPr>
          <w:sz w:val="24"/>
          <w:szCs w:val="24"/>
        </w:rPr>
        <w:tab/>
        <w:t xml:space="preserve">On May 2, 2008, Jean </w:t>
      </w:r>
      <w:proofErr w:type="spellStart"/>
      <w:r w:rsidRPr="00733646">
        <w:rPr>
          <w:sz w:val="24"/>
          <w:szCs w:val="24"/>
        </w:rPr>
        <w:t>Hodorowski</w:t>
      </w:r>
      <w:proofErr w:type="spellEnd"/>
      <w:r w:rsidRPr="00733646">
        <w:rPr>
          <w:sz w:val="24"/>
          <w:szCs w:val="24"/>
        </w:rPr>
        <w:t xml:space="preserve"> enrolled in the PGW Customer </w:t>
      </w:r>
      <w:r w:rsidR="008459A8" w:rsidRPr="00733646">
        <w:rPr>
          <w:sz w:val="24"/>
          <w:szCs w:val="24"/>
        </w:rPr>
        <w:t>R</w:t>
      </w:r>
      <w:r w:rsidRPr="00733646">
        <w:rPr>
          <w:sz w:val="24"/>
          <w:szCs w:val="24"/>
        </w:rPr>
        <w:t xml:space="preserve">esponsibility Plan, a low-income program that requires a monthly payment based on income and federal poverty guidelines.  With every timely monthly payment in full, the customer receives $136.00 in arrearage forgiveness.  </w:t>
      </w:r>
      <w:proofErr w:type="gramStart"/>
      <w:r w:rsidRPr="00733646">
        <w:rPr>
          <w:sz w:val="24"/>
          <w:szCs w:val="24"/>
        </w:rPr>
        <w:t>N.T. at 26.</w:t>
      </w:r>
      <w:proofErr w:type="gramEnd"/>
    </w:p>
    <w:p w:rsidR="00DF13AF" w:rsidRPr="00733646" w:rsidRDefault="00DF13AF" w:rsidP="00DF13AF">
      <w:pPr>
        <w:spacing w:line="360" w:lineRule="auto"/>
        <w:rPr>
          <w:sz w:val="24"/>
          <w:szCs w:val="24"/>
        </w:rPr>
      </w:pPr>
    </w:p>
    <w:p w:rsidR="00BF483D" w:rsidRPr="00733646" w:rsidRDefault="00DF13AF" w:rsidP="00DF13AF">
      <w:pPr>
        <w:spacing w:line="360" w:lineRule="auto"/>
        <w:rPr>
          <w:sz w:val="24"/>
          <w:szCs w:val="24"/>
        </w:rPr>
      </w:pPr>
      <w:r w:rsidRPr="00733646">
        <w:rPr>
          <w:sz w:val="24"/>
          <w:szCs w:val="24"/>
        </w:rPr>
        <w:tab/>
      </w:r>
      <w:r w:rsidRPr="00733646">
        <w:rPr>
          <w:sz w:val="24"/>
          <w:szCs w:val="24"/>
        </w:rPr>
        <w:tab/>
      </w:r>
      <w:r w:rsidR="00BF483D" w:rsidRPr="00733646">
        <w:rPr>
          <w:sz w:val="24"/>
          <w:szCs w:val="24"/>
        </w:rPr>
        <w:t>9</w:t>
      </w:r>
      <w:r w:rsidRPr="00733646">
        <w:rPr>
          <w:sz w:val="24"/>
          <w:szCs w:val="24"/>
        </w:rPr>
        <w:t>.</w:t>
      </w:r>
      <w:r w:rsidRPr="00733646">
        <w:rPr>
          <w:sz w:val="24"/>
          <w:szCs w:val="24"/>
        </w:rPr>
        <w:tab/>
      </w:r>
      <w:r w:rsidR="00BF483D" w:rsidRPr="00733646">
        <w:rPr>
          <w:sz w:val="24"/>
          <w:szCs w:val="24"/>
        </w:rPr>
        <w:t xml:space="preserve">On July 14, 2009, Ms. </w:t>
      </w:r>
      <w:proofErr w:type="spellStart"/>
      <w:r w:rsidR="00BF483D" w:rsidRPr="00733646">
        <w:rPr>
          <w:sz w:val="24"/>
          <w:szCs w:val="24"/>
        </w:rPr>
        <w:t>Hodorowski’s</w:t>
      </w:r>
      <w:proofErr w:type="spellEnd"/>
      <w:r w:rsidR="00BF483D" w:rsidRPr="00733646">
        <w:rPr>
          <w:sz w:val="24"/>
          <w:szCs w:val="24"/>
        </w:rPr>
        <w:t xml:space="preserve"> participation in the CRP was suspended by PGW after she failed to re-certify.  At that point, the total balance due </w:t>
      </w:r>
      <w:r w:rsidR="008459A8" w:rsidRPr="00733646">
        <w:rPr>
          <w:sz w:val="24"/>
          <w:szCs w:val="24"/>
        </w:rPr>
        <w:t xml:space="preserve">on the account </w:t>
      </w:r>
      <w:r w:rsidR="00BF483D" w:rsidRPr="00733646">
        <w:rPr>
          <w:sz w:val="24"/>
          <w:szCs w:val="24"/>
        </w:rPr>
        <w:t>was $6,171.50.  N.T. at 27; PGW Exhibit No. 1.</w:t>
      </w:r>
    </w:p>
    <w:p w:rsidR="00BF483D" w:rsidRPr="00733646" w:rsidRDefault="00BF483D" w:rsidP="00DF13AF">
      <w:pPr>
        <w:spacing w:line="360" w:lineRule="auto"/>
        <w:rPr>
          <w:sz w:val="24"/>
          <w:szCs w:val="24"/>
        </w:rPr>
      </w:pPr>
    </w:p>
    <w:p w:rsidR="00BF483D" w:rsidRPr="00733646" w:rsidRDefault="00BF483D" w:rsidP="00DF13AF">
      <w:pPr>
        <w:spacing w:line="360" w:lineRule="auto"/>
        <w:rPr>
          <w:sz w:val="24"/>
          <w:szCs w:val="24"/>
        </w:rPr>
      </w:pPr>
      <w:r w:rsidRPr="00733646">
        <w:rPr>
          <w:sz w:val="24"/>
          <w:szCs w:val="24"/>
        </w:rPr>
        <w:tab/>
      </w:r>
      <w:r w:rsidRPr="00733646">
        <w:rPr>
          <w:sz w:val="24"/>
          <w:szCs w:val="24"/>
        </w:rPr>
        <w:tab/>
        <w:t>10.</w:t>
      </w:r>
      <w:r w:rsidRPr="00733646">
        <w:rPr>
          <w:sz w:val="24"/>
          <w:szCs w:val="24"/>
        </w:rPr>
        <w:tab/>
        <w:t xml:space="preserve">On May 14, 2010, Ms. </w:t>
      </w:r>
      <w:proofErr w:type="spellStart"/>
      <w:r w:rsidRPr="00733646">
        <w:rPr>
          <w:sz w:val="24"/>
          <w:szCs w:val="24"/>
        </w:rPr>
        <w:t>Hodorowski</w:t>
      </w:r>
      <w:proofErr w:type="spellEnd"/>
      <w:r w:rsidRPr="00733646">
        <w:rPr>
          <w:sz w:val="24"/>
          <w:szCs w:val="24"/>
        </w:rPr>
        <w:t xml:space="preserve"> again entered the CRP at which time her arrearage was $9,230.76.  N.T. at 28; PGW Exhibit No. 1.</w:t>
      </w:r>
    </w:p>
    <w:p w:rsidR="00BF483D" w:rsidRPr="00733646" w:rsidRDefault="00BF483D" w:rsidP="00DF13AF">
      <w:pPr>
        <w:spacing w:line="360" w:lineRule="auto"/>
        <w:rPr>
          <w:sz w:val="24"/>
          <w:szCs w:val="24"/>
        </w:rPr>
      </w:pPr>
    </w:p>
    <w:p w:rsidR="00BF483D" w:rsidRPr="00733646" w:rsidRDefault="00BF483D" w:rsidP="00DF13AF">
      <w:pPr>
        <w:spacing w:line="360" w:lineRule="auto"/>
        <w:rPr>
          <w:sz w:val="24"/>
          <w:szCs w:val="24"/>
        </w:rPr>
      </w:pPr>
      <w:r w:rsidRPr="00733646">
        <w:rPr>
          <w:sz w:val="24"/>
          <w:szCs w:val="24"/>
        </w:rPr>
        <w:tab/>
      </w:r>
      <w:r w:rsidRPr="00733646">
        <w:rPr>
          <w:sz w:val="24"/>
          <w:szCs w:val="24"/>
        </w:rPr>
        <w:tab/>
        <w:t>11.</w:t>
      </w:r>
      <w:r w:rsidRPr="00733646">
        <w:rPr>
          <w:sz w:val="24"/>
          <w:szCs w:val="24"/>
        </w:rPr>
        <w:tab/>
      </w:r>
      <w:r w:rsidR="00C70897" w:rsidRPr="00733646">
        <w:rPr>
          <w:sz w:val="24"/>
          <w:szCs w:val="24"/>
        </w:rPr>
        <w:t xml:space="preserve">On February 13, 2012, Ms. </w:t>
      </w:r>
      <w:proofErr w:type="spellStart"/>
      <w:r w:rsidR="00C70897" w:rsidRPr="00733646">
        <w:rPr>
          <w:sz w:val="24"/>
          <w:szCs w:val="24"/>
        </w:rPr>
        <w:t>Hodorowski’s</w:t>
      </w:r>
      <w:proofErr w:type="spellEnd"/>
      <w:r w:rsidR="00C70897" w:rsidRPr="00733646">
        <w:rPr>
          <w:sz w:val="24"/>
          <w:szCs w:val="24"/>
        </w:rPr>
        <w:t xml:space="preserve"> participation in the CRP was suspended as the household income was above eligibility level,</w:t>
      </w:r>
      <w:r w:rsidR="00386720" w:rsidRPr="00733646">
        <w:rPr>
          <w:sz w:val="24"/>
          <w:szCs w:val="24"/>
        </w:rPr>
        <w:t xml:space="preserve"> as </w:t>
      </w:r>
      <w:r w:rsidR="008459A8" w:rsidRPr="00733646">
        <w:rPr>
          <w:sz w:val="24"/>
          <w:szCs w:val="24"/>
        </w:rPr>
        <w:t xml:space="preserve">Mr. </w:t>
      </w:r>
      <w:proofErr w:type="spellStart"/>
      <w:r w:rsidR="008459A8" w:rsidRPr="00733646">
        <w:rPr>
          <w:sz w:val="24"/>
          <w:szCs w:val="24"/>
        </w:rPr>
        <w:t>Hodorowski</w:t>
      </w:r>
      <w:proofErr w:type="spellEnd"/>
      <w:r w:rsidR="008459A8" w:rsidRPr="00733646">
        <w:rPr>
          <w:sz w:val="24"/>
          <w:szCs w:val="24"/>
        </w:rPr>
        <w:t xml:space="preserve"> </w:t>
      </w:r>
      <w:r w:rsidR="00386720" w:rsidRPr="00733646">
        <w:rPr>
          <w:sz w:val="24"/>
          <w:szCs w:val="24"/>
        </w:rPr>
        <w:t xml:space="preserve">showed </w:t>
      </w:r>
      <w:proofErr w:type="spellStart"/>
      <w:r w:rsidR="00386720" w:rsidRPr="00733646">
        <w:rPr>
          <w:sz w:val="24"/>
          <w:szCs w:val="24"/>
        </w:rPr>
        <w:t>PGW</w:t>
      </w:r>
      <w:proofErr w:type="spellEnd"/>
      <w:r w:rsidR="00386720" w:rsidRPr="00733646">
        <w:rPr>
          <w:sz w:val="24"/>
          <w:szCs w:val="24"/>
        </w:rPr>
        <w:t xml:space="preserve"> that his gross monthly income was $1,181.99, and his mother’s Social Secur</w:t>
      </w:r>
      <w:r w:rsidR="008459A8" w:rsidRPr="00733646">
        <w:rPr>
          <w:sz w:val="24"/>
          <w:szCs w:val="24"/>
        </w:rPr>
        <w:t>i</w:t>
      </w:r>
      <w:r w:rsidR="00386720" w:rsidRPr="00733646">
        <w:rPr>
          <w:sz w:val="24"/>
          <w:szCs w:val="24"/>
        </w:rPr>
        <w:t xml:space="preserve">ty Income </w:t>
      </w:r>
      <w:r w:rsidR="00386720" w:rsidRPr="00733646">
        <w:rPr>
          <w:sz w:val="24"/>
          <w:szCs w:val="24"/>
        </w:rPr>
        <w:lastRenderedPageBreak/>
        <w:t>was $1,215.50 for a total of $2,</w:t>
      </w:r>
      <w:r w:rsidR="008459A8" w:rsidRPr="00733646">
        <w:rPr>
          <w:sz w:val="24"/>
          <w:szCs w:val="24"/>
        </w:rPr>
        <w:t>3</w:t>
      </w:r>
      <w:r w:rsidR="00386720" w:rsidRPr="00733646">
        <w:rPr>
          <w:sz w:val="24"/>
          <w:szCs w:val="24"/>
        </w:rPr>
        <w:t>97.</w:t>
      </w:r>
      <w:r w:rsidR="008459A8" w:rsidRPr="00733646">
        <w:rPr>
          <w:sz w:val="24"/>
          <w:szCs w:val="24"/>
        </w:rPr>
        <w:t>4</w:t>
      </w:r>
      <w:r w:rsidR="00386720" w:rsidRPr="00733646">
        <w:rPr>
          <w:sz w:val="24"/>
          <w:szCs w:val="24"/>
        </w:rPr>
        <w:t>9.  At that point, the t</w:t>
      </w:r>
      <w:r w:rsidR="00C70897" w:rsidRPr="00733646">
        <w:rPr>
          <w:sz w:val="24"/>
          <w:szCs w:val="24"/>
        </w:rPr>
        <w:t xml:space="preserve">otal </w:t>
      </w:r>
      <w:r w:rsidR="00386720" w:rsidRPr="00733646">
        <w:rPr>
          <w:sz w:val="24"/>
          <w:szCs w:val="24"/>
        </w:rPr>
        <w:t xml:space="preserve">arrearage owed to PGW </w:t>
      </w:r>
      <w:r w:rsidR="00C70897" w:rsidRPr="00733646">
        <w:rPr>
          <w:sz w:val="24"/>
          <w:szCs w:val="24"/>
        </w:rPr>
        <w:t xml:space="preserve">of $9,365.58 became due.  </w:t>
      </w:r>
      <w:proofErr w:type="gramStart"/>
      <w:r w:rsidR="00C70897" w:rsidRPr="00733646">
        <w:rPr>
          <w:sz w:val="24"/>
          <w:szCs w:val="24"/>
        </w:rPr>
        <w:t>N.T. 28-29</w:t>
      </w:r>
      <w:r w:rsidR="00386720" w:rsidRPr="00733646">
        <w:rPr>
          <w:sz w:val="24"/>
          <w:szCs w:val="24"/>
        </w:rPr>
        <w:t>, 31</w:t>
      </w:r>
      <w:r w:rsidR="00C70897" w:rsidRPr="00733646">
        <w:rPr>
          <w:sz w:val="24"/>
          <w:szCs w:val="24"/>
        </w:rPr>
        <w:t>.</w:t>
      </w:r>
      <w:proofErr w:type="gramEnd"/>
    </w:p>
    <w:p w:rsidR="00A94AB4" w:rsidRPr="00733646" w:rsidRDefault="00A94AB4" w:rsidP="00DF13AF">
      <w:pPr>
        <w:spacing w:line="360" w:lineRule="auto"/>
        <w:rPr>
          <w:sz w:val="24"/>
          <w:szCs w:val="24"/>
        </w:rPr>
      </w:pPr>
    </w:p>
    <w:p w:rsidR="00386720" w:rsidRPr="00733646" w:rsidRDefault="00A94AB4" w:rsidP="00DF13AF">
      <w:pPr>
        <w:spacing w:line="360" w:lineRule="auto"/>
        <w:rPr>
          <w:sz w:val="24"/>
          <w:szCs w:val="24"/>
        </w:rPr>
      </w:pPr>
      <w:r w:rsidRPr="00733646">
        <w:rPr>
          <w:sz w:val="24"/>
          <w:szCs w:val="24"/>
        </w:rPr>
        <w:tab/>
      </w:r>
      <w:r w:rsidRPr="00733646">
        <w:rPr>
          <w:sz w:val="24"/>
          <w:szCs w:val="24"/>
        </w:rPr>
        <w:tab/>
        <w:t>12.</w:t>
      </w:r>
      <w:r w:rsidRPr="00733646">
        <w:rPr>
          <w:sz w:val="24"/>
          <w:szCs w:val="24"/>
        </w:rPr>
        <w:tab/>
        <w:t>Based on household income, PGW has offered Complainant a budget billing arrangement based on usage over a twelve month period of $</w:t>
      </w:r>
      <w:r w:rsidR="00386720" w:rsidRPr="00733646">
        <w:rPr>
          <w:sz w:val="24"/>
          <w:szCs w:val="24"/>
        </w:rPr>
        <w:t>303</w:t>
      </w:r>
      <w:r w:rsidRPr="00733646">
        <w:rPr>
          <w:sz w:val="24"/>
          <w:szCs w:val="24"/>
        </w:rPr>
        <w:t>.00 per month</w:t>
      </w:r>
      <w:r w:rsidR="00386720" w:rsidRPr="00733646">
        <w:rPr>
          <w:sz w:val="24"/>
          <w:szCs w:val="24"/>
        </w:rPr>
        <w:t xml:space="preserve"> budget billing</w:t>
      </w:r>
      <w:r w:rsidRPr="00733646">
        <w:rPr>
          <w:sz w:val="24"/>
          <w:szCs w:val="24"/>
        </w:rPr>
        <w:t xml:space="preserve"> plus $</w:t>
      </w:r>
      <w:r w:rsidR="00386720" w:rsidRPr="00733646">
        <w:rPr>
          <w:sz w:val="24"/>
          <w:szCs w:val="24"/>
        </w:rPr>
        <w:t>157</w:t>
      </w:r>
      <w:r w:rsidRPr="00733646">
        <w:rPr>
          <w:sz w:val="24"/>
          <w:szCs w:val="24"/>
        </w:rPr>
        <w:t>.00 per month towards the arrearage, for a total of $46</w:t>
      </w:r>
      <w:r w:rsidR="00386720" w:rsidRPr="00733646">
        <w:rPr>
          <w:sz w:val="24"/>
          <w:szCs w:val="24"/>
        </w:rPr>
        <w:t>0</w:t>
      </w:r>
      <w:r w:rsidRPr="00733646">
        <w:rPr>
          <w:sz w:val="24"/>
          <w:szCs w:val="24"/>
        </w:rPr>
        <w:t>.00 per month</w:t>
      </w:r>
      <w:r w:rsidR="00386720" w:rsidRPr="00733646">
        <w:rPr>
          <w:sz w:val="24"/>
          <w:szCs w:val="24"/>
        </w:rPr>
        <w:t xml:space="preserve"> for 60 months</w:t>
      </w:r>
      <w:r w:rsidRPr="00733646">
        <w:rPr>
          <w:sz w:val="24"/>
          <w:szCs w:val="24"/>
        </w:rPr>
        <w:t>.  N.T. at 3</w:t>
      </w:r>
      <w:r w:rsidR="00386720" w:rsidRPr="00733646">
        <w:rPr>
          <w:sz w:val="24"/>
          <w:szCs w:val="24"/>
        </w:rPr>
        <w:t>2; PGW Exhibit No. 2 at 2</w:t>
      </w:r>
      <w:r w:rsidRPr="00733646">
        <w:rPr>
          <w:sz w:val="24"/>
          <w:szCs w:val="24"/>
        </w:rPr>
        <w:t>.</w:t>
      </w:r>
    </w:p>
    <w:p w:rsidR="00386720" w:rsidRPr="00733646" w:rsidRDefault="00386720" w:rsidP="00DF13AF">
      <w:pPr>
        <w:spacing w:line="360" w:lineRule="auto"/>
        <w:rPr>
          <w:sz w:val="24"/>
          <w:szCs w:val="24"/>
        </w:rPr>
      </w:pPr>
    </w:p>
    <w:p w:rsidR="00A94AB4" w:rsidRPr="00733646" w:rsidRDefault="00386720" w:rsidP="00DF13AF">
      <w:pPr>
        <w:spacing w:line="360" w:lineRule="auto"/>
        <w:rPr>
          <w:sz w:val="24"/>
          <w:szCs w:val="24"/>
        </w:rPr>
      </w:pPr>
      <w:r w:rsidRPr="00733646">
        <w:rPr>
          <w:sz w:val="24"/>
          <w:szCs w:val="24"/>
        </w:rPr>
        <w:tab/>
      </w:r>
      <w:r w:rsidRPr="00733646">
        <w:rPr>
          <w:sz w:val="24"/>
          <w:szCs w:val="24"/>
        </w:rPr>
        <w:tab/>
        <w:t>13.</w:t>
      </w:r>
      <w:r w:rsidRPr="00733646">
        <w:rPr>
          <w:sz w:val="24"/>
          <w:szCs w:val="24"/>
        </w:rPr>
        <w:tab/>
      </w:r>
      <w:r w:rsidR="009B6DE8" w:rsidRPr="00733646">
        <w:rPr>
          <w:sz w:val="24"/>
          <w:szCs w:val="24"/>
        </w:rPr>
        <w:t xml:space="preserve">PGW asserts that Jean </w:t>
      </w:r>
      <w:proofErr w:type="spellStart"/>
      <w:r w:rsidR="009B6DE8" w:rsidRPr="00733646">
        <w:rPr>
          <w:sz w:val="24"/>
          <w:szCs w:val="24"/>
        </w:rPr>
        <w:t>Hodorowski</w:t>
      </w:r>
      <w:proofErr w:type="spellEnd"/>
      <w:r w:rsidR="009B6DE8" w:rsidRPr="00733646">
        <w:rPr>
          <w:sz w:val="24"/>
          <w:szCs w:val="24"/>
        </w:rPr>
        <w:t xml:space="preserve"> had two prior Commission directed payment arrangements at BCS Case No. 1025800 on May 16, 2003, and again at BCS Case No. 1534371 on September 14, 2004, and that she did not keep those arrangements.</w:t>
      </w:r>
      <w:r w:rsidR="009B6DE8" w:rsidRPr="00733646">
        <w:rPr>
          <w:rStyle w:val="FootnoteReference"/>
          <w:sz w:val="24"/>
          <w:szCs w:val="24"/>
        </w:rPr>
        <w:footnoteReference w:id="2"/>
      </w:r>
      <w:r w:rsidR="009B6DE8" w:rsidRPr="00733646">
        <w:rPr>
          <w:sz w:val="24"/>
          <w:szCs w:val="24"/>
        </w:rPr>
        <w:t xml:space="preserve">  </w:t>
      </w:r>
      <w:proofErr w:type="gramStart"/>
      <w:r w:rsidR="009B6DE8" w:rsidRPr="00733646">
        <w:rPr>
          <w:sz w:val="24"/>
          <w:szCs w:val="24"/>
        </w:rPr>
        <w:t>N.T. at 35.</w:t>
      </w:r>
      <w:proofErr w:type="gramEnd"/>
    </w:p>
    <w:p w:rsidR="00D3380F" w:rsidRPr="00733646" w:rsidRDefault="00D3380F" w:rsidP="00FA670D">
      <w:pPr>
        <w:spacing w:line="360" w:lineRule="auto"/>
        <w:rPr>
          <w:sz w:val="24"/>
          <w:szCs w:val="24"/>
        </w:rPr>
      </w:pPr>
    </w:p>
    <w:p w:rsidR="0033018E" w:rsidRPr="00733646" w:rsidRDefault="00DF13AF" w:rsidP="00FA670D">
      <w:pPr>
        <w:spacing w:line="360" w:lineRule="auto"/>
        <w:rPr>
          <w:sz w:val="24"/>
          <w:szCs w:val="24"/>
        </w:rPr>
      </w:pPr>
      <w:r w:rsidRPr="00733646">
        <w:rPr>
          <w:sz w:val="24"/>
          <w:szCs w:val="24"/>
        </w:rPr>
        <w:tab/>
      </w:r>
      <w:r w:rsidRPr="00733646">
        <w:rPr>
          <w:sz w:val="24"/>
          <w:szCs w:val="24"/>
        </w:rPr>
        <w:tab/>
        <w:t>1</w:t>
      </w:r>
      <w:r w:rsidR="00D3380F" w:rsidRPr="00733646">
        <w:rPr>
          <w:sz w:val="24"/>
          <w:szCs w:val="24"/>
        </w:rPr>
        <w:t>4</w:t>
      </w:r>
      <w:r w:rsidRPr="00733646">
        <w:rPr>
          <w:sz w:val="24"/>
          <w:szCs w:val="24"/>
        </w:rPr>
        <w:t>.</w:t>
      </w:r>
      <w:r w:rsidR="00D3380F" w:rsidRPr="00733646">
        <w:rPr>
          <w:sz w:val="24"/>
          <w:szCs w:val="24"/>
        </w:rPr>
        <w:tab/>
        <w:t xml:space="preserve">During the period from May 22, 2008 through </w:t>
      </w:r>
      <w:r w:rsidR="00CE4F85" w:rsidRPr="00733646">
        <w:rPr>
          <w:sz w:val="24"/>
          <w:szCs w:val="24"/>
        </w:rPr>
        <w:t xml:space="preserve">July 20, 2012, the </w:t>
      </w:r>
      <w:proofErr w:type="spellStart"/>
      <w:r w:rsidR="00CE4F85" w:rsidRPr="00733646">
        <w:rPr>
          <w:sz w:val="24"/>
          <w:szCs w:val="24"/>
        </w:rPr>
        <w:t>Hodorowskis</w:t>
      </w:r>
      <w:proofErr w:type="spellEnd"/>
      <w:r w:rsidR="00CE4F85" w:rsidRPr="00733646">
        <w:rPr>
          <w:sz w:val="24"/>
          <w:szCs w:val="24"/>
        </w:rPr>
        <w:t xml:space="preserve"> have made multiple payments to PGW on their account, but those payments have not kept pace with usage, and the arrearage on the account has continued to grow.  PGW Exhibit No. 2.</w:t>
      </w:r>
    </w:p>
    <w:p w:rsidR="005D7C65" w:rsidRPr="00733646" w:rsidRDefault="005D7C65" w:rsidP="005D3B50">
      <w:pPr>
        <w:spacing w:line="360" w:lineRule="auto"/>
        <w:jc w:val="center"/>
        <w:rPr>
          <w:sz w:val="24"/>
          <w:szCs w:val="24"/>
        </w:rPr>
      </w:pPr>
      <w:r w:rsidRPr="00733646">
        <w:rPr>
          <w:sz w:val="24"/>
          <w:szCs w:val="24"/>
          <w:u w:val="single"/>
        </w:rPr>
        <w:t>DISCUSSION</w:t>
      </w:r>
    </w:p>
    <w:p w:rsidR="005D7C65" w:rsidRPr="00733646" w:rsidRDefault="005D7C65" w:rsidP="005D3B50">
      <w:pPr>
        <w:spacing w:line="360" w:lineRule="auto"/>
        <w:jc w:val="center"/>
        <w:rPr>
          <w:sz w:val="24"/>
          <w:szCs w:val="24"/>
        </w:rPr>
      </w:pPr>
    </w:p>
    <w:p w:rsidR="00876245" w:rsidRPr="00733646" w:rsidRDefault="005D7C65" w:rsidP="00876245">
      <w:pPr>
        <w:spacing w:line="360" w:lineRule="auto"/>
        <w:rPr>
          <w:sz w:val="24"/>
          <w:szCs w:val="24"/>
        </w:rPr>
      </w:pPr>
      <w:r w:rsidRPr="00733646">
        <w:rPr>
          <w:sz w:val="24"/>
          <w:szCs w:val="24"/>
        </w:rPr>
        <w:tab/>
      </w:r>
      <w:r w:rsidRPr="00733646">
        <w:rPr>
          <w:sz w:val="24"/>
          <w:szCs w:val="24"/>
        </w:rPr>
        <w:tab/>
      </w:r>
      <w:r w:rsidR="00876245" w:rsidRPr="00733646">
        <w:rPr>
          <w:sz w:val="24"/>
          <w:szCs w:val="24"/>
        </w:rPr>
        <w:t>As the party seeking affirmative relief from the Commission, Complainant bear</w:t>
      </w:r>
      <w:r w:rsidR="0033018E" w:rsidRPr="00733646">
        <w:rPr>
          <w:sz w:val="24"/>
          <w:szCs w:val="24"/>
        </w:rPr>
        <w:t>s</w:t>
      </w:r>
      <w:r w:rsidR="00876245" w:rsidRPr="00733646">
        <w:rPr>
          <w:sz w:val="24"/>
          <w:szCs w:val="24"/>
        </w:rPr>
        <w:t xml:space="preserve"> the burden of proof.  </w:t>
      </w:r>
      <w:proofErr w:type="gramStart"/>
      <w:r w:rsidR="00876245" w:rsidRPr="00733646">
        <w:rPr>
          <w:sz w:val="24"/>
          <w:szCs w:val="24"/>
        </w:rPr>
        <w:t>66 Pa. C.S.A § 332(a).</w:t>
      </w:r>
      <w:proofErr w:type="gramEnd"/>
      <w:r w:rsidR="00CE4F85" w:rsidRPr="00733646">
        <w:rPr>
          <w:sz w:val="24"/>
          <w:szCs w:val="24"/>
        </w:rPr>
        <w:t xml:space="preserve">  </w:t>
      </w:r>
      <w:r w:rsidR="00876245" w:rsidRPr="00733646">
        <w:rPr>
          <w:sz w:val="24"/>
          <w:szCs w:val="24"/>
        </w:rPr>
        <w:t xml:space="preserve">To satisfy this burden, a complainant must show that the named utility is responsible or accountable for the problem described in the Complaint.  </w:t>
      </w:r>
      <w:proofErr w:type="gramStart"/>
      <w:r w:rsidR="00876245" w:rsidRPr="00733646">
        <w:rPr>
          <w:i/>
          <w:sz w:val="24"/>
          <w:szCs w:val="24"/>
        </w:rPr>
        <w:t>Patterson v. Bell Telephone Company of Pennsylvania</w:t>
      </w:r>
      <w:r w:rsidR="00F5621A">
        <w:rPr>
          <w:sz w:val="24"/>
          <w:szCs w:val="24"/>
        </w:rPr>
        <w:t xml:space="preserve">, 72 PA PUC 196 (1990); </w:t>
      </w:r>
      <w:r w:rsidR="00876245" w:rsidRPr="00733646">
        <w:rPr>
          <w:i/>
          <w:sz w:val="24"/>
          <w:szCs w:val="24"/>
        </w:rPr>
        <w:t>Feinstein v. Philadelphia Suburban Water Company</w:t>
      </w:r>
      <w:r w:rsidR="00876245" w:rsidRPr="00733646">
        <w:rPr>
          <w:sz w:val="24"/>
          <w:szCs w:val="24"/>
        </w:rPr>
        <w:t>, 50 PA PUC 300 (1976).</w:t>
      </w:r>
      <w:proofErr w:type="gramEnd"/>
      <w:r w:rsidR="00876245" w:rsidRPr="00733646">
        <w:rPr>
          <w:sz w:val="24"/>
          <w:szCs w:val="24"/>
        </w:rPr>
        <w:t xml:space="preserve">  This must be shown by a preponderance of the evidence.  </w:t>
      </w:r>
      <w:proofErr w:type="gramStart"/>
      <w:r w:rsidR="00876245" w:rsidRPr="00733646">
        <w:rPr>
          <w:i/>
          <w:sz w:val="24"/>
          <w:szCs w:val="24"/>
        </w:rPr>
        <w:t>Samuel J. Lansberry, Inc. v. PA Pub.</w:t>
      </w:r>
      <w:proofErr w:type="gramEnd"/>
      <w:r w:rsidR="00876245" w:rsidRPr="00733646">
        <w:rPr>
          <w:i/>
          <w:sz w:val="24"/>
          <w:szCs w:val="24"/>
        </w:rPr>
        <w:t xml:space="preserve"> </w:t>
      </w:r>
      <w:proofErr w:type="gramStart"/>
      <w:r w:rsidR="00876245" w:rsidRPr="00733646">
        <w:rPr>
          <w:i/>
          <w:sz w:val="24"/>
          <w:szCs w:val="24"/>
        </w:rPr>
        <w:t>Util. Comm'n</w:t>
      </w:r>
      <w:r w:rsidR="00876245" w:rsidRPr="00733646">
        <w:rPr>
          <w:sz w:val="24"/>
          <w:szCs w:val="24"/>
        </w:rPr>
        <w:t xml:space="preserve">, 578 A.2d 600 (Pa. Cmwlth. 1990), </w:t>
      </w:r>
      <w:r w:rsidR="00876245" w:rsidRPr="00733646">
        <w:rPr>
          <w:i/>
          <w:sz w:val="24"/>
          <w:szCs w:val="24"/>
        </w:rPr>
        <w:t>alloc.</w:t>
      </w:r>
      <w:proofErr w:type="gramEnd"/>
      <w:r w:rsidR="00876245" w:rsidRPr="00733646">
        <w:rPr>
          <w:i/>
          <w:sz w:val="24"/>
          <w:szCs w:val="24"/>
        </w:rPr>
        <w:t xml:space="preserve"> </w:t>
      </w:r>
      <w:proofErr w:type="gramStart"/>
      <w:r w:rsidR="00876245" w:rsidRPr="00733646">
        <w:rPr>
          <w:i/>
          <w:sz w:val="24"/>
          <w:szCs w:val="24"/>
        </w:rPr>
        <w:t>den</w:t>
      </w:r>
      <w:r w:rsidR="00876245" w:rsidRPr="00733646">
        <w:rPr>
          <w:sz w:val="24"/>
          <w:szCs w:val="24"/>
        </w:rPr>
        <w:t>., 602 A.2d 863 (Pa. 1992).</w:t>
      </w:r>
      <w:proofErr w:type="gramEnd"/>
      <w:r w:rsidR="00876245" w:rsidRPr="00733646">
        <w:rPr>
          <w:sz w:val="24"/>
          <w:szCs w:val="24"/>
        </w:rPr>
        <w:t xml:space="preserve">  That is, by presenting evidence more convincing, by even the smallest amount, than that presented by the other party.  </w:t>
      </w:r>
      <w:proofErr w:type="gramStart"/>
      <w:r w:rsidR="00876245" w:rsidRPr="00733646">
        <w:rPr>
          <w:i/>
          <w:sz w:val="24"/>
          <w:szCs w:val="24"/>
        </w:rPr>
        <w:t>Se-Ling Hosiery v. Margulies</w:t>
      </w:r>
      <w:r w:rsidR="00876245" w:rsidRPr="00733646">
        <w:rPr>
          <w:sz w:val="24"/>
          <w:szCs w:val="24"/>
        </w:rPr>
        <w:t>, 70 A.2d 854 (Pa. 1950).</w:t>
      </w:r>
      <w:proofErr w:type="gramEnd"/>
      <w:r w:rsidR="00876245" w:rsidRPr="00733646">
        <w:rPr>
          <w:sz w:val="24"/>
          <w:szCs w:val="24"/>
        </w:rPr>
        <w:t xml:space="preserve">  Additionally, any finding of fact necessary to support the Commission's adjudication must be based upon substantial evidence.  </w:t>
      </w:r>
      <w:proofErr w:type="gramStart"/>
      <w:r w:rsidR="00876245" w:rsidRPr="00733646">
        <w:rPr>
          <w:i/>
          <w:sz w:val="24"/>
          <w:szCs w:val="24"/>
        </w:rPr>
        <w:t xml:space="preserve">Mill v. </w:t>
      </w:r>
      <w:r w:rsidR="00876245" w:rsidRPr="00733646">
        <w:rPr>
          <w:i/>
          <w:sz w:val="24"/>
          <w:szCs w:val="24"/>
        </w:rPr>
        <w:lastRenderedPageBreak/>
        <w:t>Comm'w., PA Pub.</w:t>
      </w:r>
      <w:proofErr w:type="gramEnd"/>
      <w:r w:rsidR="00876245" w:rsidRPr="00733646">
        <w:rPr>
          <w:i/>
          <w:sz w:val="24"/>
          <w:szCs w:val="24"/>
        </w:rPr>
        <w:t xml:space="preserve"> Util. Comm'n</w:t>
      </w:r>
      <w:r w:rsidR="00876245" w:rsidRPr="00733646">
        <w:rPr>
          <w:sz w:val="24"/>
          <w:szCs w:val="24"/>
        </w:rPr>
        <w:t>, 447 A.2d 1100 (Pa. Cmwlth. 1982)</w:t>
      </w:r>
      <w:proofErr w:type="gramStart"/>
      <w:r w:rsidR="00876245" w:rsidRPr="00733646">
        <w:rPr>
          <w:sz w:val="24"/>
          <w:szCs w:val="24"/>
        </w:rPr>
        <w:t xml:space="preserve">;  </w:t>
      </w:r>
      <w:proofErr w:type="spellStart"/>
      <w:r w:rsidR="00876245" w:rsidRPr="00733646">
        <w:rPr>
          <w:i/>
          <w:sz w:val="24"/>
          <w:szCs w:val="24"/>
        </w:rPr>
        <w:t>Edan</w:t>
      </w:r>
      <w:proofErr w:type="spellEnd"/>
      <w:proofErr w:type="gramEnd"/>
      <w:r w:rsidR="00876245" w:rsidRPr="00733646">
        <w:rPr>
          <w:i/>
          <w:sz w:val="24"/>
          <w:szCs w:val="24"/>
        </w:rPr>
        <w:t xml:space="preserve"> Transportation Corp. v. PA Pub. </w:t>
      </w:r>
      <w:proofErr w:type="gramStart"/>
      <w:r w:rsidR="00876245" w:rsidRPr="00733646">
        <w:rPr>
          <w:i/>
          <w:sz w:val="24"/>
          <w:szCs w:val="24"/>
        </w:rPr>
        <w:t>Util. Comm'n</w:t>
      </w:r>
      <w:r w:rsidR="00876245" w:rsidRPr="00733646">
        <w:rPr>
          <w:sz w:val="24"/>
          <w:szCs w:val="24"/>
        </w:rPr>
        <w:t>, 623 A.2d 6 (Pa. Cmwlth. 1993), 2 Pa.C.S.</w:t>
      </w:r>
      <w:proofErr w:type="gramEnd"/>
      <w:r w:rsidR="00876245" w:rsidRPr="00733646">
        <w:rPr>
          <w:sz w:val="24"/>
          <w:szCs w:val="24"/>
        </w:rPr>
        <w:t xml:space="preserve"> § 704.  More is required than a mere trace of evidence or a suspicion of the existence of a fact sought to be established.  </w:t>
      </w:r>
      <w:proofErr w:type="gramStart"/>
      <w:r w:rsidR="00876245" w:rsidRPr="00733646">
        <w:rPr>
          <w:i/>
          <w:sz w:val="24"/>
          <w:szCs w:val="24"/>
        </w:rPr>
        <w:t>Norfolk and Western Ry. v. PA Pub.</w:t>
      </w:r>
      <w:proofErr w:type="gramEnd"/>
      <w:r w:rsidR="00876245" w:rsidRPr="00733646">
        <w:rPr>
          <w:i/>
          <w:sz w:val="24"/>
          <w:szCs w:val="24"/>
        </w:rPr>
        <w:t xml:space="preserve"> </w:t>
      </w:r>
      <w:proofErr w:type="gramStart"/>
      <w:r w:rsidR="00876245" w:rsidRPr="00733646">
        <w:rPr>
          <w:i/>
          <w:sz w:val="24"/>
          <w:szCs w:val="24"/>
        </w:rPr>
        <w:t>Util. Comm'n</w:t>
      </w:r>
      <w:r w:rsidR="004F4616">
        <w:rPr>
          <w:sz w:val="24"/>
          <w:szCs w:val="24"/>
        </w:rPr>
        <w:t xml:space="preserve">, 413 A.2d 1037 (Pa. 1980); </w:t>
      </w:r>
      <w:r w:rsidR="00876245" w:rsidRPr="00733646">
        <w:rPr>
          <w:i/>
          <w:sz w:val="24"/>
          <w:szCs w:val="24"/>
        </w:rPr>
        <w:t>Erie Resistor Corp. v. Unemployment Compensation Bd. of Review</w:t>
      </w:r>
      <w:r w:rsidR="00876245" w:rsidRPr="00733646">
        <w:rPr>
          <w:sz w:val="24"/>
          <w:szCs w:val="24"/>
        </w:rPr>
        <w:t>, 166 A.2d 96</w:t>
      </w:r>
      <w:r w:rsidR="004F4616">
        <w:rPr>
          <w:sz w:val="24"/>
          <w:szCs w:val="24"/>
        </w:rPr>
        <w:t xml:space="preserve"> (Pa. Super. 1960); </w:t>
      </w:r>
      <w:r w:rsidR="00876245" w:rsidRPr="00733646">
        <w:rPr>
          <w:i/>
          <w:sz w:val="24"/>
          <w:szCs w:val="24"/>
        </w:rPr>
        <w:t>Murphy v. Commonwealth, Dep't.</w:t>
      </w:r>
      <w:proofErr w:type="gramEnd"/>
      <w:r w:rsidR="00876245" w:rsidRPr="00733646">
        <w:rPr>
          <w:i/>
          <w:sz w:val="24"/>
          <w:szCs w:val="24"/>
        </w:rPr>
        <w:t xml:space="preserve"> </w:t>
      </w:r>
      <w:proofErr w:type="gramStart"/>
      <w:r w:rsidR="00876245" w:rsidRPr="00733646">
        <w:rPr>
          <w:i/>
          <w:sz w:val="24"/>
          <w:szCs w:val="24"/>
        </w:rPr>
        <w:t>of</w:t>
      </w:r>
      <w:proofErr w:type="gramEnd"/>
      <w:r w:rsidR="00876245" w:rsidRPr="00733646">
        <w:rPr>
          <w:i/>
          <w:sz w:val="24"/>
          <w:szCs w:val="24"/>
        </w:rPr>
        <w:t xml:space="preserve"> Public Welfare, White Haven Center</w:t>
      </w:r>
      <w:r w:rsidR="00876245" w:rsidRPr="00733646">
        <w:rPr>
          <w:sz w:val="24"/>
          <w:szCs w:val="24"/>
        </w:rPr>
        <w:t>, 480 A.2d 382 (Pa. Cmwlth. 1984).</w:t>
      </w:r>
    </w:p>
    <w:p w:rsidR="00876245" w:rsidRPr="00733646" w:rsidRDefault="00876245" w:rsidP="00D30923">
      <w:pPr>
        <w:spacing w:line="360" w:lineRule="auto"/>
        <w:rPr>
          <w:sz w:val="24"/>
          <w:szCs w:val="24"/>
        </w:rPr>
      </w:pPr>
    </w:p>
    <w:p w:rsidR="00C4442A" w:rsidRPr="00733646" w:rsidRDefault="004543FA" w:rsidP="005D3B50">
      <w:pPr>
        <w:spacing w:line="360" w:lineRule="auto"/>
        <w:rPr>
          <w:sz w:val="24"/>
          <w:szCs w:val="24"/>
        </w:rPr>
      </w:pPr>
      <w:r w:rsidRPr="00733646">
        <w:rPr>
          <w:sz w:val="24"/>
          <w:szCs w:val="24"/>
        </w:rPr>
        <w:tab/>
      </w:r>
      <w:r w:rsidRPr="00733646">
        <w:rPr>
          <w:sz w:val="24"/>
          <w:szCs w:val="24"/>
        </w:rPr>
        <w:tab/>
      </w:r>
      <w:r w:rsidR="00BC6458" w:rsidRPr="00733646">
        <w:rPr>
          <w:sz w:val="24"/>
          <w:szCs w:val="24"/>
        </w:rPr>
        <w:t>This is a case where, regrettably, relief cannot be afforded to the Complainant</w:t>
      </w:r>
      <w:r w:rsidR="00A71299" w:rsidRPr="00733646">
        <w:rPr>
          <w:sz w:val="24"/>
          <w:szCs w:val="24"/>
        </w:rPr>
        <w:t xml:space="preserve">, who has failed to show that the utility has acted improperly or unlawfully by refusing to accept Complainant’s offer of a $115 per month payment of the natural gas bill.  </w:t>
      </w:r>
      <w:r w:rsidR="00BC6458" w:rsidRPr="00733646">
        <w:rPr>
          <w:sz w:val="24"/>
          <w:szCs w:val="24"/>
        </w:rPr>
        <w:t xml:space="preserve">I make that observation </w:t>
      </w:r>
      <w:r w:rsidR="004E3196" w:rsidRPr="00733646">
        <w:rPr>
          <w:sz w:val="24"/>
          <w:szCs w:val="24"/>
        </w:rPr>
        <w:t>taking into account</w:t>
      </w:r>
      <w:r w:rsidR="00BC6458" w:rsidRPr="00733646">
        <w:rPr>
          <w:sz w:val="24"/>
          <w:szCs w:val="24"/>
        </w:rPr>
        <w:t xml:space="preserve"> the unquestioned efforts by the Complainant and his mother to pay their natural gas bill as reflected in PGW Exhibit No. 2.  This is not a case in which a deadbeat customer is trying to avoid paying a utility.  It is a case in which </w:t>
      </w:r>
      <w:r w:rsidR="006542FE" w:rsidRPr="00733646">
        <w:rPr>
          <w:sz w:val="24"/>
          <w:szCs w:val="24"/>
        </w:rPr>
        <w:t>the issue is the ability on the part of the Complainant to pay the utility bill at the service address that he and his mother occupy.</w:t>
      </w:r>
      <w:r w:rsidR="00BC6458" w:rsidRPr="00733646">
        <w:rPr>
          <w:sz w:val="24"/>
          <w:szCs w:val="24"/>
        </w:rPr>
        <w:t xml:space="preserve">  Based on the evidence of record, Complainant’s good faith attempts to pay the bill have been unsuccessful due to </w:t>
      </w:r>
      <w:r w:rsidR="00A71299" w:rsidRPr="00733646">
        <w:rPr>
          <w:sz w:val="24"/>
          <w:szCs w:val="24"/>
        </w:rPr>
        <w:t xml:space="preserve">their </w:t>
      </w:r>
      <w:r w:rsidR="00BC6458" w:rsidRPr="00733646">
        <w:rPr>
          <w:sz w:val="24"/>
          <w:szCs w:val="24"/>
        </w:rPr>
        <w:t xml:space="preserve">limited </w:t>
      </w:r>
      <w:r w:rsidR="00C77D6B" w:rsidRPr="00733646">
        <w:rPr>
          <w:sz w:val="24"/>
          <w:szCs w:val="24"/>
        </w:rPr>
        <w:t xml:space="preserve">household </w:t>
      </w:r>
      <w:r w:rsidR="00BC6458" w:rsidRPr="00733646">
        <w:rPr>
          <w:sz w:val="24"/>
          <w:szCs w:val="24"/>
        </w:rPr>
        <w:t>income as measured against a steadily growing arrearage.</w:t>
      </w:r>
      <w:r w:rsidR="006542FE" w:rsidRPr="00733646">
        <w:rPr>
          <w:sz w:val="24"/>
          <w:szCs w:val="24"/>
        </w:rPr>
        <w:t xml:space="preserve">  </w:t>
      </w:r>
      <w:r w:rsidR="004E3196" w:rsidRPr="00733646">
        <w:rPr>
          <w:sz w:val="24"/>
          <w:szCs w:val="24"/>
        </w:rPr>
        <w:t xml:space="preserve">The household is in the unfortunate position of making too much money to qualify for assistance, but too little money to </w:t>
      </w:r>
      <w:r w:rsidR="008459A8" w:rsidRPr="00733646">
        <w:rPr>
          <w:sz w:val="24"/>
          <w:szCs w:val="24"/>
        </w:rPr>
        <w:t xml:space="preserve">keep up with </w:t>
      </w:r>
      <w:r w:rsidR="004E3196" w:rsidRPr="00733646">
        <w:rPr>
          <w:sz w:val="24"/>
          <w:szCs w:val="24"/>
        </w:rPr>
        <w:t xml:space="preserve">its bills.  </w:t>
      </w:r>
      <w:r w:rsidR="006542FE" w:rsidRPr="00733646">
        <w:rPr>
          <w:sz w:val="24"/>
          <w:szCs w:val="24"/>
        </w:rPr>
        <w:t xml:space="preserve">PGW’s position is that it has provided opportunities for the Complainant to enter into payment arrangements in a reasonable way, according to the criteria of its Customer Responsibility Program.  </w:t>
      </w:r>
      <w:r w:rsidR="00A71299" w:rsidRPr="00733646">
        <w:rPr>
          <w:sz w:val="24"/>
          <w:szCs w:val="24"/>
        </w:rPr>
        <w:t>There is no evidence of record to show a change in income, and so under the Responsible Utility Customer Protection Act at 66 Pa. C.S. § 1405(d), I cannot order a new payment a</w:t>
      </w:r>
      <w:r w:rsidR="008459A8" w:rsidRPr="00733646">
        <w:rPr>
          <w:sz w:val="24"/>
          <w:szCs w:val="24"/>
        </w:rPr>
        <w:t>rrangement</w:t>
      </w:r>
      <w:r w:rsidR="00A71299" w:rsidRPr="00733646">
        <w:rPr>
          <w:sz w:val="24"/>
          <w:szCs w:val="24"/>
        </w:rPr>
        <w:t xml:space="preserve"> where two previous payment arrangements have been broken by </w:t>
      </w:r>
      <w:r w:rsidR="008459A8" w:rsidRPr="00733646">
        <w:rPr>
          <w:sz w:val="24"/>
          <w:szCs w:val="24"/>
        </w:rPr>
        <w:t>the</w:t>
      </w:r>
      <w:r w:rsidR="00A71299" w:rsidRPr="00733646">
        <w:rPr>
          <w:sz w:val="24"/>
          <w:szCs w:val="24"/>
        </w:rPr>
        <w:t xml:space="preserve"> customer.</w:t>
      </w:r>
      <w:r w:rsidR="008459A8" w:rsidRPr="00733646">
        <w:rPr>
          <w:rStyle w:val="FootnoteReference"/>
          <w:sz w:val="24"/>
          <w:szCs w:val="24"/>
        </w:rPr>
        <w:footnoteReference w:id="3"/>
      </w:r>
    </w:p>
    <w:p w:rsidR="00C4442A" w:rsidRPr="00733646" w:rsidRDefault="00C4442A" w:rsidP="005D3B50">
      <w:pPr>
        <w:spacing w:line="360" w:lineRule="auto"/>
        <w:rPr>
          <w:sz w:val="24"/>
          <w:szCs w:val="24"/>
        </w:rPr>
      </w:pPr>
    </w:p>
    <w:p w:rsidR="00D17D8C" w:rsidRPr="00733646" w:rsidRDefault="00C4442A" w:rsidP="005D3B50">
      <w:pPr>
        <w:spacing w:line="360" w:lineRule="auto"/>
        <w:rPr>
          <w:sz w:val="24"/>
          <w:szCs w:val="24"/>
        </w:rPr>
      </w:pPr>
      <w:r w:rsidRPr="00733646">
        <w:rPr>
          <w:sz w:val="24"/>
          <w:szCs w:val="24"/>
        </w:rPr>
        <w:tab/>
      </w:r>
      <w:r w:rsidRPr="00733646">
        <w:rPr>
          <w:sz w:val="24"/>
          <w:szCs w:val="24"/>
        </w:rPr>
        <w:tab/>
        <w:t>Based on the evidence presented, the Complainant has failed to prove by a preponderance of the evidence that PGW has acted improperly or unlawfully by refusing to accept Complainant’s offer of a $115 per month payment of the natural gas bill.  Therefore, the Complaint in this case must be dismissed.</w:t>
      </w:r>
    </w:p>
    <w:p w:rsidR="00D17D8C" w:rsidRPr="00733646" w:rsidRDefault="00D17D8C" w:rsidP="005D3B50">
      <w:pPr>
        <w:spacing w:line="360" w:lineRule="auto"/>
        <w:rPr>
          <w:sz w:val="24"/>
          <w:szCs w:val="24"/>
        </w:rPr>
      </w:pPr>
    </w:p>
    <w:p w:rsidR="00993054" w:rsidRPr="00733646" w:rsidRDefault="00013F48" w:rsidP="005D3B50">
      <w:pPr>
        <w:spacing w:line="360" w:lineRule="auto"/>
        <w:jc w:val="center"/>
        <w:rPr>
          <w:sz w:val="24"/>
          <w:szCs w:val="24"/>
        </w:rPr>
      </w:pPr>
      <w:r w:rsidRPr="00733646">
        <w:rPr>
          <w:sz w:val="24"/>
          <w:szCs w:val="24"/>
          <w:u w:val="single"/>
        </w:rPr>
        <w:t>CONCLUSIONS OF LAW</w:t>
      </w:r>
    </w:p>
    <w:p w:rsidR="00013F48" w:rsidRPr="00733646" w:rsidRDefault="00013F48" w:rsidP="005D3B50">
      <w:pPr>
        <w:spacing w:line="360" w:lineRule="auto"/>
        <w:jc w:val="center"/>
        <w:rPr>
          <w:sz w:val="24"/>
          <w:szCs w:val="24"/>
        </w:rPr>
      </w:pPr>
    </w:p>
    <w:p w:rsidR="00013F48" w:rsidRPr="00733646" w:rsidRDefault="00013F48" w:rsidP="005D3B50">
      <w:pPr>
        <w:spacing w:line="360" w:lineRule="auto"/>
        <w:jc w:val="both"/>
        <w:rPr>
          <w:sz w:val="24"/>
          <w:szCs w:val="24"/>
        </w:rPr>
      </w:pPr>
      <w:r w:rsidRPr="00733646">
        <w:rPr>
          <w:sz w:val="24"/>
          <w:szCs w:val="24"/>
        </w:rPr>
        <w:tab/>
      </w:r>
      <w:r w:rsidRPr="00733646">
        <w:rPr>
          <w:sz w:val="24"/>
          <w:szCs w:val="24"/>
        </w:rPr>
        <w:tab/>
        <w:t>1.</w:t>
      </w:r>
      <w:r w:rsidRPr="00733646">
        <w:rPr>
          <w:sz w:val="24"/>
          <w:szCs w:val="24"/>
        </w:rPr>
        <w:tab/>
        <w:t xml:space="preserve">The Commission has jurisdiction over the subject matter and </w:t>
      </w:r>
      <w:r w:rsidR="00B4346F">
        <w:rPr>
          <w:sz w:val="24"/>
          <w:szCs w:val="24"/>
        </w:rPr>
        <w:t xml:space="preserve">parties to this proceeding.  </w:t>
      </w:r>
      <w:proofErr w:type="gramStart"/>
      <w:r w:rsidR="00B4346F">
        <w:rPr>
          <w:sz w:val="24"/>
          <w:szCs w:val="24"/>
        </w:rPr>
        <w:t xml:space="preserve">66 </w:t>
      </w:r>
      <w:r w:rsidRPr="00733646">
        <w:rPr>
          <w:sz w:val="24"/>
          <w:szCs w:val="24"/>
        </w:rPr>
        <w:t>Pa. C.S. §701.</w:t>
      </w:r>
      <w:proofErr w:type="gramEnd"/>
    </w:p>
    <w:p w:rsidR="0033018E" w:rsidRPr="00733646" w:rsidRDefault="0033018E" w:rsidP="005D3B50">
      <w:pPr>
        <w:spacing w:line="360" w:lineRule="auto"/>
        <w:jc w:val="both"/>
        <w:rPr>
          <w:sz w:val="24"/>
          <w:szCs w:val="24"/>
        </w:rPr>
      </w:pPr>
    </w:p>
    <w:p w:rsidR="00CB1BF5" w:rsidRPr="00733646" w:rsidRDefault="0033018E" w:rsidP="00CE4F85">
      <w:pPr>
        <w:spacing w:line="360" w:lineRule="auto"/>
        <w:jc w:val="both"/>
        <w:rPr>
          <w:sz w:val="24"/>
          <w:szCs w:val="24"/>
        </w:rPr>
      </w:pPr>
      <w:r w:rsidRPr="00733646">
        <w:rPr>
          <w:sz w:val="24"/>
          <w:szCs w:val="24"/>
        </w:rPr>
        <w:tab/>
      </w:r>
      <w:r w:rsidRPr="00733646">
        <w:rPr>
          <w:sz w:val="24"/>
          <w:szCs w:val="24"/>
        </w:rPr>
        <w:tab/>
        <w:t>2.</w:t>
      </w:r>
      <w:r w:rsidRPr="00733646">
        <w:rPr>
          <w:sz w:val="24"/>
          <w:szCs w:val="24"/>
        </w:rPr>
        <w:tab/>
      </w:r>
      <w:r w:rsidR="00C4442A" w:rsidRPr="00733646">
        <w:rPr>
          <w:sz w:val="24"/>
          <w:szCs w:val="24"/>
        </w:rPr>
        <w:t>Pursuant to 66 Pa. C.S. § 332(a), the burden of proof in this proceeding is on the Complainant.</w:t>
      </w:r>
    </w:p>
    <w:p w:rsidR="00C4442A" w:rsidRPr="00733646" w:rsidRDefault="00C4442A" w:rsidP="00CE4F85">
      <w:pPr>
        <w:spacing w:line="360" w:lineRule="auto"/>
        <w:jc w:val="both"/>
        <w:rPr>
          <w:sz w:val="24"/>
          <w:szCs w:val="24"/>
        </w:rPr>
      </w:pPr>
    </w:p>
    <w:p w:rsidR="00C4442A" w:rsidRPr="00733646" w:rsidRDefault="00C4442A" w:rsidP="00CE4F85">
      <w:pPr>
        <w:spacing w:line="360" w:lineRule="auto"/>
        <w:jc w:val="both"/>
        <w:rPr>
          <w:sz w:val="24"/>
          <w:szCs w:val="24"/>
        </w:rPr>
      </w:pPr>
      <w:r w:rsidRPr="00733646">
        <w:rPr>
          <w:sz w:val="24"/>
          <w:szCs w:val="24"/>
        </w:rPr>
        <w:tab/>
      </w:r>
      <w:r w:rsidRPr="00733646">
        <w:rPr>
          <w:sz w:val="24"/>
          <w:szCs w:val="24"/>
        </w:rPr>
        <w:tab/>
        <w:t>3.</w:t>
      </w:r>
      <w:r w:rsidRPr="00733646">
        <w:rPr>
          <w:sz w:val="24"/>
          <w:szCs w:val="24"/>
        </w:rPr>
        <w:tab/>
        <w:t xml:space="preserve">The Complainant has not met his burden of proving that he is entitled to relief.  </w:t>
      </w:r>
      <w:proofErr w:type="gramStart"/>
      <w:r w:rsidRPr="00733646">
        <w:rPr>
          <w:sz w:val="24"/>
          <w:szCs w:val="24"/>
        </w:rPr>
        <w:t>66 Pa. C.S. § 332(a).</w:t>
      </w:r>
      <w:proofErr w:type="gramEnd"/>
    </w:p>
    <w:p w:rsidR="00A22DCF" w:rsidRPr="00733646" w:rsidRDefault="00A22DCF" w:rsidP="005D3B50">
      <w:pPr>
        <w:spacing w:line="360" w:lineRule="auto"/>
        <w:rPr>
          <w:sz w:val="24"/>
          <w:szCs w:val="24"/>
        </w:rPr>
      </w:pPr>
    </w:p>
    <w:p w:rsidR="00A22DCF" w:rsidRPr="00733646" w:rsidRDefault="00A22DCF" w:rsidP="005D3B50">
      <w:pPr>
        <w:spacing w:line="360" w:lineRule="auto"/>
        <w:jc w:val="center"/>
        <w:rPr>
          <w:sz w:val="24"/>
          <w:szCs w:val="24"/>
          <w:u w:val="single"/>
        </w:rPr>
      </w:pPr>
      <w:r w:rsidRPr="00733646">
        <w:rPr>
          <w:sz w:val="24"/>
          <w:szCs w:val="24"/>
          <w:u w:val="single"/>
        </w:rPr>
        <w:t>ORDER</w:t>
      </w:r>
    </w:p>
    <w:p w:rsidR="00013F48" w:rsidRDefault="00013F48" w:rsidP="005D3B50">
      <w:pPr>
        <w:spacing w:line="360" w:lineRule="auto"/>
        <w:rPr>
          <w:sz w:val="24"/>
          <w:szCs w:val="24"/>
        </w:rPr>
      </w:pPr>
    </w:p>
    <w:p w:rsidR="009D0349" w:rsidRPr="00733646" w:rsidRDefault="009D0349" w:rsidP="005D3B50">
      <w:pPr>
        <w:spacing w:line="360" w:lineRule="auto"/>
        <w:rPr>
          <w:sz w:val="24"/>
          <w:szCs w:val="24"/>
        </w:rPr>
      </w:pPr>
    </w:p>
    <w:p w:rsidR="00013F48" w:rsidRPr="00733646" w:rsidRDefault="00013F48" w:rsidP="005D3B50">
      <w:pPr>
        <w:spacing w:line="360" w:lineRule="auto"/>
        <w:rPr>
          <w:sz w:val="24"/>
          <w:szCs w:val="24"/>
        </w:rPr>
      </w:pPr>
      <w:r w:rsidRPr="00733646">
        <w:rPr>
          <w:sz w:val="24"/>
          <w:szCs w:val="24"/>
        </w:rPr>
        <w:tab/>
      </w:r>
      <w:r w:rsidRPr="00733646">
        <w:rPr>
          <w:sz w:val="24"/>
          <w:szCs w:val="24"/>
        </w:rPr>
        <w:tab/>
        <w:t>THEREFORE,</w:t>
      </w:r>
    </w:p>
    <w:p w:rsidR="00013F48" w:rsidRPr="00733646" w:rsidRDefault="00013F48" w:rsidP="005D3B50">
      <w:pPr>
        <w:rPr>
          <w:sz w:val="24"/>
          <w:szCs w:val="24"/>
        </w:rPr>
      </w:pPr>
    </w:p>
    <w:p w:rsidR="00013F48" w:rsidRPr="00733646" w:rsidRDefault="00013F48" w:rsidP="005D3B50">
      <w:pPr>
        <w:spacing w:line="360" w:lineRule="auto"/>
        <w:rPr>
          <w:sz w:val="24"/>
          <w:szCs w:val="24"/>
        </w:rPr>
      </w:pPr>
      <w:r w:rsidRPr="00733646">
        <w:rPr>
          <w:sz w:val="24"/>
          <w:szCs w:val="24"/>
        </w:rPr>
        <w:tab/>
      </w:r>
      <w:r w:rsidRPr="00733646">
        <w:rPr>
          <w:sz w:val="24"/>
          <w:szCs w:val="24"/>
        </w:rPr>
        <w:tab/>
        <w:t>IT IS ORDERED:</w:t>
      </w:r>
    </w:p>
    <w:p w:rsidR="00013F48" w:rsidRPr="00733646" w:rsidRDefault="00013F48" w:rsidP="005D3B50">
      <w:pPr>
        <w:spacing w:line="360" w:lineRule="auto"/>
        <w:rPr>
          <w:sz w:val="24"/>
          <w:szCs w:val="24"/>
        </w:rPr>
      </w:pPr>
    </w:p>
    <w:p w:rsidR="00013F48" w:rsidRPr="00733646" w:rsidRDefault="00CB1BF5" w:rsidP="0033018E">
      <w:pPr>
        <w:pStyle w:val="BodyText"/>
        <w:spacing w:after="0" w:line="360" w:lineRule="auto"/>
        <w:rPr>
          <w:sz w:val="24"/>
          <w:szCs w:val="24"/>
        </w:rPr>
      </w:pPr>
      <w:r w:rsidRPr="00733646">
        <w:rPr>
          <w:sz w:val="24"/>
          <w:szCs w:val="24"/>
        </w:rPr>
        <w:tab/>
      </w:r>
      <w:r w:rsidRPr="00733646">
        <w:rPr>
          <w:sz w:val="24"/>
          <w:szCs w:val="24"/>
        </w:rPr>
        <w:tab/>
        <w:t>1.</w:t>
      </w:r>
      <w:r w:rsidRPr="00733646">
        <w:rPr>
          <w:sz w:val="24"/>
          <w:szCs w:val="24"/>
        </w:rPr>
        <w:tab/>
      </w:r>
      <w:r w:rsidR="00013F48" w:rsidRPr="00733646">
        <w:rPr>
          <w:sz w:val="24"/>
          <w:szCs w:val="24"/>
        </w:rPr>
        <w:t xml:space="preserve">That the </w:t>
      </w:r>
      <w:r w:rsidR="00A24F5E" w:rsidRPr="00733646">
        <w:rPr>
          <w:sz w:val="24"/>
          <w:szCs w:val="24"/>
        </w:rPr>
        <w:t>C</w:t>
      </w:r>
      <w:r w:rsidR="00013F48" w:rsidRPr="00733646">
        <w:rPr>
          <w:sz w:val="24"/>
          <w:szCs w:val="24"/>
        </w:rPr>
        <w:t xml:space="preserve">omplaint of </w:t>
      </w:r>
      <w:r w:rsidR="00C4442A" w:rsidRPr="00733646">
        <w:rPr>
          <w:sz w:val="24"/>
          <w:szCs w:val="24"/>
        </w:rPr>
        <w:t xml:space="preserve">Walter </w:t>
      </w:r>
      <w:proofErr w:type="spellStart"/>
      <w:r w:rsidR="00C4442A" w:rsidRPr="00733646">
        <w:rPr>
          <w:sz w:val="24"/>
          <w:szCs w:val="24"/>
        </w:rPr>
        <w:t>Hodorowski</w:t>
      </w:r>
      <w:proofErr w:type="spellEnd"/>
      <w:r w:rsidRPr="00733646">
        <w:rPr>
          <w:sz w:val="24"/>
          <w:szCs w:val="24"/>
        </w:rPr>
        <w:t xml:space="preserve"> a</w:t>
      </w:r>
      <w:r w:rsidR="00013F48" w:rsidRPr="00733646">
        <w:rPr>
          <w:sz w:val="24"/>
          <w:szCs w:val="24"/>
        </w:rPr>
        <w:t xml:space="preserve">gainst </w:t>
      </w:r>
      <w:r w:rsidRPr="00733646">
        <w:rPr>
          <w:sz w:val="24"/>
          <w:szCs w:val="24"/>
        </w:rPr>
        <w:t>P</w:t>
      </w:r>
      <w:r w:rsidR="00C4442A" w:rsidRPr="00733646">
        <w:rPr>
          <w:sz w:val="24"/>
          <w:szCs w:val="24"/>
        </w:rPr>
        <w:t>hiladelphia Gas Works</w:t>
      </w:r>
      <w:r w:rsidR="00B37214" w:rsidRPr="00733646">
        <w:rPr>
          <w:sz w:val="24"/>
          <w:szCs w:val="24"/>
        </w:rPr>
        <w:t xml:space="preserve"> </w:t>
      </w:r>
      <w:r w:rsidR="00013F48" w:rsidRPr="00733646">
        <w:rPr>
          <w:sz w:val="24"/>
          <w:szCs w:val="24"/>
        </w:rPr>
        <w:t xml:space="preserve">at Docket No. </w:t>
      </w:r>
      <w:r w:rsidR="00B37214" w:rsidRPr="00733646">
        <w:rPr>
          <w:sz w:val="24"/>
          <w:szCs w:val="24"/>
        </w:rPr>
        <w:t>C-201</w:t>
      </w:r>
      <w:r w:rsidRPr="00733646">
        <w:rPr>
          <w:sz w:val="24"/>
          <w:szCs w:val="24"/>
        </w:rPr>
        <w:t>2</w:t>
      </w:r>
      <w:r w:rsidR="00B37214" w:rsidRPr="00733646">
        <w:rPr>
          <w:sz w:val="24"/>
          <w:szCs w:val="24"/>
        </w:rPr>
        <w:t>-2</w:t>
      </w:r>
      <w:r w:rsidR="00C4442A" w:rsidRPr="00733646">
        <w:rPr>
          <w:sz w:val="24"/>
          <w:szCs w:val="24"/>
        </w:rPr>
        <w:t>305049</w:t>
      </w:r>
      <w:r w:rsidRPr="00733646">
        <w:rPr>
          <w:sz w:val="24"/>
          <w:szCs w:val="24"/>
        </w:rPr>
        <w:t xml:space="preserve"> </w:t>
      </w:r>
      <w:r w:rsidR="00013F48" w:rsidRPr="00733646">
        <w:rPr>
          <w:sz w:val="24"/>
          <w:szCs w:val="24"/>
        </w:rPr>
        <w:t xml:space="preserve">is hereby </w:t>
      </w:r>
      <w:r w:rsidRPr="00733646">
        <w:rPr>
          <w:sz w:val="24"/>
          <w:szCs w:val="24"/>
        </w:rPr>
        <w:t>dismissed</w:t>
      </w:r>
      <w:r w:rsidR="00013F48" w:rsidRPr="00733646">
        <w:rPr>
          <w:sz w:val="24"/>
          <w:szCs w:val="24"/>
        </w:rPr>
        <w:t>.</w:t>
      </w:r>
    </w:p>
    <w:p w:rsidR="00013F48" w:rsidRPr="00733646" w:rsidRDefault="00013F48" w:rsidP="005D3B50">
      <w:pPr>
        <w:pStyle w:val="BodyText"/>
        <w:spacing w:after="0" w:line="360" w:lineRule="auto"/>
        <w:rPr>
          <w:sz w:val="24"/>
          <w:szCs w:val="24"/>
        </w:rPr>
      </w:pPr>
    </w:p>
    <w:p w:rsidR="00013F48" w:rsidRPr="00733646" w:rsidRDefault="00013F48" w:rsidP="005D3B50">
      <w:pPr>
        <w:spacing w:line="360" w:lineRule="auto"/>
        <w:rPr>
          <w:sz w:val="24"/>
          <w:szCs w:val="24"/>
        </w:rPr>
      </w:pPr>
      <w:r w:rsidRPr="00733646">
        <w:rPr>
          <w:sz w:val="24"/>
          <w:szCs w:val="24"/>
        </w:rPr>
        <w:tab/>
      </w:r>
      <w:r w:rsidRPr="00733646">
        <w:rPr>
          <w:sz w:val="24"/>
          <w:szCs w:val="24"/>
        </w:rPr>
        <w:tab/>
      </w:r>
      <w:r w:rsidR="0033018E" w:rsidRPr="00733646">
        <w:rPr>
          <w:sz w:val="24"/>
          <w:szCs w:val="24"/>
        </w:rPr>
        <w:t>2</w:t>
      </w:r>
      <w:r w:rsidRPr="00733646">
        <w:rPr>
          <w:sz w:val="24"/>
          <w:szCs w:val="24"/>
        </w:rPr>
        <w:t>.</w:t>
      </w:r>
      <w:r w:rsidRPr="00733646">
        <w:rPr>
          <w:sz w:val="24"/>
          <w:szCs w:val="24"/>
        </w:rPr>
        <w:tab/>
        <w:t xml:space="preserve">That the record at Docket No. </w:t>
      </w:r>
      <w:r w:rsidR="00C4442A" w:rsidRPr="00733646">
        <w:rPr>
          <w:sz w:val="24"/>
          <w:szCs w:val="24"/>
        </w:rPr>
        <w:t xml:space="preserve">C-2012-2305049 </w:t>
      </w:r>
      <w:r w:rsidRPr="00733646">
        <w:rPr>
          <w:sz w:val="24"/>
          <w:szCs w:val="24"/>
        </w:rPr>
        <w:t>is to be marked closed.</w:t>
      </w:r>
    </w:p>
    <w:p w:rsidR="00ED3EC8" w:rsidRPr="00733646" w:rsidRDefault="00ED3EC8" w:rsidP="005D3B50">
      <w:pPr>
        <w:spacing w:line="360" w:lineRule="auto"/>
        <w:rPr>
          <w:sz w:val="24"/>
          <w:szCs w:val="24"/>
        </w:rPr>
      </w:pPr>
    </w:p>
    <w:p w:rsidR="00ED3EC8" w:rsidRPr="00733646" w:rsidRDefault="00ED3EC8" w:rsidP="005D3B50">
      <w:pPr>
        <w:spacing w:line="360" w:lineRule="auto"/>
        <w:rPr>
          <w:sz w:val="24"/>
          <w:szCs w:val="24"/>
        </w:rPr>
      </w:pPr>
    </w:p>
    <w:p w:rsidR="00ED3EC8" w:rsidRPr="00733646" w:rsidRDefault="00ED3EC8" w:rsidP="005D3B50">
      <w:pPr>
        <w:pStyle w:val="NoSpacing"/>
        <w:rPr>
          <w:sz w:val="24"/>
          <w:szCs w:val="24"/>
        </w:rPr>
      </w:pPr>
      <w:r w:rsidRPr="00733646">
        <w:rPr>
          <w:sz w:val="24"/>
          <w:szCs w:val="24"/>
        </w:rPr>
        <w:t>Dated:</w:t>
      </w:r>
      <w:r w:rsidR="00E31B54" w:rsidRPr="00733646">
        <w:rPr>
          <w:sz w:val="24"/>
          <w:szCs w:val="24"/>
        </w:rPr>
        <w:t xml:space="preserve">  </w:t>
      </w:r>
      <w:r w:rsidR="00C4442A" w:rsidRPr="00733646">
        <w:rPr>
          <w:sz w:val="24"/>
          <w:szCs w:val="24"/>
          <w:u w:val="single"/>
        </w:rPr>
        <w:t>October 5, 2012</w:t>
      </w:r>
      <w:r w:rsidR="00CB1BF5" w:rsidRPr="00733646">
        <w:rPr>
          <w:sz w:val="24"/>
          <w:szCs w:val="24"/>
        </w:rPr>
        <w:tab/>
      </w:r>
      <w:r w:rsidRPr="00733646">
        <w:rPr>
          <w:sz w:val="24"/>
          <w:szCs w:val="24"/>
        </w:rPr>
        <w:tab/>
      </w:r>
      <w:r w:rsidRPr="00733646">
        <w:rPr>
          <w:sz w:val="24"/>
          <w:szCs w:val="24"/>
        </w:rPr>
        <w:tab/>
      </w:r>
      <w:r w:rsidR="00013F48" w:rsidRPr="00733646">
        <w:rPr>
          <w:sz w:val="24"/>
          <w:szCs w:val="24"/>
        </w:rPr>
        <w:tab/>
      </w:r>
      <w:r w:rsidRPr="00733646">
        <w:rPr>
          <w:sz w:val="24"/>
          <w:szCs w:val="24"/>
        </w:rPr>
        <w:t>______________________________</w:t>
      </w:r>
    </w:p>
    <w:p w:rsidR="00ED3EC8" w:rsidRPr="00733646" w:rsidRDefault="00ED3EC8" w:rsidP="005D3B50">
      <w:pPr>
        <w:pStyle w:val="NoSpacing"/>
        <w:rPr>
          <w:sz w:val="24"/>
          <w:szCs w:val="24"/>
        </w:rPr>
      </w:pP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00013F48" w:rsidRPr="00733646">
        <w:rPr>
          <w:sz w:val="24"/>
          <w:szCs w:val="24"/>
        </w:rPr>
        <w:tab/>
      </w:r>
      <w:r w:rsidR="008E19D7" w:rsidRPr="00733646">
        <w:rPr>
          <w:sz w:val="24"/>
          <w:szCs w:val="24"/>
        </w:rPr>
        <w:t>Dennis J. Buckley</w:t>
      </w:r>
    </w:p>
    <w:p w:rsidR="00C04960" w:rsidRPr="00733646" w:rsidRDefault="00ED3EC8" w:rsidP="005D3B50">
      <w:pPr>
        <w:pStyle w:val="NoSpacing"/>
        <w:rPr>
          <w:sz w:val="24"/>
          <w:szCs w:val="24"/>
        </w:rPr>
      </w:pP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Pr="00733646">
        <w:rPr>
          <w:sz w:val="24"/>
          <w:szCs w:val="24"/>
        </w:rPr>
        <w:tab/>
      </w:r>
      <w:r w:rsidR="00013F48" w:rsidRPr="00733646">
        <w:rPr>
          <w:sz w:val="24"/>
          <w:szCs w:val="24"/>
        </w:rPr>
        <w:tab/>
      </w:r>
      <w:r w:rsidRPr="00733646">
        <w:rPr>
          <w:sz w:val="24"/>
          <w:szCs w:val="24"/>
        </w:rPr>
        <w:t>Administrative Law Judge</w:t>
      </w:r>
    </w:p>
    <w:p w:rsidR="00733646" w:rsidRPr="00733646" w:rsidRDefault="00733646">
      <w:pPr>
        <w:pStyle w:val="NoSpacing"/>
        <w:rPr>
          <w:sz w:val="24"/>
          <w:szCs w:val="24"/>
        </w:rPr>
      </w:pPr>
    </w:p>
    <w:sectPr w:rsidR="00733646" w:rsidRPr="00733646" w:rsidSect="0073364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EE" w:rsidRDefault="004A7DEE">
      <w:r>
        <w:separator/>
      </w:r>
    </w:p>
  </w:endnote>
  <w:endnote w:type="continuationSeparator" w:id="0">
    <w:p w:rsidR="004A7DEE" w:rsidRDefault="004A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DC4F2A">
          <w:rPr>
            <w:noProof/>
            <w:sz w:val="20"/>
            <w:szCs w:val="20"/>
          </w:rPr>
          <w:t>2</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EE" w:rsidRDefault="004A7DEE">
      <w:r>
        <w:separator/>
      </w:r>
    </w:p>
  </w:footnote>
  <w:footnote w:type="continuationSeparator" w:id="0">
    <w:p w:rsidR="004A7DEE" w:rsidRDefault="004A7DEE">
      <w:r>
        <w:continuationSeparator/>
      </w:r>
    </w:p>
  </w:footnote>
  <w:footnote w:id="1">
    <w:p w:rsidR="00826389" w:rsidRDefault="00826389">
      <w:pPr>
        <w:pStyle w:val="FootnoteText"/>
      </w:pPr>
      <w:r>
        <w:rPr>
          <w:rStyle w:val="FootnoteReference"/>
        </w:rPr>
        <w:footnoteRef/>
      </w:r>
      <w:r>
        <w:t xml:space="preserve"> </w:t>
      </w:r>
      <w:r>
        <w:tab/>
        <w:t xml:space="preserve">Ms. </w:t>
      </w:r>
      <w:proofErr w:type="spellStart"/>
      <w:r>
        <w:t>Hodorowski’s</w:t>
      </w:r>
      <w:proofErr w:type="spellEnd"/>
      <w:r>
        <w:t xml:space="preserve"> competency is questionable, and her brief testimony does not form any part of the basis for this Initial Decision.  See N.T. at </w:t>
      </w:r>
      <w:r w:rsidR="008459A8">
        <w:t>19-20.</w:t>
      </w:r>
    </w:p>
  </w:footnote>
  <w:footnote w:id="2">
    <w:p w:rsidR="009B6DE8" w:rsidRDefault="009B6DE8">
      <w:pPr>
        <w:pStyle w:val="FootnoteText"/>
      </w:pPr>
      <w:r>
        <w:rPr>
          <w:rStyle w:val="FootnoteReference"/>
        </w:rPr>
        <w:footnoteRef/>
      </w:r>
      <w:r>
        <w:t xml:space="preserve"> </w:t>
      </w:r>
      <w:r>
        <w:tab/>
        <w:t xml:space="preserve">Commission records indicate that the Complainant in those informal Complaint cases was Jean </w:t>
      </w:r>
      <w:proofErr w:type="spellStart"/>
      <w:r>
        <w:t>Huddy</w:t>
      </w:r>
      <w:proofErr w:type="spellEnd"/>
      <w:r>
        <w:t xml:space="preserve">, but the service address is identical to the </w:t>
      </w:r>
      <w:proofErr w:type="spellStart"/>
      <w:r>
        <w:t>Hodorowski’s</w:t>
      </w:r>
      <w:proofErr w:type="spellEnd"/>
      <w:r>
        <w:t xml:space="preserve"> service address, and given Mr. </w:t>
      </w:r>
      <w:proofErr w:type="spellStart"/>
      <w:r>
        <w:t>Hodorowski’s</w:t>
      </w:r>
      <w:proofErr w:type="spellEnd"/>
      <w:r>
        <w:t xml:space="preserve"> testimony, he and his mother have been residing at the service address for at least 15 years.  </w:t>
      </w:r>
      <w:proofErr w:type="gramStart"/>
      <w:r>
        <w:t>N.T. at 11.</w:t>
      </w:r>
      <w:proofErr w:type="gramEnd"/>
      <w:r w:rsidR="008459A8">
        <w:t xml:space="preserve">  Complainant did not contest the existence of these prior payment arrangements or PGW’s assertion that both payment arrangements had been broken.</w:t>
      </w:r>
    </w:p>
  </w:footnote>
  <w:footnote w:id="3">
    <w:p w:rsidR="008459A8" w:rsidRDefault="008459A8">
      <w:pPr>
        <w:pStyle w:val="FootnoteText"/>
      </w:pPr>
      <w:r>
        <w:rPr>
          <w:rStyle w:val="FootnoteReference"/>
        </w:rPr>
        <w:footnoteRef/>
      </w:r>
      <w:r>
        <w:t xml:space="preserve"> </w:t>
      </w:r>
      <w:r>
        <w:tab/>
      </w:r>
      <w:r w:rsidRPr="008459A8">
        <w:t xml:space="preserve">Even if Ms. </w:t>
      </w:r>
      <w:proofErr w:type="spellStart"/>
      <w:r w:rsidRPr="008459A8">
        <w:t>Hodorowski</w:t>
      </w:r>
      <w:proofErr w:type="spellEnd"/>
      <w:r w:rsidRPr="008459A8">
        <w:t xml:space="preserve"> had not broken two prior Commission directed payment arrangements, the gross household income is close to 175% of</w:t>
      </w:r>
      <w:r>
        <w:t xml:space="preserve"> the 2012 Federal Poverty Level, so I could not impose the payment arrangement of $115 per month requested by the Complainant.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3D11"/>
    <w:rsid w:val="00005558"/>
    <w:rsid w:val="000079FE"/>
    <w:rsid w:val="00010AF8"/>
    <w:rsid w:val="000115B5"/>
    <w:rsid w:val="00011A02"/>
    <w:rsid w:val="00012104"/>
    <w:rsid w:val="0001305A"/>
    <w:rsid w:val="00013F48"/>
    <w:rsid w:val="00016E55"/>
    <w:rsid w:val="0002105C"/>
    <w:rsid w:val="00035BB8"/>
    <w:rsid w:val="00044E9C"/>
    <w:rsid w:val="00050520"/>
    <w:rsid w:val="000541C0"/>
    <w:rsid w:val="000576ED"/>
    <w:rsid w:val="000576F6"/>
    <w:rsid w:val="000605B6"/>
    <w:rsid w:val="00061278"/>
    <w:rsid w:val="000634EB"/>
    <w:rsid w:val="00063801"/>
    <w:rsid w:val="00067CBC"/>
    <w:rsid w:val="000902E3"/>
    <w:rsid w:val="0009220F"/>
    <w:rsid w:val="00092B4E"/>
    <w:rsid w:val="00092E44"/>
    <w:rsid w:val="00093562"/>
    <w:rsid w:val="000A14B2"/>
    <w:rsid w:val="000A770B"/>
    <w:rsid w:val="000B339A"/>
    <w:rsid w:val="000C2A2B"/>
    <w:rsid w:val="000C34F3"/>
    <w:rsid w:val="000C42C2"/>
    <w:rsid w:val="000C6B6E"/>
    <w:rsid w:val="000C6EF0"/>
    <w:rsid w:val="000D29BA"/>
    <w:rsid w:val="000E3A57"/>
    <w:rsid w:val="000E6C6B"/>
    <w:rsid w:val="000E7DC1"/>
    <w:rsid w:val="000E7EF5"/>
    <w:rsid w:val="000F2E5F"/>
    <w:rsid w:val="001021FB"/>
    <w:rsid w:val="001028DF"/>
    <w:rsid w:val="00102A77"/>
    <w:rsid w:val="0010420D"/>
    <w:rsid w:val="001044E2"/>
    <w:rsid w:val="001077F1"/>
    <w:rsid w:val="00113BB5"/>
    <w:rsid w:val="00115BB6"/>
    <w:rsid w:val="00116578"/>
    <w:rsid w:val="0012035F"/>
    <w:rsid w:val="00121291"/>
    <w:rsid w:val="00124101"/>
    <w:rsid w:val="00124D49"/>
    <w:rsid w:val="0014105E"/>
    <w:rsid w:val="00141AFE"/>
    <w:rsid w:val="00143142"/>
    <w:rsid w:val="00155E87"/>
    <w:rsid w:val="00157E46"/>
    <w:rsid w:val="00162908"/>
    <w:rsid w:val="00162D2F"/>
    <w:rsid w:val="00172E8C"/>
    <w:rsid w:val="00174F7E"/>
    <w:rsid w:val="0017580D"/>
    <w:rsid w:val="00181749"/>
    <w:rsid w:val="00181AB1"/>
    <w:rsid w:val="00183365"/>
    <w:rsid w:val="001857EA"/>
    <w:rsid w:val="00191522"/>
    <w:rsid w:val="00192EB5"/>
    <w:rsid w:val="001966CB"/>
    <w:rsid w:val="001A103D"/>
    <w:rsid w:val="001A216A"/>
    <w:rsid w:val="001A3A8A"/>
    <w:rsid w:val="001A3E1A"/>
    <w:rsid w:val="001A4184"/>
    <w:rsid w:val="001B1B1D"/>
    <w:rsid w:val="001B3C84"/>
    <w:rsid w:val="001B3D6F"/>
    <w:rsid w:val="001B445B"/>
    <w:rsid w:val="001D0D25"/>
    <w:rsid w:val="001D1F1B"/>
    <w:rsid w:val="001E1547"/>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4529C"/>
    <w:rsid w:val="00250B10"/>
    <w:rsid w:val="002514F4"/>
    <w:rsid w:val="00251E5A"/>
    <w:rsid w:val="00252D9C"/>
    <w:rsid w:val="00252DB6"/>
    <w:rsid w:val="002546D8"/>
    <w:rsid w:val="00260459"/>
    <w:rsid w:val="00264D05"/>
    <w:rsid w:val="00266522"/>
    <w:rsid w:val="0026705F"/>
    <w:rsid w:val="002704DD"/>
    <w:rsid w:val="00274FF9"/>
    <w:rsid w:val="00282D01"/>
    <w:rsid w:val="00284760"/>
    <w:rsid w:val="0029096F"/>
    <w:rsid w:val="0029353E"/>
    <w:rsid w:val="00294973"/>
    <w:rsid w:val="00297286"/>
    <w:rsid w:val="002A05C6"/>
    <w:rsid w:val="002A5F4D"/>
    <w:rsid w:val="002A6FFE"/>
    <w:rsid w:val="002B754D"/>
    <w:rsid w:val="002C1BDF"/>
    <w:rsid w:val="002C3F09"/>
    <w:rsid w:val="002C4F02"/>
    <w:rsid w:val="002C79E3"/>
    <w:rsid w:val="002D5202"/>
    <w:rsid w:val="002E7DDB"/>
    <w:rsid w:val="002F42FC"/>
    <w:rsid w:val="003032D5"/>
    <w:rsid w:val="00304AA1"/>
    <w:rsid w:val="003053DC"/>
    <w:rsid w:val="00306375"/>
    <w:rsid w:val="00306C33"/>
    <w:rsid w:val="003075C1"/>
    <w:rsid w:val="00316EDF"/>
    <w:rsid w:val="00321DB1"/>
    <w:rsid w:val="0033018E"/>
    <w:rsid w:val="00330A67"/>
    <w:rsid w:val="00334F62"/>
    <w:rsid w:val="003364EB"/>
    <w:rsid w:val="003366D5"/>
    <w:rsid w:val="00344C34"/>
    <w:rsid w:val="00344FF3"/>
    <w:rsid w:val="00354574"/>
    <w:rsid w:val="00360F5F"/>
    <w:rsid w:val="0036124A"/>
    <w:rsid w:val="00365459"/>
    <w:rsid w:val="00366B3E"/>
    <w:rsid w:val="0036754C"/>
    <w:rsid w:val="003756F4"/>
    <w:rsid w:val="00377F18"/>
    <w:rsid w:val="0038073F"/>
    <w:rsid w:val="00381B05"/>
    <w:rsid w:val="00386626"/>
    <w:rsid w:val="00386720"/>
    <w:rsid w:val="003876C4"/>
    <w:rsid w:val="00390929"/>
    <w:rsid w:val="003A0B9C"/>
    <w:rsid w:val="003A0E5A"/>
    <w:rsid w:val="003A2C23"/>
    <w:rsid w:val="003A4C58"/>
    <w:rsid w:val="003A7581"/>
    <w:rsid w:val="003B0276"/>
    <w:rsid w:val="003B4D40"/>
    <w:rsid w:val="003B5D19"/>
    <w:rsid w:val="003B610B"/>
    <w:rsid w:val="003C17CB"/>
    <w:rsid w:val="003C47E8"/>
    <w:rsid w:val="003C7919"/>
    <w:rsid w:val="003D1EE2"/>
    <w:rsid w:val="003E2B14"/>
    <w:rsid w:val="003E3B7A"/>
    <w:rsid w:val="003F01A7"/>
    <w:rsid w:val="003F7A60"/>
    <w:rsid w:val="004047B1"/>
    <w:rsid w:val="00405DC3"/>
    <w:rsid w:val="00407C2F"/>
    <w:rsid w:val="00411425"/>
    <w:rsid w:val="00413BA5"/>
    <w:rsid w:val="00426277"/>
    <w:rsid w:val="004262B3"/>
    <w:rsid w:val="00431130"/>
    <w:rsid w:val="00442254"/>
    <w:rsid w:val="00446B02"/>
    <w:rsid w:val="0045300F"/>
    <w:rsid w:val="00454158"/>
    <w:rsid w:val="004543FA"/>
    <w:rsid w:val="00454723"/>
    <w:rsid w:val="00456657"/>
    <w:rsid w:val="00460140"/>
    <w:rsid w:val="00461296"/>
    <w:rsid w:val="0046238B"/>
    <w:rsid w:val="00464398"/>
    <w:rsid w:val="00487474"/>
    <w:rsid w:val="00491F39"/>
    <w:rsid w:val="0049575D"/>
    <w:rsid w:val="004A5318"/>
    <w:rsid w:val="004A741E"/>
    <w:rsid w:val="004A7DEE"/>
    <w:rsid w:val="004B10D4"/>
    <w:rsid w:val="004B1ADE"/>
    <w:rsid w:val="004B570B"/>
    <w:rsid w:val="004B652A"/>
    <w:rsid w:val="004C30D2"/>
    <w:rsid w:val="004C634C"/>
    <w:rsid w:val="004C6BB8"/>
    <w:rsid w:val="004D0BE0"/>
    <w:rsid w:val="004D14F0"/>
    <w:rsid w:val="004D4A68"/>
    <w:rsid w:val="004E3196"/>
    <w:rsid w:val="004E429F"/>
    <w:rsid w:val="004E64A1"/>
    <w:rsid w:val="004F25E0"/>
    <w:rsid w:val="004F2E8E"/>
    <w:rsid w:val="004F37CB"/>
    <w:rsid w:val="004F45CA"/>
    <w:rsid w:val="004F4616"/>
    <w:rsid w:val="004F55A3"/>
    <w:rsid w:val="00504F92"/>
    <w:rsid w:val="005078B3"/>
    <w:rsid w:val="00514D6D"/>
    <w:rsid w:val="00515927"/>
    <w:rsid w:val="00521B57"/>
    <w:rsid w:val="00522DE9"/>
    <w:rsid w:val="00523FBA"/>
    <w:rsid w:val="00524079"/>
    <w:rsid w:val="005255C0"/>
    <w:rsid w:val="005328F4"/>
    <w:rsid w:val="00532B33"/>
    <w:rsid w:val="005337FC"/>
    <w:rsid w:val="00537EB2"/>
    <w:rsid w:val="0054248C"/>
    <w:rsid w:val="00547727"/>
    <w:rsid w:val="005534BD"/>
    <w:rsid w:val="0055472A"/>
    <w:rsid w:val="00564A3A"/>
    <w:rsid w:val="005674EF"/>
    <w:rsid w:val="00570C2E"/>
    <w:rsid w:val="00575874"/>
    <w:rsid w:val="00575D4F"/>
    <w:rsid w:val="00575F27"/>
    <w:rsid w:val="0058036C"/>
    <w:rsid w:val="00585BD9"/>
    <w:rsid w:val="005A1839"/>
    <w:rsid w:val="005A3101"/>
    <w:rsid w:val="005A3759"/>
    <w:rsid w:val="005C1211"/>
    <w:rsid w:val="005C373B"/>
    <w:rsid w:val="005C4AAA"/>
    <w:rsid w:val="005D1442"/>
    <w:rsid w:val="005D2701"/>
    <w:rsid w:val="005D3B50"/>
    <w:rsid w:val="005D5AF1"/>
    <w:rsid w:val="005D75C8"/>
    <w:rsid w:val="005D7C65"/>
    <w:rsid w:val="005E274F"/>
    <w:rsid w:val="005E3061"/>
    <w:rsid w:val="005F064D"/>
    <w:rsid w:val="005F5A21"/>
    <w:rsid w:val="00600458"/>
    <w:rsid w:val="00603824"/>
    <w:rsid w:val="006060DD"/>
    <w:rsid w:val="00607DDD"/>
    <w:rsid w:val="00620850"/>
    <w:rsid w:val="00623DD7"/>
    <w:rsid w:val="00624D32"/>
    <w:rsid w:val="00626F9E"/>
    <w:rsid w:val="006273ED"/>
    <w:rsid w:val="0064750C"/>
    <w:rsid w:val="00647EF2"/>
    <w:rsid w:val="006542FE"/>
    <w:rsid w:val="006621E9"/>
    <w:rsid w:val="00664C73"/>
    <w:rsid w:val="00665DD9"/>
    <w:rsid w:val="00667B42"/>
    <w:rsid w:val="00667C4C"/>
    <w:rsid w:val="00676DAD"/>
    <w:rsid w:val="006856E2"/>
    <w:rsid w:val="00685979"/>
    <w:rsid w:val="00695397"/>
    <w:rsid w:val="0069562F"/>
    <w:rsid w:val="006971AE"/>
    <w:rsid w:val="006A0697"/>
    <w:rsid w:val="006A5DBB"/>
    <w:rsid w:val="006A6A0D"/>
    <w:rsid w:val="006B2FA8"/>
    <w:rsid w:val="006B3E08"/>
    <w:rsid w:val="006B655F"/>
    <w:rsid w:val="006C4536"/>
    <w:rsid w:val="006C4572"/>
    <w:rsid w:val="006C51E2"/>
    <w:rsid w:val="006C5928"/>
    <w:rsid w:val="006C71BB"/>
    <w:rsid w:val="006D1276"/>
    <w:rsid w:val="006E670A"/>
    <w:rsid w:val="006F27FC"/>
    <w:rsid w:val="006F3153"/>
    <w:rsid w:val="006F4F6D"/>
    <w:rsid w:val="00705262"/>
    <w:rsid w:val="00705CA5"/>
    <w:rsid w:val="00711291"/>
    <w:rsid w:val="00716D0A"/>
    <w:rsid w:val="007205DA"/>
    <w:rsid w:val="00721ECF"/>
    <w:rsid w:val="00725BEA"/>
    <w:rsid w:val="007306D1"/>
    <w:rsid w:val="007332C3"/>
    <w:rsid w:val="00733646"/>
    <w:rsid w:val="00742CE1"/>
    <w:rsid w:val="0074372C"/>
    <w:rsid w:val="00744C7C"/>
    <w:rsid w:val="00747C4D"/>
    <w:rsid w:val="00752C01"/>
    <w:rsid w:val="0075585E"/>
    <w:rsid w:val="00757711"/>
    <w:rsid w:val="00765F0F"/>
    <w:rsid w:val="0078470A"/>
    <w:rsid w:val="00787AF1"/>
    <w:rsid w:val="007A1913"/>
    <w:rsid w:val="007A4A4D"/>
    <w:rsid w:val="007A7E49"/>
    <w:rsid w:val="007B1039"/>
    <w:rsid w:val="007C10F7"/>
    <w:rsid w:val="007C2CDF"/>
    <w:rsid w:val="007D5B1C"/>
    <w:rsid w:val="007D65EF"/>
    <w:rsid w:val="007E04BC"/>
    <w:rsid w:val="007E0ADA"/>
    <w:rsid w:val="007E5866"/>
    <w:rsid w:val="00801F9D"/>
    <w:rsid w:val="00804065"/>
    <w:rsid w:val="00805B5C"/>
    <w:rsid w:val="00817BBA"/>
    <w:rsid w:val="00826389"/>
    <w:rsid w:val="00840A53"/>
    <w:rsid w:val="00841FF2"/>
    <w:rsid w:val="008427B3"/>
    <w:rsid w:val="008459A8"/>
    <w:rsid w:val="0085047D"/>
    <w:rsid w:val="008511C1"/>
    <w:rsid w:val="00851FE8"/>
    <w:rsid w:val="008524EA"/>
    <w:rsid w:val="00857642"/>
    <w:rsid w:val="00857F8E"/>
    <w:rsid w:val="008615C9"/>
    <w:rsid w:val="0086268A"/>
    <w:rsid w:val="00864B15"/>
    <w:rsid w:val="008651E2"/>
    <w:rsid w:val="00865C18"/>
    <w:rsid w:val="0086621E"/>
    <w:rsid w:val="0087179E"/>
    <w:rsid w:val="00876245"/>
    <w:rsid w:val="0088069A"/>
    <w:rsid w:val="00882CB8"/>
    <w:rsid w:val="00884650"/>
    <w:rsid w:val="00890848"/>
    <w:rsid w:val="00893230"/>
    <w:rsid w:val="00893901"/>
    <w:rsid w:val="008A41C8"/>
    <w:rsid w:val="008B24F0"/>
    <w:rsid w:val="008B2982"/>
    <w:rsid w:val="008B44D4"/>
    <w:rsid w:val="008C03AD"/>
    <w:rsid w:val="008C1485"/>
    <w:rsid w:val="008D2DBA"/>
    <w:rsid w:val="008D638B"/>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175C8"/>
    <w:rsid w:val="00923349"/>
    <w:rsid w:val="00924A88"/>
    <w:rsid w:val="00926002"/>
    <w:rsid w:val="00930EBA"/>
    <w:rsid w:val="00932060"/>
    <w:rsid w:val="00935580"/>
    <w:rsid w:val="009412D9"/>
    <w:rsid w:val="00944730"/>
    <w:rsid w:val="009471B5"/>
    <w:rsid w:val="00952928"/>
    <w:rsid w:val="00953CFD"/>
    <w:rsid w:val="00956416"/>
    <w:rsid w:val="009622E9"/>
    <w:rsid w:val="0096369D"/>
    <w:rsid w:val="0096659D"/>
    <w:rsid w:val="009669E3"/>
    <w:rsid w:val="009671DB"/>
    <w:rsid w:val="00971D7A"/>
    <w:rsid w:val="00971DA9"/>
    <w:rsid w:val="00972738"/>
    <w:rsid w:val="00980958"/>
    <w:rsid w:val="00980EB7"/>
    <w:rsid w:val="00987014"/>
    <w:rsid w:val="0099196A"/>
    <w:rsid w:val="00993054"/>
    <w:rsid w:val="00997443"/>
    <w:rsid w:val="009A68E7"/>
    <w:rsid w:val="009A78FB"/>
    <w:rsid w:val="009B1034"/>
    <w:rsid w:val="009B66C0"/>
    <w:rsid w:val="009B6DE8"/>
    <w:rsid w:val="009C24F9"/>
    <w:rsid w:val="009D0349"/>
    <w:rsid w:val="009D3AAC"/>
    <w:rsid w:val="009D5B63"/>
    <w:rsid w:val="009E1679"/>
    <w:rsid w:val="009E239E"/>
    <w:rsid w:val="009E271D"/>
    <w:rsid w:val="009E2E98"/>
    <w:rsid w:val="009E486F"/>
    <w:rsid w:val="009F768D"/>
    <w:rsid w:val="00A0065D"/>
    <w:rsid w:val="00A039DA"/>
    <w:rsid w:val="00A07D8F"/>
    <w:rsid w:val="00A13C95"/>
    <w:rsid w:val="00A22DCF"/>
    <w:rsid w:val="00A249F6"/>
    <w:rsid w:val="00A24F5E"/>
    <w:rsid w:val="00A35AFD"/>
    <w:rsid w:val="00A40731"/>
    <w:rsid w:val="00A448EF"/>
    <w:rsid w:val="00A52A4E"/>
    <w:rsid w:val="00A5343C"/>
    <w:rsid w:val="00A53ED6"/>
    <w:rsid w:val="00A7043A"/>
    <w:rsid w:val="00A71299"/>
    <w:rsid w:val="00A7538D"/>
    <w:rsid w:val="00A8008F"/>
    <w:rsid w:val="00A80E74"/>
    <w:rsid w:val="00A82749"/>
    <w:rsid w:val="00A84418"/>
    <w:rsid w:val="00A851A4"/>
    <w:rsid w:val="00A86BD8"/>
    <w:rsid w:val="00A87EDF"/>
    <w:rsid w:val="00A94AB4"/>
    <w:rsid w:val="00AA1496"/>
    <w:rsid w:val="00AA3D06"/>
    <w:rsid w:val="00AA44EC"/>
    <w:rsid w:val="00AA4899"/>
    <w:rsid w:val="00AA5E5C"/>
    <w:rsid w:val="00AA639F"/>
    <w:rsid w:val="00AC0554"/>
    <w:rsid w:val="00AC0D42"/>
    <w:rsid w:val="00AC7DAD"/>
    <w:rsid w:val="00AD344D"/>
    <w:rsid w:val="00AD5E7B"/>
    <w:rsid w:val="00AD684E"/>
    <w:rsid w:val="00AD7530"/>
    <w:rsid w:val="00AE43F5"/>
    <w:rsid w:val="00AE5821"/>
    <w:rsid w:val="00AE7E8A"/>
    <w:rsid w:val="00AF32D8"/>
    <w:rsid w:val="00AF4C64"/>
    <w:rsid w:val="00B01BE5"/>
    <w:rsid w:val="00B06DDF"/>
    <w:rsid w:val="00B079A5"/>
    <w:rsid w:val="00B16D92"/>
    <w:rsid w:val="00B20FAA"/>
    <w:rsid w:val="00B21FBA"/>
    <w:rsid w:val="00B2793E"/>
    <w:rsid w:val="00B37214"/>
    <w:rsid w:val="00B37C66"/>
    <w:rsid w:val="00B42826"/>
    <w:rsid w:val="00B4346F"/>
    <w:rsid w:val="00B46297"/>
    <w:rsid w:val="00B55869"/>
    <w:rsid w:val="00B567F1"/>
    <w:rsid w:val="00B569FA"/>
    <w:rsid w:val="00B571D3"/>
    <w:rsid w:val="00B759EC"/>
    <w:rsid w:val="00B75F96"/>
    <w:rsid w:val="00B81C6E"/>
    <w:rsid w:val="00B824F8"/>
    <w:rsid w:val="00B86F52"/>
    <w:rsid w:val="00B91893"/>
    <w:rsid w:val="00B926BD"/>
    <w:rsid w:val="00B944E7"/>
    <w:rsid w:val="00BB1D36"/>
    <w:rsid w:val="00BB5630"/>
    <w:rsid w:val="00BC6458"/>
    <w:rsid w:val="00BD00D9"/>
    <w:rsid w:val="00BD6387"/>
    <w:rsid w:val="00BD6E4D"/>
    <w:rsid w:val="00BE2FC0"/>
    <w:rsid w:val="00BE5D1C"/>
    <w:rsid w:val="00BE68F7"/>
    <w:rsid w:val="00BE7640"/>
    <w:rsid w:val="00BF0242"/>
    <w:rsid w:val="00BF483D"/>
    <w:rsid w:val="00C02723"/>
    <w:rsid w:val="00C02A91"/>
    <w:rsid w:val="00C04960"/>
    <w:rsid w:val="00C11391"/>
    <w:rsid w:val="00C138A5"/>
    <w:rsid w:val="00C211F9"/>
    <w:rsid w:val="00C25927"/>
    <w:rsid w:val="00C27126"/>
    <w:rsid w:val="00C310B8"/>
    <w:rsid w:val="00C31DBD"/>
    <w:rsid w:val="00C3343C"/>
    <w:rsid w:val="00C345DB"/>
    <w:rsid w:val="00C36C29"/>
    <w:rsid w:val="00C401B1"/>
    <w:rsid w:val="00C4175B"/>
    <w:rsid w:val="00C4442A"/>
    <w:rsid w:val="00C47D00"/>
    <w:rsid w:val="00C65047"/>
    <w:rsid w:val="00C662A9"/>
    <w:rsid w:val="00C70897"/>
    <w:rsid w:val="00C77D6B"/>
    <w:rsid w:val="00C833D6"/>
    <w:rsid w:val="00C915D7"/>
    <w:rsid w:val="00C93BE4"/>
    <w:rsid w:val="00C95318"/>
    <w:rsid w:val="00C95A99"/>
    <w:rsid w:val="00C96F6B"/>
    <w:rsid w:val="00CA27F9"/>
    <w:rsid w:val="00CA5F93"/>
    <w:rsid w:val="00CB1BF5"/>
    <w:rsid w:val="00CB772E"/>
    <w:rsid w:val="00CC1659"/>
    <w:rsid w:val="00CC30C3"/>
    <w:rsid w:val="00CD4229"/>
    <w:rsid w:val="00CD439E"/>
    <w:rsid w:val="00CD4AE1"/>
    <w:rsid w:val="00CE047D"/>
    <w:rsid w:val="00CE3201"/>
    <w:rsid w:val="00CE4F85"/>
    <w:rsid w:val="00CE7731"/>
    <w:rsid w:val="00CF6A79"/>
    <w:rsid w:val="00D02D5A"/>
    <w:rsid w:val="00D06F2D"/>
    <w:rsid w:val="00D13B2D"/>
    <w:rsid w:val="00D16E7D"/>
    <w:rsid w:val="00D17731"/>
    <w:rsid w:val="00D17D8C"/>
    <w:rsid w:val="00D21DFB"/>
    <w:rsid w:val="00D23DD0"/>
    <w:rsid w:val="00D30923"/>
    <w:rsid w:val="00D33231"/>
    <w:rsid w:val="00D3380F"/>
    <w:rsid w:val="00D36240"/>
    <w:rsid w:val="00D36DB7"/>
    <w:rsid w:val="00D40E5E"/>
    <w:rsid w:val="00D4152F"/>
    <w:rsid w:val="00D43F6F"/>
    <w:rsid w:val="00D62214"/>
    <w:rsid w:val="00D65E10"/>
    <w:rsid w:val="00D709A0"/>
    <w:rsid w:val="00D73BC0"/>
    <w:rsid w:val="00D76C93"/>
    <w:rsid w:val="00DA0625"/>
    <w:rsid w:val="00DA3285"/>
    <w:rsid w:val="00DA671A"/>
    <w:rsid w:val="00DA7E6E"/>
    <w:rsid w:val="00DB07B8"/>
    <w:rsid w:val="00DB1D4C"/>
    <w:rsid w:val="00DB4F49"/>
    <w:rsid w:val="00DC4772"/>
    <w:rsid w:val="00DC4F2A"/>
    <w:rsid w:val="00DC6711"/>
    <w:rsid w:val="00DC67F2"/>
    <w:rsid w:val="00DD4F2F"/>
    <w:rsid w:val="00DD5F86"/>
    <w:rsid w:val="00DD6047"/>
    <w:rsid w:val="00DD771A"/>
    <w:rsid w:val="00DD7CD1"/>
    <w:rsid w:val="00DE2759"/>
    <w:rsid w:val="00DE4037"/>
    <w:rsid w:val="00DE7B8E"/>
    <w:rsid w:val="00DF13AF"/>
    <w:rsid w:val="00DF1CFA"/>
    <w:rsid w:val="00DF63EB"/>
    <w:rsid w:val="00E04EFF"/>
    <w:rsid w:val="00E05019"/>
    <w:rsid w:val="00E101A9"/>
    <w:rsid w:val="00E13468"/>
    <w:rsid w:val="00E15F42"/>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6D78"/>
    <w:rsid w:val="00E9310C"/>
    <w:rsid w:val="00E9501F"/>
    <w:rsid w:val="00E9676A"/>
    <w:rsid w:val="00EA5BFB"/>
    <w:rsid w:val="00EB7A35"/>
    <w:rsid w:val="00EC05B4"/>
    <w:rsid w:val="00EC074E"/>
    <w:rsid w:val="00EC33EA"/>
    <w:rsid w:val="00EC7FC1"/>
    <w:rsid w:val="00ED1B28"/>
    <w:rsid w:val="00ED2F8A"/>
    <w:rsid w:val="00ED3EC8"/>
    <w:rsid w:val="00ED4E29"/>
    <w:rsid w:val="00ED7543"/>
    <w:rsid w:val="00EE1AE8"/>
    <w:rsid w:val="00EE1EE5"/>
    <w:rsid w:val="00EE3AFA"/>
    <w:rsid w:val="00EE7609"/>
    <w:rsid w:val="00EF4A3C"/>
    <w:rsid w:val="00EF7235"/>
    <w:rsid w:val="00F04C8C"/>
    <w:rsid w:val="00F054DA"/>
    <w:rsid w:val="00F07770"/>
    <w:rsid w:val="00F07BCF"/>
    <w:rsid w:val="00F16FAB"/>
    <w:rsid w:val="00F31625"/>
    <w:rsid w:val="00F3389A"/>
    <w:rsid w:val="00F36E39"/>
    <w:rsid w:val="00F5046F"/>
    <w:rsid w:val="00F5088C"/>
    <w:rsid w:val="00F510AC"/>
    <w:rsid w:val="00F561B9"/>
    <w:rsid w:val="00F5621A"/>
    <w:rsid w:val="00F62D04"/>
    <w:rsid w:val="00F70887"/>
    <w:rsid w:val="00F8605D"/>
    <w:rsid w:val="00F86EF9"/>
    <w:rsid w:val="00F86FB1"/>
    <w:rsid w:val="00F908E0"/>
    <w:rsid w:val="00F9335A"/>
    <w:rsid w:val="00FA670D"/>
    <w:rsid w:val="00FA69A0"/>
    <w:rsid w:val="00FB494E"/>
    <w:rsid w:val="00FB4A94"/>
    <w:rsid w:val="00FB4C6F"/>
    <w:rsid w:val="00FB64A1"/>
    <w:rsid w:val="00FC110D"/>
    <w:rsid w:val="00FC3800"/>
    <w:rsid w:val="00FC763F"/>
    <w:rsid w:val="00FD36CA"/>
    <w:rsid w:val="00FD3B41"/>
    <w:rsid w:val="00FD6C73"/>
    <w:rsid w:val="00FE3410"/>
    <w:rsid w:val="00FE734D"/>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2F48-2E6C-41C8-90FA-5F1DC637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2</cp:revision>
  <cp:lastPrinted>2012-05-16T13:08:00Z</cp:lastPrinted>
  <dcterms:created xsi:type="dcterms:W3CDTF">2012-10-26T14:20:00Z</dcterms:created>
  <dcterms:modified xsi:type="dcterms:W3CDTF">2012-10-26T14:20:00Z</dcterms:modified>
</cp:coreProperties>
</file>