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BAD" w:rsidRPr="002038C4" w:rsidRDefault="00E44BAD" w:rsidP="005E2B7F">
      <w:pPr>
        <w:tabs>
          <w:tab w:val="center" w:pos="4680"/>
        </w:tabs>
        <w:suppressAutoHyphens/>
        <w:jc w:val="center"/>
        <w:rPr>
          <w:rFonts w:ascii="Times New Roman" w:hAnsi="Times New Roman" w:cs="Times New Roman"/>
          <w:b/>
          <w:bCs/>
          <w:spacing w:val="-3"/>
        </w:rPr>
      </w:pPr>
      <w:bookmarkStart w:id="0" w:name="_GoBack"/>
      <w:bookmarkEnd w:id="0"/>
      <w:r w:rsidRPr="002038C4">
        <w:rPr>
          <w:rFonts w:ascii="Times New Roman" w:hAnsi="Times New Roman" w:cs="Times New Roman"/>
          <w:b/>
          <w:bCs/>
          <w:spacing w:val="-3"/>
        </w:rPr>
        <w:t>BEFORE THE</w:t>
      </w:r>
    </w:p>
    <w:p w:rsidR="00E44BAD" w:rsidRPr="002038C4" w:rsidRDefault="00E44BAD" w:rsidP="005E2B7F">
      <w:pPr>
        <w:tabs>
          <w:tab w:val="center" w:pos="4680"/>
        </w:tabs>
        <w:suppressAutoHyphens/>
        <w:jc w:val="center"/>
        <w:rPr>
          <w:rFonts w:ascii="Times New Roman" w:hAnsi="Times New Roman" w:cs="Times New Roman"/>
          <w:b/>
          <w:bCs/>
          <w:spacing w:val="-3"/>
        </w:rPr>
      </w:pPr>
      <w:r w:rsidRPr="002038C4">
        <w:rPr>
          <w:rFonts w:ascii="Times New Roman" w:hAnsi="Times New Roman" w:cs="Times New Roman"/>
          <w:b/>
          <w:bCs/>
          <w:spacing w:val="-3"/>
        </w:rPr>
        <w:t>PENNSYLVANIA PUBLIC UTILITY COMMISSION</w:t>
      </w:r>
    </w:p>
    <w:p w:rsidR="00E44BAD" w:rsidRPr="002038C4" w:rsidRDefault="00E44BAD" w:rsidP="005E2B7F">
      <w:pPr>
        <w:tabs>
          <w:tab w:val="center" w:pos="4680"/>
        </w:tabs>
        <w:suppressAutoHyphens/>
        <w:rPr>
          <w:rFonts w:ascii="Times New Roman" w:hAnsi="Times New Roman" w:cs="Times New Roman"/>
          <w:spacing w:val="-3"/>
        </w:rPr>
      </w:pPr>
    </w:p>
    <w:p w:rsidR="00E44BAD" w:rsidRPr="002038C4" w:rsidRDefault="00E44BAD" w:rsidP="005E2B7F">
      <w:pPr>
        <w:tabs>
          <w:tab w:val="center" w:pos="4680"/>
        </w:tabs>
        <w:suppressAutoHyphens/>
        <w:rPr>
          <w:rFonts w:ascii="Times New Roman" w:hAnsi="Times New Roman" w:cs="Times New Roman"/>
          <w:spacing w:val="-3"/>
        </w:rPr>
      </w:pPr>
    </w:p>
    <w:p w:rsidR="00E44BAD" w:rsidRPr="002038C4" w:rsidRDefault="00E44BAD" w:rsidP="005E2B7F">
      <w:pPr>
        <w:tabs>
          <w:tab w:val="left" w:pos="-720"/>
        </w:tabs>
        <w:suppressAutoHyphens/>
        <w:rPr>
          <w:rFonts w:ascii="Times New Roman" w:hAnsi="Times New Roman" w:cs="Times New Roman"/>
          <w:spacing w:val="-3"/>
        </w:rPr>
      </w:pPr>
    </w:p>
    <w:p w:rsidR="00E44BAD" w:rsidRPr="002038C4" w:rsidRDefault="00E44BAD" w:rsidP="005E2B7F">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Equitable Gas Company, LLC Request for Approval of</w:t>
      </w:r>
      <w:r w:rsidRPr="002038C4">
        <w:rPr>
          <w:rFonts w:ascii="Times New Roman" w:hAnsi="Times New Roman" w:cs="Times New Roman"/>
          <w:spacing w:val="-3"/>
        </w:rPr>
        <w:tab/>
        <w:t>:</w:t>
      </w:r>
      <w:r w:rsidRPr="002038C4">
        <w:rPr>
          <w:rFonts w:ascii="Times New Roman" w:hAnsi="Times New Roman" w:cs="Times New Roman"/>
          <w:spacing w:val="-3"/>
        </w:rPr>
        <w:tab/>
        <w:t>R-2012-2304727</w:t>
      </w:r>
    </w:p>
    <w:p w:rsidR="00E44BAD" w:rsidRPr="002038C4" w:rsidRDefault="00E44BAD" w:rsidP="005E2B7F">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Supplement No. 79 to Tariff Gas Pa. P.U.C. No. 22</w:t>
      </w:r>
      <w:r w:rsidRPr="002038C4">
        <w:rPr>
          <w:rFonts w:ascii="Times New Roman" w:hAnsi="Times New Roman" w:cs="Times New Roman"/>
          <w:spacing w:val="-3"/>
        </w:rPr>
        <w:tab/>
      </w:r>
      <w:r w:rsidRPr="002038C4">
        <w:rPr>
          <w:rFonts w:ascii="Times New Roman" w:hAnsi="Times New Roman" w:cs="Times New Roman"/>
          <w:spacing w:val="-3"/>
        </w:rPr>
        <w:tab/>
        <w:t>:</w:t>
      </w:r>
      <w:r w:rsidRPr="002038C4">
        <w:rPr>
          <w:rFonts w:ascii="Times New Roman" w:hAnsi="Times New Roman" w:cs="Times New Roman"/>
          <w:spacing w:val="-3"/>
        </w:rPr>
        <w:tab/>
      </w:r>
      <w:r w:rsidRPr="002038C4">
        <w:rPr>
          <w:rFonts w:ascii="Times New Roman" w:hAnsi="Times New Roman" w:cs="Times New Roman"/>
          <w:spacing w:val="-3"/>
        </w:rPr>
        <w:tab/>
      </w:r>
    </w:p>
    <w:p w:rsidR="00E44BAD" w:rsidRPr="002038C4" w:rsidRDefault="00E44BAD" w:rsidP="005E2B7F">
      <w:pPr>
        <w:tabs>
          <w:tab w:val="left" w:pos="-720"/>
        </w:tabs>
        <w:suppressAutoHyphens/>
        <w:rPr>
          <w:rFonts w:ascii="Times New Roman" w:hAnsi="Times New Roman" w:cs="Times New Roman"/>
          <w:spacing w:val="-3"/>
        </w:rPr>
      </w:pPr>
    </w:p>
    <w:p w:rsidR="00E44BAD" w:rsidRPr="002038C4" w:rsidRDefault="00E44BAD" w:rsidP="005E2B7F">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Equitable Gas Company, LLC Request for Approval of</w:t>
      </w:r>
      <w:r w:rsidRPr="002038C4">
        <w:rPr>
          <w:rFonts w:ascii="Times New Roman" w:hAnsi="Times New Roman" w:cs="Times New Roman"/>
          <w:spacing w:val="-3"/>
        </w:rPr>
        <w:tab/>
        <w:t>:</w:t>
      </w:r>
      <w:r w:rsidRPr="002038C4">
        <w:rPr>
          <w:rFonts w:ascii="Times New Roman" w:hAnsi="Times New Roman" w:cs="Times New Roman"/>
          <w:spacing w:val="-3"/>
        </w:rPr>
        <w:tab/>
        <w:t>R-2012-2304731</w:t>
      </w:r>
    </w:p>
    <w:p w:rsidR="00E44BAD" w:rsidRPr="002038C4" w:rsidRDefault="00E44BAD" w:rsidP="005E2B7F">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Supplement No. 80 to Tariff Gas Pa. P.U.C. No. 22</w:t>
      </w:r>
      <w:r w:rsidRPr="002038C4">
        <w:rPr>
          <w:rFonts w:ascii="Times New Roman" w:hAnsi="Times New Roman" w:cs="Times New Roman"/>
          <w:spacing w:val="-3"/>
        </w:rPr>
        <w:tab/>
      </w:r>
      <w:r w:rsidRPr="002038C4">
        <w:rPr>
          <w:rFonts w:ascii="Times New Roman" w:hAnsi="Times New Roman" w:cs="Times New Roman"/>
          <w:spacing w:val="-3"/>
        </w:rPr>
        <w:tab/>
        <w:t>:</w:t>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p>
    <w:p w:rsidR="00E44BAD" w:rsidRPr="002038C4" w:rsidRDefault="00E44BAD" w:rsidP="005E2B7F">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Equitable Gas Company, LLC Request for Approval of</w:t>
      </w:r>
      <w:r w:rsidRPr="002038C4">
        <w:rPr>
          <w:rFonts w:ascii="Times New Roman" w:hAnsi="Times New Roman" w:cs="Times New Roman"/>
          <w:spacing w:val="-3"/>
        </w:rPr>
        <w:tab/>
        <w:t>:</w:t>
      </w:r>
      <w:r w:rsidRPr="002038C4">
        <w:rPr>
          <w:rFonts w:ascii="Times New Roman" w:hAnsi="Times New Roman" w:cs="Times New Roman"/>
          <w:spacing w:val="-3"/>
        </w:rPr>
        <w:tab/>
        <w:t>R-2012-2304735</w:t>
      </w:r>
    </w:p>
    <w:p w:rsidR="00E44BAD" w:rsidRPr="002038C4" w:rsidRDefault="00E44BAD" w:rsidP="005E2B7F">
      <w:pPr>
        <w:tabs>
          <w:tab w:val="left" w:pos="-720"/>
        </w:tabs>
        <w:suppressAutoHyphens/>
        <w:rPr>
          <w:rFonts w:ascii="Times New Roman" w:hAnsi="Times New Roman" w:cs="Times New Roman"/>
        </w:rPr>
      </w:pPr>
      <w:r w:rsidRPr="002038C4">
        <w:rPr>
          <w:rFonts w:ascii="Times New Roman" w:hAnsi="Times New Roman" w:cs="Times New Roman"/>
          <w:spacing w:val="-3"/>
        </w:rPr>
        <w:t>Supplement No. 81 to Tariff Gas Pa. P.U.C. No. 22</w:t>
      </w:r>
      <w:r w:rsidRPr="002038C4">
        <w:rPr>
          <w:rFonts w:ascii="Times New Roman" w:hAnsi="Times New Roman" w:cs="Times New Roman"/>
          <w:spacing w:val="-3"/>
        </w:rPr>
        <w:tab/>
      </w:r>
      <w:r w:rsidRPr="002038C4">
        <w:rPr>
          <w:rFonts w:ascii="Times New Roman" w:hAnsi="Times New Roman" w:cs="Times New Roman"/>
          <w:spacing w:val="-3"/>
        </w:rPr>
        <w:tab/>
        <w:t>:</w:t>
      </w:r>
      <w:r w:rsidRPr="002038C4">
        <w:rPr>
          <w:rFonts w:ascii="Times New Roman" w:hAnsi="Times New Roman" w:cs="Times New Roman"/>
          <w:spacing w:val="-3"/>
        </w:rPr>
        <w:tab/>
      </w:r>
      <w:r w:rsidRPr="002038C4">
        <w:rPr>
          <w:rFonts w:ascii="Times New Roman" w:hAnsi="Times New Roman" w:cs="Times New Roman"/>
          <w:b/>
        </w:rPr>
        <w:tab/>
      </w:r>
      <w:r w:rsidRPr="002038C4">
        <w:rPr>
          <w:rFonts w:ascii="Times New Roman" w:hAnsi="Times New Roman" w:cs="Times New Roman"/>
          <w:b/>
        </w:rPr>
        <w:tab/>
      </w:r>
    </w:p>
    <w:p w:rsidR="00E44BAD" w:rsidRPr="002038C4" w:rsidRDefault="00E44BAD" w:rsidP="005E2B7F">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ab/>
      </w:r>
    </w:p>
    <w:p w:rsidR="00E44BAD" w:rsidRPr="002038C4" w:rsidRDefault="00E44BAD" w:rsidP="005E2B7F">
      <w:pPr>
        <w:tabs>
          <w:tab w:val="left" w:pos="-720"/>
        </w:tabs>
        <w:suppressAutoHyphens/>
        <w:rPr>
          <w:rFonts w:ascii="Times New Roman" w:hAnsi="Times New Roman" w:cs="Times New Roman"/>
          <w:spacing w:val="-3"/>
        </w:rPr>
      </w:pPr>
    </w:p>
    <w:p w:rsidR="00E44BAD" w:rsidRPr="002038C4" w:rsidRDefault="00E44BAD" w:rsidP="005E2B7F">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Office of Consumer Advocate</w:t>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t>:</w:t>
      </w:r>
      <w:r w:rsidRPr="002038C4">
        <w:rPr>
          <w:rFonts w:ascii="Times New Roman" w:hAnsi="Times New Roman" w:cs="Times New Roman"/>
          <w:spacing w:val="-3"/>
        </w:rPr>
        <w:tab/>
        <w:t>C-2012-2309502</w:t>
      </w:r>
    </w:p>
    <w:p w:rsidR="00E44BAD" w:rsidRPr="002038C4" w:rsidRDefault="00E44BAD" w:rsidP="005E2B7F">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t>:</w:t>
      </w:r>
      <w:r w:rsidRPr="002038C4">
        <w:rPr>
          <w:rFonts w:ascii="Times New Roman" w:hAnsi="Times New Roman" w:cs="Times New Roman"/>
          <w:spacing w:val="-3"/>
        </w:rPr>
        <w:tab/>
        <w:t>C-2012-2309538</w:t>
      </w:r>
    </w:p>
    <w:p w:rsidR="00E44BAD" w:rsidRPr="002038C4" w:rsidRDefault="00E44BAD" w:rsidP="005E2B7F">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ab/>
      </w:r>
      <w:r w:rsidR="00485325">
        <w:rPr>
          <w:rFonts w:ascii="Times New Roman" w:hAnsi="Times New Roman" w:cs="Times New Roman"/>
          <w:spacing w:val="-3"/>
        </w:rPr>
        <w:t>v.</w:t>
      </w:r>
      <w:r w:rsidRPr="002038C4">
        <w:rPr>
          <w:rFonts w:ascii="Times New Roman" w:hAnsi="Times New Roman" w:cs="Times New Roman"/>
          <w:spacing w:val="-3"/>
        </w:rPr>
        <w:tab/>
      </w:r>
      <w:r w:rsidR="00900538">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t>:</w:t>
      </w:r>
      <w:r w:rsidRPr="002038C4">
        <w:rPr>
          <w:rFonts w:ascii="Times New Roman" w:hAnsi="Times New Roman" w:cs="Times New Roman"/>
          <w:spacing w:val="-3"/>
        </w:rPr>
        <w:tab/>
        <w:t>C-2012-2309549</w:t>
      </w:r>
    </w:p>
    <w:p w:rsidR="00E44BAD" w:rsidRPr="002038C4" w:rsidRDefault="00E44BAD" w:rsidP="005E2B7F">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t>:</w:t>
      </w:r>
    </w:p>
    <w:p w:rsidR="00E44BAD" w:rsidRPr="002038C4" w:rsidRDefault="00E44BAD" w:rsidP="005E2B7F">
      <w:pPr>
        <w:tabs>
          <w:tab w:val="left" w:pos="-720"/>
        </w:tabs>
        <w:suppressAutoHyphens/>
        <w:rPr>
          <w:rFonts w:ascii="Times New Roman" w:hAnsi="Times New Roman" w:cs="Times New Roman"/>
          <w:spacing w:val="-3"/>
        </w:rPr>
      </w:pPr>
      <w:r w:rsidRPr="002038C4">
        <w:rPr>
          <w:rFonts w:ascii="Times New Roman" w:hAnsi="Times New Roman" w:cs="Times New Roman"/>
          <w:spacing w:val="-3"/>
        </w:rPr>
        <w:t>Equitable Gas Company</w:t>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r>
      <w:r w:rsidRPr="002038C4">
        <w:rPr>
          <w:rFonts w:ascii="Times New Roman" w:hAnsi="Times New Roman" w:cs="Times New Roman"/>
          <w:spacing w:val="-3"/>
        </w:rPr>
        <w:tab/>
        <w:t>:</w:t>
      </w:r>
    </w:p>
    <w:p w:rsidR="00E44BAD" w:rsidRPr="002038C4" w:rsidRDefault="00E44BAD" w:rsidP="005E2B7F">
      <w:pPr>
        <w:tabs>
          <w:tab w:val="center" w:pos="4680"/>
        </w:tabs>
        <w:suppressAutoHyphens/>
        <w:rPr>
          <w:rFonts w:ascii="Times New Roman" w:hAnsi="Times New Roman" w:cs="Times New Roman"/>
          <w:b/>
          <w:bCs/>
          <w:spacing w:val="-3"/>
          <w:u w:val="single"/>
        </w:rPr>
      </w:pPr>
    </w:p>
    <w:p w:rsidR="00E44BAD" w:rsidRPr="002038C4" w:rsidRDefault="00E44BAD" w:rsidP="005E2B7F">
      <w:pPr>
        <w:tabs>
          <w:tab w:val="center" w:pos="4680"/>
        </w:tabs>
        <w:suppressAutoHyphens/>
        <w:rPr>
          <w:rFonts w:ascii="Times New Roman" w:hAnsi="Times New Roman" w:cs="Times New Roman"/>
          <w:b/>
          <w:bCs/>
          <w:spacing w:val="-3"/>
          <w:u w:val="single"/>
        </w:rPr>
      </w:pPr>
    </w:p>
    <w:p w:rsidR="00D630E3" w:rsidRDefault="00D630E3" w:rsidP="005E2B7F">
      <w:pPr>
        <w:tabs>
          <w:tab w:val="center" w:pos="4680"/>
        </w:tabs>
        <w:suppressAutoHyphens/>
        <w:rPr>
          <w:rFonts w:ascii="Times New Roman" w:hAnsi="Times New Roman" w:cs="Times New Roman"/>
          <w:b/>
          <w:bCs/>
          <w:spacing w:val="-3"/>
        </w:rPr>
      </w:pPr>
    </w:p>
    <w:p w:rsidR="00026FB1" w:rsidRDefault="00026FB1" w:rsidP="005E2B7F">
      <w:pPr>
        <w:tabs>
          <w:tab w:val="center" w:pos="4680"/>
        </w:tabs>
        <w:suppressAutoHyphens/>
        <w:rPr>
          <w:rFonts w:ascii="Times New Roman" w:hAnsi="Times New Roman" w:cs="Times New Roman"/>
          <w:b/>
          <w:bCs/>
          <w:spacing w:val="-3"/>
        </w:rPr>
      </w:pPr>
    </w:p>
    <w:p w:rsidR="00026FB1" w:rsidRDefault="00026FB1" w:rsidP="005E2B7F">
      <w:pPr>
        <w:tabs>
          <w:tab w:val="center" w:pos="4680"/>
        </w:tabs>
        <w:suppressAutoHyphens/>
        <w:rPr>
          <w:rFonts w:ascii="Times New Roman" w:hAnsi="Times New Roman" w:cs="Times New Roman"/>
          <w:b/>
          <w:bCs/>
          <w:spacing w:val="-3"/>
        </w:rPr>
      </w:pPr>
    </w:p>
    <w:p w:rsidR="00026FB1" w:rsidRDefault="00026FB1" w:rsidP="005E2B7F">
      <w:pPr>
        <w:tabs>
          <w:tab w:val="center" w:pos="4680"/>
        </w:tabs>
        <w:suppressAutoHyphens/>
        <w:rPr>
          <w:rFonts w:ascii="Times New Roman" w:hAnsi="Times New Roman" w:cs="Times New Roman"/>
          <w:b/>
          <w:bCs/>
          <w:spacing w:val="-3"/>
        </w:rPr>
      </w:pPr>
    </w:p>
    <w:p w:rsidR="001D2774" w:rsidRPr="00503FB7" w:rsidRDefault="00503FB7" w:rsidP="005E2B7F">
      <w:pPr>
        <w:tabs>
          <w:tab w:val="center" w:pos="4680"/>
        </w:tabs>
        <w:suppressAutoHyphens/>
        <w:jc w:val="center"/>
        <w:rPr>
          <w:rFonts w:ascii="Times New Roman" w:hAnsi="Times New Roman" w:cs="Times New Roman"/>
          <w:b/>
          <w:bCs/>
          <w:spacing w:val="-3"/>
          <w:u w:val="single"/>
        </w:rPr>
      </w:pPr>
      <w:r w:rsidRPr="00503FB7">
        <w:rPr>
          <w:rFonts w:ascii="Times New Roman" w:hAnsi="Times New Roman" w:cs="Times New Roman"/>
          <w:b/>
          <w:bCs/>
          <w:spacing w:val="-3"/>
          <w:u w:val="single"/>
        </w:rPr>
        <w:t>RECOMMENDED DECISION</w:t>
      </w:r>
    </w:p>
    <w:p w:rsidR="00B23626" w:rsidRPr="002038C4" w:rsidRDefault="00B23626" w:rsidP="005E2B7F">
      <w:pPr>
        <w:tabs>
          <w:tab w:val="center" w:pos="4680"/>
        </w:tabs>
        <w:suppressAutoHyphens/>
        <w:jc w:val="center"/>
        <w:rPr>
          <w:rFonts w:ascii="Times New Roman" w:hAnsi="Times New Roman" w:cs="Times New Roman"/>
          <w:bCs/>
          <w:spacing w:val="-3"/>
        </w:rPr>
      </w:pPr>
    </w:p>
    <w:p w:rsidR="00B23626" w:rsidRDefault="00B23626" w:rsidP="005E2B7F">
      <w:pPr>
        <w:tabs>
          <w:tab w:val="center" w:pos="4680"/>
        </w:tabs>
        <w:suppressAutoHyphens/>
        <w:jc w:val="center"/>
        <w:rPr>
          <w:rFonts w:ascii="Times New Roman" w:hAnsi="Times New Roman" w:cs="Times New Roman"/>
          <w:bCs/>
          <w:spacing w:val="-3"/>
        </w:rPr>
      </w:pPr>
    </w:p>
    <w:p w:rsidR="00026FB1" w:rsidRDefault="00026FB1" w:rsidP="005E2B7F">
      <w:pPr>
        <w:tabs>
          <w:tab w:val="center" w:pos="4680"/>
        </w:tabs>
        <w:suppressAutoHyphens/>
        <w:jc w:val="center"/>
        <w:rPr>
          <w:rFonts w:ascii="Times New Roman" w:hAnsi="Times New Roman" w:cs="Times New Roman"/>
          <w:bCs/>
          <w:spacing w:val="-3"/>
        </w:rPr>
      </w:pPr>
    </w:p>
    <w:p w:rsidR="00026FB1" w:rsidRDefault="00026FB1" w:rsidP="005E2B7F">
      <w:pPr>
        <w:tabs>
          <w:tab w:val="center" w:pos="4680"/>
        </w:tabs>
        <w:suppressAutoHyphens/>
        <w:jc w:val="center"/>
        <w:rPr>
          <w:rFonts w:ascii="Times New Roman" w:hAnsi="Times New Roman" w:cs="Times New Roman"/>
          <w:bCs/>
          <w:spacing w:val="-3"/>
        </w:rPr>
      </w:pPr>
    </w:p>
    <w:p w:rsidR="00503FB7" w:rsidRDefault="00503FB7" w:rsidP="005E2B7F">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Before</w:t>
      </w:r>
    </w:p>
    <w:p w:rsidR="00503FB7" w:rsidRDefault="00503FB7" w:rsidP="005E2B7F">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Conrad A. Johnson</w:t>
      </w:r>
    </w:p>
    <w:p w:rsidR="00B07E08" w:rsidRDefault="00503FB7" w:rsidP="00B07E08">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Administrative Law Judge</w:t>
      </w:r>
    </w:p>
    <w:p w:rsidR="00B07E08" w:rsidRDefault="00B07E08" w:rsidP="00B07E08">
      <w:pPr>
        <w:tabs>
          <w:tab w:val="center" w:pos="4680"/>
        </w:tabs>
        <w:suppressAutoHyphens/>
        <w:jc w:val="center"/>
        <w:rPr>
          <w:rFonts w:ascii="Times New Roman" w:hAnsi="Times New Roman" w:cs="Times New Roman"/>
          <w:bCs/>
          <w:spacing w:val="-3"/>
        </w:rPr>
      </w:pPr>
    </w:p>
    <w:p w:rsidR="00B07E08" w:rsidRDefault="00B07E08" w:rsidP="00B07E08">
      <w:pPr>
        <w:tabs>
          <w:tab w:val="center" w:pos="4680"/>
        </w:tabs>
        <w:suppressAutoHyphens/>
        <w:jc w:val="center"/>
        <w:rPr>
          <w:rFonts w:ascii="Times New Roman" w:hAnsi="Times New Roman" w:cs="Times New Roman"/>
          <w:b/>
          <w:bCs/>
          <w:spacing w:val="-3"/>
        </w:rPr>
        <w:sectPr w:rsidR="00B07E08" w:rsidSect="002038C4">
          <w:footerReference w:type="default" r:id="rId9"/>
          <w:pgSz w:w="12240" w:h="15840"/>
          <w:pgMar w:top="1440" w:right="1440" w:bottom="1440" w:left="1440" w:header="720" w:footer="720" w:gutter="0"/>
          <w:cols w:space="720"/>
          <w:titlePg/>
          <w:docGrid w:linePitch="360"/>
        </w:sectPr>
      </w:pPr>
    </w:p>
    <w:p w:rsidR="00026FB1" w:rsidRDefault="00026FB1" w:rsidP="00B07E08">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lastRenderedPageBreak/>
        <w:t>TABLE OF CONTENTS</w:t>
      </w:r>
    </w:p>
    <w:p w:rsidR="00026FB1" w:rsidRDefault="00026FB1" w:rsidP="00F9791D">
      <w:pPr>
        <w:tabs>
          <w:tab w:val="center" w:pos="4680"/>
        </w:tabs>
        <w:suppressAutoHyphens/>
        <w:rPr>
          <w:rFonts w:ascii="Times New Roman" w:hAnsi="Times New Roman" w:cs="Times New Roman"/>
          <w:bCs/>
          <w:spacing w:val="-3"/>
        </w:rPr>
      </w:pPr>
    </w:p>
    <w:p w:rsidR="00026FB1" w:rsidRPr="00026FB1" w:rsidRDefault="00026FB1" w:rsidP="00F9791D">
      <w:pPr>
        <w:tabs>
          <w:tab w:val="left" w:pos="720"/>
          <w:tab w:val="left" w:pos="1440"/>
          <w:tab w:val="left" w:pos="2160"/>
        </w:tabs>
        <w:autoSpaceDE/>
        <w:autoSpaceDN/>
        <w:rPr>
          <w:rFonts w:ascii="Times New Roman" w:hAnsi="Times New Roman" w:cs="Times New Roman"/>
        </w:rPr>
      </w:pPr>
    </w:p>
    <w:p w:rsidR="00026FB1" w:rsidRDefault="00026FB1" w:rsidP="00F9791D">
      <w:pPr>
        <w:tabs>
          <w:tab w:val="left" w:pos="720"/>
          <w:tab w:val="left" w:pos="1440"/>
          <w:tab w:val="left" w:pos="2160"/>
          <w:tab w:val="right" w:leader="dot" w:pos="9360"/>
        </w:tabs>
        <w:autoSpaceDE/>
        <w:autoSpaceDN/>
        <w:rPr>
          <w:rFonts w:ascii="Times New Roman" w:hAnsi="Times New Roman" w:cs="Times New Roman"/>
        </w:rPr>
      </w:pPr>
      <w:r w:rsidRPr="00026FB1">
        <w:rPr>
          <w:rFonts w:ascii="Times New Roman" w:hAnsi="Times New Roman" w:cs="Times New Roman"/>
        </w:rPr>
        <w:t>I.</w:t>
      </w:r>
      <w:r w:rsidRPr="00026FB1">
        <w:rPr>
          <w:rFonts w:ascii="Times New Roman" w:hAnsi="Times New Roman" w:cs="Times New Roman"/>
        </w:rPr>
        <w:tab/>
        <w:t>HISTORY OF THE PROCEEDING</w:t>
      </w:r>
      <w:r w:rsidRPr="00026FB1">
        <w:rPr>
          <w:rFonts w:ascii="Times New Roman" w:hAnsi="Times New Roman" w:cs="Times New Roman"/>
        </w:rPr>
        <w:tab/>
        <w:t>1</w:t>
      </w:r>
    </w:p>
    <w:p w:rsidR="00F9791D" w:rsidRPr="00026FB1" w:rsidRDefault="00F9791D" w:rsidP="00F9791D">
      <w:pPr>
        <w:tabs>
          <w:tab w:val="left" w:pos="720"/>
          <w:tab w:val="left" w:pos="1440"/>
          <w:tab w:val="left" w:pos="2160"/>
          <w:tab w:val="right" w:leader="dot" w:pos="9360"/>
        </w:tabs>
        <w:autoSpaceDE/>
        <w:autoSpaceDN/>
        <w:rPr>
          <w:rFonts w:ascii="Times New Roman" w:hAnsi="Times New Roman" w:cs="Times New Roman"/>
        </w:rPr>
      </w:pPr>
    </w:p>
    <w:p w:rsidR="00026FB1" w:rsidRDefault="00026FB1" w:rsidP="00F9791D">
      <w:pPr>
        <w:tabs>
          <w:tab w:val="left" w:pos="720"/>
          <w:tab w:val="left" w:pos="1440"/>
          <w:tab w:val="left" w:pos="2160"/>
          <w:tab w:val="right" w:leader="dot" w:pos="9360"/>
        </w:tabs>
        <w:autoSpaceDE/>
        <w:autoSpaceDN/>
        <w:rPr>
          <w:rFonts w:ascii="Times New Roman" w:hAnsi="Times New Roman" w:cs="Times New Roman"/>
        </w:rPr>
      </w:pPr>
      <w:r w:rsidRPr="00026FB1">
        <w:rPr>
          <w:rFonts w:ascii="Times New Roman" w:hAnsi="Times New Roman" w:cs="Times New Roman"/>
        </w:rPr>
        <w:t>II.</w:t>
      </w:r>
      <w:r w:rsidRPr="00026FB1">
        <w:rPr>
          <w:rFonts w:ascii="Times New Roman" w:hAnsi="Times New Roman" w:cs="Times New Roman"/>
        </w:rPr>
        <w:tab/>
      </w:r>
      <w:r w:rsidR="00D75A98">
        <w:rPr>
          <w:rFonts w:ascii="Times New Roman" w:hAnsi="Times New Roman" w:cs="Times New Roman"/>
        </w:rPr>
        <w:t>CONTESTED ISSUES</w:t>
      </w:r>
      <w:r w:rsidRPr="00026FB1">
        <w:rPr>
          <w:rFonts w:ascii="Times New Roman" w:hAnsi="Times New Roman" w:cs="Times New Roman"/>
        </w:rPr>
        <w:tab/>
      </w:r>
      <w:r w:rsidR="00D75A98">
        <w:rPr>
          <w:rFonts w:ascii="Times New Roman" w:hAnsi="Times New Roman" w:cs="Times New Roman"/>
        </w:rPr>
        <w:t>4</w:t>
      </w:r>
    </w:p>
    <w:p w:rsidR="00F9791D" w:rsidRPr="00026FB1" w:rsidRDefault="00F9791D" w:rsidP="00F9791D">
      <w:pPr>
        <w:tabs>
          <w:tab w:val="left" w:pos="720"/>
          <w:tab w:val="left" w:pos="1440"/>
          <w:tab w:val="left" w:pos="2160"/>
          <w:tab w:val="right" w:leader="dot" w:pos="9360"/>
        </w:tabs>
        <w:autoSpaceDE/>
        <w:autoSpaceDN/>
        <w:rPr>
          <w:rFonts w:ascii="Times New Roman" w:hAnsi="Times New Roman" w:cs="Times New Roman"/>
        </w:rPr>
      </w:pPr>
    </w:p>
    <w:p w:rsidR="00026FB1" w:rsidRDefault="00026FB1" w:rsidP="00F9791D">
      <w:pPr>
        <w:tabs>
          <w:tab w:val="left" w:pos="720"/>
          <w:tab w:val="left" w:pos="1440"/>
          <w:tab w:val="left" w:pos="2160"/>
          <w:tab w:val="right" w:leader="dot" w:pos="9360"/>
        </w:tabs>
        <w:autoSpaceDE/>
        <w:autoSpaceDN/>
        <w:rPr>
          <w:rFonts w:ascii="Times New Roman" w:hAnsi="Times New Roman" w:cs="Times New Roman"/>
        </w:rPr>
      </w:pPr>
      <w:r w:rsidRPr="00026FB1">
        <w:rPr>
          <w:rFonts w:ascii="Times New Roman" w:hAnsi="Times New Roman" w:cs="Times New Roman"/>
        </w:rPr>
        <w:t>III.</w:t>
      </w:r>
      <w:r w:rsidRPr="00026FB1">
        <w:rPr>
          <w:rFonts w:ascii="Times New Roman" w:hAnsi="Times New Roman" w:cs="Times New Roman"/>
        </w:rPr>
        <w:tab/>
      </w:r>
      <w:r w:rsidR="00D75A98">
        <w:rPr>
          <w:rFonts w:ascii="Times New Roman" w:hAnsi="Times New Roman" w:cs="Times New Roman"/>
        </w:rPr>
        <w:t>FINDINGS OF FACT</w:t>
      </w:r>
      <w:r w:rsidRPr="00026FB1">
        <w:rPr>
          <w:rFonts w:ascii="Times New Roman" w:hAnsi="Times New Roman" w:cs="Times New Roman"/>
        </w:rPr>
        <w:tab/>
      </w:r>
      <w:r w:rsidR="00D75A98">
        <w:rPr>
          <w:rFonts w:ascii="Times New Roman" w:hAnsi="Times New Roman" w:cs="Times New Roman"/>
        </w:rPr>
        <w:t>5</w:t>
      </w:r>
    </w:p>
    <w:p w:rsidR="00F9791D" w:rsidRDefault="00F9791D" w:rsidP="00F9791D">
      <w:pPr>
        <w:tabs>
          <w:tab w:val="left" w:pos="720"/>
          <w:tab w:val="left" w:pos="1440"/>
          <w:tab w:val="left" w:pos="2160"/>
          <w:tab w:val="right" w:leader="dot" w:pos="9360"/>
        </w:tabs>
        <w:autoSpaceDE/>
        <w:autoSpaceDN/>
        <w:rPr>
          <w:rFonts w:ascii="Times New Roman" w:hAnsi="Times New Roman" w:cs="Times New Roman"/>
        </w:rPr>
      </w:pPr>
    </w:p>
    <w:p w:rsidR="00FE368E" w:rsidRDefault="00FE368E" w:rsidP="00D75A98">
      <w:pPr>
        <w:tabs>
          <w:tab w:val="left" w:pos="720"/>
          <w:tab w:val="left" w:pos="1440"/>
          <w:tab w:val="right" w:leader="dot" w:pos="9360"/>
        </w:tabs>
        <w:autoSpaceDE/>
        <w:autoSpaceDN/>
        <w:rPr>
          <w:rFonts w:ascii="Times New Roman" w:hAnsi="Times New Roman" w:cs="Times New Roman"/>
        </w:rPr>
      </w:pPr>
      <w:r>
        <w:rPr>
          <w:rFonts w:ascii="Times New Roman" w:hAnsi="Times New Roman" w:cs="Times New Roman"/>
        </w:rPr>
        <w:t>IV.</w:t>
      </w:r>
      <w:r>
        <w:rPr>
          <w:rFonts w:ascii="Times New Roman" w:hAnsi="Times New Roman" w:cs="Times New Roman"/>
        </w:rPr>
        <w:tab/>
      </w:r>
      <w:r w:rsidR="008E1410">
        <w:rPr>
          <w:rFonts w:ascii="Times New Roman" w:hAnsi="Times New Roman" w:cs="Times New Roman"/>
        </w:rPr>
        <w:t>DISCUSSION</w:t>
      </w:r>
      <w:r w:rsidR="00D75A98">
        <w:rPr>
          <w:rFonts w:ascii="Times New Roman" w:hAnsi="Times New Roman" w:cs="Times New Roman"/>
        </w:rPr>
        <w:tab/>
        <w:t>8</w:t>
      </w:r>
    </w:p>
    <w:p w:rsidR="00F9791D" w:rsidRPr="00026FB1" w:rsidRDefault="00F9791D" w:rsidP="00F9791D">
      <w:pPr>
        <w:tabs>
          <w:tab w:val="left" w:pos="720"/>
          <w:tab w:val="left" w:pos="1440"/>
          <w:tab w:val="left" w:pos="2160"/>
          <w:tab w:val="right" w:leader="dot" w:pos="9360"/>
        </w:tabs>
        <w:autoSpaceDE/>
        <w:autoSpaceDN/>
        <w:rPr>
          <w:rFonts w:ascii="Times New Roman" w:hAnsi="Times New Roman" w:cs="Times New Roman"/>
        </w:rPr>
      </w:pPr>
    </w:p>
    <w:p w:rsidR="00F9791D" w:rsidRDefault="00D75A98" w:rsidP="00F9791D">
      <w:pPr>
        <w:numPr>
          <w:ilvl w:val="0"/>
          <w:numId w:val="9"/>
        </w:numPr>
        <w:tabs>
          <w:tab w:val="left" w:pos="720"/>
          <w:tab w:val="left" w:pos="1440"/>
          <w:tab w:val="left" w:pos="2160"/>
          <w:tab w:val="right" w:leader="dot" w:pos="9360"/>
        </w:tabs>
        <w:autoSpaceDE/>
        <w:autoSpaceDN/>
        <w:ind w:left="1440" w:hanging="720"/>
        <w:contextualSpacing/>
        <w:rPr>
          <w:rFonts w:ascii="Times New Roman" w:hAnsi="Times New Roman" w:cs="Times New Roman"/>
        </w:rPr>
      </w:pPr>
      <w:r w:rsidRPr="00D75A98">
        <w:rPr>
          <w:rFonts w:ascii="Times New Roman" w:hAnsi="Times New Roman" w:cs="Times New Roman"/>
        </w:rPr>
        <w:t>Burde</w:t>
      </w:r>
      <w:r>
        <w:rPr>
          <w:rFonts w:ascii="Times New Roman" w:hAnsi="Times New Roman" w:cs="Times New Roman"/>
        </w:rPr>
        <w:t>n</w:t>
      </w:r>
      <w:r w:rsidRPr="00D75A98">
        <w:rPr>
          <w:rFonts w:ascii="Times New Roman" w:hAnsi="Times New Roman" w:cs="Times New Roman"/>
        </w:rPr>
        <w:t xml:space="preserve"> of Proof</w:t>
      </w:r>
      <w:r w:rsidR="003F672D" w:rsidRPr="00D75A98">
        <w:rPr>
          <w:rFonts w:ascii="Times New Roman" w:hAnsi="Times New Roman" w:cs="Times New Roman"/>
        </w:rPr>
        <w:t>………………………………………………………………….</w:t>
      </w:r>
      <w:r w:rsidR="003F672D" w:rsidRPr="00D75A98">
        <w:rPr>
          <w:rFonts w:ascii="Times New Roman" w:hAnsi="Times New Roman" w:cs="Times New Roman"/>
        </w:rPr>
        <w:tab/>
      </w:r>
      <w:r>
        <w:rPr>
          <w:rFonts w:ascii="Times New Roman" w:hAnsi="Times New Roman" w:cs="Times New Roman"/>
        </w:rPr>
        <w:t>8</w:t>
      </w:r>
    </w:p>
    <w:p w:rsidR="00D75A98" w:rsidRDefault="00D75A98" w:rsidP="00D75A98">
      <w:pPr>
        <w:tabs>
          <w:tab w:val="left" w:pos="720"/>
          <w:tab w:val="left" w:pos="1440"/>
          <w:tab w:val="left" w:pos="2160"/>
          <w:tab w:val="right" w:leader="dot" w:pos="9360"/>
        </w:tabs>
        <w:autoSpaceDE/>
        <w:autoSpaceDN/>
        <w:ind w:left="1440"/>
        <w:contextualSpacing/>
        <w:rPr>
          <w:rFonts w:ascii="Times New Roman" w:hAnsi="Times New Roman" w:cs="Times New Roman"/>
        </w:rPr>
      </w:pPr>
    </w:p>
    <w:p w:rsidR="003F672D" w:rsidRPr="00E21914" w:rsidRDefault="00D75A98" w:rsidP="00F9791D">
      <w:pPr>
        <w:numPr>
          <w:ilvl w:val="0"/>
          <w:numId w:val="9"/>
        </w:numPr>
        <w:tabs>
          <w:tab w:val="left" w:pos="720"/>
          <w:tab w:val="left" w:pos="1440"/>
          <w:tab w:val="left" w:pos="2160"/>
          <w:tab w:val="right" w:leader="dot" w:pos="9360"/>
        </w:tabs>
        <w:autoSpaceDE/>
        <w:autoSpaceDN/>
        <w:ind w:left="1440" w:hanging="720"/>
        <w:contextualSpacing/>
        <w:rPr>
          <w:rFonts w:ascii="Times New Roman" w:hAnsi="Times New Roman" w:cs="Times New Roman"/>
        </w:rPr>
      </w:pPr>
      <w:r w:rsidRPr="00E21914">
        <w:rPr>
          <w:rFonts w:ascii="Times New Roman" w:hAnsi="Times New Roman" w:cs="Times New Roman"/>
        </w:rPr>
        <w:t>Non-General and General Rate Increase Filings</w:t>
      </w:r>
      <w:r w:rsidRPr="00E21914">
        <w:rPr>
          <w:rFonts w:ascii="Times New Roman" w:hAnsi="Times New Roman" w:cs="Times New Roman"/>
        </w:rPr>
        <w:tab/>
        <w:t>9</w:t>
      </w:r>
      <w:r w:rsidR="003F672D" w:rsidRPr="00E21914">
        <w:rPr>
          <w:rFonts w:ascii="Times New Roman" w:hAnsi="Times New Roman" w:cs="Times New Roman"/>
        </w:rPr>
        <w:tab/>
      </w:r>
    </w:p>
    <w:p w:rsidR="00F9791D" w:rsidRDefault="003F672D" w:rsidP="00E21914">
      <w:pPr>
        <w:tabs>
          <w:tab w:val="left" w:pos="720"/>
          <w:tab w:val="left" w:pos="1440"/>
          <w:tab w:val="left" w:pos="2160"/>
          <w:tab w:val="right" w:leader="dot" w:pos="9360"/>
        </w:tabs>
        <w:autoSpaceDE/>
        <w:autoSpaceDN/>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026FB1" w:rsidRPr="00026FB1" w:rsidRDefault="003F672D" w:rsidP="00F9791D">
      <w:pPr>
        <w:numPr>
          <w:ilvl w:val="0"/>
          <w:numId w:val="9"/>
        </w:numPr>
        <w:tabs>
          <w:tab w:val="left" w:pos="720"/>
          <w:tab w:val="left" w:pos="1440"/>
          <w:tab w:val="left" w:pos="2160"/>
          <w:tab w:val="right" w:leader="dot" w:pos="9360"/>
        </w:tabs>
        <w:autoSpaceDE/>
        <w:autoSpaceDN/>
        <w:ind w:left="1440" w:hanging="720"/>
        <w:contextualSpacing/>
        <w:rPr>
          <w:rFonts w:ascii="Times New Roman" w:hAnsi="Times New Roman" w:cs="Times New Roman"/>
        </w:rPr>
      </w:pPr>
      <w:proofErr w:type="spellStart"/>
      <w:r>
        <w:rPr>
          <w:rFonts w:ascii="Times New Roman" w:hAnsi="Times New Roman" w:cs="Times New Roman"/>
        </w:rPr>
        <w:t>Equitable’s</w:t>
      </w:r>
      <w:proofErr w:type="spellEnd"/>
      <w:r>
        <w:rPr>
          <w:rFonts w:ascii="Times New Roman" w:hAnsi="Times New Roman" w:cs="Times New Roman"/>
        </w:rPr>
        <w:t xml:space="preserve"> Voluntary POR Program Proposal</w:t>
      </w:r>
      <w:r w:rsidR="00026FB1" w:rsidRPr="00026FB1">
        <w:rPr>
          <w:rFonts w:ascii="Times New Roman" w:hAnsi="Times New Roman" w:cs="Times New Roman"/>
        </w:rPr>
        <w:tab/>
      </w:r>
      <w:r w:rsidR="00492D05">
        <w:rPr>
          <w:rFonts w:ascii="Times New Roman" w:hAnsi="Times New Roman" w:cs="Times New Roman"/>
        </w:rPr>
        <w:t>1</w:t>
      </w:r>
      <w:r w:rsidR="00AC0281">
        <w:rPr>
          <w:rFonts w:ascii="Times New Roman" w:hAnsi="Times New Roman" w:cs="Times New Roman"/>
        </w:rPr>
        <w:t>3</w:t>
      </w:r>
    </w:p>
    <w:p w:rsidR="00F9791D" w:rsidRDefault="00F9791D" w:rsidP="00F9791D">
      <w:pPr>
        <w:tabs>
          <w:tab w:val="left" w:pos="720"/>
          <w:tab w:val="left" w:pos="1440"/>
          <w:tab w:val="left" w:pos="2160"/>
          <w:tab w:val="right" w:leader="dot" w:pos="9360"/>
        </w:tabs>
        <w:autoSpaceDE/>
        <w:autoSpaceDN/>
        <w:rPr>
          <w:rFonts w:ascii="Times New Roman" w:hAnsi="Times New Roman" w:cs="Times New Roman"/>
        </w:rPr>
      </w:pPr>
    </w:p>
    <w:p w:rsidR="00026FB1" w:rsidRPr="00026FB1" w:rsidRDefault="00026FB1" w:rsidP="00F9791D">
      <w:pPr>
        <w:tabs>
          <w:tab w:val="left" w:pos="720"/>
          <w:tab w:val="left" w:pos="1440"/>
          <w:tab w:val="left" w:pos="2160"/>
          <w:tab w:val="right" w:leader="dot" w:pos="9360"/>
        </w:tabs>
        <w:autoSpaceDE/>
        <w:autoSpaceDN/>
        <w:rPr>
          <w:rFonts w:ascii="Times New Roman" w:hAnsi="Times New Roman" w:cs="Times New Roman"/>
        </w:rPr>
      </w:pPr>
      <w:r w:rsidRPr="00026FB1">
        <w:rPr>
          <w:rFonts w:ascii="Times New Roman" w:hAnsi="Times New Roman" w:cs="Times New Roman"/>
        </w:rPr>
        <w:t>V.</w:t>
      </w:r>
      <w:r w:rsidRPr="00026FB1">
        <w:rPr>
          <w:rFonts w:ascii="Times New Roman" w:hAnsi="Times New Roman" w:cs="Times New Roman"/>
        </w:rPr>
        <w:tab/>
        <w:t>CONCLUSIONS OF LAW</w:t>
      </w:r>
      <w:r w:rsidRPr="00026FB1">
        <w:rPr>
          <w:rFonts w:ascii="Times New Roman" w:hAnsi="Times New Roman" w:cs="Times New Roman"/>
        </w:rPr>
        <w:tab/>
      </w:r>
      <w:r w:rsidR="008B44F8">
        <w:rPr>
          <w:rFonts w:ascii="Times New Roman" w:hAnsi="Times New Roman" w:cs="Times New Roman"/>
        </w:rPr>
        <w:t>1</w:t>
      </w:r>
      <w:r w:rsidR="00615A0B">
        <w:rPr>
          <w:rFonts w:ascii="Times New Roman" w:hAnsi="Times New Roman" w:cs="Times New Roman"/>
        </w:rPr>
        <w:t>5</w:t>
      </w:r>
    </w:p>
    <w:p w:rsidR="00F9791D" w:rsidRDefault="00F9791D" w:rsidP="00F9791D">
      <w:pPr>
        <w:tabs>
          <w:tab w:val="left" w:pos="720"/>
          <w:tab w:val="left" w:pos="1440"/>
          <w:tab w:val="right" w:leader="dot" w:pos="9360"/>
        </w:tabs>
        <w:autoSpaceDE/>
        <w:autoSpaceDN/>
        <w:rPr>
          <w:rFonts w:ascii="Times New Roman" w:hAnsi="Times New Roman" w:cs="Times New Roman"/>
        </w:rPr>
      </w:pPr>
    </w:p>
    <w:p w:rsidR="00026FB1" w:rsidRPr="00026FB1" w:rsidRDefault="00480236" w:rsidP="00F9791D">
      <w:pPr>
        <w:tabs>
          <w:tab w:val="left" w:pos="720"/>
          <w:tab w:val="left" w:pos="1440"/>
          <w:tab w:val="right" w:leader="dot" w:pos="9360"/>
        </w:tabs>
        <w:autoSpaceDE/>
        <w:autoSpaceDN/>
        <w:rPr>
          <w:rFonts w:ascii="Times New Roman" w:hAnsi="Times New Roman" w:cs="Times New Roman"/>
        </w:rPr>
      </w:pPr>
      <w:r>
        <w:rPr>
          <w:rFonts w:ascii="Times New Roman" w:hAnsi="Times New Roman" w:cs="Times New Roman"/>
        </w:rPr>
        <w:t>V</w:t>
      </w:r>
      <w:r w:rsidR="00026FB1" w:rsidRPr="00026FB1">
        <w:rPr>
          <w:rFonts w:ascii="Times New Roman" w:hAnsi="Times New Roman" w:cs="Times New Roman"/>
        </w:rPr>
        <w:t>I.</w:t>
      </w:r>
      <w:r w:rsidR="00026FB1" w:rsidRPr="00026FB1">
        <w:rPr>
          <w:rFonts w:ascii="Times New Roman" w:hAnsi="Times New Roman" w:cs="Times New Roman"/>
        </w:rPr>
        <w:tab/>
        <w:t>RECOMMENDED ORDER</w:t>
      </w:r>
      <w:r w:rsidR="00026FB1" w:rsidRPr="00026FB1">
        <w:rPr>
          <w:rFonts w:ascii="Times New Roman" w:hAnsi="Times New Roman" w:cs="Times New Roman"/>
        </w:rPr>
        <w:tab/>
      </w:r>
      <w:r w:rsidR="008B44F8">
        <w:rPr>
          <w:rFonts w:ascii="Times New Roman" w:hAnsi="Times New Roman" w:cs="Times New Roman"/>
        </w:rPr>
        <w:t>1</w:t>
      </w:r>
      <w:r w:rsidR="00615A0B">
        <w:rPr>
          <w:rFonts w:ascii="Times New Roman" w:hAnsi="Times New Roman" w:cs="Times New Roman"/>
        </w:rPr>
        <w:t>6</w:t>
      </w:r>
    </w:p>
    <w:p w:rsidR="00026FB1" w:rsidRPr="00026FB1" w:rsidRDefault="00026FB1" w:rsidP="00F9791D">
      <w:pPr>
        <w:autoSpaceDE/>
        <w:autoSpaceDN/>
        <w:rPr>
          <w:rFonts w:ascii="Times New Roman" w:hAnsi="Times New Roman" w:cs="Times New Roman"/>
        </w:rPr>
      </w:pPr>
    </w:p>
    <w:p w:rsidR="00026FB1" w:rsidRPr="00026FB1" w:rsidRDefault="00026FB1" w:rsidP="005E2B7F">
      <w:pPr>
        <w:autoSpaceDE/>
        <w:autoSpaceDN/>
        <w:rPr>
          <w:rFonts w:ascii="Times New Roman" w:hAnsi="Times New Roman" w:cs="Times New Roman"/>
        </w:rPr>
      </w:pPr>
    </w:p>
    <w:p w:rsidR="00E90AA7" w:rsidRDefault="00E90AA7" w:rsidP="005E2B7F">
      <w:pPr>
        <w:autoSpaceDE/>
        <w:autoSpaceDN/>
        <w:jc w:val="center"/>
        <w:rPr>
          <w:rFonts w:ascii="Times New Roman" w:hAnsi="Times New Roman" w:cs="Times New Roman"/>
        </w:rPr>
        <w:sectPr w:rsidR="00E90AA7" w:rsidSect="00B07E08">
          <w:pgSz w:w="12240" w:h="15840"/>
          <w:pgMar w:top="1440" w:right="1440" w:bottom="1440" w:left="1440" w:header="720" w:footer="720" w:gutter="0"/>
          <w:pgNumType w:start="1"/>
          <w:cols w:space="720"/>
          <w:titlePg/>
          <w:docGrid w:linePitch="360"/>
        </w:sectPr>
      </w:pPr>
    </w:p>
    <w:p w:rsidR="00026FB1" w:rsidRPr="00026FB1" w:rsidRDefault="00026FB1" w:rsidP="005E2B7F">
      <w:pPr>
        <w:autoSpaceDE/>
        <w:autoSpaceDN/>
        <w:jc w:val="center"/>
        <w:rPr>
          <w:rFonts w:ascii="Times New Roman" w:hAnsi="Times New Roman" w:cs="Times New Roman"/>
        </w:rPr>
      </w:pPr>
      <w:r w:rsidRPr="00026FB1">
        <w:rPr>
          <w:rFonts w:ascii="Times New Roman" w:hAnsi="Times New Roman" w:cs="Times New Roman"/>
        </w:rPr>
        <w:lastRenderedPageBreak/>
        <w:t>I.</w:t>
      </w:r>
      <w:r w:rsidRPr="00026FB1">
        <w:rPr>
          <w:rFonts w:ascii="Times New Roman" w:hAnsi="Times New Roman" w:cs="Times New Roman"/>
        </w:rPr>
        <w:tab/>
      </w:r>
      <w:r w:rsidRPr="00026FB1">
        <w:rPr>
          <w:rFonts w:ascii="Times New Roman" w:hAnsi="Times New Roman" w:cs="Times New Roman"/>
          <w:u w:val="single"/>
        </w:rPr>
        <w:t>HISTORY OF THE PROCEEDING</w:t>
      </w:r>
    </w:p>
    <w:p w:rsidR="00026FB1" w:rsidRDefault="00026FB1" w:rsidP="005E2B7F">
      <w:pPr>
        <w:tabs>
          <w:tab w:val="center" w:pos="4680"/>
        </w:tabs>
        <w:suppressAutoHyphens/>
        <w:rPr>
          <w:rFonts w:ascii="Times New Roman" w:hAnsi="Times New Roman" w:cs="Times New Roman"/>
          <w:bCs/>
          <w:spacing w:val="-3"/>
        </w:rPr>
      </w:pPr>
    </w:p>
    <w:p w:rsidR="00503FB7" w:rsidRDefault="00503FB7" w:rsidP="005E2B7F">
      <w:pPr>
        <w:tabs>
          <w:tab w:val="center" w:pos="4680"/>
        </w:tabs>
        <w:suppressAutoHyphens/>
        <w:rPr>
          <w:rFonts w:ascii="Times New Roman" w:hAnsi="Times New Roman" w:cs="Times New Roman"/>
          <w:bCs/>
          <w:spacing w:val="-3"/>
        </w:rPr>
      </w:pPr>
    </w:p>
    <w:p w:rsidR="00503FB7" w:rsidRPr="002038C4" w:rsidRDefault="00503FB7" w:rsidP="005E2B7F">
      <w:pPr>
        <w:tabs>
          <w:tab w:val="center" w:pos="4680"/>
        </w:tabs>
        <w:suppressAutoHyphens/>
        <w:rPr>
          <w:rFonts w:ascii="Times New Roman" w:hAnsi="Times New Roman" w:cs="Times New Roman"/>
          <w:bCs/>
          <w:spacing w:val="-3"/>
        </w:rPr>
      </w:pPr>
    </w:p>
    <w:p w:rsidR="00E44BAD" w:rsidRPr="00B946ED" w:rsidRDefault="00B23626" w:rsidP="005E2B7F">
      <w:pPr>
        <w:tabs>
          <w:tab w:val="center" w:pos="4680"/>
        </w:tabs>
        <w:suppressAutoHyphens/>
        <w:rPr>
          <w:rFonts w:ascii="Times New Roman" w:hAnsi="Times New Roman" w:cs="Times New Roman"/>
          <w:spacing w:val="-3"/>
          <w:u w:val="single"/>
        </w:rPr>
      </w:pPr>
      <w:r w:rsidRPr="00B946ED">
        <w:rPr>
          <w:rFonts w:ascii="Times New Roman" w:hAnsi="Times New Roman" w:cs="Times New Roman"/>
          <w:spacing w:val="-3"/>
          <w:u w:val="single"/>
        </w:rPr>
        <w:t>Procedural Background</w:t>
      </w:r>
    </w:p>
    <w:p w:rsidR="00647D71" w:rsidRPr="002038C4" w:rsidRDefault="00647D71" w:rsidP="005E2B7F">
      <w:pPr>
        <w:autoSpaceDE/>
        <w:autoSpaceDN/>
        <w:spacing w:line="360" w:lineRule="auto"/>
        <w:ind w:firstLine="1440"/>
        <w:rPr>
          <w:rFonts w:ascii="Times New Roman" w:hAnsi="Times New Roman" w:cs="Times New Roman"/>
        </w:rPr>
      </w:pPr>
    </w:p>
    <w:p w:rsidR="00647D71" w:rsidRPr="002038C4" w:rsidRDefault="00647D71" w:rsidP="005E2B7F">
      <w:pPr>
        <w:autoSpaceDE/>
        <w:autoSpaceDN/>
        <w:spacing w:line="360" w:lineRule="auto"/>
        <w:ind w:firstLine="1440"/>
        <w:rPr>
          <w:rFonts w:ascii="Times New Roman" w:hAnsi="Times New Roman" w:cs="Times New Roman"/>
        </w:rPr>
      </w:pPr>
      <w:r w:rsidRPr="002038C4">
        <w:rPr>
          <w:rFonts w:ascii="Times New Roman" w:hAnsi="Times New Roman" w:cs="Times New Roman"/>
        </w:rPr>
        <w:t xml:space="preserve">On May 15, 2012, Equitable Gas Company, LLC (Equitable or Company) filed </w:t>
      </w:r>
      <w:bookmarkStart w:id="1" w:name="OLE_LINK2"/>
      <w:bookmarkStart w:id="2" w:name="OLE_LINK1"/>
      <w:r w:rsidR="00322BAE" w:rsidRPr="002038C4">
        <w:rPr>
          <w:rFonts w:ascii="Times New Roman" w:hAnsi="Times New Roman" w:cs="Times New Roman"/>
        </w:rPr>
        <w:t xml:space="preserve">with the Public Utility Commission (Commission) </w:t>
      </w:r>
      <w:r w:rsidRPr="002038C4">
        <w:rPr>
          <w:rFonts w:ascii="Times New Roman" w:hAnsi="Times New Roman" w:cs="Times New Roman"/>
        </w:rPr>
        <w:t>Supplement Nos. 79, 80,</w:t>
      </w:r>
      <w:r w:rsidR="0066039D" w:rsidRPr="002038C4">
        <w:rPr>
          <w:rFonts w:ascii="Times New Roman" w:hAnsi="Times New Roman" w:cs="Times New Roman"/>
        </w:rPr>
        <w:t xml:space="preserve"> </w:t>
      </w:r>
      <w:r w:rsidRPr="002038C4">
        <w:rPr>
          <w:rFonts w:ascii="Times New Roman" w:hAnsi="Times New Roman" w:cs="Times New Roman"/>
        </w:rPr>
        <w:t xml:space="preserve">and 81 to Tariff Gas-Pa. P.U.C. No. </w:t>
      </w:r>
      <w:bookmarkEnd w:id="1"/>
      <w:bookmarkEnd w:id="2"/>
      <w:r w:rsidRPr="002038C4">
        <w:rPr>
          <w:rFonts w:ascii="Times New Roman" w:hAnsi="Times New Roman" w:cs="Times New Roman"/>
        </w:rPr>
        <w:t xml:space="preserve">22, containing alternative proposals for adjusting customer billing </w:t>
      </w:r>
      <w:r w:rsidR="00862547">
        <w:rPr>
          <w:rFonts w:ascii="Times New Roman" w:hAnsi="Times New Roman" w:cs="Times New Roman"/>
        </w:rPr>
        <w:t>to reflect</w:t>
      </w:r>
      <w:r w:rsidRPr="002038C4">
        <w:rPr>
          <w:rFonts w:ascii="Times New Roman" w:hAnsi="Times New Roman" w:cs="Times New Roman"/>
        </w:rPr>
        <w:t xml:space="preserve"> changes in the heating value of gas</w:t>
      </w:r>
      <w:r w:rsidR="004C40E8">
        <w:rPr>
          <w:rFonts w:ascii="Times New Roman" w:hAnsi="Times New Roman" w:cs="Times New Roman"/>
        </w:rPr>
        <w:t xml:space="preserve"> (Btu Adjustment)</w:t>
      </w:r>
      <w:r w:rsidRPr="002038C4">
        <w:rPr>
          <w:rFonts w:ascii="Times New Roman" w:hAnsi="Times New Roman" w:cs="Times New Roman"/>
        </w:rPr>
        <w:t>.  Additionally</w:t>
      </w:r>
      <w:r w:rsidR="00F56073">
        <w:rPr>
          <w:rFonts w:ascii="Times New Roman" w:hAnsi="Times New Roman" w:cs="Times New Roman"/>
        </w:rPr>
        <w:t xml:space="preserve"> in the supplements</w:t>
      </w:r>
      <w:r w:rsidRPr="002038C4">
        <w:rPr>
          <w:rFonts w:ascii="Times New Roman" w:hAnsi="Times New Roman" w:cs="Times New Roman"/>
        </w:rPr>
        <w:t>, the Company propose</w:t>
      </w:r>
      <w:r w:rsidR="00F56073">
        <w:rPr>
          <w:rFonts w:ascii="Times New Roman" w:hAnsi="Times New Roman" w:cs="Times New Roman"/>
        </w:rPr>
        <w:t>d</w:t>
      </w:r>
      <w:r w:rsidRPr="002038C4">
        <w:rPr>
          <w:rFonts w:ascii="Times New Roman" w:hAnsi="Times New Roman" w:cs="Times New Roman"/>
        </w:rPr>
        <w:t xml:space="preserve"> modifications establishing a voluntary Purchase of Receivables program (POR). </w:t>
      </w:r>
      <w:r w:rsidR="0066039D" w:rsidRPr="002038C4">
        <w:rPr>
          <w:rFonts w:ascii="Times New Roman" w:hAnsi="Times New Roman" w:cs="Times New Roman"/>
        </w:rPr>
        <w:t xml:space="preserve"> </w:t>
      </w:r>
      <w:r w:rsidRPr="002038C4">
        <w:rPr>
          <w:rFonts w:ascii="Times New Roman" w:hAnsi="Times New Roman" w:cs="Times New Roman"/>
        </w:rPr>
        <w:t>Supplement Nos. 79, 80, and 81 h</w:t>
      </w:r>
      <w:r w:rsidR="00F56073">
        <w:rPr>
          <w:rFonts w:ascii="Times New Roman" w:hAnsi="Times New Roman" w:cs="Times New Roman"/>
        </w:rPr>
        <w:t>ad</w:t>
      </w:r>
      <w:r w:rsidRPr="002038C4">
        <w:rPr>
          <w:rFonts w:ascii="Times New Roman" w:hAnsi="Times New Roman" w:cs="Times New Roman"/>
        </w:rPr>
        <w:t xml:space="preserve"> an effective date of June 29, 2012.</w:t>
      </w:r>
    </w:p>
    <w:p w:rsidR="00647D71" w:rsidRPr="002038C4" w:rsidRDefault="00647D71" w:rsidP="005E2B7F">
      <w:pPr>
        <w:autoSpaceDE/>
        <w:autoSpaceDN/>
        <w:spacing w:line="360" w:lineRule="auto"/>
        <w:ind w:firstLine="1440"/>
        <w:rPr>
          <w:rFonts w:ascii="Times New Roman" w:hAnsi="Times New Roman" w:cs="Times New Roman"/>
        </w:rPr>
      </w:pPr>
    </w:p>
    <w:p w:rsidR="00647D71" w:rsidRPr="002038C4" w:rsidRDefault="00F56073" w:rsidP="005E2B7F">
      <w:pPr>
        <w:autoSpaceDE/>
        <w:autoSpaceDN/>
        <w:spacing w:line="360" w:lineRule="auto"/>
        <w:ind w:firstLine="1440"/>
        <w:rPr>
          <w:rFonts w:ascii="Times New Roman" w:hAnsi="Times New Roman" w:cs="Times New Roman"/>
        </w:rPr>
      </w:pPr>
      <w:r>
        <w:rPr>
          <w:rFonts w:ascii="Times New Roman" w:hAnsi="Times New Roman" w:cs="Times New Roman"/>
        </w:rPr>
        <w:t>T</w:t>
      </w:r>
      <w:r w:rsidR="00647D71" w:rsidRPr="002038C4">
        <w:rPr>
          <w:rFonts w:ascii="Times New Roman" w:hAnsi="Times New Roman" w:cs="Times New Roman"/>
        </w:rPr>
        <w:t>he Company state</w:t>
      </w:r>
      <w:r>
        <w:rPr>
          <w:rFonts w:ascii="Times New Roman" w:hAnsi="Times New Roman" w:cs="Times New Roman"/>
        </w:rPr>
        <w:t>d</w:t>
      </w:r>
      <w:r w:rsidR="00647D71" w:rsidRPr="002038C4">
        <w:rPr>
          <w:rFonts w:ascii="Times New Roman" w:hAnsi="Times New Roman" w:cs="Times New Roman"/>
        </w:rPr>
        <w:t xml:space="preserve"> that the proposed POR program </w:t>
      </w:r>
      <w:r>
        <w:rPr>
          <w:rFonts w:ascii="Times New Roman" w:hAnsi="Times New Roman" w:cs="Times New Roman"/>
        </w:rPr>
        <w:t>wa</w:t>
      </w:r>
      <w:r w:rsidR="00647D71" w:rsidRPr="002038C4">
        <w:rPr>
          <w:rFonts w:ascii="Times New Roman" w:hAnsi="Times New Roman" w:cs="Times New Roman"/>
        </w:rPr>
        <w:t>s consistent with the Commission’s recently entered and</w:t>
      </w:r>
      <w:r w:rsidR="00170F2E">
        <w:rPr>
          <w:rFonts w:ascii="Times New Roman" w:hAnsi="Times New Roman" w:cs="Times New Roman"/>
        </w:rPr>
        <w:t xml:space="preserve"> </w:t>
      </w:r>
      <w:r w:rsidR="00647D71" w:rsidRPr="002038C4">
        <w:rPr>
          <w:rFonts w:ascii="Times New Roman" w:hAnsi="Times New Roman" w:cs="Times New Roman"/>
        </w:rPr>
        <w:t xml:space="preserve">published Revised Final Rulemaking Order at Docket No. </w:t>
      </w:r>
      <w:proofErr w:type="gramStart"/>
      <w:r w:rsidR="00647D71" w:rsidRPr="002038C4">
        <w:rPr>
          <w:rFonts w:ascii="Times New Roman" w:hAnsi="Times New Roman" w:cs="Times New Roman"/>
        </w:rPr>
        <w:t>L</w:t>
      </w:r>
      <w:r w:rsidR="00A72C3F">
        <w:rPr>
          <w:rFonts w:ascii="Times New Roman" w:hAnsi="Times New Roman" w:cs="Times New Roman"/>
        </w:rPr>
        <w:noBreakHyphen/>
      </w:r>
      <w:r w:rsidR="00647D71" w:rsidRPr="002038C4">
        <w:rPr>
          <w:rFonts w:ascii="Times New Roman" w:hAnsi="Times New Roman" w:cs="Times New Roman"/>
        </w:rPr>
        <w:t xml:space="preserve">2008-2069114 and new </w:t>
      </w:r>
      <w:r w:rsidR="00F45866">
        <w:rPr>
          <w:rFonts w:ascii="Times New Roman" w:hAnsi="Times New Roman" w:cs="Times New Roman"/>
        </w:rPr>
        <w:t>S</w:t>
      </w:r>
      <w:r w:rsidR="00647D71" w:rsidRPr="002038C4">
        <w:rPr>
          <w:rFonts w:ascii="Times New Roman" w:hAnsi="Times New Roman" w:cs="Times New Roman"/>
        </w:rPr>
        <w:t>ection 62.224 of Title 52 of the Pennsylvania Code.</w:t>
      </w:r>
      <w:proofErr w:type="gramEnd"/>
      <w:r w:rsidR="00322BAE" w:rsidRPr="002038C4">
        <w:rPr>
          <w:rFonts w:ascii="Times New Roman" w:hAnsi="Times New Roman" w:cs="Times New Roman"/>
        </w:rPr>
        <w:t xml:space="preserve">  </w:t>
      </w:r>
      <w:proofErr w:type="gramStart"/>
      <w:r w:rsidR="00322BAE" w:rsidRPr="002038C4">
        <w:rPr>
          <w:rFonts w:ascii="Times New Roman" w:hAnsi="Times New Roman" w:cs="Times New Roman"/>
        </w:rPr>
        <w:t>52 Pa. Code §</w:t>
      </w:r>
      <w:r w:rsidR="00A72C3F">
        <w:rPr>
          <w:rFonts w:ascii="Times New Roman" w:hAnsi="Times New Roman" w:cs="Times New Roman"/>
        </w:rPr>
        <w:t> </w:t>
      </w:r>
      <w:r w:rsidR="00322BAE" w:rsidRPr="002038C4">
        <w:rPr>
          <w:rFonts w:ascii="Times New Roman" w:hAnsi="Times New Roman" w:cs="Times New Roman"/>
        </w:rPr>
        <w:t>62.224.</w:t>
      </w:r>
      <w:proofErr w:type="gramEnd"/>
    </w:p>
    <w:p w:rsidR="00647D71" w:rsidRPr="002038C4" w:rsidRDefault="00647D71" w:rsidP="005E2B7F">
      <w:pPr>
        <w:autoSpaceDE/>
        <w:autoSpaceDN/>
        <w:spacing w:line="360" w:lineRule="auto"/>
        <w:ind w:firstLine="720"/>
        <w:rPr>
          <w:rFonts w:ascii="Times New Roman" w:hAnsi="Times New Roman" w:cs="Times New Roman"/>
        </w:rPr>
      </w:pPr>
    </w:p>
    <w:p w:rsidR="004730B1" w:rsidRPr="002038C4" w:rsidRDefault="000F0DB8" w:rsidP="005E2B7F">
      <w:pPr>
        <w:autoSpaceDE/>
        <w:autoSpaceDN/>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r>
      <w:r w:rsidR="00AA6C4F" w:rsidRPr="002038C4">
        <w:rPr>
          <w:rFonts w:ascii="Times New Roman" w:hAnsi="Times New Roman" w:cs="Times New Roman"/>
        </w:rPr>
        <w:t xml:space="preserve">After analyzing </w:t>
      </w:r>
      <w:proofErr w:type="spellStart"/>
      <w:r w:rsidR="00AA6C4F" w:rsidRPr="002038C4">
        <w:rPr>
          <w:rFonts w:ascii="Times New Roman" w:hAnsi="Times New Roman" w:cs="Times New Roman"/>
        </w:rPr>
        <w:t>Equitable’s</w:t>
      </w:r>
      <w:proofErr w:type="spellEnd"/>
      <w:r w:rsidR="00AA6C4F" w:rsidRPr="002038C4">
        <w:rPr>
          <w:rFonts w:ascii="Times New Roman" w:hAnsi="Times New Roman" w:cs="Times New Roman"/>
        </w:rPr>
        <w:t xml:space="preserve"> filings and </w:t>
      </w:r>
      <w:r w:rsidR="00647D71" w:rsidRPr="002038C4">
        <w:rPr>
          <w:rFonts w:ascii="Times New Roman" w:hAnsi="Times New Roman" w:cs="Times New Roman"/>
        </w:rPr>
        <w:t>pursuant to 66 Pa. C.S. §</w:t>
      </w:r>
      <w:r w:rsidR="00F56073">
        <w:rPr>
          <w:rFonts w:ascii="Times New Roman" w:hAnsi="Times New Roman" w:cs="Times New Roman"/>
        </w:rPr>
        <w:t xml:space="preserve"> </w:t>
      </w:r>
      <w:r w:rsidR="00647D71" w:rsidRPr="002038C4">
        <w:rPr>
          <w:rFonts w:ascii="Times New Roman" w:hAnsi="Times New Roman" w:cs="Times New Roman"/>
        </w:rPr>
        <w:t xml:space="preserve">1308(b), </w:t>
      </w:r>
      <w:r w:rsidR="00AA6C4F" w:rsidRPr="002038C4">
        <w:rPr>
          <w:rFonts w:ascii="Times New Roman" w:hAnsi="Times New Roman" w:cs="Times New Roman"/>
        </w:rPr>
        <w:t xml:space="preserve">the Commission, by Order dated June 7, 2012, </w:t>
      </w:r>
      <w:r w:rsidR="001D2774">
        <w:rPr>
          <w:rFonts w:ascii="Times New Roman" w:hAnsi="Times New Roman" w:cs="Times New Roman"/>
        </w:rPr>
        <w:t xml:space="preserve">suspended </w:t>
      </w:r>
      <w:r w:rsidR="00647D71" w:rsidRPr="002038C4">
        <w:rPr>
          <w:rFonts w:ascii="Times New Roman" w:hAnsi="Times New Roman" w:cs="Times New Roman"/>
        </w:rPr>
        <w:t xml:space="preserve">Supplement Nos. 79, 80, and 81 until December 29, 2012, </w:t>
      </w:r>
      <w:r w:rsidR="001D2774">
        <w:rPr>
          <w:rFonts w:ascii="Times New Roman" w:hAnsi="Times New Roman" w:cs="Times New Roman"/>
        </w:rPr>
        <w:t xml:space="preserve">and </w:t>
      </w:r>
      <w:r w:rsidR="00BD2A0D">
        <w:rPr>
          <w:rFonts w:ascii="Times New Roman" w:hAnsi="Times New Roman" w:cs="Times New Roman"/>
        </w:rPr>
        <w:t>directed</w:t>
      </w:r>
      <w:r w:rsidR="001D2774">
        <w:rPr>
          <w:rFonts w:ascii="Times New Roman" w:hAnsi="Times New Roman" w:cs="Times New Roman"/>
        </w:rPr>
        <w:t xml:space="preserve"> an </w:t>
      </w:r>
      <w:r w:rsidR="00647D71" w:rsidRPr="002038C4">
        <w:rPr>
          <w:rFonts w:ascii="Times New Roman" w:hAnsi="Times New Roman" w:cs="Times New Roman"/>
        </w:rPr>
        <w:t xml:space="preserve">investigation </w:t>
      </w:r>
      <w:r w:rsidR="00BD2A0D">
        <w:rPr>
          <w:rFonts w:ascii="Times New Roman" w:hAnsi="Times New Roman" w:cs="Times New Roman"/>
        </w:rPr>
        <w:t xml:space="preserve">be conducted </w:t>
      </w:r>
      <w:r w:rsidR="00647D71" w:rsidRPr="002038C4">
        <w:rPr>
          <w:rFonts w:ascii="Times New Roman" w:hAnsi="Times New Roman" w:cs="Times New Roman"/>
        </w:rPr>
        <w:t>to determine the lawfulness,</w:t>
      </w:r>
      <w:r w:rsidR="0066039D" w:rsidRPr="002038C4">
        <w:rPr>
          <w:rFonts w:ascii="Times New Roman" w:hAnsi="Times New Roman" w:cs="Times New Roman"/>
        </w:rPr>
        <w:t xml:space="preserve"> </w:t>
      </w:r>
      <w:r w:rsidR="00647D71" w:rsidRPr="002038C4">
        <w:rPr>
          <w:rFonts w:ascii="Times New Roman" w:hAnsi="Times New Roman" w:cs="Times New Roman"/>
        </w:rPr>
        <w:t xml:space="preserve">justness, and reasonableness of the rates, rules, and regulations contained in the proposed </w:t>
      </w:r>
      <w:r w:rsidR="001D2774">
        <w:rPr>
          <w:rFonts w:ascii="Times New Roman" w:hAnsi="Times New Roman" w:cs="Times New Roman"/>
        </w:rPr>
        <w:t>rates</w:t>
      </w:r>
      <w:r w:rsidR="00647D71" w:rsidRPr="002038C4">
        <w:rPr>
          <w:rFonts w:ascii="Times New Roman" w:hAnsi="Times New Roman" w:cs="Times New Roman"/>
        </w:rPr>
        <w:t xml:space="preserve">.  </w:t>
      </w:r>
      <w:r w:rsidR="00D75047" w:rsidRPr="002038C4">
        <w:rPr>
          <w:rFonts w:ascii="Times New Roman" w:hAnsi="Times New Roman" w:cs="Times New Roman"/>
        </w:rPr>
        <w:t xml:space="preserve">On June 12, 2012, the parties </w:t>
      </w:r>
      <w:r w:rsidR="000B4A57" w:rsidRPr="002038C4">
        <w:rPr>
          <w:rFonts w:ascii="Times New Roman" w:hAnsi="Times New Roman" w:cs="Times New Roman"/>
        </w:rPr>
        <w:t xml:space="preserve">of record </w:t>
      </w:r>
      <w:r w:rsidR="00D75047" w:rsidRPr="002038C4">
        <w:rPr>
          <w:rFonts w:ascii="Times New Roman" w:hAnsi="Times New Roman" w:cs="Times New Roman"/>
        </w:rPr>
        <w:t>were notified that t</w:t>
      </w:r>
      <w:r w:rsidR="004730B1" w:rsidRPr="002038C4">
        <w:rPr>
          <w:rFonts w:ascii="Times New Roman" w:hAnsi="Times New Roman" w:cs="Times New Roman"/>
        </w:rPr>
        <w:t xml:space="preserve">he proceeding was assigned to the </w:t>
      </w:r>
      <w:r w:rsidR="00322BAE" w:rsidRPr="002038C4">
        <w:rPr>
          <w:rFonts w:ascii="Times New Roman" w:hAnsi="Times New Roman" w:cs="Times New Roman"/>
        </w:rPr>
        <w:t>undersig</w:t>
      </w:r>
      <w:r w:rsidR="004730B1" w:rsidRPr="002038C4">
        <w:rPr>
          <w:rFonts w:ascii="Times New Roman" w:hAnsi="Times New Roman" w:cs="Times New Roman"/>
        </w:rPr>
        <w:t>ned Administrative Law Judge (ALJ)</w:t>
      </w:r>
      <w:r w:rsidR="00F50C1E" w:rsidRPr="002038C4">
        <w:rPr>
          <w:rFonts w:ascii="Times New Roman" w:hAnsi="Times New Roman" w:cs="Times New Roman"/>
        </w:rPr>
        <w:t xml:space="preserve"> </w:t>
      </w:r>
      <w:r w:rsidR="00D75047" w:rsidRPr="002038C4">
        <w:rPr>
          <w:rFonts w:ascii="Times New Roman" w:hAnsi="Times New Roman" w:cs="Times New Roman"/>
        </w:rPr>
        <w:t xml:space="preserve">for a </w:t>
      </w:r>
      <w:r w:rsidR="00A119CA" w:rsidRPr="002038C4">
        <w:rPr>
          <w:rFonts w:ascii="Times New Roman" w:hAnsi="Times New Roman" w:cs="Times New Roman"/>
        </w:rPr>
        <w:t xml:space="preserve">telephonic </w:t>
      </w:r>
      <w:r w:rsidR="00D75047" w:rsidRPr="002038C4">
        <w:rPr>
          <w:rFonts w:ascii="Times New Roman" w:hAnsi="Times New Roman" w:cs="Times New Roman"/>
        </w:rPr>
        <w:t xml:space="preserve">Prehearing Conference </w:t>
      </w:r>
      <w:r w:rsidR="000B4A57" w:rsidRPr="002038C4">
        <w:rPr>
          <w:rFonts w:ascii="Times New Roman" w:hAnsi="Times New Roman" w:cs="Times New Roman"/>
        </w:rPr>
        <w:t xml:space="preserve">to be </w:t>
      </w:r>
      <w:r w:rsidR="00A119CA" w:rsidRPr="002038C4">
        <w:rPr>
          <w:rFonts w:ascii="Times New Roman" w:hAnsi="Times New Roman" w:cs="Times New Roman"/>
        </w:rPr>
        <w:t xml:space="preserve">conducted </w:t>
      </w:r>
      <w:r w:rsidR="000B4A57" w:rsidRPr="002038C4">
        <w:rPr>
          <w:rFonts w:ascii="Times New Roman" w:hAnsi="Times New Roman" w:cs="Times New Roman"/>
        </w:rPr>
        <w:t xml:space="preserve">on </w:t>
      </w:r>
      <w:r w:rsidR="00F50C1E" w:rsidRPr="002038C4">
        <w:rPr>
          <w:rFonts w:ascii="Times New Roman" w:hAnsi="Times New Roman" w:cs="Times New Roman"/>
        </w:rPr>
        <w:t xml:space="preserve">June </w:t>
      </w:r>
      <w:r w:rsidR="000B4A57" w:rsidRPr="002038C4">
        <w:rPr>
          <w:rFonts w:ascii="Times New Roman" w:hAnsi="Times New Roman" w:cs="Times New Roman"/>
        </w:rPr>
        <w:t>2</w:t>
      </w:r>
      <w:r w:rsidR="00F50C1E" w:rsidRPr="002038C4">
        <w:rPr>
          <w:rFonts w:ascii="Times New Roman" w:hAnsi="Times New Roman" w:cs="Times New Roman"/>
        </w:rPr>
        <w:t>2, 2012</w:t>
      </w:r>
      <w:r w:rsidR="00A119CA" w:rsidRPr="002038C4">
        <w:rPr>
          <w:rFonts w:ascii="Times New Roman" w:hAnsi="Times New Roman" w:cs="Times New Roman"/>
        </w:rPr>
        <w:t>, at 10:00 a.m</w:t>
      </w:r>
      <w:r w:rsidR="004730B1" w:rsidRPr="002038C4">
        <w:rPr>
          <w:rFonts w:ascii="Times New Roman" w:hAnsi="Times New Roman" w:cs="Times New Roman"/>
        </w:rPr>
        <w:t xml:space="preserve">. </w:t>
      </w:r>
    </w:p>
    <w:p w:rsidR="00B23626" w:rsidRPr="002038C4" w:rsidRDefault="00B23626" w:rsidP="005E2B7F">
      <w:pPr>
        <w:widowControl w:val="0"/>
        <w:adjustRightInd w:val="0"/>
        <w:spacing w:before="10" w:line="360" w:lineRule="auto"/>
        <w:rPr>
          <w:rFonts w:ascii="Times New Roman" w:hAnsi="Times New Roman" w:cs="Times New Roman"/>
        </w:rPr>
      </w:pPr>
    </w:p>
    <w:p w:rsidR="00453CD6" w:rsidRDefault="005E71BA" w:rsidP="005E2B7F">
      <w:pPr>
        <w:adjustRightInd w:val="0"/>
        <w:spacing w:line="360" w:lineRule="auto"/>
        <w:rPr>
          <w:rFonts w:ascii="Times New Roman" w:hAnsi="Times New Roman" w:cs="Times New Roman"/>
        </w:rPr>
      </w:pPr>
      <w:r w:rsidRPr="002038C4">
        <w:rPr>
          <w:rFonts w:ascii="Times New Roman" w:hAnsi="Times New Roman" w:cs="Times New Roman"/>
        </w:rPr>
        <w:tab/>
      </w:r>
      <w:r w:rsidRPr="002038C4">
        <w:rPr>
          <w:rFonts w:ascii="Times New Roman" w:hAnsi="Times New Roman" w:cs="Times New Roman"/>
        </w:rPr>
        <w:tab/>
      </w:r>
      <w:r w:rsidR="00296A28" w:rsidRPr="002038C4">
        <w:rPr>
          <w:rFonts w:ascii="Times New Roman" w:hAnsi="Times New Roman" w:cs="Times New Roman"/>
        </w:rPr>
        <w:t xml:space="preserve">On June 13, 2012, </w:t>
      </w:r>
      <w:r w:rsidR="001D2774">
        <w:rPr>
          <w:rFonts w:ascii="Times New Roman" w:hAnsi="Times New Roman" w:cs="Times New Roman"/>
        </w:rPr>
        <w:t xml:space="preserve">the </w:t>
      </w:r>
      <w:r w:rsidR="00697295">
        <w:rPr>
          <w:rFonts w:ascii="Times New Roman" w:hAnsi="Times New Roman" w:cs="Times New Roman"/>
        </w:rPr>
        <w:t>Office of Consumer Advocate (</w:t>
      </w:r>
      <w:r w:rsidRPr="002038C4">
        <w:rPr>
          <w:rFonts w:ascii="Times New Roman" w:hAnsi="Times New Roman" w:cs="Times New Roman"/>
        </w:rPr>
        <w:t>OCA</w:t>
      </w:r>
      <w:r w:rsidR="00697295">
        <w:rPr>
          <w:rFonts w:ascii="Times New Roman" w:hAnsi="Times New Roman" w:cs="Times New Roman"/>
        </w:rPr>
        <w:t>)</w:t>
      </w:r>
      <w:r w:rsidRPr="002038C4">
        <w:rPr>
          <w:rFonts w:ascii="Times New Roman" w:hAnsi="Times New Roman" w:cs="Times New Roman"/>
        </w:rPr>
        <w:t xml:space="preserve"> filed Complaint</w:t>
      </w:r>
      <w:r w:rsidR="00F50C1E" w:rsidRPr="002038C4">
        <w:rPr>
          <w:rFonts w:ascii="Times New Roman" w:hAnsi="Times New Roman" w:cs="Times New Roman"/>
        </w:rPr>
        <w:t>s</w:t>
      </w:r>
      <w:r w:rsidRPr="002038C4">
        <w:rPr>
          <w:rFonts w:ascii="Times New Roman" w:hAnsi="Times New Roman" w:cs="Times New Roman"/>
        </w:rPr>
        <w:t xml:space="preserve"> </w:t>
      </w:r>
      <w:r w:rsidR="00296A28" w:rsidRPr="002038C4">
        <w:rPr>
          <w:rFonts w:ascii="Times New Roman" w:hAnsi="Times New Roman" w:cs="Times New Roman"/>
        </w:rPr>
        <w:t xml:space="preserve">at Docket Nos. </w:t>
      </w:r>
      <w:proofErr w:type="gramStart"/>
      <w:r w:rsidR="00296A28" w:rsidRPr="002038C4">
        <w:rPr>
          <w:rFonts w:ascii="Times New Roman" w:hAnsi="Times New Roman" w:cs="Times New Roman"/>
        </w:rPr>
        <w:t>C-2012-2309549, C</w:t>
      </w:r>
      <w:r w:rsidR="002038C4" w:rsidRPr="002038C4">
        <w:rPr>
          <w:rFonts w:ascii="Times New Roman" w:hAnsi="Times New Roman" w:cs="Times New Roman"/>
        </w:rPr>
        <w:noBreakHyphen/>
      </w:r>
      <w:r w:rsidR="00296A28" w:rsidRPr="002038C4">
        <w:rPr>
          <w:rFonts w:ascii="Times New Roman" w:hAnsi="Times New Roman" w:cs="Times New Roman"/>
        </w:rPr>
        <w:t xml:space="preserve">2012-2309502 and C-2012-2309538 to </w:t>
      </w:r>
      <w:proofErr w:type="spellStart"/>
      <w:r w:rsidR="00296A28" w:rsidRPr="002038C4">
        <w:rPr>
          <w:rFonts w:ascii="Times New Roman" w:hAnsi="Times New Roman" w:cs="Times New Roman"/>
        </w:rPr>
        <w:t>Equitable’s</w:t>
      </w:r>
      <w:proofErr w:type="spellEnd"/>
      <w:r w:rsidR="00296A28" w:rsidRPr="002038C4">
        <w:rPr>
          <w:rFonts w:ascii="Times New Roman" w:hAnsi="Times New Roman" w:cs="Times New Roman"/>
        </w:rPr>
        <w:t xml:space="preserve"> filings at Docket Nos.</w:t>
      </w:r>
      <w:proofErr w:type="gramEnd"/>
      <w:r w:rsidR="00296A28" w:rsidRPr="002038C4">
        <w:rPr>
          <w:rFonts w:ascii="Times New Roman" w:hAnsi="Times New Roman" w:cs="Times New Roman"/>
        </w:rPr>
        <w:t xml:space="preserve"> </w:t>
      </w:r>
      <w:proofErr w:type="gramStart"/>
      <w:r w:rsidR="00296A28" w:rsidRPr="002038C4">
        <w:rPr>
          <w:rFonts w:ascii="Times New Roman" w:hAnsi="Times New Roman" w:cs="Times New Roman"/>
        </w:rPr>
        <w:t>R-2012-2304727, R-2012-2304731 and R-2012-2304735, respectively.</w:t>
      </w:r>
      <w:proofErr w:type="gramEnd"/>
      <w:r w:rsidR="00296A28" w:rsidRPr="002038C4">
        <w:rPr>
          <w:rFonts w:ascii="Times New Roman" w:hAnsi="Times New Roman" w:cs="Times New Roman"/>
        </w:rPr>
        <w:t xml:space="preserve">  </w:t>
      </w:r>
      <w:r w:rsidR="002002FE">
        <w:rPr>
          <w:rFonts w:ascii="Times New Roman" w:hAnsi="Times New Roman" w:cs="Times New Roman"/>
        </w:rPr>
        <w:t xml:space="preserve">OCA alleged that </w:t>
      </w:r>
      <w:proofErr w:type="spellStart"/>
      <w:r w:rsidR="002002FE">
        <w:rPr>
          <w:rFonts w:ascii="Times New Roman" w:hAnsi="Times New Roman" w:cs="Times New Roman"/>
        </w:rPr>
        <w:t>Equitable’s</w:t>
      </w:r>
      <w:proofErr w:type="spellEnd"/>
      <w:r w:rsidR="002002FE">
        <w:rPr>
          <w:rFonts w:ascii="Times New Roman" w:hAnsi="Times New Roman" w:cs="Times New Roman"/>
        </w:rPr>
        <w:t xml:space="preserve"> supplements </w:t>
      </w:r>
      <w:r w:rsidR="004C40E8">
        <w:rPr>
          <w:rFonts w:ascii="Times New Roman" w:hAnsi="Times New Roman" w:cs="Times New Roman"/>
        </w:rPr>
        <w:t xml:space="preserve">proposing a Btu Adjustment </w:t>
      </w:r>
      <w:r w:rsidR="002002FE">
        <w:rPr>
          <w:rFonts w:ascii="Times New Roman" w:hAnsi="Times New Roman" w:cs="Times New Roman"/>
        </w:rPr>
        <w:t>are or may violate the Public Utility Code</w:t>
      </w:r>
      <w:r w:rsidR="00F45866">
        <w:rPr>
          <w:rFonts w:ascii="Times New Roman" w:hAnsi="Times New Roman" w:cs="Times New Roman"/>
        </w:rPr>
        <w:t xml:space="preserve"> (Code)</w:t>
      </w:r>
      <w:r w:rsidR="00296A28" w:rsidRPr="002038C4">
        <w:rPr>
          <w:rFonts w:ascii="Times New Roman" w:hAnsi="Times New Roman" w:cs="Times New Roman"/>
        </w:rPr>
        <w:t xml:space="preserve">. </w:t>
      </w:r>
      <w:r w:rsidR="00DE4187">
        <w:rPr>
          <w:rFonts w:ascii="Times New Roman" w:hAnsi="Times New Roman" w:cs="Times New Roman"/>
        </w:rPr>
        <w:t xml:space="preserve"> </w:t>
      </w:r>
      <w:proofErr w:type="gramStart"/>
      <w:r w:rsidR="00453CD6">
        <w:rPr>
          <w:rFonts w:ascii="Times New Roman" w:hAnsi="Times New Roman" w:cs="Times New Roman"/>
        </w:rPr>
        <w:t>66 Pa. C.S. § 101, et seq.</w:t>
      </w:r>
      <w:proofErr w:type="gramEnd"/>
      <w:r w:rsidR="00453CD6">
        <w:rPr>
          <w:rFonts w:ascii="Times New Roman" w:hAnsi="Times New Roman" w:cs="Times New Roman"/>
        </w:rPr>
        <w:t xml:space="preserve">  OCA also alleged it was seek</w:t>
      </w:r>
      <w:r w:rsidR="00F45866">
        <w:rPr>
          <w:rFonts w:ascii="Times New Roman" w:hAnsi="Times New Roman" w:cs="Times New Roman"/>
        </w:rPr>
        <w:t>ing</w:t>
      </w:r>
      <w:r w:rsidR="00453CD6">
        <w:rPr>
          <w:rFonts w:ascii="Times New Roman" w:hAnsi="Times New Roman" w:cs="Times New Roman"/>
        </w:rPr>
        <w:t xml:space="preserve"> review of the supplements to determine whether the proposed billing adjustments constituted improper single issue rate making.</w:t>
      </w:r>
      <w:r w:rsidR="00A72C3F">
        <w:rPr>
          <w:rFonts w:ascii="Times New Roman" w:hAnsi="Times New Roman" w:cs="Times New Roman"/>
        </w:rPr>
        <w:t xml:space="preserve"> </w:t>
      </w:r>
      <w:r w:rsidR="00453CD6">
        <w:rPr>
          <w:rFonts w:ascii="Times New Roman" w:hAnsi="Times New Roman" w:cs="Times New Roman"/>
        </w:rPr>
        <w:t xml:space="preserve"> OCA submitted that the Commission should </w:t>
      </w:r>
      <w:r w:rsidR="00721A3C">
        <w:rPr>
          <w:rFonts w:ascii="Times New Roman" w:hAnsi="Times New Roman" w:cs="Times New Roman"/>
        </w:rPr>
        <w:t xml:space="preserve">examine whether the proposed </w:t>
      </w:r>
      <w:r w:rsidR="00721A3C">
        <w:rPr>
          <w:rFonts w:ascii="Times New Roman" w:hAnsi="Times New Roman" w:cs="Times New Roman"/>
        </w:rPr>
        <w:lastRenderedPageBreak/>
        <w:t xml:space="preserve">POR program was reasonable and in the best interest of </w:t>
      </w:r>
      <w:proofErr w:type="spellStart"/>
      <w:r w:rsidR="00721A3C">
        <w:rPr>
          <w:rFonts w:ascii="Times New Roman" w:hAnsi="Times New Roman" w:cs="Times New Roman"/>
        </w:rPr>
        <w:t>Equitable’s</w:t>
      </w:r>
      <w:proofErr w:type="spellEnd"/>
      <w:r w:rsidR="00721A3C">
        <w:rPr>
          <w:rFonts w:ascii="Times New Roman" w:hAnsi="Times New Roman" w:cs="Times New Roman"/>
        </w:rPr>
        <w:t xml:space="preserve"> customers. </w:t>
      </w:r>
      <w:r w:rsidR="0034740C">
        <w:rPr>
          <w:rFonts w:ascii="Times New Roman" w:hAnsi="Times New Roman" w:cs="Times New Roman"/>
        </w:rPr>
        <w:t xml:space="preserve"> </w:t>
      </w:r>
      <w:r w:rsidR="00453CD6" w:rsidRPr="002038C4">
        <w:rPr>
          <w:rFonts w:ascii="Times New Roman" w:hAnsi="Times New Roman" w:cs="Times New Roman"/>
        </w:rPr>
        <w:t xml:space="preserve">No other formal complaints </w:t>
      </w:r>
      <w:r w:rsidR="00453CD6">
        <w:rPr>
          <w:rFonts w:ascii="Times New Roman" w:hAnsi="Times New Roman" w:cs="Times New Roman"/>
        </w:rPr>
        <w:t>were</w:t>
      </w:r>
      <w:r w:rsidR="00453CD6" w:rsidRPr="002038C4">
        <w:rPr>
          <w:rFonts w:ascii="Times New Roman" w:hAnsi="Times New Roman" w:cs="Times New Roman"/>
        </w:rPr>
        <w:t xml:space="preserve"> filed.</w:t>
      </w:r>
    </w:p>
    <w:p w:rsidR="00721A3C" w:rsidRDefault="00721A3C" w:rsidP="005E2B7F">
      <w:pPr>
        <w:adjustRightInd w:val="0"/>
        <w:spacing w:line="360" w:lineRule="auto"/>
        <w:rPr>
          <w:rFonts w:ascii="Times New Roman" w:hAnsi="Times New Roman" w:cs="Times New Roman"/>
        </w:rPr>
      </w:pPr>
    </w:p>
    <w:p w:rsidR="004D390A" w:rsidRDefault="00721A3C" w:rsidP="005E2B7F">
      <w:pPr>
        <w:adjustRightInd w:val="0"/>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13529" w:rsidRPr="002038C4">
        <w:rPr>
          <w:rFonts w:ascii="Times New Roman" w:hAnsi="Times New Roman" w:cs="Times New Roman"/>
        </w:rPr>
        <w:t xml:space="preserve">On June 19, 2012, </w:t>
      </w:r>
      <w:r w:rsidR="00BD2A0D">
        <w:rPr>
          <w:rFonts w:ascii="Times New Roman" w:hAnsi="Times New Roman" w:cs="Times New Roman"/>
        </w:rPr>
        <w:t>the Office of Small Business Advocate (</w:t>
      </w:r>
      <w:r w:rsidR="005E71BA" w:rsidRPr="002038C4">
        <w:rPr>
          <w:rFonts w:ascii="Times New Roman" w:hAnsi="Times New Roman" w:cs="Times New Roman"/>
        </w:rPr>
        <w:t>OSBA</w:t>
      </w:r>
      <w:r w:rsidR="00BD2A0D">
        <w:rPr>
          <w:rFonts w:ascii="Times New Roman" w:hAnsi="Times New Roman" w:cs="Times New Roman"/>
        </w:rPr>
        <w:t>)</w:t>
      </w:r>
      <w:r w:rsidR="00D75047" w:rsidRPr="002038C4">
        <w:rPr>
          <w:rFonts w:ascii="Times New Roman" w:hAnsi="Times New Roman" w:cs="Times New Roman"/>
        </w:rPr>
        <w:t xml:space="preserve"> and </w:t>
      </w:r>
      <w:r w:rsidR="00BD2A0D">
        <w:rPr>
          <w:rFonts w:ascii="Times New Roman" w:hAnsi="Times New Roman" w:cs="Times New Roman"/>
        </w:rPr>
        <w:t>the Commission’s Bureau of Investigation and Enforcement (</w:t>
      </w:r>
      <w:r w:rsidR="00D75047" w:rsidRPr="002038C4">
        <w:rPr>
          <w:rFonts w:ascii="Times New Roman" w:hAnsi="Times New Roman" w:cs="Times New Roman"/>
        </w:rPr>
        <w:t>I&amp;E</w:t>
      </w:r>
      <w:r w:rsidR="00BD2A0D">
        <w:rPr>
          <w:rFonts w:ascii="Times New Roman" w:hAnsi="Times New Roman" w:cs="Times New Roman"/>
        </w:rPr>
        <w:t>)</w:t>
      </w:r>
      <w:r w:rsidR="005E71BA" w:rsidRPr="002038C4">
        <w:rPr>
          <w:rFonts w:ascii="Times New Roman" w:hAnsi="Times New Roman" w:cs="Times New Roman"/>
        </w:rPr>
        <w:t xml:space="preserve"> </w:t>
      </w:r>
      <w:r w:rsidR="00F45866">
        <w:rPr>
          <w:rFonts w:ascii="Times New Roman" w:hAnsi="Times New Roman" w:cs="Times New Roman"/>
        </w:rPr>
        <w:t xml:space="preserve">each </w:t>
      </w:r>
      <w:r w:rsidR="005E71BA" w:rsidRPr="002038C4">
        <w:rPr>
          <w:rFonts w:ascii="Times New Roman" w:hAnsi="Times New Roman" w:cs="Times New Roman"/>
        </w:rPr>
        <w:t xml:space="preserve">filed </w:t>
      </w:r>
      <w:r w:rsidR="00D75047" w:rsidRPr="002038C4">
        <w:rPr>
          <w:rFonts w:ascii="Times New Roman" w:hAnsi="Times New Roman" w:cs="Times New Roman"/>
        </w:rPr>
        <w:t>their respective Notice of Appearance in this proceedin</w:t>
      </w:r>
      <w:r w:rsidR="00D13529" w:rsidRPr="002038C4">
        <w:rPr>
          <w:rFonts w:ascii="Times New Roman" w:hAnsi="Times New Roman" w:cs="Times New Roman"/>
        </w:rPr>
        <w:t xml:space="preserve">g. </w:t>
      </w:r>
      <w:r w:rsidR="00D75047" w:rsidRPr="002038C4">
        <w:rPr>
          <w:rFonts w:ascii="Times New Roman" w:hAnsi="Times New Roman" w:cs="Times New Roman"/>
        </w:rPr>
        <w:t xml:space="preserve"> </w:t>
      </w:r>
      <w:r w:rsidR="000B4A57" w:rsidRPr="002038C4">
        <w:rPr>
          <w:rFonts w:ascii="Times New Roman" w:hAnsi="Times New Roman" w:cs="Times New Roman"/>
        </w:rPr>
        <w:t xml:space="preserve">Retail </w:t>
      </w:r>
      <w:r w:rsidR="0066039D" w:rsidRPr="002038C4">
        <w:rPr>
          <w:rFonts w:ascii="Times New Roman" w:hAnsi="Times New Roman" w:cs="Times New Roman"/>
        </w:rPr>
        <w:t>E</w:t>
      </w:r>
      <w:r w:rsidR="000B4A57" w:rsidRPr="002038C4">
        <w:rPr>
          <w:rFonts w:ascii="Times New Roman" w:hAnsi="Times New Roman" w:cs="Times New Roman"/>
        </w:rPr>
        <w:t xml:space="preserve">nergy Supply Association (RESA) filed a Petition to </w:t>
      </w:r>
      <w:proofErr w:type="gramStart"/>
      <w:r w:rsidR="000B4A57" w:rsidRPr="002038C4">
        <w:rPr>
          <w:rFonts w:ascii="Times New Roman" w:hAnsi="Times New Roman" w:cs="Times New Roman"/>
        </w:rPr>
        <w:t>Intervene</w:t>
      </w:r>
      <w:proofErr w:type="gramEnd"/>
      <w:r w:rsidR="000B4A57" w:rsidRPr="002038C4">
        <w:rPr>
          <w:rFonts w:ascii="Times New Roman" w:hAnsi="Times New Roman" w:cs="Times New Roman"/>
        </w:rPr>
        <w:t xml:space="preserve"> in this matter on June 21, 2012.</w:t>
      </w:r>
    </w:p>
    <w:p w:rsidR="00BD2A0D" w:rsidRDefault="000B4A57" w:rsidP="005E2B7F">
      <w:pPr>
        <w:adjustRightInd w:val="0"/>
        <w:spacing w:line="360" w:lineRule="auto"/>
        <w:rPr>
          <w:rFonts w:ascii="Times New Roman" w:hAnsi="Times New Roman" w:cs="Times New Roman"/>
        </w:rPr>
      </w:pPr>
      <w:r w:rsidRPr="002038C4">
        <w:rPr>
          <w:rFonts w:ascii="Times New Roman" w:hAnsi="Times New Roman" w:cs="Times New Roman"/>
        </w:rPr>
        <w:t xml:space="preserve"> </w:t>
      </w:r>
    </w:p>
    <w:p w:rsidR="00A45D08" w:rsidRDefault="00BD2A0D" w:rsidP="005E2B7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B4A57" w:rsidRPr="002038C4">
        <w:rPr>
          <w:rFonts w:ascii="Times New Roman" w:hAnsi="Times New Roman" w:cs="Times New Roman"/>
        </w:rPr>
        <w:t xml:space="preserve">Equitable, OCA, OSBA, I&amp;E and RESA </w:t>
      </w:r>
      <w:r w:rsidR="00F45866">
        <w:rPr>
          <w:rFonts w:ascii="Times New Roman" w:hAnsi="Times New Roman" w:cs="Times New Roman"/>
        </w:rPr>
        <w:t xml:space="preserve">each </w:t>
      </w:r>
      <w:r w:rsidR="000B4A57" w:rsidRPr="002038C4">
        <w:rPr>
          <w:rFonts w:ascii="Times New Roman" w:hAnsi="Times New Roman" w:cs="Times New Roman"/>
        </w:rPr>
        <w:t>filed their respective Prehearing Memorandum of June 21, 2012 and were represented by counsel a</w:t>
      </w:r>
      <w:r w:rsidR="00A119CA" w:rsidRPr="002038C4">
        <w:rPr>
          <w:rFonts w:ascii="Times New Roman" w:hAnsi="Times New Roman" w:cs="Times New Roman"/>
        </w:rPr>
        <w:t>t</w:t>
      </w:r>
      <w:r w:rsidR="000B4A57" w:rsidRPr="002038C4">
        <w:rPr>
          <w:rFonts w:ascii="Times New Roman" w:hAnsi="Times New Roman" w:cs="Times New Roman"/>
        </w:rPr>
        <w:t xml:space="preserve"> the Prehearing Conference, which proceeded a</w:t>
      </w:r>
      <w:r w:rsidR="006B0B33">
        <w:rPr>
          <w:rFonts w:ascii="Times New Roman" w:hAnsi="Times New Roman" w:cs="Times New Roman"/>
        </w:rPr>
        <w:t>s</w:t>
      </w:r>
      <w:r w:rsidR="000B4A57" w:rsidRPr="002038C4">
        <w:rPr>
          <w:rFonts w:ascii="Times New Roman" w:hAnsi="Times New Roman" w:cs="Times New Roman"/>
        </w:rPr>
        <w:t xml:space="preserve"> scheduled</w:t>
      </w:r>
      <w:r w:rsidR="00A119CA" w:rsidRPr="002038C4">
        <w:rPr>
          <w:rFonts w:ascii="Times New Roman" w:hAnsi="Times New Roman" w:cs="Times New Roman"/>
        </w:rPr>
        <w:t xml:space="preserve"> on June 22, 2012</w:t>
      </w:r>
      <w:r w:rsidR="000B4A57" w:rsidRPr="002038C4">
        <w:rPr>
          <w:rFonts w:ascii="Times New Roman" w:hAnsi="Times New Roman" w:cs="Times New Roman"/>
        </w:rPr>
        <w:t>.</w:t>
      </w:r>
      <w:r w:rsidR="00A119CA" w:rsidRPr="002038C4">
        <w:rPr>
          <w:rFonts w:ascii="Times New Roman" w:hAnsi="Times New Roman" w:cs="Times New Roman"/>
        </w:rPr>
        <w:t xml:space="preserve"> </w:t>
      </w:r>
      <w:r w:rsidR="006B0B33">
        <w:rPr>
          <w:rFonts w:ascii="Times New Roman" w:hAnsi="Times New Roman" w:cs="Times New Roman"/>
        </w:rPr>
        <w:t xml:space="preserve"> </w:t>
      </w:r>
      <w:r w:rsidR="004D390A">
        <w:rPr>
          <w:rFonts w:ascii="Times New Roman" w:hAnsi="Times New Roman" w:cs="Times New Roman"/>
        </w:rPr>
        <w:t xml:space="preserve">During the conference </w:t>
      </w:r>
      <w:r w:rsidR="004D390A" w:rsidRPr="002038C4">
        <w:rPr>
          <w:rFonts w:ascii="Times New Roman" w:hAnsi="Times New Roman" w:cs="Times New Roman"/>
        </w:rPr>
        <w:t>OCA, OSBA and I&amp;E</w:t>
      </w:r>
      <w:r w:rsidR="004C2AF2">
        <w:rPr>
          <w:rFonts w:ascii="Times New Roman" w:hAnsi="Times New Roman" w:cs="Times New Roman"/>
        </w:rPr>
        <w:t xml:space="preserve"> (the statutory parties)</w:t>
      </w:r>
      <w:r w:rsidR="004D390A" w:rsidRPr="002038C4">
        <w:rPr>
          <w:rFonts w:ascii="Times New Roman" w:hAnsi="Times New Roman" w:cs="Times New Roman"/>
        </w:rPr>
        <w:t xml:space="preserve"> </w:t>
      </w:r>
      <w:r w:rsidR="004D390A">
        <w:rPr>
          <w:rFonts w:ascii="Times New Roman" w:hAnsi="Times New Roman" w:cs="Times New Roman"/>
        </w:rPr>
        <w:t xml:space="preserve">did not object to RESA’s intervention petition.  Equitable requested ten days to respond to the petition.  </w:t>
      </w:r>
      <w:r>
        <w:rPr>
          <w:rFonts w:ascii="Times New Roman" w:hAnsi="Times New Roman" w:cs="Times New Roman"/>
        </w:rPr>
        <w:t>On June 26, 2012, the ALJ issued a Prehearing Order Setting Litigation Schedule and Consolidating the Dockets</w:t>
      </w:r>
      <w:r w:rsidR="00752244">
        <w:rPr>
          <w:rFonts w:ascii="Times New Roman" w:hAnsi="Times New Roman" w:cs="Times New Roman"/>
        </w:rPr>
        <w:t xml:space="preserve">.  </w:t>
      </w:r>
      <w:r w:rsidR="00A45D08">
        <w:rPr>
          <w:rFonts w:ascii="Times New Roman" w:hAnsi="Times New Roman" w:cs="Times New Roman"/>
        </w:rPr>
        <w:t xml:space="preserve">Pursuant to the </w:t>
      </w:r>
      <w:r w:rsidR="004C2AF2">
        <w:rPr>
          <w:rFonts w:ascii="Times New Roman" w:hAnsi="Times New Roman" w:cs="Times New Roman"/>
        </w:rPr>
        <w:t>P</w:t>
      </w:r>
      <w:r w:rsidR="00A45D08">
        <w:rPr>
          <w:rFonts w:ascii="Times New Roman" w:hAnsi="Times New Roman" w:cs="Times New Roman"/>
        </w:rPr>
        <w:t>rehearing Order the evidentiary hearing was scheduled to commence in Harrisburg on Monday, August 27, 2012.</w:t>
      </w:r>
      <w:r w:rsidR="004B1D1A">
        <w:rPr>
          <w:rFonts w:ascii="Times New Roman" w:hAnsi="Times New Roman" w:cs="Times New Roman"/>
        </w:rPr>
        <w:t xml:space="preserve">  On June 27, 2012, the transcript of the prehearing conference was docketed with the Commission’s Secretary’s Bureau (Secretary). </w:t>
      </w:r>
      <w:r w:rsidR="00A72C3F">
        <w:rPr>
          <w:rFonts w:ascii="Times New Roman" w:hAnsi="Times New Roman" w:cs="Times New Roman"/>
        </w:rPr>
        <w:t xml:space="preserve"> </w:t>
      </w:r>
      <w:r w:rsidR="004B1D1A">
        <w:rPr>
          <w:rFonts w:ascii="Times New Roman" w:hAnsi="Times New Roman" w:cs="Times New Roman"/>
        </w:rPr>
        <w:t>The prehearing conference transcript</w:t>
      </w:r>
      <w:r w:rsidR="00C06E32">
        <w:rPr>
          <w:rFonts w:ascii="Times New Roman" w:hAnsi="Times New Roman" w:cs="Times New Roman"/>
        </w:rPr>
        <w:t xml:space="preserve"> </w:t>
      </w:r>
      <w:r w:rsidR="004B1D1A">
        <w:rPr>
          <w:rFonts w:ascii="Times New Roman" w:hAnsi="Times New Roman" w:cs="Times New Roman"/>
        </w:rPr>
        <w:t>consists of pages 1 through 30.</w:t>
      </w:r>
    </w:p>
    <w:p w:rsidR="00BD12A6" w:rsidRDefault="00BD12A6" w:rsidP="005E2B7F">
      <w:pPr>
        <w:spacing w:line="360" w:lineRule="auto"/>
        <w:rPr>
          <w:rFonts w:ascii="Times New Roman" w:hAnsi="Times New Roman" w:cs="Times New Roman"/>
        </w:rPr>
      </w:pPr>
    </w:p>
    <w:p w:rsidR="00BD12A6" w:rsidRDefault="00BD12A6" w:rsidP="005E2B7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June 27, 2012, Dominion Retail, Inc., d/b/a Dominion Energy Solutions (Dominion) filed a Petition to Intervene.  </w:t>
      </w:r>
      <w:r w:rsidRPr="002038C4">
        <w:rPr>
          <w:rFonts w:ascii="Times New Roman" w:hAnsi="Times New Roman" w:cs="Times New Roman"/>
        </w:rPr>
        <w:t xml:space="preserve">The statutory parties did not </w:t>
      </w:r>
      <w:r>
        <w:rPr>
          <w:rFonts w:ascii="Times New Roman" w:hAnsi="Times New Roman" w:cs="Times New Roman"/>
        </w:rPr>
        <w:t xml:space="preserve">file an answer to </w:t>
      </w:r>
      <w:proofErr w:type="spellStart"/>
      <w:r>
        <w:rPr>
          <w:rFonts w:ascii="Times New Roman" w:hAnsi="Times New Roman" w:cs="Times New Roman"/>
        </w:rPr>
        <w:t>Dominon</w:t>
      </w:r>
      <w:r w:rsidRPr="002038C4">
        <w:rPr>
          <w:rFonts w:ascii="Times New Roman" w:hAnsi="Times New Roman" w:cs="Times New Roman"/>
        </w:rPr>
        <w:t>’s</w:t>
      </w:r>
      <w:proofErr w:type="spellEnd"/>
      <w:r w:rsidRPr="002038C4">
        <w:rPr>
          <w:rFonts w:ascii="Times New Roman" w:hAnsi="Times New Roman" w:cs="Times New Roman"/>
        </w:rPr>
        <w:t xml:space="preserve"> Petition to Intervene.</w:t>
      </w:r>
      <w:r>
        <w:rPr>
          <w:rStyle w:val="FootnoteReference"/>
          <w:rFonts w:ascii="Times New Roman" w:hAnsi="Times New Roman" w:cs="Times New Roman"/>
        </w:rPr>
        <w:footnoteReference w:id="1"/>
      </w:r>
      <w:r>
        <w:rPr>
          <w:rFonts w:ascii="Times New Roman" w:hAnsi="Times New Roman" w:cs="Times New Roman"/>
        </w:rPr>
        <w:t xml:space="preserve"> </w:t>
      </w:r>
      <w:r w:rsidRPr="002038C4">
        <w:rPr>
          <w:rFonts w:ascii="Times New Roman" w:hAnsi="Times New Roman" w:cs="Times New Roman"/>
        </w:rPr>
        <w:t xml:space="preserve"> </w:t>
      </w:r>
      <w:r>
        <w:rPr>
          <w:rFonts w:ascii="Times New Roman" w:hAnsi="Times New Roman" w:cs="Times New Roman"/>
        </w:rPr>
        <w:t xml:space="preserve">On July 2, 2012, </w:t>
      </w:r>
      <w:r w:rsidRPr="002038C4">
        <w:rPr>
          <w:rFonts w:ascii="Times New Roman" w:hAnsi="Times New Roman" w:cs="Times New Roman"/>
        </w:rPr>
        <w:t xml:space="preserve">Equitable </w:t>
      </w:r>
      <w:r>
        <w:rPr>
          <w:rFonts w:ascii="Times New Roman" w:hAnsi="Times New Roman" w:cs="Times New Roman"/>
        </w:rPr>
        <w:t xml:space="preserve">filed an answer to Dominion’s petition, but did not oppose the intervention. </w:t>
      </w:r>
    </w:p>
    <w:p w:rsidR="00BD12A6" w:rsidRDefault="00BD12A6" w:rsidP="005E2B7F">
      <w:pPr>
        <w:spacing w:line="360" w:lineRule="auto"/>
        <w:rPr>
          <w:rFonts w:ascii="Times New Roman" w:hAnsi="Times New Roman" w:cs="Times New Roman"/>
        </w:rPr>
      </w:pPr>
    </w:p>
    <w:p w:rsidR="00BD12A6" w:rsidRDefault="00A45D08" w:rsidP="005E2B7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752244">
        <w:rPr>
          <w:rFonts w:ascii="Times New Roman" w:hAnsi="Times New Roman" w:cs="Times New Roman"/>
        </w:rPr>
        <w:t xml:space="preserve">On July 3, 2012, Equitable filed an answer in opposition to RESA’s intervention </w:t>
      </w:r>
    </w:p>
    <w:p w:rsidR="00BD12A6" w:rsidRDefault="00BD12A6" w:rsidP="005E2B7F">
      <w:pPr>
        <w:spacing w:line="360" w:lineRule="auto"/>
        <w:rPr>
          <w:rFonts w:ascii="Times New Roman" w:hAnsi="Times New Roman" w:cs="Times New Roman"/>
        </w:rPr>
      </w:pPr>
      <w:proofErr w:type="gramStart"/>
      <w:r>
        <w:rPr>
          <w:rFonts w:ascii="Times New Roman" w:hAnsi="Times New Roman" w:cs="Times New Roman"/>
        </w:rPr>
        <w:t>p</w:t>
      </w:r>
      <w:r w:rsidR="00752244">
        <w:rPr>
          <w:rFonts w:ascii="Times New Roman" w:hAnsi="Times New Roman" w:cs="Times New Roman"/>
        </w:rPr>
        <w:t>etition</w:t>
      </w:r>
      <w:proofErr w:type="gramEnd"/>
      <w:r w:rsidR="00752244">
        <w:rPr>
          <w:rFonts w:ascii="Times New Roman" w:hAnsi="Times New Roman" w:cs="Times New Roman"/>
        </w:rPr>
        <w:t>.</w:t>
      </w:r>
      <w:r w:rsidR="009B4EFA">
        <w:rPr>
          <w:rStyle w:val="FootnoteReference"/>
          <w:rFonts w:ascii="Times New Roman" w:hAnsi="Times New Roman" w:cs="Times New Roman"/>
        </w:rPr>
        <w:footnoteReference w:id="2"/>
      </w:r>
      <w:r w:rsidR="00752244">
        <w:rPr>
          <w:rFonts w:ascii="Times New Roman" w:hAnsi="Times New Roman" w:cs="Times New Roman"/>
        </w:rPr>
        <w:t xml:space="preserve"> </w:t>
      </w:r>
      <w:r w:rsidR="00C27851">
        <w:rPr>
          <w:rFonts w:ascii="Times New Roman" w:hAnsi="Times New Roman" w:cs="Times New Roman"/>
        </w:rPr>
        <w:t xml:space="preserve"> </w:t>
      </w:r>
      <w:r w:rsidR="00124C18">
        <w:rPr>
          <w:rFonts w:ascii="Times New Roman" w:hAnsi="Times New Roman" w:cs="Times New Roman"/>
        </w:rPr>
        <w:t>As grounds for intervention, RESA assert</w:t>
      </w:r>
      <w:r w:rsidR="004C2AF2">
        <w:rPr>
          <w:rFonts w:ascii="Times New Roman" w:hAnsi="Times New Roman" w:cs="Times New Roman"/>
        </w:rPr>
        <w:t>ed</w:t>
      </w:r>
      <w:r w:rsidR="00124C18">
        <w:rPr>
          <w:rFonts w:ascii="Times New Roman" w:hAnsi="Times New Roman" w:cs="Times New Roman"/>
        </w:rPr>
        <w:t xml:space="preserve"> it</w:t>
      </w:r>
      <w:r w:rsidR="00DE4187">
        <w:rPr>
          <w:rFonts w:ascii="Times New Roman" w:hAnsi="Times New Roman" w:cs="Times New Roman"/>
        </w:rPr>
        <w:t>s</w:t>
      </w:r>
      <w:r w:rsidR="00124C18">
        <w:rPr>
          <w:rFonts w:ascii="Times New Roman" w:hAnsi="Times New Roman" w:cs="Times New Roman"/>
        </w:rPr>
        <w:t xml:space="preserve"> members are licensed to provide </w:t>
      </w:r>
    </w:p>
    <w:p w:rsidR="00D504F4" w:rsidRDefault="00124C18" w:rsidP="005E2B7F">
      <w:pPr>
        <w:spacing w:line="360" w:lineRule="auto"/>
        <w:rPr>
          <w:rFonts w:ascii="Times New Roman" w:hAnsi="Times New Roman" w:cs="Times New Roman"/>
        </w:rPr>
      </w:pPr>
      <w:proofErr w:type="gramStart"/>
      <w:r>
        <w:rPr>
          <w:rFonts w:ascii="Times New Roman" w:hAnsi="Times New Roman" w:cs="Times New Roman"/>
        </w:rPr>
        <w:lastRenderedPageBreak/>
        <w:t>natural</w:t>
      </w:r>
      <w:proofErr w:type="gramEnd"/>
      <w:r>
        <w:rPr>
          <w:rFonts w:ascii="Times New Roman" w:hAnsi="Times New Roman" w:cs="Times New Roman"/>
        </w:rPr>
        <w:t xml:space="preserve"> gas supply service and certain members provide such service to customers in the Equitable service territory. </w:t>
      </w:r>
      <w:r w:rsidR="00A119CA" w:rsidRPr="002038C4">
        <w:rPr>
          <w:rFonts w:ascii="Times New Roman" w:hAnsi="Times New Roman" w:cs="Times New Roman"/>
        </w:rPr>
        <w:t xml:space="preserve"> </w:t>
      </w:r>
      <w:r>
        <w:rPr>
          <w:rFonts w:ascii="Times New Roman" w:hAnsi="Times New Roman" w:cs="Times New Roman"/>
        </w:rPr>
        <w:t>Therefore its members w</w:t>
      </w:r>
      <w:r w:rsidR="00B15B2B">
        <w:rPr>
          <w:rFonts w:ascii="Times New Roman" w:hAnsi="Times New Roman" w:cs="Times New Roman"/>
        </w:rPr>
        <w:t>ould</w:t>
      </w:r>
      <w:r>
        <w:rPr>
          <w:rFonts w:ascii="Times New Roman" w:hAnsi="Times New Roman" w:cs="Times New Roman"/>
        </w:rPr>
        <w:t xml:space="preserve"> be bound by any Commission decision in this proceeding concerning natural gas supply service or transportation service</w:t>
      </w:r>
      <w:r w:rsidR="00503FB7">
        <w:rPr>
          <w:rFonts w:ascii="Times New Roman" w:hAnsi="Times New Roman" w:cs="Times New Roman"/>
        </w:rPr>
        <w:t xml:space="preserve"> </w:t>
      </w:r>
      <w:r>
        <w:rPr>
          <w:rFonts w:ascii="Times New Roman" w:hAnsi="Times New Roman" w:cs="Times New Roman"/>
        </w:rPr>
        <w:t>that is provided with</w:t>
      </w:r>
      <w:r w:rsidR="004C2AF2">
        <w:rPr>
          <w:rFonts w:ascii="Times New Roman" w:hAnsi="Times New Roman" w:cs="Times New Roman"/>
        </w:rPr>
        <w:t>in</w:t>
      </w:r>
      <w:r>
        <w:rPr>
          <w:rFonts w:ascii="Times New Roman" w:hAnsi="Times New Roman" w:cs="Times New Roman"/>
        </w:rPr>
        <w:t xml:space="preserve"> </w:t>
      </w:r>
      <w:proofErr w:type="spellStart"/>
      <w:r>
        <w:rPr>
          <w:rFonts w:ascii="Times New Roman" w:hAnsi="Times New Roman" w:cs="Times New Roman"/>
        </w:rPr>
        <w:t>Equitable</w:t>
      </w:r>
      <w:r w:rsidR="00F45866">
        <w:rPr>
          <w:rFonts w:ascii="Times New Roman" w:hAnsi="Times New Roman" w:cs="Times New Roman"/>
        </w:rPr>
        <w:t>’s</w:t>
      </w:r>
      <w:proofErr w:type="spellEnd"/>
      <w:r>
        <w:rPr>
          <w:rFonts w:ascii="Times New Roman" w:hAnsi="Times New Roman" w:cs="Times New Roman"/>
        </w:rPr>
        <w:t xml:space="preserve"> service territory.  </w:t>
      </w:r>
      <w:r w:rsidR="00B15B2B">
        <w:rPr>
          <w:rFonts w:ascii="Times New Roman" w:hAnsi="Times New Roman" w:cs="Times New Roman"/>
        </w:rPr>
        <w:t xml:space="preserve">Equitable opposed RESA’s intervention on several grounds including that RESA’s members providing service in its territory were not specifically identified, </w:t>
      </w:r>
      <w:r w:rsidR="00BD12A6">
        <w:rPr>
          <w:rFonts w:ascii="Times New Roman" w:hAnsi="Times New Roman" w:cs="Times New Roman"/>
        </w:rPr>
        <w:t>and RE</w:t>
      </w:r>
      <w:r w:rsidR="00862547">
        <w:rPr>
          <w:rFonts w:ascii="Times New Roman" w:hAnsi="Times New Roman" w:cs="Times New Roman"/>
        </w:rPr>
        <w:t>S</w:t>
      </w:r>
      <w:r w:rsidR="00BD12A6">
        <w:rPr>
          <w:rFonts w:ascii="Times New Roman" w:hAnsi="Times New Roman" w:cs="Times New Roman"/>
        </w:rPr>
        <w:t xml:space="preserve">A’s intention was to expand the proceeding beyond its scope.   </w:t>
      </w:r>
    </w:p>
    <w:p w:rsidR="00D504F4" w:rsidRDefault="00D504F4" w:rsidP="005E2B7F">
      <w:pPr>
        <w:spacing w:line="360" w:lineRule="auto"/>
        <w:rPr>
          <w:rFonts w:ascii="Times New Roman" w:hAnsi="Times New Roman" w:cs="Times New Roman"/>
        </w:rPr>
      </w:pPr>
    </w:p>
    <w:p w:rsidR="00BD12A6" w:rsidRDefault="00D504F4" w:rsidP="005E2B7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D12A6">
        <w:rPr>
          <w:rFonts w:ascii="Times New Roman" w:hAnsi="Times New Roman" w:cs="Times New Roman"/>
        </w:rPr>
        <w:t xml:space="preserve">After due consideration, the ALJ granted RESA’s </w:t>
      </w:r>
      <w:r>
        <w:rPr>
          <w:rFonts w:ascii="Times New Roman" w:hAnsi="Times New Roman" w:cs="Times New Roman"/>
        </w:rPr>
        <w:t xml:space="preserve">and Dominion’s </w:t>
      </w:r>
      <w:r w:rsidR="00BD12A6">
        <w:rPr>
          <w:rFonts w:ascii="Times New Roman" w:hAnsi="Times New Roman" w:cs="Times New Roman"/>
        </w:rPr>
        <w:t>intervention petition</w:t>
      </w:r>
      <w:r>
        <w:rPr>
          <w:rFonts w:ascii="Times New Roman" w:hAnsi="Times New Roman" w:cs="Times New Roman"/>
        </w:rPr>
        <w:t>s</w:t>
      </w:r>
      <w:r w:rsidR="00BD12A6">
        <w:rPr>
          <w:rFonts w:ascii="Times New Roman" w:hAnsi="Times New Roman" w:cs="Times New Roman"/>
        </w:rPr>
        <w:t xml:space="preserve"> by First </w:t>
      </w:r>
      <w:r>
        <w:rPr>
          <w:rFonts w:ascii="Times New Roman" w:hAnsi="Times New Roman" w:cs="Times New Roman"/>
        </w:rPr>
        <w:t xml:space="preserve">and Second </w:t>
      </w:r>
      <w:r w:rsidR="00BD12A6">
        <w:rPr>
          <w:rFonts w:ascii="Times New Roman" w:hAnsi="Times New Roman" w:cs="Times New Roman"/>
        </w:rPr>
        <w:t>Interim Order</w:t>
      </w:r>
      <w:r>
        <w:rPr>
          <w:rFonts w:ascii="Times New Roman" w:hAnsi="Times New Roman" w:cs="Times New Roman"/>
        </w:rPr>
        <w:t>s, respectively.</w:t>
      </w:r>
      <w:r w:rsidR="00A72C3F">
        <w:rPr>
          <w:rFonts w:ascii="Times New Roman" w:hAnsi="Times New Roman" w:cs="Times New Roman"/>
        </w:rPr>
        <w:t xml:space="preserve"> </w:t>
      </w:r>
      <w:r>
        <w:rPr>
          <w:rFonts w:ascii="Times New Roman" w:hAnsi="Times New Roman" w:cs="Times New Roman"/>
        </w:rPr>
        <w:t xml:space="preserve"> Both Orders were entered on</w:t>
      </w:r>
      <w:r w:rsidR="00BD12A6">
        <w:rPr>
          <w:rFonts w:ascii="Times New Roman" w:hAnsi="Times New Roman" w:cs="Times New Roman"/>
        </w:rPr>
        <w:t xml:space="preserve"> July 18, 2012.</w:t>
      </w:r>
    </w:p>
    <w:p w:rsidR="00B15B2B" w:rsidRDefault="00BB3EA4" w:rsidP="005E2B7F">
      <w:pPr>
        <w:spacing w:line="360" w:lineRule="auto"/>
        <w:rPr>
          <w:rFonts w:ascii="Times New Roman" w:hAnsi="Times New Roman" w:cs="Times New Roman"/>
        </w:rPr>
      </w:pPr>
      <w:r>
        <w:rPr>
          <w:rFonts w:ascii="Times New Roman" w:hAnsi="Times New Roman" w:cs="Times New Roman"/>
        </w:rPr>
        <w:t xml:space="preserve"> </w:t>
      </w:r>
    </w:p>
    <w:p w:rsidR="00AE3C54" w:rsidRDefault="00AE3C54" w:rsidP="005E2B7F">
      <w:pPr>
        <w:spacing w:line="360" w:lineRule="auto"/>
        <w:ind w:firstLine="720"/>
        <w:rPr>
          <w:rFonts w:ascii="Times New Roman" w:hAnsi="Times New Roman" w:cs="Times New Roman"/>
        </w:rPr>
      </w:pPr>
      <w:r>
        <w:rPr>
          <w:rFonts w:ascii="Times New Roman" w:hAnsi="Times New Roman" w:cs="Times New Roman"/>
        </w:rPr>
        <w:tab/>
      </w:r>
      <w:r w:rsidR="006E7C58">
        <w:rPr>
          <w:rFonts w:ascii="Times New Roman" w:hAnsi="Times New Roman" w:cs="Times New Roman"/>
        </w:rPr>
        <w:t xml:space="preserve">Subsequent to the prehearing conference, the parties distributed written testimony and engaged in discovery. </w:t>
      </w:r>
      <w:r w:rsidR="004C2AF2">
        <w:rPr>
          <w:rFonts w:ascii="Times New Roman" w:hAnsi="Times New Roman" w:cs="Times New Roman"/>
        </w:rPr>
        <w:t xml:space="preserve"> </w:t>
      </w:r>
      <w:r w:rsidR="006E7C58">
        <w:rPr>
          <w:rFonts w:ascii="Times New Roman" w:hAnsi="Times New Roman" w:cs="Times New Roman"/>
        </w:rPr>
        <w:t xml:space="preserve">The </w:t>
      </w:r>
      <w:r w:rsidRPr="00AE3C54">
        <w:rPr>
          <w:rFonts w:ascii="Times New Roman" w:hAnsi="Times New Roman" w:cs="Times New Roman"/>
        </w:rPr>
        <w:t>written direct and rebuttal testimon</w:t>
      </w:r>
      <w:r w:rsidR="006E7C58">
        <w:rPr>
          <w:rFonts w:ascii="Times New Roman" w:hAnsi="Times New Roman" w:cs="Times New Roman"/>
        </w:rPr>
        <w:t xml:space="preserve">ies </w:t>
      </w:r>
      <w:r w:rsidRPr="00AE3C54">
        <w:rPr>
          <w:rFonts w:ascii="Times New Roman" w:hAnsi="Times New Roman" w:cs="Times New Roman"/>
        </w:rPr>
        <w:t xml:space="preserve">of Thomas P. </w:t>
      </w:r>
      <w:proofErr w:type="spellStart"/>
      <w:r w:rsidRPr="00AE3C54">
        <w:rPr>
          <w:rFonts w:ascii="Times New Roman" w:hAnsi="Times New Roman" w:cs="Times New Roman"/>
        </w:rPr>
        <w:t>Wiggers</w:t>
      </w:r>
      <w:proofErr w:type="spellEnd"/>
      <w:r w:rsidRPr="00AE3C54">
        <w:rPr>
          <w:rFonts w:ascii="Times New Roman" w:hAnsi="Times New Roman" w:cs="Times New Roman"/>
        </w:rPr>
        <w:t xml:space="preserve"> and Carol A. Scanlon </w:t>
      </w:r>
      <w:r w:rsidR="006E7C58">
        <w:rPr>
          <w:rFonts w:ascii="Times New Roman" w:hAnsi="Times New Roman" w:cs="Times New Roman"/>
        </w:rPr>
        <w:t>were distributed by Equitable</w:t>
      </w:r>
      <w:r w:rsidRPr="00AE3C54">
        <w:rPr>
          <w:rFonts w:ascii="Times New Roman" w:hAnsi="Times New Roman" w:cs="Times New Roman"/>
        </w:rPr>
        <w:t>.  I&amp;E distributed the written direct testimony of Lisa A. Boyd</w:t>
      </w:r>
      <w:r w:rsidR="006E7C58">
        <w:rPr>
          <w:rFonts w:ascii="Times New Roman" w:hAnsi="Times New Roman" w:cs="Times New Roman"/>
        </w:rPr>
        <w:t xml:space="preserve">. </w:t>
      </w:r>
      <w:r w:rsidRPr="00AE3C54">
        <w:rPr>
          <w:rFonts w:ascii="Times New Roman" w:hAnsi="Times New Roman" w:cs="Times New Roman"/>
        </w:rPr>
        <w:t xml:space="preserve"> OCA distributed the written direct testimony of Ralph E. Miller and Barbara R. Alexander</w:t>
      </w:r>
      <w:r w:rsidR="006E7C58">
        <w:rPr>
          <w:rFonts w:ascii="Times New Roman" w:hAnsi="Times New Roman" w:cs="Times New Roman"/>
        </w:rPr>
        <w:t xml:space="preserve">.  </w:t>
      </w:r>
      <w:r w:rsidRPr="00AE3C54">
        <w:rPr>
          <w:rFonts w:ascii="Times New Roman" w:hAnsi="Times New Roman" w:cs="Times New Roman"/>
        </w:rPr>
        <w:t xml:space="preserve">OSBA distributed the written direct testimony of Brian </w:t>
      </w:r>
      <w:proofErr w:type="spellStart"/>
      <w:r w:rsidRPr="00AE3C54">
        <w:rPr>
          <w:rFonts w:ascii="Times New Roman" w:hAnsi="Times New Roman" w:cs="Times New Roman"/>
        </w:rPr>
        <w:t>Kalcic</w:t>
      </w:r>
      <w:proofErr w:type="spellEnd"/>
      <w:r w:rsidR="006E7C58">
        <w:rPr>
          <w:rFonts w:ascii="Times New Roman" w:hAnsi="Times New Roman" w:cs="Times New Roman"/>
        </w:rPr>
        <w:t xml:space="preserve">. </w:t>
      </w:r>
      <w:r w:rsidR="004C2AF2">
        <w:rPr>
          <w:rFonts w:ascii="Times New Roman" w:hAnsi="Times New Roman" w:cs="Times New Roman"/>
        </w:rPr>
        <w:t xml:space="preserve"> </w:t>
      </w:r>
      <w:r w:rsidRPr="00AE3C54">
        <w:rPr>
          <w:rFonts w:ascii="Times New Roman" w:hAnsi="Times New Roman" w:cs="Times New Roman"/>
        </w:rPr>
        <w:t>RESA distributed the written direct testimony of John Sutherland</w:t>
      </w:r>
      <w:r w:rsidR="006E7C58">
        <w:rPr>
          <w:rFonts w:ascii="Times New Roman" w:hAnsi="Times New Roman" w:cs="Times New Roman"/>
        </w:rPr>
        <w:t xml:space="preserve">.  </w:t>
      </w:r>
      <w:r w:rsidRPr="00AE3C54">
        <w:rPr>
          <w:rFonts w:ascii="Times New Roman" w:hAnsi="Times New Roman" w:cs="Times New Roman"/>
        </w:rPr>
        <w:t>Dominion Retail distributed the written direct testimony of Thomas J. Butler.</w:t>
      </w:r>
      <w:r w:rsidR="006E7C58">
        <w:rPr>
          <w:rFonts w:ascii="Times New Roman" w:hAnsi="Times New Roman" w:cs="Times New Roman"/>
        </w:rPr>
        <w:t xml:space="preserve">  </w:t>
      </w:r>
    </w:p>
    <w:p w:rsidR="006E7C58" w:rsidRPr="00AE3C54" w:rsidRDefault="006E7C58" w:rsidP="005E2B7F">
      <w:pPr>
        <w:spacing w:line="360" w:lineRule="auto"/>
        <w:ind w:firstLine="720"/>
        <w:rPr>
          <w:rFonts w:ascii="Times New Roman" w:hAnsi="Times New Roman" w:cs="Times New Roman"/>
        </w:rPr>
      </w:pPr>
    </w:p>
    <w:p w:rsidR="00ED3F42" w:rsidRDefault="001B6C93" w:rsidP="005E2B7F">
      <w:pPr>
        <w:spacing w:line="360" w:lineRule="auto"/>
        <w:ind w:firstLine="720"/>
        <w:rPr>
          <w:rFonts w:ascii="Times New Roman" w:hAnsi="Times New Roman" w:cs="Times New Roman"/>
        </w:rPr>
      </w:pPr>
      <w:r>
        <w:rPr>
          <w:rFonts w:ascii="Times New Roman" w:hAnsi="Times New Roman" w:cs="Times New Roman"/>
        </w:rPr>
        <w:tab/>
      </w:r>
      <w:r w:rsidR="00AE3C54" w:rsidRPr="00AE3C54">
        <w:rPr>
          <w:rFonts w:ascii="Times New Roman" w:hAnsi="Times New Roman" w:cs="Times New Roman"/>
        </w:rPr>
        <w:t xml:space="preserve">The evidentiary hearing was held </w:t>
      </w:r>
      <w:r w:rsidR="00D504F4">
        <w:rPr>
          <w:rFonts w:ascii="Times New Roman" w:hAnsi="Times New Roman" w:cs="Times New Roman"/>
        </w:rPr>
        <w:t xml:space="preserve">in Harrisburg </w:t>
      </w:r>
      <w:r w:rsidR="00AE3C54" w:rsidRPr="00AE3C54">
        <w:rPr>
          <w:rFonts w:ascii="Times New Roman" w:hAnsi="Times New Roman" w:cs="Times New Roman"/>
        </w:rPr>
        <w:t xml:space="preserve">on August 27, 2012, as scheduled.  Mr. </w:t>
      </w:r>
      <w:proofErr w:type="spellStart"/>
      <w:r w:rsidR="00AE3C54" w:rsidRPr="00AE3C54">
        <w:rPr>
          <w:rFonts w:ascii="Times New Roman" w:hAnsi="Times New Roman" w:cs="Times New Roman"/>
        </w:rPr>
        <w:t>Wiggers</w:t>
      </w:r>
      <w:proofErr w:type="spellEnd"/>
      <w:r w:rsidR="00AE3C54" w:rsidRPr="00AE3C54">
        <w:rPr>
          <w:rFonts w:ascii="Times New Roman" w:hAnsi="Times New Roman" w:cs="Times New Roman"/>
        </w:rPr>
        <w:t xml:space="preserve">, Ms. Scanlon, Ms. Boyd, Ms. Alexander, Mr. </w:t>
      </w:r>
      <w:proofErr w:type="spellStart"/>
      <w:r w:rsidR="00AE3C54" w:rsidRPr="00AE3C54">
        <w:rPr>
          <w:rFonts w:ascii="Times New Roman" w:hAnsi="Times New Roman" w:cs="Times New Roman"/>
        </w:rPr>
        <w:t>Kalcic</w:t>
      </w:r>
      <w:proofErr w:type="spellEnd"/>
      <w:r w:rsidR="00AE3C54" w:rsidRPr="00AE3C54">
        <w:rPr>
          <w:rFonts w:ascii="Times New Roman" w:hAnsi="Times New Roman" w:cs="Times New Roman"/>
        </w:rPr>
        <w:t xml:space="preserve"> and Mr. Sutherland authenticated their statements of written testimony</w:t>
      </w:r>
      <w:r w:rsidR="001E7DBA">
        <w:rPr>
          <w:rFonts w:ascii="Times New Roman" w:hAnsi="Times New Roman" w:cs="Times New Roman"/>
        </w:rPr>
        <w:t xml:space="preserve"> and exhibits</w:t>
      </w:r>
      <w:r w:rsidR="00AE3C54" w:rsidRPr="00AE3C54">
        <w:rPr>
          <w:rFonts w:ascii="Times New Roman" w:hAnsi="Times New Roman" w:cs="Times New Roman"/>
        </w:rPr>
        <w:t xml:space="preserve">, which were admitted into the record.  Mr. Butler’s testimony </w:t>
      </w:r>
      <w:r w:rsidR="00AF2379">
        <w:rPr>
          <w:rFonts w:ascii="Times New Roman" w:hAnsi="Times New Roman" w:cs="Times New Roman"/>
        </w:rPr>
        <w:t xml:space="preserve">and exhibit were </w:t>
      </w:r>
      <w:r w:rsidR="00AE3C54" w:rsidRPr="00AE3C54">
        <w:rPr>
          <w:rFonts w:ascii="Times New Roman" w:hAnsi="Times New Roman" w:cs="Times New Roman"/>
        </w:rPr>
        <w:t>authenticated</w:t>
      </w:r>
      <w:r w:rsidR="00AF2379">
        <w:rPr>
          <w:rFonts w:ascii="Times New Roman" w:hAnsi="Times New Roman" w:cs="Times New Roman"/>
        </w:rPr>
        <w:t xml:space="preserve"> </w:t>
      </w:r>
      <w:r w:rsidR="00AE3C54" w:rsidRPr="00AE3C54">
        <w:rPr>
          <w:rFonts w:ascii="Times New Roman" w:hAnsi="Times New Roman" w:cs="Times New Roman"/>
        </w:rPr>
        <w:t xml:space="preserve">by stipulation and admitted into the record.  Mr. </w:t>
      </w:r>
      <w:proofErr w:type="spellStart"/>
      <w:r w:rsidR="00AE3C54" w:rsidRPr="00AE3C54">
        <w:rPr>
          <w:rFonts w:ascii="Times New Roman" w:hAnsi="Times New Roman" w:cs="Times New Roman"/>
        </w:rPr>
        <w:t>Wiggers</w:t>
      </w:r>
      <w:proofErr w:type="spellEnd"/>
      <w:r w:rsidR="00AE3C54" w:rsidRPr="00AE3C54">
        <w:rPr>
          <w:rFonts w:ascii="Times New Roman" w:hAnsi="Times New Roman" w:cs="Times New Roman"/>
        </w:rPr>
        <w:t xml:space="preserve">, Ms. Scanlon, Ms. Boyd, Ms. Alexander, Mr. </w:t>
      </w:r>
      <w:proofErr w:type="spellStart"/>
      <w:r w:rsidR="00AE3C54" w:rsidRPr="00AE3C54">
        <w:rPr>
          <w:rFonts w:ascii="Times New Roman" w:hAnsi="Times New Roman" w:cs="Times New Roman"/>
        </w:rPr>
        <w:t>Kalcic</w:t>
      </w:r>
      <w:proofErr w:type="spellEnd"/>
      <w:r w:rsidR="00AE3C54" w:rsidRPr="00AE3C54">
        <w:rPr>
          <w:rFonts w:ascii="Times New Roman" w:hAnsi="Times New Roman" w:cs="Times New Roman"/>
        </w:rPr>
        <w:t xml:space="preserve"> and Mr.</w:t>
      </w:r>
      <w:r w:rsidR="00A72C3F">
        <w:rPr>
          <w:rFonts w:ascii="Times New Roman" w:hAnsi="Times New Roman" w:cs="Times New Roman"/>
        </w:rPr>
        <w:t> </w:t>
      </w:r>
      <w:r w:rsidR="00AE3C54" w:rsidRPr="00AE3C54">
        <w:rPr>
          <w:rFonts w:ascii="Times New Roman" w:hAnsi="Times New Roman" w:cs="Times New Roman"/>
        </w:rPr>
        <w:t>Sutherland were cross</w:t>
      </w:r>
      <w:r w:rsidR="00DE4187">
        <w:rPr>
          <w:rFonts w:ascii="Times New Roman" w:hAnsi="Times New Roman" w:cs="Times New Roman"/>
        </w:rPr>
        <w:t>-</w:t>
      </w:r>
      <w:r w:rsidR="00AE3C54" w:rsidRPr="00AE3C54">
        <w:rPr>
          <w:rFonts w:ascii="Times New Roman" w:hAnsi="Times New Roman" w:cs="Times New Roman"/>
        </w:rPr>
        <w:t>examined.</w:t>
      </w:r>
      <w:r w:rsidR="00ED3F42">
        <w:rPr>
          <w:rFonts w:ascii="Times New Roman" w:hAnsi="Times New Roman" w:cs="Times New Roman"/>
        </w:rPr>
        <w:t xml:space="preserve"> </w:t>
      </w:r>
      <w:r w:rsidR="00AF2379">
        <w:rPr>
          <w:rFonts w:ascii="Times New Roman" w:hAnsi="Times New Roman" w:cs="Times New Roman"/>
        </w:rPr>
        <w:t xml:space="preserve"> </w:t>
      </w:r>
      <w:r w:rsidR="00ED3F42">
        <w:rPr>
          <w:rFonts w:ascii="Times New Roman" w:hAnsi="Times New Roman" w:cs="Times New Roman"/>
        </w:rPr>
        <w:t>OCA’s witness, Mr. Miller, authenticated his written testimony</w:t>
      </w:r>
      <w:r w:rsidR="00AF2379">
        <w:rPr>
          <w:rFonts w:ascii="Times New Roman" w:hAnsi="Times New Roman" w:cs="Times New Roman"/>
        </w:rPr>
        <w:t xml:space="preserve"> and exhibits</w:t>
      </w:r>
      <w:r w:rsidR="009154D5">
        <w:rPr>
          <w:rFonts w:ascii="Times New Roman" w:hAnsi="Times New Roman" w:cs="Times New Roman"/>
        </w:rPr>
        <w:t>, which w</w:t>
      </w:r>
      <w:r w:rsidR="00AF2379">
        <w:rPr>
          <w:rFonts w:ascii="Times New Roman" w:hAnsi="Times New Roman" w:cs="Times New Roman"/>
        </w:rPr>
        <w:t>ere</w:t>
      </w:r>
      <w:r w:rsidR="009154D5">
        <w:rPr>
          <w:rFonts w:ascii="Times New Roman" w:hAnsi="Times New Roman" w:cs="Times New Roman"/>
        </w:rPr>
        <w:t xml:space="preserve"> admitted into the record.  Mr. Miller </w:t>
      </w:r>
      <w:r w:rsidR="00ED3F42">
        <w:rPr>
          <w:rFonts w:ascii="Times New Roman" w:hAnsi="Times New Roman" w:cs="Times New Roman"/>
        </w:rPr>
        <w:t>was available for cross-examination; however the other parties elected not to cross-examine him.  Tr. 144-147.</w:t>
      </w:r>
    </w:p>
    <w:p w:rsidR="004B1D1A" w:rsidRDefault="004B1D1A" w:rsidP="005E2B7F">
      <w:pPr>
        <w:spacing w:line="360" w:lineRule="auto"/>
        <w:ind w:firstLine="720"/>
        <w:rPr>
          <w:rFonts w:ascii="Times New Roman" w:hAnsi="Times New Roman" w:cs="Times New Roman"/>
        </w:rPr>
      </w:pPr>
    </w:p>
    <w:p w:rsidR="004B1D1A" w:rsidRDefault="001B6C93" w:rsidP="005E2B7F">
      <w:pPr>
        <w:spacing w:line="360" w:lineRule="auto"/>
        <w:ind w:firstLine="720"/>
        <w:rPr>
          <w:rFonts w:ascii="Times New Roman" w:hAnsi="Times New Roman" w:cs="Times New Roman"/>
        </w:rPr>
      </w:pPr>
      <w:r>
        <w:rPr>
          <w:rFonts w:ascii="Times New Roman" w:hAnsi="Times New Roman" w:cs="Times New Roman"/>
        </w:rPr>
        <w:tab/>
      </w:r>
      <w:r w:rsidR="004B1D1A">
        <w:rPr>
          <w:rFonts w:ascii="Times New Roman" w:hAnsi="Times New Roman" w:cs="Times New Roman"/>
        </w:rPr>
        <w:t xml:space="preserve">On August 30, 2012, the transcript of the evidentiary hearing, consisting of pages 31 through 205, was filed with the Secretary.  </w:t>
      </w:r>
      <w:r w:rsidR="00814CDB">
        <w:rPr>
          <w:rFonts w:ascii="Times New Roman" w:hAnsi="Times New Roman" w:cs="Times New Roman"/>
        </w:rPr>
        <w:t xml:space="preserve">On September 14, 2012, Equitable, the statutory parties and RESA filed their main briefs, and Dominion submitted a letter to the ALJ stating it </w:t>
      </w:r>
      <w:r w:rsidR="00814CDB">
        <w:rPr>
          <w:rFonts w:ascii="Times New Roman" w:hAnsi="Times New Roman" w:cs="Times New Roman"/>
        </w:rPr>
        <w:lastRenderedPageBreak/>
        <w:t>w</w:t>
      </w:r>
      <w:r w:rsidR="00AF2379">
        <w:rPr>
          <w:rFonts w:ascii="Times New Roman" w:hAnsi="Times New Roman" w:cs="Times New Roman"/>
        </w:rPr>
        <w:t>as not</w:t>
      </w:r>
      <w:r w:rsidR="00814CDB">
        <w:rPr>
          <w:rFonts w:ascii="Times New Roman" w:hAnsi="Times New Roman" w:cs="Times New Roman"/>
        </w:rPr>
        <w:t xml:space="preserve"> filing a main brief, but reserv</w:t>
      </w:r>
      <w:r w:rsidR="00AF2379">
        <w:rPr>
          <w:rFonts w:ascii="Times New Roman" w:hAnsi="Times New Roman" w:cs="Times New Roman"/>
        </w:rPr>
        <w:t>ed</w:t>
      </w:r>
      <w:r w:rsidR="00814CDB">
        <w:rPr>
          <w:rFonts w:ascii="Times New Roman" w:hAnsi="Times New Roman" w:cs="Times New Roman"/>
        </w:rPr>
        <w:t xml:space="preserve"> the right to file a reply brief.  </w:t>
      </w:r>
      <w:r>
        <w:rPr>
          <w:rFonts w:ascii="Times New Roman" w:hAnsi="Times New Roman" w:cs="Times New Roman"/>
        </w:rPr>
        <w:t xml:space="preserve">On September 28, 2012, </w:t>
      </w:r>
      <w:proofErr w:type="gramStart"/>
      <w:r>
        <w:rPr>
          <w:rFonts w:ascii="Times New Roman" w:hAnsi="Times New Roman" w:cs="Times New Roman"/>
        </w:rPr>
        <w:t>Equitable</w:t>
      </w:r>
      <w:proofErr w:type="gramEnd"/>
      <w:r>
        <w:rPr>
          <w:rFonts w:ascii="Times New Roman" w:hAnsi="Times New Roman" w:cs="Times New Roman"/>
        </w:rPr>
        <w:t xml:space="preserve">, the statutory parties, RESA and Dominion filed reply briefs.  </w:t>
      </w:r>
    </w:p>
    <w:p w:rsidR="001B6C93" w:rsidRDefault="001B6C93" w:rsidP="005E2B7F">
      <w:pPr>
        <w:spacing w:line="360" w:lineRule="auto"/>
        <w:ind w:firstLine="720"/>
        <w:rPr>
          <w:rFonts w:ascii="Times New Roman" w:hAnsi="Times New Roman" w:cs="Times New Roman"/>
        </w:rPr>
      </w:pPr>
    </w:p>
    <w:p w:rsidR="001B6C93" w:rsidRDefault="001B6C93" w:rsidP="005E2B7F">
      <w:pPr>
        <w:autoSpaceDE/>
        <w:autoSpaceDN/>
        <w:spacing w:line="360" w:lineRule="auto"/>
        <w:ind w:firstLine="1440"/>
        <w:rPr>
          <w:rFonts w:ascii="Times New Roman" w:hAnsi="Times New Roman" w:cs="Times New Roman"/>
        </w:rPr>
      </w:pPr>
      <w:r w:rsidRPr="002038C4">
        <w:rPr>
          <w:rFonts w:ascii="Times New Roman" w:hAnsi="Times New Roman" w:cs="Times New Roman"/>
        </w:rPr>
        <w:t xml:space="preserve">On </w:t>
      </w:r>
      <w:r>
        <w:rPr>
          <w:rFonts w:ascii="Times New Roman" w:hAnsi="Times New Roman" w:cs="Times New Roman"/>
        </w:rPr>
        <w:t xml:space="preserve">October 9, 2012, </w:t>
      </w:r>
      <w:r w:rsidRPr="002038C4">
        <w:rPr>
          <w:rFonts w:ascii="Times New Roman" w:hAnsi="Times New Roman" w:cs="Times New Roman"/>
        </w:rPr>
        <w:t xml:space="preserve">Equitable filed </w:t>
      </w:r>
      <w:r>
        <w:rPr>
          <w:rFonts w:ascii="Times New Roman" w:hAnsi="Times New Roman" w:cs="Times New Roman"/>
        </w:rPr>
        <w:t xml:space="preserve">a Motion to Quash or, in the Alternative, for Leave to </w:t>
      </w:r>
      <w:proofErr w:type="gramStart"/>
      <w:r>
        <w:rPr>
          <w:rFonts w:ascii="Times New Roman" w:hAnsi="Times New Roman" w:cs="Times New Roman"/>
        </w:rPr>
        <w:t>Respond</w:t>
      </w:r>
      <w:proofErr w:type="gramEnd"/>
      <w:r>
        <w:rPr>
          <w:rFonts w:ascii="Times New Roman" w:hAnsi="Times New Roman" w:cs="Times New Roman"/>
        </w:rPr>
        <w:t xml:space="preserve"> to the Reply Brief of Dominion (Motion).  </w:t>
      </w:r>
      <w:r w:rsidR="00172F2B">
        <w:rPr>
          <w:rFonts w:ascii="Times New Roman" w:hAnsi="Times New Roman" w:cs="Times New Roman"/>
        </w:rPr>
        <w:t xml:space="preserve">The Motion included Attachment A, </w:t>
      </w:r>
      <w:r w:rsidR="00AF2379">
        <w:rPr>
          <w:rFonts w:ascii="Times New Roman" w:hAnsi="Times New Roman" w:cs="Times New Roman"/>
        </w:rPr>
        <w:t xml:space="preserve">which was the </w:t>
      </w:r>
      <w:r w:rsidR="00172F2B">
        <w:rPr>
          <w:rFonts w:ascii="Times New Roman" w:hAnsi="Times New Roman" w:cs="Times New Roman"/>
        </w:rPr>
        <w:t xml:space="preserve">Response of Equitable to </w:t>
      </w:r>
      <w:r w:rsidR="00862547">
        <w:rPr>
          <w:rFonts w:ascii="Times New Roman" w:hAnsi="Times New Roman" w:cs="Times New Roman"/>
        </w:rPr>
        <w:t xml:space="preserve">the </w:t>
      </w:r>
      <w:r w:rsidR="00172F2B">
        <w:rPr>
          <w:rFonts w:ascii="Times New Roman" w:hAnsi="Times New Roman" w:cs="Times New Roman"/>
        </w:rPr>
        <w:t xml:space="preserve">Reply Brief of Dominion.  </w:t>
      </w:r>
      <w:r>
        <w:rPr>
          <w:rFonts w:ascii="Times New Roman" w:hAnsi="Times New Roman" w:cs="Times New Roman"/>
        </w:rPr>
        <w:t>On October 15, 2012, the ALJ issued a Third Interim Order setting October</w:t>
      </w:r>
      <w:r w:rsidR="00172F2B">
        <w:rPr>
          <w:rFonts w:ascii="Times New Roman" w:hAnsi="Times New Roman" w:cs="Times New Roman"/>
        </w:rPr>
        <w:t xml:space="preserve"> </w:t>
      </w:r>
      <w:r>
        <w:rPr>
          <w:rFonts w:ascii="Times New Roman" w:hAnsi="Times New Roman" w:cs="Times New Roman"/>
        </w:rPr>
        <w:t xml:space="preserve">17, 2012 as the due date for a responsive pleading for any party electing to respond to </w:t>
      </w:r>
      <w:proofErr w:type="spellStart"/>
      <w:r>
        <w:rPr>
          <w:rFonts w:ascii="Times New Roman" w:hAnsi="Times New Roman" w:cs="Times New Roman"/>
        </w:rPr>
        <w:t>Equitable’s</w:t>
      </w:r>
      <w:proofErr w:type="spellEnd"/>
      <w:r>
        <w:rPr>
          <w:rFonts w:ascii="Times New Roman" w:hAnsi="Times New Roman" w:cs="Times New Roman"/>
        </w:rPr>
        <w:t xml:space="preserve"> Motion.  On October 16, 2012, Dominion filed an Answer to the Motion.  No other party filed a responsive pleading to </w:t>
      </w:r>
      <w:r w:rsidR="00172F2B">
        <w:rPr>
          <w:rFonts w:ascii="Times New Roman" w:hAnsi="Times New Roman" w:cs="Times New Roman"/>
        </w:rPr>
        <w:t>the</w:t>
      </w:r>
      <w:r>
        <w:rPr>
          <w:rFonts w:ascii="Times New Roman" w:hAnsi="Times New Roman" w:cs="Times New Roman"/>
        </w:rPr>
        <w:t xml:space="preserve"> Motion.  </w:t>
      </w:r>
      <w:r w:rsidR="00172F2B">
        <w:rPr>
          <w:rFonts w:ascii="Times New Roman" w:hAnsi="Times New Roman" w:cs="Times New Roman"/>
        </w:rPr>
        <w:t xml:space="preserve">By Fourth Interim Order entered on October 19, 2012, </w:t>
      </w:r>
      <w:proofErr w:type="spellStart"/>
      <w:r>
        <w:rPr>
          <w:rFonts w:ascii="Times New Roman" w:hAnsi="Times New Roman" w:cs="Times New Roman"/>
        </w:rPr>
        <w:t>Equitable’s</w:t>
      </w:r>
      <w:proofErr w:type="spellEnd"/>
      <w:r>
        <w:rPr>
          <w:rFonts w:ascii="Times New Roman" w:hAnsi="Times New Roman" w:cs="Times New Roman"/>
        </w:rPr>
        <w:t xml:space="preserve"> </w:t>
      </w:r>
      <w:r w:rsidR="00862547">
        <w:rPr>
          <w:rFonts w:ascii="Times New Roman" w:hAnsi="Times New Roman" w:cs="Times New Roman"/>
        </w:rPr>
        <w:t>M</w:t>
      </w:r>
      <w:r>
        <w:rPr>
          <w:rFonts w:ascii="Times New Roman" w:hAnsi="Times New Roman" w:cs="Times New Roman"/>
        </w:rPr>
        <w:t xml:space="preserve">otion to </w:t>
      </w:r>
      <w:r w:rsidR="00862547">
        <w:rPr>
          <w:rFonts w:ascii="Times New Roman" w:hAnsi="Times New Roman" w:cs="Times New Roman"/>
        </w:rPr>
        <w:t>Q</w:t>
      </w:r>
      <w:r>
        <w:rPr>
          <w:rFonts w:ascii="Times New Roman" w:hAnsi="Times New Roman" w:cs="Times New Roman"/>
        </w:rPr>
        <w:t xml:space="preserve">uash Dominion’s </w:t>
      </w:r>
      <w:r w:rsidR="00862547">
        <w:rPr>
          <w:rFonts w:ascii="Times New Roman" w:hAnsi="Times New Roman" w:cs="Times New Roman"/>
        </w:rPr>
        <w:t>R</w:t>
      </w:r>
      <w:r>
        <w:rPr>
          <w:rFonts w:ascii="Times New Roman" w:hAnsi="Times New Roman" w:cs="Times New Roman"/>
        </w:rPr>
        <w:t xml:space="preserve">eply </w:t>
      </w:r>
      <w:r w:rsidR="00862547">
        <w:rPr>
          <w:rFonts w:ascii="Times New Roman" w:hAnsi="Times New Roman" w:cs="Times New Roman"/>
        </w:rPr>
        <w:t>B</w:t>
      </w:r>
      <w:r>
        <w:rPr>
          <w:rFonts w:ascii="Times New Roman" w:hAnsi="Times New Roman" w:cs="Times New Roman"/>
        </w:rPr>
        <w:t xml:space="preserve">rief </w:t>
      </w:r>
      <w:r w:rsidR="00172F2B">
        <w:rPr>
          <w:rFonts w:ascii="Times New Roman" w:hAnsi="Times New Roman" w:cs="Times New Roman"/>
        </w:rPr>
        <w:t>was</w:t>
      </w:r>
      <w:r>
        <w:rPr>
          <w:rFonts w:ascii="Times New Roman" w:hAnsi="Times New Roman" w:cs="Times New Roman"/>
        </w:rPr>
        <w:t xml:space="preserve"> denied</w:t>
      </w:r>
      <w:r w:rsidR="00172F2B">
        <w:rPr>
          <w:rFonts w:ascii="Times New Roman" w:hAnsi="Times New Roman" w:cs="Times New Roman"/>
        </w:rPr>
        <w:t xml:space="preserve">, and Equitable was granted leave to respond to Dominion’s reply brief.  </w:t>
      </w:r>
      <w:proofErr w:type="spellStart"/>
      <w:r w:rsidR="00172F2B">
        <w:rPr>
          <w:rFonts w:ascii="Times New Roman" w:hAnsi="Times New Roman" w:cs="Times New Roman"/>
        </w:rPr>
        <w:t>Equitable’s</w:t>
      </w:r>
      <w:proofErr w:type="spellEnd"/>
      <w:r w:rsidR="00172F2B">
        <w:rPr>
          <w:rFonts w:ascii="Times New Roman" w:hAnsi="Times New Roman" w:cs="Times New Roman"/>
        </w:rPr>
        <w:t xml:space="preserve"> response to Dominion’s reply brief, the above</w:t>
      </w:r>
      <w:r w:rsidR="00A72C3F">
        <w:rPr>
          <w:rFonts w:ascii="Times New Roman" w:hAnsi="Times New Roman" w:cs="Times New Roman"/>
        </w:rPr>
        <w:t>-</w:t>
      </w:r>
      <w:r w:rsidR="00172F2B">
        <w:rPr>
          <w:rFonts w:ascii="Times New Roman" w:hAnsi="Times New Roman" w:cs="Times New Roman"/>
        </w:rPr>
        <w:t xml:space="preserve">mentioned Attachment A, was deemed filed </w:t>
      </w:r>
      <w:r w:rsidR="00AF2379">
        <w:rPr>
          <w:rFonts w:ascii="Times New Roman" w:hAnsi="Times New Roman" w:cs="Times New Roman"/>
        </w:rPr>
        <w:t>by</w:t>
      </w:r>
      <w:r w:rsidR="00172F2B">
        <w:rPr>
          <w:rFonts w:ascii="Times New Roman" w:hAnsi="Times New Roman" w:cs="Times New Roman"/>
        </w:rPr>
        <w:t xml:space="preserve"> the Fourth Interim Order.  </w:t>
      </w:r>
    </w:p>
    <w:p w:rsidR="001E7DBA" w:rsidRDefault="001E7DBA" w:rsidP="005E2B7F">
      <w:pPr>
        <w:autoSpaceDE/>
        <w:autoSpaceDN/>
        <w:spacing w:line="360" w:lineRule="auto"/>
        <w:ind w:firstLine="1440"/>
        <w:rPr>
          <w:rFonts w:ascii="Times New Roman" w:hAnsi="Times New Roman" w:cs="Times New Roman"/>
        </w:rPr>
      </w:pPr>
    </w:p>
    <w:p w:rsidR="001E7DBA" w:rsidRDefault="001E7DBA" w:rsidP="005E2B7F">
      <w:pPr>
        <w:autoSpaceDE/>
        <w:autoSpaceDN/>
        <w:spacing w:line="360" w:lineRule="auto"/>
        <w:ind w:firstLine="1440"/>
        <w:rPr>
          <w:rFonts w:ascii="Times New Roman" w:hAnsi="Times New Roman" w:cs="Times New Roman"/>
        </w:rPr>
      </w:pPr>
      <w:r>
        <w:rPr>
          <w:rFonts w:ascii="Times New Roman" w:hAnsi="Times New Roman" w:cs="Times New Roman"/>
        </w:rPr>
        <w:t xml:space="preserve">The record </w:t>
      </w:r>
      <w:r w:rsidR="00AF2379">
        <w:rPr>
          <w:rFonts w:ascii="Times New Roman" w:hAnsi="Times New Roman" w:cs="Times New Roman"/>
        </w:rPr>
        <w:t>in this proceeding consists of the transcripts of the prehearing conference and evidentiary hearing, the written testimony and exhibits admitted into the record, petitions</w:t>
      </w:r>
      <w:r w:rsidR="005E3F61">
        <w:rPr>
          <w:rFonts w:ascii="Times New Roman" w:hAnsi="Times New Roman" w:cs="Times New Roman"/>
        </w:rPr>
        <w:t xml:space="preserve">, motions, responsive filings, briefs, </w:t>
      </w:r>
      <w:r w:rsidR="00AF2379">
        <w:rPr>
          <w:rFonts w:ascii="Times New Roman" w:hAnsi="Times New Roman" w:cs="Times New Roman"/>
        </w:rPr>
        <w:t xml:space="preserve">orders issued herein, </w:t>
      </w:r>
      <w:r w:rsidR="005E3F61">
        <w:rPr>
          <w:rFonts w:ascii="Times New Roman" w:hAnsi="Times New Roman" w:cs="Times New Roman"/>
        </w:rPr>
        <w:t>and the formal complaints of OCA.  On October 19, 2012, the ALJ issued a Fifth Interim Order closing the record.</w:t>
      </w:r>
    </w:p>
    <w:p w:rsidR="00292993" w:rsidRDefault="00292993" w:rsidP="005E2B7F">
      <w:pPr>
        <w:autoSpaceDE/>
        <w:autoSpaceDN/>
        <w:spacing w:line="360" w:lineRule="auto"/>
        <w:ind w:firstLine="1440"/>
        <w:rPr>
          <w:rFonts w:ascii="Times New Roman" w:hAnsi="Times New Roman" w:cs="Times New Roman"/>
        </w:rPr>
      </w:pPr>
    </w:p>
    <w:p w:rsidR="00292993" w:rsidRPr="00446694" w:rsidRDefault="00292993" w:rsidP="00292993">
      <w:pPr>
        <w:autoSpaceDE/>
        <w:autoSpaceDN/>
        <w:spacing w:line="360" w:lineRule="auto"/>
        <w:jc w:val="center"/>
        <w:rPr>
          <w:rFonts w:ascii="Times New Roman" w:hAnsi="Times New Roman" w:cs="Times New Roman"/>
          <w:u w:val="single"/>
        </w:rPr>
      </w:pPr>
      <w:r w:rsidRPr="00446694">
        <w:rPr>
          <w:rFonts w:ascii="Times New Roman" w:hAnsi="Times New Roman" w:cs="Times New Roman"/>
        </w:rPr>
        <w:t>II.</w:t>
      </w:r>
      <w:r w:rsidRPr="00446694">
        <w:rPr>
          <w:rFonts w:ascii="Times New Roman" w:hAnsi="Times New Roman" w:cs="Times New Roman"/>
        </w:rPr>
        <w:tab/>
      </w:r>
      <w:r w:rsidRPr="00446694">
        <w:rPr>
          <w:rFonts w:ascii="Times New Roman" w:hAnsi="Times New Roman" w:cs="Times New Roman"/>
          <w:u w:val="single"/>
        </w:rPr>
        <w:t>CONTESTED ISSUES</w:t>
      </w:r>
    </w:p>
    <w:p w:rsidR="00292993" w:rsidRPr="00446694" w:rsidRDefault="00292993" w:rsidP="00292993">
      <w:pPr>
        <w:autoSpaceDE/>
        <w:autoSpaceDN/>
        <w:spacing w:line="360" w:lineRule="auto"/>
        <w:jc w:val="center"/>
        <w:rPr>
          <w:rFonts w:ascii="Times New Roman" w:hAnsi="Times New Roman" w:cs="Times New Roman"/>
          <w:u w:val="single"/>
        </w:rPr>
      </w:pPr>
    </w:p>
    <w:p w:rsidR="00292993" w:rsidRPr="00446694" w:rsidRDefault="00292993" w:rsidP="00292993">
      <w:pPr>
        <w:spacing w:line="360" w:lineRule="auto"/>
        <w:rPr>
          <w:rFonts w:ascii="Times New Roman" w:hAnsi="Times New Roman" w:cs="Times New Roman"/>
        </w:rPr>
      </w:pPr>
      <w:r w:rsidRPr="00446694">
        <w:rPr>
          <w:rFonts w:ascii="Times New Roman" w:hAnsi="Times New Roman" w:cs="Times New Roman"/>
        </w:rPr>
        <w:tab/>
      </w:r>
      <w:r w:rsidRPr="00446694">
        <w:rPr>
          <w:rFonts w:ascii="Times New Roman" w:hAnsi="Times New Roman" w:cs="Times New Roman"/>
        </w:rPr>
        <w:tab/>
        <w:t>Equitable suggests that its proposed tariff supplements, under which it seeks to adjust its customer billing for Btu content, are non-general rate changes</w:t>
      </w:r>
      <w:r w:rsidR="00D75A98">
        <w:rPr>
          <w:rFonts w:ascii="Times New Roman" w:hAnsi="Times New Roman" w:cs="Times New Roman"/>
        </w:rPr>
        <w:t>,</w:t>
      </w:r>
      <w:r w:rsidRPr="00446694">
        <w:rPr>
          <w:rFonts w:ascii="Times New Roman" w:hAnsi="Times New Roman" w:cs="Times New Roman"/>
        </w:rPr>
        <w:t xml:space="preserve"> one of which the Commission should approve under Section 1308(b) of the Code because the Btu Adjustment is revenue neutral.</w:t>
      </w:r>
      <w:r w:rsidRPr="00446694">
        <w:rPr>
          <w:rFonts w:ascii="Times New Roman" w:hAnsi="Times New Roman" w:cs="Times New Roman"/>
          <w:vertAlign w:val="superscript"/>
        </w:rPr>
        <w:footnoteReference w:id="3"/>
      </w:r>
      <w:r w:rsidRPr="00446694">
        <w:rPr>
          <w:rFonts w:ascii="Times New Roman" w:hAnsi="Times New Roman" w:cs="Times New Roman"/>
        </w:rPr>
        <w:t xml:space="preserve">  The statutory parties submit </w:t>
      </w:r>
      <w:proofErr w:type="spellStart"/>
      <w:r w:rsidRPr="00446694">
        <w:rPr>
          <w:rFonts w:ascii="Times New Roman" w:hAnsi="Times New Roman" w:cs="Times New Roman"/>
        </w:rPr>
        <w:t>Equitable’s</w:t>
      </w:r>
      <w:proofErr w:type="spellEnd"/>
      <w:r w:rsidRPr="00446694">
        <w:rPr>
          <w:rFonts w:ascii="Times New Roman" w:hAnsi="Times New Roman" w:cs="Times New Roman"/>
        </w:rPr>
        <w:t xml:space="preserve"> proposed tariff supplements, under which customers would pay increased delivery charges, constitute impermissible single issue rate making, which would result in unjust and unreasonable rates.</w:t>
      </w:r>
      <w:r w:rsidRPr="00446694">
        <w:rPr>
          <w:rFonts w:ascii="Times New Roman" w:hAnsi="Times New Roman" w:cs="Times New Roman"/>
          <w:vertAlign w:val="superscript"/>
        </w:rPr>
        <w:footnoteReference w:id="4"/>
      </w:r>
      <w:r w:rsidRPr="00446694">
        <w:rPr>
          <w:rFonts w:ascii="Times New Roman" w:hAnsi="Times New Roman" w:cs="Times New Roman"/>
        </w:rPr>
        <w:t xml:space="preserve">  Therefore the Commission should deny approval of </w:t>
      </w:r>
      <w:proofErr w:type="spellStart"/>
      <w:r w:rsidRPr="00446694">
        <w:rPr>
          <w:rFonts w:ascii="Times New Roman" w:hAnsi="Times New Roman" w:cs="Times New Roman"/>
        </w:rPr>
        <w:t>Equitable’s</w:t>
      </w:r>
      <w:proofErr w:type="spellEnd"/>
      <w:r w:rsidRPr="00446694">
        <w:rPr>
          <w:rFonts w:ascii="Times New Roman" w:hAnsi="Times New Roman" w:cs="Times New Roman"/>
        </w:rPr>
        <w:t xml:space="preserve"> proposed Btu Adjustment, which circumvents full base rate review under Section 1308(d) of the Code.</w:t>
      </w:r>
    </w:p>
    <w:p w:rsidR="00292993" w:rsidRPr="00446694" w:rsidRDefault="00292993" w:rsidP="00292993">
      <w:pPr>
        <w:autoSpaceDE/>
        <w:autoSpaceDN/>
        <w:spacing w:line="360" w:lineRule="auto"/>
        <w:jc w:val="center"/>
        <w:rPr>
          <w:rFonts w:ascii="Times New Roman" w:hAnsi="Times New Roman" w:cs="Times New Roman"/>
        </w:rPr>
      </w:pPr>
    </w:p>
    <w:p w:rsidR="00760994" w:rsidRPr="00446694" w:rsidRDefault="00760994" w:rsidP="00446694">
      <w:pPr>
        <w:autoSpaceDE/>
        <w:autoSpaceDN/>
        <w:spacing w:line="360" w:lineRule="auto"/>
        <w:jc w:val="center"/>
        <w:rPr>
          <w:rFonts w:ascii="Times New Roman" w:hAnsi="Times New Roman" w:cs="Times New Roman"/>
          <w:u w:val="single"/>
        </w:rPr>
      </w:pPr>
      <w:r w:rsidRPr="00446694">
        <w:rPr>
          <w:rFonts w:ascii="Times New Roman" w:hAnsi="Times New Roman" w:cs="Times New Roman"/>
        </w:rPr>
        <w:t>II</w:t>
      </w:r>
      <w:r w:rsidR="00292993" w:rsidRPr="00446694">
        <w:rPr>
          <w:rFonts w:ascii="Times New Roman" w:hAnsi="Times New Roman" w:cs="Times New Roman"/>
        </w:rPr>
        <w:t>I</w:t>
      </w:r>
      <w:r w:rsidRPr="00446694">
        <w:rPr>
          <w:rFonts w:ascii="Times New Roman" w:hAnsi="Times New Roman" w:cs="Times New Roman"/>
        </w:rPr>
        <w:t>.</w:t>
      </w:r>
      <w:r w:rsidRPr="00446694">
        <w:rPr>
          <w:rFonts w:ascii="Times New Roman" w:hAnsi="Times New Roman" w:cs="Times New Roman"/>
        </w:rPr>
        <w:tab/>
      </w:r>
      <w:r w:rsidRPr="00446694">
        <w:rPr>
          <w:rFonts w:ascii="Times New Roman" w:hAnsi="Times New Roman" w:cs="Times New Roman"/>
          <w:u w:val="single"/>
        </w:rPr>
        <w:t>FINDINGS OF FACT</w:t>
      </w:r>
    </w:p>
    <w:p w:rsidR="00760994" w:rsidRPr="00446694" w:rsidRDefault="00760994" w:rsidP="00446694">
      <w:pPr>
        <w:autoSpaceDE/>
        <w:autoSpaceDN/>
        <w:spacing w:line="360" w:lineRule="auto"/>
        <w:rPr>
          <w:rFonts w:ascii="Times New Roman" w:hAnsi="Times New Roman" w:cs="Times New Roman"/>
          <w:u w:val="single"/>
        </w:rPr>
      </w:pPr>
    </w:p>
    <w:p w:rsidR="00292993" w:rsidRDefault="00292993" w:rsidP="00863C99">
      <w:pPr>
        <w:numPr>
          <w:ilvl w:val="0"/>
          <w:numId w:val="11"/>
        </w:numPr>
        <w:spacing w:line="360" w:lineRule="auto"/>
        <w:ind w:left="0" w:firstLine="1440"/>
        <w:contextualSpacing/>
        <w:rPr>
          <w:rFonts w:ascii="Times New Roman" w:hAnsi="Times New Roman" w:cs="Times New Roman"/>
        </w:rPr>
      </w:pPr>
      <w:r w:rsidRPr="00446694">
        <w:rPr>
          <w:rFonts w:ascii="Times New Roman" w:hAnsi="Times New Roman" w:cs="Times New Roman"/>
        </w:rPr>
        <w:t xml:space="preserve">Equitable </w:t>
      </w:r>
      <w:r w:rsidR="00446694" w:rsidRPr="00446694">
        <w:rPr>
          <w:rFonts w:ascii="Times New Roman" w:hAnsi="Times New Roman" w:cs="Times New Roman"/>
        </w:rPr>
        <w:t xml:space="preserve">is a jurisdictional public utility providing natural gas distribution service to Pennsylvania </w:t>
      </w:r>
      <w:r w:rsidR="00446694">
        <w:rPr>
          <w:rFonts w:ascii="Times New Roman" w:hAnsi="Times New Roman" w:cs="Times New Roman"/>
        </w:rPr>
        <w:t>customers</w:t>
      </w:r>
      <w:r w:rsidRPr="00446694">
        <w:rPr>
          <w:rFonts w:ascii="Times New Roman" w:hAnsi="Times New Roman" w:cs="Times New Roman"/>
        </w:rPr>
        <w:t>.</w:t>
      </w:r>
    </w:p>
    <w:p w:rsidR="00446694" w:rsidRDefault="00446694" w:rsidP="00863C99">
      <w:pPr>
        <w:spacing w:line="360" w:lineRule="auto"/>
        <w:ind w:left="1440"/>
        <w:contextualSpacing/>
        <w:rPr>
          <w:rFonts w:ascii="Times New Roman" w:hAnsi="Times New Roman" w:cs="Times New Roman"/>
        </w:rPr>
      </w:pPr>
    </w:p>
    <w:p w:rsidR="00292993" w:rsidRDefault="00446694" w:rsidP="00863C99">
      <w:pPr>
        <w:numPr>
          <w:ilvl w:val="0"/>
          <w:numId w:val="11"/>
        </w:numPr>
        <w:spacing w:line="360" w:lineRule="auto"/>
        <w:ind w:left="0" w:firstLine="1440"/>
        <w:contextualSpacing/>
        <w:rPr>
          <w:rFonts w:ascii="Times New Roman" w:hAnsi="Times New Roman" w:cs="Times New Roman"/>
        </w:rPr>
      </w:pPr>
      <w:r w:rsidRPr="00446694">
        <w:rPr>
          <w:rFonts w:ascii="Times New Roman" w:hAnsi="Times New Roman" w:cs="Times New Roman"/>
        </w:rPr>
        <w:t>As of March 31, 2012, Equitable served 260,684 residential, commercial, industrial and other customers in Southwestern Pennsylvania, including the City of Pittsburgh.</w:t>
      </w:r>
      <w:r w:rsidR="006D5725">
        <w:rPr>
          <w:rFonts w:ascii="Times New Roman" w:hAnsi="Times New Roman" w:cs="Times New Roman"/>
        </w:rPr>
        <w:t xml:space="preserve"> </w:t>
      </w:r>
      <w:r w:rsidRPr="00446694">
        <w:rPr>
          <w:rFonts w:ascii="Times New Roman" w:hAnsi="Times New Roman" w:cs="Times New Roman"/>
        </w:rPr>
        <w:t xml:space="preserve"> Equitable Exhibit I, Supporting Documentation at</w:t>
      </w:r>
      <w:r>
        <w:rPr>
          <w:rFonts w:ascii="Times New Roman" w:hAnsi="Times New Roman" w:cs="Times New Roman"/>
        </w:rPr>
        <w:t xml:space="preserve"> 4.</w:t>
      </w:r>
    </w:p>
    <w:p w:rsidR="00446694" w:rsidRDefault="00446694" w:rsidP="00863C99">
      <w:pPr>
        <w:pStyle w:val="ListParagraph"/>
        <w:spacing w:line="360" w:lineRule="auto"/>
      </w:pPr>
    </w:p>
    <w:p w:rsidR="00292993" w:rsidRPr="00446694" w:rsidRDefault="00292993" w:rsidP="00863C99">
      <w:pPr>
        <w:numPr>
          <w:ilvl w:val="0"/>
          <w:numId w:val="11"/>
        </w:numPr>
        <w:spacing w:line="360" w:lineRule="auto"/>
        <w:ind w:left="0" w:firstLine="1440"/>
        <w:contextualSpacing/>
        <w:rPr>
          <w:rFonts w:ascii="Times New Roman" w:hAnsi="Times New Roman" w:cs="Times New Roman"/>
        </w:rPr>
      </w:pPr>
      <w:r w:rsidRPr="00446694">
        <w:rPr>
          <w:rFonts w:ascii="Times New Roman" w:hAnsi="Times New Roman" w:cs="Times New Roman"/>
        </w:rPr>
        <w:t>Equitable provide</w:t>
      </w:r>
      <w:r w:rsidR="00446694">
        <w:rPr>
          <w:rFonts w:ascii="Times New Roman" w:hAnsi="Times New Roman" w:cs="Times New Roman"/>
        </w:rPr>
        <w:t xml:space="preserve">s </w:t>
      </w:r>
      <w:r w:rsidRPr="00446694">
        <w:rPr>
          <w:rFonts w:ascii="Times New Roman" w:hAnsi="Times New Roman" w:cs="Times New Roman"/>
        </w:rPr>
        <w:t>gas delivery service to sale and transportation customer</w:t>
      </w:r>
      <w:r w:rsidR="00ED246B">
        <w:rPr>
          <w:rFonts w:ascii="Times New Roman" w:hAnsi="Times New Roman" w:cs="Times New Roman"/>
        </w:rPr>
        <w:t>s</w:t>
      </w:r>
      <w:r w:rsidRPr="00446694">
        <w:rPr>
          <w:rFonts w:ascii="Times New Roman" w:hAnsi="Times New Roman" w:cs="Times New Roman"/>
        </w:rPr>
        <w:t xml:space="preserve">.  Tr. 68. </w:t>
      </w:r>
    </w:p>
    <w:p w:rsidR="00292993" w:rsidRPr="00446694" w:rsidRDefault="00292993" w:rsidP="00863C99">
      <w:pPr>
        <w:spacing w:line="360" w:lineRule="auto"/>
        <w:ind w:firstLine="1440"/>
        <w:contextualSpacing/>
        <w:rPr>
          <w:rFonts w:ascii="Times New Roman" w:hAnsi="Times New Roman" w:cs="Times New Roman"/>
        </w:rPr>
      </w:pPr>
    </w:p>
    <w:p w:rsidR="00292993" w:rsidRPr="00446694" w:rsidRDefault="00292993" w:rsidP="00863C99">
      <w:pPr>
        <w:numPr>
          <w:ilvl w:val="0"/>
          <w:numId w:val="11"/>
        </w:numPr>
        <w:spacing w:line="360" w:lineRule="auto"/>
        <w:ind w:left="0" w:firstLine="1440"/>
        <w:contextualSpacing/>
        <w:rPr>
          <w:rFonts w:ascii="Times New Roman" w:hAnsi="Times New Roman" w:cs="Times New Roman"/>
        </w:rPr>
      </w:pPr>
      <w:r w:rsidRPr="00446694">
        <w:rPr>
          <w:rFonts w:ascii="Times New Roman" w:hAnsi="Times New Roman" w:cs="Times New Roman"/>
        </w:rPr>
        <w:t>Currently Equitable bills customers for delivery services based upon rates and terms set forth in its Commission-approved 2008 base rate f</w:t>
      </w:r>
      <w:r w:rsidR="006D5725">
        <w:rPr>
          <w:rFonts w:ascii="Times New Roman" w:hAnsi="Times New Roman" w:cs="Times New Roman"/>
        </w:rPr>
        <w:t>i</w:t>
      </w:r>
      <w:r w:rsidRPr="00446694">
        <w:rPr>
          <w:rFonts w:ascii="Times New Roman" w:hAnsi="Times New Roman" w:cs="Times New Roman"/>
        </w:rPr>
        <w:t xml:space="preserve">ling at Docket No. R-2008-2029325, effective since March 2009.  </w:t>
      </w:r>
    </w:p>
    <w:p w:rsidR="00292993" w:rsidRPr="00446694" w:rsidRDefault="00292993" w:rsidP="00863C99">
      <w:pPr>
        <w:spacing w:line="360" w:lineRule="auto"/>
        <w:ind w:firstLine="1440"/>
        <w:contextualSpacing/>
        <w:rPr>
          <w:rFonts w:ascii="Times New Roman" w:hAnsi="Times New Roman" w:cs="Times New Roman"/>
        </w:rPr>
      </w:pPr>
    </w:p>
    <w:p w:rsidR="00292993" w:rsidRPr="00446694" w:rsidRDefault="00292993" w:rsidP="00863C99">
      <w:pPr>
        <w:numPr>
          <w:ilvl w:val="0"/>
          <w:numId w:val="11"/>
        </w:numPr>
        <w:spacing w:line="360" w:lineRule="auto"/>
        <w:ind w:left="0" w:firstLine="1440"/>
        <w:contextualSpacing/>
        <w:rPr>
          <w:rFonts w:ascii="Times New Roman" w:hAnsi="Times New Roman" w:cs="Times New Roman"/>
        </w:rPr>
      </w:pPr>
      <w:r w:rsidRPr="00446694">
        <w:rPr>
          <w:rFonts w:ascii="Times New Roman" w:hAnsi="Times New Roman" w:cs="Times New Roman"/>
        </w:rPr>
        <w:t xml:space="preserve">Equitable presently bills for its service on a volumetric or </w:t>
      </w:r>
      <w:proofErr w:type="spellStart"/>
      <w:r w:rsidRPr="00446694">
        <w:rPr>
          <w:rFonts w:ascii="Times New Roman" w:hAnsi="Times New Roman" w:cs="Times New Roman"/>
        </w:rPr>
        <w:t>Mcf</w:t>
      </w:r>
      <w:proofErr w:type="spellEnd"/>
      <w:r w:rsidRPr="00446694">
        <w:rPr>
          <w:rFonts w:ascii="Times New Roman" w:hAnsi="Times New Roman" w:cs="Times New Roman"/>
        </w:rPr>
        <w:t xml:space="preserve"> basis without adjustment for Btu content (heat content) of the gas provided.  Tr. 65.</w:t>
      </w:r>
    </w:p>
    <w:p w:rsidR="00292993" w:rsidRPr="00446694" w:rsidRDefault="00292993" w:rsidP="00863C99">
      <w:pPr>
        <w:spacing w:line="360" w:lineRule="auto"/>
        <w:ind w:firstLine="1440"/>
        <w:contextualSpacing/>
        <w:rPr>
          <w:rFonts w:ascii="Times New Roman" w:hAnsi="Times New Roman" w:cs="Times New Roman"/>
        </w:rPr>
      </w:pPr>
    </w:p>
    <w:p w:rsidR="00292993" w:rsidRPr="00446694" w:rsidRDefault="00292993" w:rsidP="00863C99">
      <w:pPr>
        <w:numPr>
          <w:ilvl w:val="0"/>
          <w:numId w:val="11"/>
        </w:numPr>
        <w:spacing w:line="360" w:lineRule="auto"/>
        <w:ind w:left="0" w:firstLine="1440"/>
        <w:contextualSpacing/>
        <w:rPr>
          <w:rFonts w:ascii="Times New Roman" w:hAnsi="Times New Roman" w:cs="Times New Roman"/>
        </w:rPr>
      </w:pPr>
      <w:r w:rsidRPr="00446694">
        <w:rPr>
          <w:rFonts w:ascii="Times New Roman" w:hAnsi="Times New Roman" w:cs="Times New Roman"/>
        </w:rPr>
        <w:t xml:space="preserve">Currently </w:t>
      </w:r>
      <w:proofErr w:type="spellStart"/>
      <w:r w:rsidRPr="00446694">
        <w:rPr>
          <w:rFonts w:ascii="Times New Roman" w:hAnsi="Times New Roman" w:cs="Times New Roman"/>
        </w:rPr>
        <w:t>Equitable’s</w:t>
      </w:r>
      <w:proofErr w:type="spellEnd"/>
      <w:r w:rsidRPr="00446694">
        <w:rPr>
          <w:rFonts w:ascii="Times New Roman" w:hAnsi="Times New Roman" w:cs="Times New Roman"/>
        </w:rPr>
        <w:t xml:space="preserve"> billing system is stated in the tariff rate, a dollar amount, times the </w:t>
      </w:r>
      <w:proofErr w:type="spellStart"/>
      <w:r w:rsidRPr="00446694">
        <w:rPr>
          <w:rFonts w:ascii="Times New Roman" w:hAnsi="Times New Roman" w:cs="Times New Roman"/>
        </w:rPr>
        <w:t>Mcfs</w:t>
      </w:r>
      <w:proofErr w:type="spellEnd"/>
      <w:r w:rsidRPr="00446694">
        <w:rPr>
          <w:rFonts w:ascii="Times New Roman" w:hAnsi="Times New Roman" w:cs="Times New Roman"/>
        </w:rPr>
        <w:t xml:space="preserve"> consumed by the customer.  Tr. 69.  </w:t>
      </w:r>
    </w:p>
    <w:p w:rsidR="00292993" w:rsidRPr="00446694" w:rsidRDefault="00292993" w:rsidP="00863C99">
      <w:pPr>
        <w:spacing w:line="360" w:lineRule="auto"/>
        <w:ind w:firstLine="1440"/>
        <w:contextualSpacing/>
        <w:rPr>
          <w:rFonts w:ascii="Times New Roman" w:hAnsi="Times New Roman" w:cs="Times New Roman"/>
        </w:rPr>
      </w:pPr>
    </w:p>
    <w:p w:rsidR="00292993" w:rsidRDefault="00292993" w:rsidP="00863C99">
      <w:pPr>
        <w:numPr>
          <w:ilvl w:val="0"/>
          <w:numId w:val="11"/>
        </w:numPr>
        <w:spacing w:line="360" w:lineRule="auto"/>
        <w:ind w:left="0" w:firstLine="1440"/>
        <w:contextualSpacing/>
        <w:rPr>
          <w:rFonts w:ascii="Times New Roman" w:hAnsi="Times New Roman" w:cs="Times New Roman"/>
        </w:rPr>
      </w:pPr>
      <w:r w:rsidRPr="00B07E08">
        <w:rPr>
          <w:rFonts w:ascii="Times New Roman" w:hAnsi="Times New Roman" w:cs="Times New Roman"/>
        </w:rPr>
        <w:t>Equitable submits three alternati</w:t>
      </w:r>
      <w:r w:rsidR="00D75A98" w:rsidRPr="00B07E08">
        <w:rPr>
          <w:rFonts w:ascii="Times New Roman" w:hAnsi="Times New Roman" w:cs="Times New Roman"/>
        </w:rPr>
        <w:t>ve tariff proposals, Supplement</w:t>
      </w:r>
      <w:r w:rsidRPr="00B07E08">
        <w:rPr>
          <w:rFonts w:ascii="Times New Roman" w:hAnsi="Times New Roman" w:cs="Times New Roman"/>
        </w:rPr>
        <w:t xml:space="preserve"> Nos. 79, 80 and 81 to adjust customer billing to account for the fluctuation of Btu content of the gas that</w:t>
      </w:r>
      <w:r w:rsidR="00446694" w:rsidRPr="00B07E08">
        <w:rPr>
          <w:rFonts w:ascii="Times New Roman" w:hAnsi="Times New Roman" w:cs="Times New Roman"/>
        </w:rPr>
        <w:t xml:space="preserve"> </w:t>
      </w:r>
      <w:r w:rsidRPr="00B07E08">
        <w:rPr>
          <w:rFonts w:ascii="Times New Roman" w:hAnsi="Times New Roman" w:cs="Times New Roman"/>
        </w:rPr>
        <w:t xml:space="preserve">the Company receives and distributes to customers. </w:t>
      </w:r>
      <w:r w:rsidR="00863C99">
        <w:rPr>
          <w:rFonts w:ascii="Times New Roman" w:hAnsi="Times New Roman" w:cs="Times New Roman"/>
        </w:rPr>
        <w:t xml:space="preserve"> </w:t>
      </w:r>
    </w:p>
    <w:p w:rsidR="00B07E08" w:rsidRDefault="00B07E08" w:rsidP="00863C99">
      <w:pPr>
        <w:pStyle w:val="ListParagraph"/>
        <w:spacing w:line="360" w:lineRule="auto"/>
      </w:pPr>
    </w:p>
    <w:p w:rsidR="00292993" w:rsidRPr="00446694" w:rsidRDefault="00292993" w:rsidP="00863C99">
      <w:pPr>
        <w:numPr>
          <w:ilvl w:val="0"/>
          <w:numId w:val="11"/>
        </w:numPr>
        <w:spacing w:line="360" w:lineRule="auto"/>
        <w:ind w:left="0" w:firstLine="1440"/>
        <w:contextualSpacing/>
        <w:rPr>
          <w:rFonts w:ascii="Times New Roman" w:hAnsi="Times New Roman" w:cs="Times New Roman"/>
        </w:rPr>
      </w:pPr>
      <w:r w:rsidRPr="00446694">
        <w:rPr>
          <w:rFonts w:ascii="Times New Roman" w:hAnsi="Times New Roman" w:cs="Times New Roman"/>
        </w:rPr>
        <w:t>Supplement No. 79 proposes monthly delivery rate adjustments.</w:t>
      </w:r>
    </w:p>
    <w:p w:rsidR="00292993" w:rsidRPr="00446694" w:rsidRDefault="00292993" w:rsidP="00863C99">
      <w:pPr>
        <w:spacing w:line="360" w:lineRule="auto"/>
        <w:ind w:firstLine="1440"/>
        <w:contextualSpacing/>
        <w:rPr>
          <w:rFonts w:ascii="Times New Roman" w:hAnsi="Times New Roman" w:cs="Times New Roman"/>
        </w:rPr>
      </w:pPr>
    </w:p>
    <w:p w:rsidR="00292993" w:rsidRPr="00446694" w:rsidRDefault="00292993" w:rsidP="00863C99">
      <w:pPr>
        <w:numPr>
          <w:ilvl w:val="0"/>
          <w:numId w:val="11"/>
        </w:numPr>
        <w:spacing w:line="360" w:lineRule="auto"/>
        <w:ind w:left="0" w:firstLine="1440"/>
        <w:contextualSpacing/>
        <w:rPr>
          <w:rFonts w:ascii="Times New Roman" w:hAnsi="Times New Roman" w:cs="Times New Roman"/>
        </w:rPr>
      </w:pPr>
      <w:r w:rsidRPr="00446694">
        <w:rPr>
          <w:rFonts w:ascii="Times New Roman" w:hAnsi="Times New Roman" w:cs="Times New Roman"/>
        </w:rPr>
        <w:t>Supplement No. 80 proposes heat value correction factor adjustments to metered volumes.</w:t>
      </w:r>
    </w:p>
    <w:p w:rsidR="00292993" w:rsidRPr="00446694" w:rsidRDefault="00292993" w:rsidP="00863C99">
      <w:pPr>
        <w:spacing w:line="360" w:lineRule="auto"/>
        <w:ind w:firstLine="1440"/>
        <w:contextualSpacing/>
        <w:rPr>
          <w:rFonts w:ascii="Times New Roman" w:hAnsi="Times New Roman" w:cs="Times New Roman"/>
        </w:rPr>
      </w:pPr>
    </w:p>
    <w:p w:rsidR="00292993" w:rsidRPr="00446694" w:rsidRDefault="00292993" w:rsidP="00863C99">
      <w:pPr>
        <w:numPr>
          <w:ilvl w:val="0"/>
          <w:numId w:val="11"/>
        </w:numPr>
        <w:spacing w:line="360" w:lineRule="auto"/>
        <w:ind w:left="0" w:firstLine="1440"/>
        <w:contextualSpacing/>
        <w:rPr>
          <w:rFonts w:ascii="Times New Roman" w:hAnsi="Times New Roman" w:cs="Times New Roman"/>
        </w:rPr>
      </w:pPr>
      <w:r w:rsidRPr="00446694">
        <w:rPr>
          <w:rFonts w:ascii="Times New Roman" w:hAnsi="Times New Roman" w:cs="Times New Roman"/>
        </w:rPr>
        <w:t xml:space="preserve">Supplement No. 81 proposes to measure customer usage in </w:t>
      </w:r>
      <w:proofErr w:type="spellStart"/>
      <w:r w:rsidRPr="00446694">
        <w:rPr>
          <w:rFonts w:ascii="Times New Roman" w:hAnsi="Times New Roman" w:cs="Times New Roman"/>
        </w:rPr>
        <w:t>Mcf</w:t>
      </w:r>
      <w:proofErr w:type="spellEnd"/>
      <w:r w:rsidRPr="00446694">
        <w:rPr>
          <w:rFonts w:ascii="Times New Roman" w:hAnsi="Times New Roman" w:cs="Times New Roman"/>
        </w:rPr>
        <w:t xml:space="preserve"> and the</w:t>
      </w:r>
      <w:r w:rsidR="000B60D5">
        <w:rPr>
          <w:rFonts w:ascii="Times New Roman" w:hAnsi="Times New Roman" w:cs="Times New Roman"/>
        </w:rPr>
        <w:t>n</w:t>
      </w:r>
      <w:r w:rsidRPr="00446694">
        <w:rPr>
          <w:rFonts w:ascii="Times New Roman" w:hAnsi="Times New Roman" w:cs="Times New Roman"/>
        </w:rPr>
        <w:t xml:space="preserve"> convert to dekatherms for billing purposes.  Tr. 70.</w:t>
      </w:r>
    </w:p>
    <w:p w:rsidR="00292993" w:rsidRPr="00446694" w:rsidRDefault="00292993" w:rsidP="00863C99">
      <w:pPr>
        <w:spacing w:line="360" w:lineRule="auto"/>
        <w:ind w:firstLine="1440"/>
        <w:contextualSpacing/>
        <w:rPr>
          <w:rFonts w:ascii="Times New Roman" w:hAnsi="Times New Roman" w:cs="Times New Roman"/>
        </w:rPr>
      </w:pPr>
    </w:p>
    <w:p w:rsidR="00292993" w:rsidRPr="00446694" w:rsidRDefault="00292993" w:rsidP="00863C99">
      <w:pPr>
        <w:numPr>
          <w:ilvl w:val="0"/>
          <w:numId w:val="11"/>
        </w:numPr>
        <w:spacing w:line="360" w:lineRule="auto"/>
        <w:ind w:left="0" w:firstLine="1440"/>
        <w:contextualSpacing/>
        <w:rPr>
          <w:rFonts w:ascii="Times New Roman" w:hAnsi="Times New Roman" w:cs="Times New Roman"/>
        </w:rPr>
      </w:pPr>
      <w:proofErr w:type="spellStart"/>
      <w:r w:rsidRPr="00446694">
        <w:rPr>
          <w:rFonts w:ascii="Times New Roman" w:hAnsi="Times New Roman" w:cs="Times New Roman"/>
        </w:rPr>
        <w:t>Equitable’s</w:t>
      </w:r>
      <w:proofErr w:type="spellEnd"/>
      <w:r w:rsidRPr="00446694">
        <w:rPr>
          <w:rFonts w:ascii="Times New Roman" w:hAnsi="Times New Roman" w:cs="Times New Roman"/>
        </w:rPr>
        <w:t xml:space="preserve"> proposed tariff supplements contain three distinct changes.</w:t>
      </w:r>
    </w:p>
    <w:p w:rsidR="00292993" w:rsidRPr="00446694" w:rsidRDefault="00292993" w:rsidP="00446694">
      <w:pPr>
        <w:spacing w:line="360" w:lineRule="auto"/>
        <w:ind w:firstLine="1440"/>
        <w:rPr>
          <w:rFonts w:ascii="Times New Roman" w:hAnsi="Times New Roman" w:cs="Times New Roman"/>
        </w:rPr>
      </w:pPr>
    </w:p>
    <w:p w:rsidR="00292993" w:rsidRPr="00446694" w:rsidRDefault="00292993" w:rsidP="00D75A98">
      <w:pPr>
        <w:pStyle w:val="ListParagraph"/>
        <w:numPr>
          <w:ilvl w:val="0"/>
          <w:numId w:val="16"/>
        </w:numPr>
        <w:spacing w:after="240"/>
        <w:ind w:left="2880" w:right="720" w:hanging="720"/>
        <w:rPr>
          <w:sz w:val="24"/>
          <w:szCs w:val="24"/>
        </w:rPr>
      </w:pPr>
      <w:r w:rsidRPr="00446694">
        <w:rPr>
          <w:rFonts w:eastAsia="Times"/>
          <w:sz w:val="24"/>
          <w:szCs w:val="24"/>
        </w:rPr>
        <w:t xml:space="preserve">The first change in each of the three supplements is to modify </w:t>
      </w:r>
      <w:proofErr w:type="spellStart"/>
      <w:r w:rsidRPr="00446694">
        <w:rPr>
          <w:rFonts w:eastAsia="Times"/>
          <w:sz w:val="24"/>
          <w:szCs w:val="24"/>
        </w:rPr>
        <w:t>Equitable’s</w:t>
      </w:r>
      <w:proofErr w:type="spellEnd"/>
      <w:r w:rsidRPr="00446694">
        <w:rPr>
          <w:rFonts w:eastAsia="Times"/>
          <w:sz w:val="24"/>
          <w:szCs w:val="24"/>
        </w:rPr>
        <w:t xml:space="preserve"> billing of its retail gas service customers to make the gas Delivery Charges in each retail rate schedule reflect the heat energy or Btu content of the gas that Equitable delivers to</w:t>
      </w:r>
      <w:r w:rsidRPr="00446694">
        <w:rPr>
          <w:sz w:val="24"/>
          <w:szCs w:val="24"/>
        </w:rPr>
        <w:t xml:space="preserve"> these retail customers.  </w:t>
      </w:r>
    </w:p>
    <w:p w:rsidR="00292993" w:rsidRPr="00446694" w:rsidRDefault="00292993" w:rsidP="00D75A98">
      <w:pPr>
        <w:spacing w:after="240"/>
        <w:ind w:left="2880" w:right="720" w:hanging="720"/>
        <w:rPr>
          <w:rFonts w:ascii="Times New Roman" w:hAnsi="Times New Roman" w:cs="Times New Roman"/>
        </w:rPr>
      </w:pPr>
      <w:r w:rsidRPr="00446694">
        <w:rPr>
          <w:rFonts w:ascii="Times New Roman" w:hAnsi="Times New Roman" w:cs="Times New Roman"/>
        </w:rPr>
        <w:t>2.</w:t>
      </w:r>
      <w:r w:rsidRPr="00446694">
        <w:rPr>
          <w:rFonts w:ascii="Times New Roman" w:hAnsi="Times New Roman" w:cs="Times New Roman"/>
        </w:rPr>
        <w:tab/>
        <w:t xml:space="preserve">The second change in each tariff supplement would establish monthly (instead of annual) updating of the Btu conversion factor used to balance the delivery service pools maintained for the Natural Gas Suppliers (NGSs) that provide gas supplies to </w:t>
      </w:r>
      <w:proofErr w:type="spellStart"/>
      <w:r w:rsidRPr="00446694">
        <w:rPr>
          <w:rFonts w:ascii="Times New Roman" w:hAnsi="Times New Roman" w:cs="Times New Roman"/>
        </w:rPr>
        <w:t>Equitable’s</w:t>
      </w:r>
      <w:proofErr w:type="spellEnd"/>
      <w:r w:rsidRPr="00446694">
        <w:rPr>
          <w:rFonts w:ascii="Times New Roman" w:hAnsi="Times New Roman" w:cs="Times New Roman"/>
        </w:rPr>
        <w:t xml:space="preserve"> retail transportation service customers.  This second change is a modification of Tariff Rule 11.22, and it is the same in all three of </w:t>
      </w:r>
      <w:proofErr w:type="spellStart"/>
      <w:r w:rsidRPr="00446694">
        <w:rPr>
          <w:rFonts w:ascii="Times New Roman" w:hAnsi="Times New Roman" w:cs="Times New Roman"/>
        </w:rPr>
        <w:t>Equitable’s</w:t>
      </w:r>
      <w:proofErr w:type="spellEnd"/>
      <w:r w:rsidRPr="00446694">
        <w:rPr>
          <w:rFonts w:ascii="Times New Roman" w:hAnsi="Times New Roman" w:cs="Times New Roman"/>
        </w:rPr>
        <w:t xml:space="preserve"> proposed alternative tariff supplements.</w:t>
      </w:r>
    </w:p>
    <w:p w:rsidR="00292993" w:rsidRPr="00446694" w:rsidRDefault="00292993" w:rsidP="00D75A98">
      <w:pPr>
        <w:spacing w:after="240"/>
        <w:ind w:left="2880" w:right="720" w:hanging="720"/>
        <w:rPr>
          <w:rFonts w:ascii="Times New Roman" w:hAnsi="Times New Roman" w:cs="Times New Roman"/>
        </w:rPr>
      </w:pPr>
      <w:r w:rsidRPr="00446694">
        <w:rPr>
          <w:rFonts w:ascii="Times New Roman" w:hAnsi="Times New Roman" w:cs="Times New Roman"/>
        </w:rPr>
        <w:t>3.</w:t>
      </w:r>
      <w:r w:rsidRPr="00446694">
        <w:rPr>
          <w:rFonts w:ascii="Times New Roman" w:hAnsi="Times New Roman" w:cs="Times New Roman"/>
        </w:rPr>
        <w:tab/>
        <w:t xml:space="preserve">The third change in each tariff supplement would establish a voluntary program for Equitable to purchase the receivables of NGSs that provide gas supplies to </w:t>
      </w:r>
      <w:proofErr w:type="spellStart"/>
      <w:r w:rsidRPr="00446694">
        <w:rPr>
          <w:rFonts w:ascii="Times New Roman" w:hAnsi="Times New Roman" w:cs="Times New Roman"/>
        </w:rPr>
        <w:t>Equitable’s</w:t>
      </w:r>
      <w:proofErr w:type="spellEnd"/>
      <w:r w:rsidRPr="00446694">
        <w:rPr>
          <w:rFonts w:ascii="Times New Roman" w:hAnsi="Times New Roman" w:cs="Times New Roman"/>
        </w:rPr>
        <w:t xml:space="preserve"> retail delivery service customers.</w:t>
      </w:r>
    </w:p>
    <w:p w:rsidR="00292993" w:rsidRPr="00446694" w:rsidRDefault="00292993" w:rsidP="00292993">
      <w:pPr>
        <w:ind w:left="2160" w:right="720"/>
        <w:rPr>
          <w:rFonts w:ascii="Times New Roman" w:hAnsi="Times New Roman" w:cs="Times New Roman"/>
        </w:rPr>
      </w:pPr>
      <w:r w:rsidRPr="00446694">
        <w:rPr>
          <w:rFonts w:ascii="Times New Roman" w:hAnsi="Times New Roman" w:cs="Times New Roman"/>
        </w:rPr>
        <w:t>The principal purpose of the first change is to provide increased Delivery Charge revenue for Equitable.  If the first change had been in effect during the 12 months</w:t>
      </w:r>
      <w:r w:rsidR="00D75A98">
        <w:rPr>
          <w:rFonts w:ascii="Times New Roman" w:hAnsi="Times New Roman" w:cs="Times New Roman"/>
        </w:rPr>
        <w:t xml:space="preserve"> </w:t>
      </w:r>
      <w:r w:rsidRPr="00446694">
        <w:rPr>
          <w:rFonts w:ascii="Times New Roman" w:hAnsi="Times New Roman" w:cs="Times New Roman"/>
        </w:rPr>
        <w:t xml:space="preserve">ended April 2012, it would have provided Equitable with $1.2 million more Delivery Charge revenue than Equitable actually obtained during that period. </w:t>
      </w:r>
      <w:r w:rsidR="00D75A98">
        <w:rPr>
          <w:rFonts w:ascii="Times New Roman" w:hAnsi="Times New Roman" w:cs="Times New Roman"/>
        </w:rPr>
        <w:t xml:space="preserve"> </w:t>
      </w:r>
      <w:r w:rsidRPr="00446694">
        <w:rPr>
          <w:rFonts w:ascii="Times New Roman" w:hAnsi="Times New Roman" w:cs="Times New Roman"/>
        </w:rPr>
        <w:t xml:space="preserve">The purpose of the second change is to remove prospectively a subsidy that </w:t>
      </w:r>
      <w:proofErr w:type="spellStart"/>
      <w:r w:rsidRPr="00446694">
        <w:rPr>
          <w:rFonts w:ascii="Times New Roman" w:hAnsi="Times New Roman" w:cs="Times New Roman"/>
        </w:rPr>
        <w:t>Equitable’s</w:t>
      </w:r>
      <w:proofErr w:type="spellEnd"/>
      <w:r w:rsidRPr="00446694">
        <w:rPr>
          <w:rFonts w:ascii="Times New Roman" w:hAnsi="Times New Roman" w:cs="Times New Roman"/>
        </w:rPr>
        <w:t xml:space="preserve"> retail gas sales service customers have been providing to </w:t>
      </w:r>
      <w:proofErr w:type="spellStart"/>
      <w:r w:rsidRPr="00446694">
        <w:rPr>
          <w:rFonts w:ascii="Times New Roman" w:hAnsi="Times New Roman" w:cs="Times New Roman"/>
        </w:rPr>
        <w:t>Equitable’s</w:t>
      </w:r>
      <w:proofErr w:type="spellEnd"/>
      <w:r w:rsidRPr="00446694">
        <w:rPr>
          <w:rFonts w:ascii="Times New Roman" w:hAnsi="Times New Roman" w:cs="Times New Roman"/>
        </w:rPr>
        <w:t xml:space="preserve"> retail gas transportation service customers during the past two years.  </w:t>
      </w:r>
    </w:p>
    <w:p w:rsidR="00292993" w:rsidRPr="00446694" w:rsidRDefault="00292993" w:rsidP="00292993">
      <w:pPr>
        <w:ind w:left="2160" w:right="720"/>
        <w:rPr>
          <w:rFonts w:ascii="Times New Roman" w:hAnsi="Times New Roman" w:cs="Times New Roman"/>
        </w:rPr>
      </w:pPr>
    </w:p>
    <w:p w:rsidR="00292993" w:rsidRPr="00446694" w:rsidRDefault="00292993" w:rsidP="00863C99">
      <w:pPr>
        <w:spacing w:line="360" w:lineRule="auto"/>
        <w:contextualSpacing/>
        <w:rPr>
          <w:rFonts w:ascii="Times New Roman" w:hAnsi="Times New Roman" w:cs="Times New Roman"/>
        </w:rPr>
      </w:pPr>
      <w:r w:rsidRPr="00446694">
        <w:rPr>
          <w:rFonts w:ascii="Times New Roman" w:hAnsi="Times New Roman" w:cs="Times New Roman"/>
        </w:rPr>
        <w:t xml:space="preserve">OCA Statement (St.) No. 1, pp. 2-3. </w:t>
      </w:r>
    </w:p>
    <w:p w:rsidR="00292993" w:rsidRPr="00446694" w:rsidRDefault="00292993" w:rsidP="00863C99">
      <w:pPr>
        <w:spacing w:line="360" w:lineRule="auto"/>
        <w:ind w:firstLine="1440"/>
        <w:contextualSpacing/>
        <w:rPr>
          <w:rFonts w:ascii="Times New Roman" w:hAnsi="Times New Roman" w:cs="Times New Roman"/>
        </w:rPr>
      </w:pPr>
    </w:p>
    <w:p w:rsidR="00292993" w:rsidRPr="00446694" w:rsidRDefault="00292993" w:rsidP="00863C99">
      <w:pPr>
        <w:numPr>
          <w:ilvl w:val="0"/>
          <w:numId w:val="11"/>
        </w:numPr>
        <w:spacing w:line="360" w:lineRule="auto"/>
        <w:ind w:left="0" w:firstLine="1440"/>
        <w:contextualSpacing/>
        <w:rPr>
          <w:rFonts w:ascii="Times New Roman" w:hAnsi="Times New Roman" w:cs="Times New Roman"/>
        </w:rPr>
      </w:pPr>
      <w:r w:rsidRPr="00446694">
        <w:rPr>
          <w:rFonts w:ascii="Times New Roman" w:hAnsi="Times New Roman" w:cs="Times New Roman"/>
        </w:rPr>
        <w:t xml:space="preserve">Equitable also submits for Commission approval a Purchase of Receivables program.  </w:t>
      </w:r>
    </w:p>
    <w:p w:rsidR="00292993" w:rsidRPr="00446694" w:rsidRDefault="00292993" w:rsidP="00863C99">
      <w:pPr>
        <w:spacing w:line="360" w:lineRule="auto"/>
        <w:contextualSpacing/>
        <w:rPr>
          <w:rFonts w:ascii="Times New Roman" w:hAnsi="Times New Roman" w:cs="Times New Roman"/>
        </w:rPr>
      </w:pPr>
    </w:p>
    <w:p w:rsidR="00292993" w:rsidRPr="00446694" w:rsidRDefault="00292993" w:rsidP="00863C99">
      <w:pPr>
        <w:numPr>
          <w:ilvl w:val="0"/>
          <w:numId w:val="11"/>
        </w:numPr>
        <w:spacing w:line="360" w:lineRule="auto"/>
        <w:ind w:left="0" w:firstLine="1440"/>
        <w:contextualSpacing/>
        <w:rPr>
          <w:rFonts w:ascii="Times New Roman" w:hAnsi="Times New Roman" w:cs="Times New Roman"/>
        </w:rPr>
      </w:pPr>
      <w:r w:rsidRPr="00446694">
        <w:rPr>
          <w:rFonts w:ascii="Times New Roman" w:hAnsi="Times New Roman" w:cs="Times New Roman"/>
        </w:rPr>
        <w:lastRenderedPageBreak/>
        <w:t xml:space="preserve">OCA filed formal complaints opposing each of </w:t>
      </w:r>
      <w:proofErr w:type="spellStart"/>
      <w:r w:rsidRPr="00446694">
        <w:rPr>
          <w:rFonts w:ascii="Times New Roman" w:hAnsi="Times New Roman" w:cs="Times New Roman"/>
        </w:rPr>
        <w:t>Equitable’s</w:t>
      </w:r>
      <w:proofErr w:type="spellEnd"/>
      <w:r w:rsidRPr="00446694">
        <w:rPr>
          <w:rFonts w:ascii="Times New Roman" w:hAnsi="Times New Roman" w:cs="Times New Roman"/>
        </w:rPr>
        <w:t xml:space="preserve"> proposed supplements relating to Btu billing adjustment.</w:t>
      </w:r>
    </w:p>
    <w:p w:rsidR="00292993" w:rsidRPr="00446694" w:rsidRDefault="00292993" w:rsidP="00863C99">
      <w:pPr>
        <w:spacing w:line="360" w:lineRule="auto"/>
        <w:ind w:firstLine="1440"/>
        <w:contextualSpacing/>
        <w:rPr>
          <w:rFonts w:ascii="Times New Roman" w:hAnsi="Times New Roman" w:cs="Times New Roman"/>
        </w:rPr>
      </w:pPr>
    </w:p>
    <w:p w:rsidR="00292993" w:rsidRPr="00446694" w:rsidRDefault="00292993" w:rsidP="00863C99">
      <w:pPr>
        <w:numPr>
          <w:ilvl w:val="0"/>
          <w:numId w:val="11"/>
        </w:numPr>
        <w:spacing w:line="360" w:lineRule="auto"/>
        <w:ind w:left="0" w:firstLine="1440"/>
        <w:contextualSpacing/>
        <w:rPr>
          <w:rFonts w:ascii="Times New Roman" w:hAnsi="Times New Roman" w:cs="Times New Roman"/>
        </w:rPr>
      </w:pPr>
      <w:r w:rsidRPr="00446694">
        <w:rPr>
          <w:rFonts w:ascii="Times New Roman" w:hAnsi="Times New Roman" w:cs="Times New Roman"/>
        </w:rPr>
        <w:t xml:space="preserve">OSBA, I&amp;E, RESA and Dominion oppose </w:t>
      </w:r>
      <w:proofErr w:type="spellStart"/>
      <w:r w:rsidRPr="00446694">
        <w:rPr>
          <w:rFonts w:ascii="Times New Roman" w:hAnsi="Times New Roman" w:cs="Times New Roman"/>
        </w:rPr>
        <w:t>Equitable’s</w:t>
      </w:r>
      <w:proofErr w:type="spellEnd"/>
      <w:r w:rsidRPr="00446694">
        <w:rPr>
          <w:rFonts w:ascii="Times New Roman" w:hAnsi="Times New Roman" w:cs="Times New Roman"/>
        </w:rPr>
        <w:t xml:space="preserve"> proposed supplements.</w:t>
      </w:r>
    </w:p>
    <w:p w:rsidR="00292993" w:rsidRPr="00446694" w:rsidRDefault="00292993" w:rsidP="00863C99">
      <w:pPr>
        <w:pStyle w:val="ListParagraph"/>
        <w:spacing w:line="360" w:lineRule="auto"/>
        <w:rPr>
          <w:sz w:val="24"/>
          <w:szCs w:val="24"/>
        </w:rPr>
      </w:pPr>
    </w:p>
    <w:p w:rsidR="00292993" w:rsidRPr="00446694" w:rsidRDefault="00292993" w:rsidP="00863C99">
      <w:pPr>
        <w:numPr>
          <w:ilvl w:val="0"/>
          <w:numId w:val="11"/>
        </w:numPr>
        <w:spacing w:line="360" w:lineRule="auto"/>
        <w:ind w:left="0" w:firstLine="1440"/>
        <w:contextualSpacing/>
        <w:rPr>
          <w:rFonts w:ascii="Times New Roman" w:hAnsi="Times New Roman" w:cs="Times New Roman"/>
        </w:rPr>
      </w:pPr>
      <w:r w:rsidRPr="00446694">
        <w:rPr>
          <w:rFonts w:ascii="Times New Roman" w:hAnsi="Times New Roman" w:cs="Times New Roman"/>
        </w:rPr>
        <w:t>Generally the higher the heat content (Btu) of gas equates to a lower volume use.  Tr. 65.</w:t>
      </w:r>
    </w:p>
    <w:p w:rsidR="00292993" w:rsidRPr="00446694" w:rsidRDefault="00292993" w:rsidP="00863C99">
      <w:pPr>
        <w:pStyle w:val="ListParagraph"/>
        <w:spacing w:line="360" w:lineRule="auto"/>
        <w:rPr>
          <w:sz w:val="24"/>
          <w:szCs w:val="24"/>
        </w:rPr>
      </w:pPr>
    </w:p>
    <w:p w:rsidR="00292993" w:rsidRPr="00446694" w:rsidRDefault="00292993" w:rsidP="00863C99">
      <w:pPr>
        <w:numPr>
          <w:ilvl w:val="0"/>
          <w:numId w:val="11"/>
        </w:numPr>
        <w:spacing w:line="360" w:lineRule="auto"/>
        <w:ind w:left="0" w:firstLine="1440"/>
        <w:contextualSpacing/>
        <w:rPr>
          <w:rFonts w:ascii="Times New Roman" w:hAnsi="Times New Roman" w:cs="Times New Roman"/>
        </w:rPr>
      </w:pPr>
      <w:r w:rsidRPr="00446694">
        <w:rPr>
          <w:rFonts w:ascii="Times New Roman" w:hAnsi="Times New Roman" w:cs="Times New Roman"/>
        </w:rPr>
        <w:t xml:space="preserve">In 2005, Equitable requested a change in billing based on the heat content of </w:t>
      </w:r>
      <w:proofErr w:type="spellStart"/>
      <w:r w:rsidRPr="00446694">
        <w:rPr>
          <w:rFonts w:ascii="Times New Roman" w:hAnsi="Times New Roman" w:cs="Times New Roman"/>
        </w:rPr>
        <w:t>Appalacian</w:t>
      </w:r>
      <w:proofErr w:type="spellEnd"/>
      <w:r w:rsidRPr="00446694">
        <w:rPr>
          <w:rFonts w:ascii="Times New Roman" w:hAnsi="Times New Roman" w:cs="Times New Roman"/>
        </w:rPr>
        <w:t xml:space="preserve"> </w:t>
      </w:r>
      <w:r w:rsidR="00862547">
        <w:rPr>
          <w:rFonts w:ascii="Times New Roman" w:hAnsi="Times New Roman" w:cs="Times New Roman"/>
        </w:rPr>
        <w:t>G</w:t>
      </w:r>
      <w:r w:rsidRPr="00446694">
        <w:rPr>
          <w:rFonts w:ascii="Times New Roman" w:hAnsi="Times New Roman" w:cs="Times New Roman"/>
        </w:rPr>
        <w:t xml:space="preserve">as, but the request was denied by the Commission. </w:t>
      </w:r>
      <w:r w:rsidR="00D75A98">
        <w:rPr>
          <w:rFonts w:ascii="Times New Roman" w:hAnsi="Times New Roman" w:cs="Times New Roman"/>
        </w:rPr>
        <w:t xml:space="preserve"> </w:t>
      </w:r>
      <w:r w:rsidRPr="00446694">
        <w:rPr>
          <w:rFonts w:ascii="Times New Roman" w:hAnsi="Times New Roman" w:cs="Times New Roman"/>
        </w:rPr>
        <w:t>Tr. 66.</w:t>
      </w:r>
    </w:p>
    <w:p w:rsidR="00292993" w:rsidRPr="00446694" w:rsidRDefault="00292993" w:rsidP="00863C99">
      <w:pPr>
        <w:pStyle w:val="ListParagraph"/>
        <w:spacing w:line="360" w:lineRule="auto"/>
        <w:rPr>
          <w:sz w:val="24"/>
          <w:szCs w:val="24"/>
        </w:rPr>
      </w:pPr>
    </w:p>
    <w:p w:rsidR="00292993" w:rsidRPr="00446694" w:rsidRDefault="00292993" w:rsidP="00863C99">
      <w:pPr>
        <w:numPr>
          <w:ilvl w:val="0"/>
          <w:numId w:val="11"/>
        </w:numPr>
        <w:spacing w:line="360" w:lineRule="auto"/>
        <w:ind w:left="0" w:firstLine="1440"/>
        <w:contextualSpacing/>
        <w:rPr>
          <w:rFonts w:ascii="Times New Roman" w:hAnsi="Times New Roman" w:cs="Times New Roman"/>
        </w:rPr>
      </w:pPr>
      <w:r w:rsidRPr="00446694">
        <w:rPr>
          <w:rFonts w:ascii="Times New Roman" w:hAnsi="Times New Roman" w:cs="Times New Roman"/>
        </w:rPr>
        <w:t xml:space="preserve">Equitable could have proposed to switch its volume-based billing system to a heat content billing system in the Company’s 2008 base rate filing. </w:t>
      </w:r>
      <w:r w:rsidR="00D75A98">
        <w:rPr>
          <w:rFonts w:ascii="Times New Roman" w:hAnsi="Times New Roman" w:cs="Times New Roman"/>
        </w:rPr>
        <w:t xml:space="preserve"> Tr. </w:t>
      </w:r>
      <w:r w:rsidRPr="00446694">
        <w:rPr>
          <w:rFonts w:ascii="Times New Roman" w:hAnsi="Times New Roman" w:cs="Times New Roman"/>
        </w:rPr>
        <w:t>67.</w:t>
      </w:r>
    </w:p>
    <w:p w:rsidR="00292993" w:rsidRPr="00446694" w:rsidRDefault="00292993" w:rsidP="00863C99">
      <w:pPr>
        <w:pStyle w:val="ListParagraph"/>
        <w:spacing w:line="360" w:lineRule="auto"/>
        <w:rPr>
          <w:sz w:val="24"/>
          <w:szCs w:val="24"/>
        </w:rPr>
      </w:pPr>
    </w:p>
    <w:p w:rsidR="00292993" w:rsidRPr="00446694" w:rsidRDefault="00292993" w:rsidP="00863C99">
      <w:pPr>
        <w:numPr>
          <w:ilvl w:val="0"/>
          <w:numId w:val="11"/>
        </w:numPr>
        <w:spacing w:line="360" w:lineRule="auto"/>
        <w:ind w:left="0" w:firstLine="1440"/>
        <w:contextualSpacing/>
        <w:rPr>
          <w:rFonts w:ascii="Times New Roman" w:hAnsi="Times New Roman" w:cs="Times New Roman"/>
        </w:rPr>
      </w:pPr>
      <w:r w:rsidRPr="00446694">
        <w:rPr>
          <w:rFonts w:ascii="Times New Roman" w:hAnsi="Times New Roman" w:cs="Times New Roman"/>
        </w:rPr>
        <w:t>In 2005, Equitable knew that the gas heat content impacted volume usage.</w:t>
      </w:r>
    </w:p>
    <w:p w:rsidR="00292993" w:rsidRPr="00446694" w:rsidRDefault="00292993" w:rsidP="00863C99">
      <w:pPr>
        <w:spacing w:line="360" w:lineRule="auto"/>
        <w:ind w:firstLine="1440"/>
        <w:contextualSpacing/>
        <w:rPr>
          <w:rFonts w:ascii="Times New Roman" w:hAnsi="Times New Roman" w:cs="Times New Roman"/>
        </w:rPr>
      </w:pPr>
    </w:p>
    <w:p w:rsidR="00292993" w:rsidRPr="00446694" w:rsidRDefault="00292993" w:rsidP="00863C99">
      <w:pPr>
        <w:numPr>
          <w:ilvl w:val="0"/>
          <w:numId w:val="11"/>
        </w:numPr>
        <w:tabs>
          <w:tab w:val="left" w:pos="1440"/>
        </w:tabs>
        <w:spacing w:line="360" w:lineRule="auto"/>
        <w:ind w:left="0" w:firstLine="1440"/>
        <w:contextualSpacing/>
        <w:rPr>
          <w:rFonts w:ascii="Times New Roman" w:hAnsi="Times New Roman" w:cs="Times New Roman"/>
        </w:rPr>
      </w:pPr>
      <w:r w:rsidRPr="00446694">
        <w:rPr>
          <w:rFonts w:ascii="Times New Roman" w:hAnsi="Times New Roman" w:cs="Times New Roman"/>
        </w:rPr>
        <w:t xml:space="preserve">Each of </w:t>
      </w:r>
      <w:proofErr w:type="spellStart"/>
      <w:r w:rsidRPr="00446694">
        <w:rPr>
          <w:rFonts w:ascii="Times New Roman" w:hAnsi="Times New Roman" w:cs="Times New Roman"/>
        </w:rPr>
        <w:t>Equitable’s</w:t>
      </w:r>
      <w:proofErr w:type="spellEnd"/>
      <w:r w:rsidRPr="00446694">
        <w:rPr>
          <w:rFonts w:ascii="Times New Roman" w:hAnsi="Times New Roman" w:cs="Times New Roman"/>
        </w:rPr>
        <w:t xml:space="preserve"> proposed tariff supplements will increase customer delivery charges. </w:t>
      </w:r>
    </w:p>
    <w:p w:rsidR="00292993" w:rsidRPr="00446694" w:rsidRDefault="00292993" w:rsidP="00863C99">
      <w:pPr>
        <w:spacing w:line="360" w:lineRule="auto"/>
        <w:ind w:firstLine="1440"/>
        <w:contextualSpacing/>
        <w:rPr>
          <w:rFonts w:ascii="Times New Roman" w:hAnsi="Times New Roman" w:cs="Times New Roman"/>
        </w:rPr>
      </w:pPr>
    </w:p>
    <w:p w:rsidR="00292993" w:rsidRPr="00446694" w:rsidRDefault="00292993" w:rsidP="00863C99">
      <w:pPr>
        <w:numPr>
          <w:ilvl w:val="0"/>
          <w:numId w:val="11"/>
        </w:numPr>
        <w:tabs>
          <w:tab w:val="left" w:pos="1440"/>
        </w:tabs>
        <w:spacing w:line="360" w:lineRule="auto"/>
        <w:ind w:left="0" w:firstLine="1440"/>
        <w:contextualSpacing/>
        <w:rPr>
          <w:rFonts w:ascii="Times New Roman" w:hAnsi="Times New Roman" w:cs="Times New Roman"/>
        </w:rPr>
      </w:pPr>
      <w:proofErr w:type="spellStart"/>
      <w:r w:rsidRPr="00446694">
        <w:rPr>
          <w:rFonts w:ascii="Times New Roman" w:hAnsi="Times New Roman" w:cs="Times New Roman"/>
        </w:rPr>
        <w:t>Equitable</w:t>
      </w:r>
      <w:r w:rsidR="00862547">
        <w:rPr>
          <w:rFonts w:ascii="Times New Roman" w:hAnsi="Times New Roman" w:cs="Times New Roman"/>
        </w:rPr>
        <w:t>’s</w:t>
      </w:r>
      <w:proofErr w:type="spellEnd"/>
      <w:r w:rsidRPr="00446694">
        <w:rPr>
          <w:rFonts w:ascii="Times New Roman" w:hAnsi="Times New Roman" w:cs="Times New Roman"/>
        </w:rPr>
        <w:t xml:space="preserve"> proposed tariff supplements are </w:t>
      </w:r>
      <w:r w:rsidR="00862547">
        <w:rPr>
          <w:rFonts w:ascii="Times New Roman" w:hAnsi="Times New Roman" w:cs="Times New Roman"/>
        </w:rPr>
        <w:t xml:space="preserve">not </w:t>
      </w:r>
      <w:r w:rsidRPr="00446694">
        <w:rPr>
          <w:rFonts w:ascii="Times New Roman" w:hAnsi="Times New Roman" w:cs="Times New Roman"/>
        </w:rPr>
        <w:t>revenue neutral.</w:t>
      </w:r>
    </w:p>
    <w:p w:rsidR="00292993" w:rsidRPr="00446694" w:rsidRDefault="00292993" w:rsidP="00863C99">
      <w:pPr>
        <w:spacing w:line="360" w:lineRule="auto"/>
        <w:ind w:firstLine="1440"/>
        <w:contextualSpacing/>
        <w:rPr>
          <w:rFonts w:ascii="Times New Roman" w:hAnsi="Times New Roman" w:cs="Times New Roman"/>
        </w:rPr>
      </w:pPr>
    </w:p>
    <w:p w:rsidR="00292993" w:rsidRPr="00446694" w:rsidRDefault="00292993" w:rsidP="00863C99">
      <w:pPr>
        <w:numPr>
          <w:ilvl w:val="0"/>
          <w:numId w:val="11"/>
        </w:numPr>
        <w:tabs>
          <w:tab w:val="left" w:pos="1440"/>
        </w:tabs>
        <w:spacing w:line="360" w:lineRule="auto"/>
        <w:ind w:left="0" w:firstLine="1440"/>
        <w:contextualSpacing/>
        <w:rPr>
          <w:rFonts w:ascii="Times New Roman" w:hAnsi="Times New Roman" w:cs="Times New Roman"/>
        </w:rPr>
      </w:pPr>
      <w:r w:rsidRPr="00446694">
        <w:rPr>
          <w:rFonts w:ascii="Times New Roman" w:hAnsi="Times New Roman" w:cs="Times New Roman"/>
        </w:rPr>
        <w:t>The testimony of OCA’s witness, Ralph E. Miller, is credible.</w:t>
      </w:r>
    </w:p>
    <w:p w:rsidR="00292993" w:rsidRPr="00446694" w:rsidRDefault="00292993" w:rsidP="00863C99">
      <w:pPr>
        <w:spacing w:line="360" w:lineRule="auto"/>
        <w:ind w:firstLine="1440"/>
        <w:contextualSpacing/>
        <w:rPr>
          <w:rFonts w:ascii="Times New Roman" w:hAnsi="Times New Roman" w:cs="Times New Roman"/>
        </w:rPr>
      </w:pPr>
    </w:p>
    <w:p w:rsidR="00292993" w:rsidRDefault="00292993" w:rsidP="00863C99">
      <w:pPr>
        <w:numPr>
          <w:ilvl w:val="0"/>
          <w:numId w:val="11"/>
        </w:numPr>
        <w:spacing w:line="360" w:lineRule="auto"/>
        <w:ind w:left="0" w:firstLine="1440"/>
        <w:contextualSpacing/>
        <w:rPr>
          <w:rFonts w:ascii="Times New Roman" w:hAnsi="Times New Roman" w:cs="Times New Roman"/>
          <w:u w:val="single"/>
        </w:rPr>
      </w:pPr>
      <w:r w:rsidRPr="00446694">
        <w:rPr>
          <w:rFonts w:ascii="Times New Roman" w:hAnsi="Times New Roman" w:cs="Times New Roman"/>
        </w:rPr>
        <w:t xml:space="preserve">The </w:t>
      </w:r>
      <w:r w:rsidR="00D75A98">
        <w:rPr>
          <w:rFonts w:ascii="Times New Roman" w:hAnsi="Times New Roman" w:cs="Times New Roman"/>
        </w:rPr>
        <w:t>t</w:t>
      </w:r>
      <w:r w:rsidRPr="00446694">
        <w:rPr>
          <w:rFonts w:ascii="Times New Roman" w:hAnsi="Times New Roman" w:cs="Times New Roman"/>
        </w:rPr>
        <w:t xml:space="preserve">estimony of OCA’s witness, Barbara R. Alexander, is credible. </w:t>
      </w:r>
    </w:p>
    <w:p w:rsidR="00446694" w:rsidRDefault="00446694" w:rsidP="00446694">
      <w:pPr>
        <w:pStyle w:val="ListParagraph"/>
        <w:spacing w:line="360" w:lineRule="auto"/>
        <w:rPr>
          <w:u w:val="single"/>
        </w:rPr>
      </w:pPr>
    </w:p>
    <w:p w:rsidR="0007581E" w:rsidRDefault="0007581E">
      <w:pPr>
        <w:autoSpaceDE/>
        <w:autoSpaceDN/>
        <w:rPr>
          <w:rFonts w:ascii="Times New Roman" w:hAnsi="Times New Roman" w:cs="Times New Roman"/>
        </w:rPr>
      </w:pPr>
      <w:r>
        <w:rPr>
          <w:rFonts w:ascii="Times New Roman" w:hAnsi="Times New Roman" w:cs="Times New Roman"/>
        </w:rPr>
        <w:br w:type="page"/>
      </w:r>
    </w:p>
    <w:p w:rsidR="00292993" w:rsidRDefault="00446694" w:rsidP="00446694">
      <w:pPr>
        <w:spacing w:line="360" w:lineRule="auto"/>
        <w:jc w:val="center"/>
        <w:rPr>
          <w:rFonts w:ascii="Times New Roman" w:hAnsi="Times New Roman" w:cs="Times New Roman"/>
          <w:u w:val="single"/>
        </w:rPr>
      </w:pPr>
      <w:r>
        <w:rPr>
          <w:rFonts w:ascii="Times New Roman" w:hAnsi="Times New Roman" w:cs="Times New Roman"/>
        </w:rPr>
        <w:lastRenderedPageBreak/>
        <w:t>IV.</w:t>
      </w:r>
      <w:r>
        <w:rPr>
          <w:rFonts w:ascii="Times New Roman" w:hAnsi="Times New Roman" w:cs="Times New Roman"/>
        </w:rPr>
        <w:tab/>
      </w:r>
      <w:r w:rsidRPr="00446694">
        <w:rPr>
          <w:rFonts w:ascii="Times New Roman" w:hAnsi="Times New Roman" w:cs="Times New Roman"/>
          <w:u w:val="single"/>
        </w:rPr>
        <w:t>DISCUSSION</w:t>
      </w:r>
    </w:p>
    <w:p w:rsidR="00446694" w:rsidRPr="00446694" w:rsidRDefault="00446694" w:rsidP="00446694">
      <w:pPr>
        <w:spacing w:line="360" w:lineRule="auto"/>
        <w:jc w:val="center"/>
        <w:rPr>
          <w:rFonts w:ascii="Times New Roman" w:hAnsi="Times New Roman" w:cs="Times New Roman"/>
        </w:rPr>
      </w:pPr>
    </w:p>
    <w:p w:rsidR="00292993" w:rsidRPr="00446694" w:rsidRDefault="00292993" w:rsidP="00E91434">
      <w:pPr>
        <w:numPr>
          <w:ilvl w:val="0"/>
          <w:numId w:val="15"/>
        </w:numPr>
        <w:spacing w:line="360" w:lineRule="auto"/>
        <w:ind w:hanging="720"/>
        <w:contextualSpacing/>
        <w:rPr>
          <w:rFonts w:ascii="Times New Roman" w:hAnsi="Times New Roman" w:cs="Times New Roman"/>
        </w:rPr>
      </w:pPr>
      <w:r w:rsidRPr="00446694">
        <w:rPr>
          <w:rFonts w:ascii="Times New Roman" w:hAnsi="Times New Roman" w:cs="Times New Roman"/>
          <w:u w:val="single"/>
        </w:rPr>
        <w:t>Burden of Proof</w:t>
      </w:r>
    </w:p>
    <w:p w:rsidR="00292993" w:rsidRPr="00446694" w:rsidRDefault="00292993" w:rsidP="00446694">
      <w:pPr>
        <w:spacing w:line="360" w:lineRule="auto"/>
        <w:rPr>
          <w:rFonts w:ascii="Times New Roman" w:hAnsi="Times New Roman" w:cs="Times New Roman"/>
        </w:rPr>
      </w:pPr>
    </w:p>
    <w:p w:rsidR="00292993" w:rsidRPr="00446694" w:rsidRDefault="00292993" w:rsidP="00446694">
      <w:pPr>
        <w:spacing w:line="360" w:lineRule="auto"/>
        <w:rPr>
          <w:rFonts w:ascii="Times New Roman" w:hAnsi="Times New Roman" w:cs="Times New Roman"/>
        </w:rPr>
      </w:pPr>
      <w:r w:rsidRPr="00446694">
        <w:rPr>
          <w:rFonts w:ascii="Times New Roman" w:hAnsi="Times New Roman" w:cs="Times New Roman"/>
        </w:rPr>
        <w:tab/>
      </w:r>
      <w:r w:rsidRPr="00446694">
        <w:rPr>
          <w:rFonts w:ascii="Times New Roman" w:hAnsi="Times New Roman" w:cs="Times New Roman"/>
        </w:rPr>
        <w:tab/>
        <w:t xml:space="preserve">In this proceeding, Equitable bears the burden of proving its proposal to adjust customer billing is just and reasonable. </w:t>
      </w:r>
      <w:r w:rsidR="00D75A98">
        <w:rPr>
          <w:rFonts w:ascii="Times New Roman" w:hAnsi="Times New Roman" w:cs="Times New Roman"/>
        </w:rPr>
        <w:t xml:space="preserve"> </w:t>
      </w:r>
      <w:r w:rsidRPr="00446694">
        <w:rPr>
          <w:rFonts w:ascii="Times New Roman" w:hAnsi="Times New Roman" w:cs="Times New Roman"/>
        </w:rPr>
        <w:t>The Public Utility Code, Section 315(a), provides as follows:</w:t>
      </w:r>
    </w:p>
    <w:p w:rsidR="00292993" w:rsidRPr="00446694" w:rsidRDefault="00292993" w:rsidP="00446694">
      <w:pPr>
        <w:spacing w:line="360" w:lineRule="auto"/>
        <w:rPr>
          <w:rFonts w:ascii="Times New Roman" w:hAnsi="Times New Roman" w:cs="Times New Roman"/>
        </w:rPr>
      </w:pPr>
    </w:p>
    <w:p w:rsidR="00292993" w:rsidRPr="0002545B" w:rsidRDefault="00292993" w:rsidP="0002545B">
      <w:pPr>
        <w:ind w:left="1440" w:right="1440"/>
        <w:rPr>
          <w:rFonts w:ascii="Times New Roman" w:hAnsi="Times New Roman" w:cs="Times New Roman"/>
        </w:rPr>
      </w:pPr>
      <w:r w:rsidRPr="00446694">
        <w:rPr>
          <w:rFonts w:ascii="Times New Roman" w:hAnsi="Times New Roman" w:cs="Times New Roman"/>
        </w:rPr>
        <w:t xml:space="preserve">(a)  Reasonableness of rates. – In any proceeding upon the motion of the commission, involving any proposed or existing rate of any public utility, or in any proceedings upon complaint involving any proposed increase in rates, </w:t>
      </w:r>
      <w:r w:rsidRPr="00446694">
        <w:rPr>
          <w:rFonts w:ascii="Times New Roman" w:hAnsi="Times New Roman" w:cs="Times New Roman"/>
          <w:i/>
        </w:rPr>
        <w:t>the burden of proof to show that the rate involved is just and reasonable shall be upon the public utility</w:t>
      </w:r>
      <w:r w:rsidR="0002545B">
        <w:rPr>
          <w:rFonts w:ascii="Times New Roman" w:hAnsi="Times New Roman" w:cs="Times New Roman"/>
        </w:rPr>
        <w:t>.</w:t>
      </w:r>
    </w:p>
    <w:p w:rsidR="00292993" w:rsidRPr="00446694" w:rsidRDefault="00292993" w:rsidP="00292993">
      <w:pPr>
        <w:ind w:left="1440" w:right="1440"/>
        <w:rPr>
          <w:rFonts w:ascii="Times New Roman" w:hAnsi="Times New Roman" w:cs="Times New Roman"/>
        </w:rPr>
      </w:pPr>
    </w:p>
    <w:p w:rsidR="00292993" w:rsidRPr="00446694" w:rsidRDefault="00292993" w:rsidP="00292993">
      <w:pPr>
        <w:ind w:left="1440" w:right="1440"/>
        <w:rPr>
          <w:rFonts w:ascii="Times New Roman" w:hAnsi="Times New Roman" w:cs="Times New Roman"/>
        </w:rPr>
      </w:pPr>
    </w:p>
    <w:p w:rsidR="00292993" w:rsidRPr="00446694" w:rsidRDefault="00292993" w:rsidP="00292993">
      <w:pPr>
        <w:tabs>
          <w:tab w:val="left" w:pos="9360"/>
        </w:tabs>
        <w:spacing w:line="360" w:lineRule="auto"/>
        <w:rPr>
          <w:rFonts w:ascii="Times New Roman" w:hAnsi="Times New Roman" w:cs="Times New Roman"/>
        </w:rPr>
      </w:pPr>
      <w:r w:rsidRPr="00446694">
        <w:rPr>
          <w:rFonts w:ascii="Times New Roman" w:hAnsi="Times New Roman" w:cs="Times New Roman"/>
        </w:rPr>
        <w:t>66 Pa. C.S. §</w:t>
      </w:r>
      <w:r w:rsidR="00EA4315">
        <w:rPr>
          <w:rFonts w:ascii="Times New Roman" w:hAnsi="Times New Roman" w:cs="Times New Roman"/>
        </w:rPr>
        <w:t xml:space="preserve"> </w:t>
      </w:r>
      <w:r w:rsidRPr="00446694">
        <w:rPr>
          <w:rFonts w:ascii="Times New Roman" w:hAnsi="Times New Roman" w:cs="Times New Roman"/>
        </w:rPr>
        <w:t>315(a) (emphasis added).</w:t>
      </w:r>
    </w:p>
    <w:p w:rsidR="00292993" w:rsidRPr="00446694" w:rsidRDefault="00292993" w:rsidP="00292993">
      <w:pPr>
        <w:spacing w:line="360" w:lineRule="auto"/>
        <w:rPr>
          <w:rFonts w:ascii="Times New Roman" w:hAnsi="Times New Roman" w:cs="Times New Roman"/>
        </w:rPr>
      </w:pPr>
    </w:p>
    <w:p w:rsidR="00292993" w:rsidRPr="00446694" w:rsidRDefault="00292993" w:rsidP="00292993">
      <w:pPr>
        <w:spacing w:line="360" w:lineRule="auto"/>
        <w:rPr>
          <w:rFonts w:ascii="Times New Roman" w:hAnsi="Times New Roman" w:cs="Times New Roman"/>
        </w:rPr>
      </w:pPr>
      <w:r w:rsidRPr="00446694">
        <w:rPr>
          <w:rFonts w:ascii="Times New Roman" w:hAnsi="Times New Roman" w:cs="Times New Roman"/>
        </w:rPr>
        <w:tab/>
      </w:r>
      <w:r w:rsidRPr="00446694">
        <w:rPr>
          <w:rFonts w:ascii="Times New Roman" w:hAnsi="Times New Roman" w:cs="Times New Roman"/>
        </w:rPr>
        <w:tab/>
        <w:t xml:space="preserve">In construing Section 315(a), the Commonwealth Court has stated: </w:t>
      </w:r>
    </w:p>
    <w:p w:rsidR="00292993" w:rsidRPr="00446694" w:rsidRDefault="00292993" w:rsidP="00292993">
      <w:pPr>
        <w:spacing w:line="360" w:lineRule="auto"/>
        <w:rPr>
          <w:rFonts w:ascii="Times New Roman" w:hAnsi="Times New Roman" w:cs="Times New Roman"/>
        </w:rPr>
      </w:pPr>
    </w:p>
    <w:p w:rsidR="00292993" w:rsidRPr="00446694" w:rsidRDefault="00292993" w:rsidP="00292993">
      <w:pPr>
        <w:ind w:left="1440" w:right="1440"/>
        <w:rPr>
          <w:rFonts w:ascii="Times New Roman" w:hAnsi="Times New Roman" w:cs="Times New Roman"/>
        </w:rPr>
      </w:pPr>
      <w:r w:rsidRPr="00446694">
        <w:rPr>
          <w:rFonts w:ascii="Times New Roman" w:hAnsi="Times New Roman" w:cs="Times New Roman"/>
        </w:rPr>
        <w:t xml:space="preserve">Section 315(a) of the Public Utility Code, </w:t>
      </w:r>
      <w:proofErr w:type="gramStart"/>
      <w:r w:rsidRPr="00446694">
        <w:rPr>
          <w:rFonts w:ascii="Times New Roman" w:hAnsi="Times New Roman" w:cs="Times New Roman"/>
        </w:rPr>
        <w:t xml:space="preserve">66 </w:t>
      </w:r>
      <w:proofErr w:type="spellStart"/>
      <w:r w:rsidRPr="00446694">
        <w:rPr>
          <w:rFonts w:ascii="Times New Roman" w:hAnsi="Times New Roman" w:cs="Times New Roman"/>
        </w:rPr>
        <w:t>Pa.C.S</w:t>
      </w:r>
      <w:proofErr w:type="spellEnd"/>
      <w:proofErr w:type="gramEnd"/>
      <w:r w:rsidRPr="00446694">
        <w:rPr>
          <w:rFonts w:ascii="Times New Roman" w:hAnsi="Times New Roman" w:cs="Times New Roman"/>
        </w:rPr>
        <w:t xml:space="preserve">. §315(a), places the burden of proving the justness and reasonableness of a proposed rate hike squarely on the public utility.  It is well-established that the evidence adduced by a utility to meet this burden must be substantial.  </w:t>
      </w:r>
    </w:p>
    <w:p w:rsidR="00292993" w:rsidRPr="00446694" w:rsidRDefault="00292993" w:rsidP="00292993">
      <w:pPr>
        <w:ind w:left="1440" w:right="1440"/>
        <w:rPr>
          <w:rFonts w:ascii="Times New Roman" w:hAnsi="Times New Roman" w:cs="Times New Roman"/>
        </w:rPr>
      </w:pPr>
    </w:p>
    <w:p w:rsidR="00292993" w:rsidRPr="00446694" w:rsidRDefault="00292993" w:rsidP="00292993">
      <w:pPr>
        <w:ind w:left="1440" w:right="1440"/>
        <w:rPr>
          <w:rFonts w:ascii="Times New Roman" w:hAnsi="Times New Roman" w:cs="Times New Roman"/>
        </w:rPr>
      </w:pPr>
    </w:p>
    <w:p w:rsidR="00292993" w:rsidRPr="00446694" w:rsidRDefault="00292993" w:rsidP="0002545B">
      <w:pPr>
        <w:tabs>
          <w:tab w:val="left" w:pos="9360"/>
        </w:tabs>
        <w:spacing w:line="360" w:lineRule="auto"/>
        <w:rPr>
          <w:rFonts w:ascii="Times New Roman" w:hAnsi="Times New Roman" w:cs="Times New Roman"/>
        </w:rPr>
      </w:pPr>
      <w:proofErr w:type="gramStart"/>
      <w:r w:rsidRPr="00446694">
        <w:rPr>
          <w:rFonts w:ascii="Times New Roman" w:hAnsi="Times New Roman" w:cs="Times New Roman"/>
          <w:i/>
        </w:rPr>
        <w:t>Lower Frederick Twp. v. Pa.</w:t>
      </w:r>
      <w:r w:rsidR="00D75A98">
        <w:rPr>
          <w:rFonts w:ascii="Times New Roman" w:hAnsi="Times New Roman" w:cs="Times New Roman"/>
          <w:i/>
        </w:rPr>
        <w:t xml:space="preserve"> </w:t>
      </w:r>
      <w:r w:rsidRPr="00446694">
        <w:rPr>
          <w:rFonts w:ascii="Times New Roman" w:hAnsi="Times New Roman" w:cs="Times New Roman"/>
          <w:i/>
        </w:rPr>
        <w:t>PUC</w:t>
      </w:r>
      <w:r w:rsidRPr="00446694">
        <w:rPr>
          <w:rFonts w:ascii="Times New Roman" w:hAnsi="Times New Roman" w:cs="Times New Roman"/>
        </w:rPr>
        <w:t xml:space="preserve">, 409 A.2d 505, 507 (Pa. </w:t>
      </w:r>
      <w:proofErr w:type="spellStart"/>
      <w:r w:rsidRPr="00446694">
        <w:rPr>
          <w:rFonts w:ascii="Times New Roman" w:hAnsi="Times New Roman" w:cs="Times New Roman"/>
        </w:rPr>
        <w:t>Cmwlth</w:t>
      </w:r>
      <w:proofErr w:type="spellEnd"/>
      <w:r w:rsidRPr="00446694">
        <w:rPr>
          <w:rFonts w:ascii="Times New Roman" w:hAnsi="Times New Roman" w:cs="Times New Roman"/>
        </w:rPr>
        <w:t>. 1980).</w:t>
      </w:r>
      <w:proofErr w:type="gramEnd"/>
      <w:r w:rsidRPr="00446694">
        <w:rPr>
          <w:rFonts w:ascii="Times New Roman" w:hAnsi="Times New Roman" w:cs="Times New Roman"/>
        </w:rPr>
        <w:t xml:space="preserve">  </w:t>
      </w:r>
      <w:r w:rsidRPr="00446694">
        <w:rPr>
          <w:rFonts w:ascii="Times New Roman" w:hAnsi="Times New Roman" w:cs="Times New Roman"/>
          <w:i/>
        </w:rPr>
        <w:t>See also</w:t>
      </w:r>
      <w:r w:rsidRPr="00446694">
        <w:rPr>
          <w:rFonts w:ascii="Times New Roman" w:hAnsi="Times New Roman" w:cs="Times New Roman"/>
        </w:rPr>
        <w:t xml:space="preserve"> </w:t>
      </w:r>
      <w:r w:rsidRPr="00446694">
        <w:rPr>
          <w:rFonts w:ascii="Times New Roman" w:hAnsi="Times New Roman" w:cs="Times New Roman"/>
          <w:i/>
        </w:rPr>
        <w:t>Brockway Glass v. Pa. PUC</w:t>
      </w:r>
      <w:r w:rsidRPr="00446694">
        <w:rPr>
          <w:rFonts w:ascii="Times New Roman" w:hAnsi="Times New Roman" w:cs="Times New Roman"/>
        </w:rPr>
        <w:t xml:space="preserve">, 437 A.2d 1067, 1070 (Pa. </w:t>
      </w:r>
      <w:proofErr w:type="spellStart"/>
      <w:r w:rsidRPr="00446694">
        <w:rPr>
          <w:rFonts w:ascii="Times New Roman" w:hAnsi="Times New Roman" w:cs="Times New Roman"/>
        </w:rPr>
        <w:t>Cmwlth</w:t>
      </w:r>
      <w:proofErr w:type="spellEnd"/>
      <w:r w:rsidRPr="00446694">
        <w:rPr>
          <w:rFonts w:ascii="Times New Roman" w:hAnsi="Times New Roman" w:cs="Times New Roman"/>
        </w:rPr>
        <w:t>. 1981).</w:t>
      </w:r>
    </w:p>
    <w:p w:rsidR="00292993" w:rsidRPr="00446694" w:rsidRDefault="00292993" w:rsidP="0002545B">
      <w:pPr>
        <w:tabs>
          <w:tab w:val="left" w:pos="8100"/>
        </w:tabs>
        <w:spacing w:line="360" w:lineRule="auto"/>
        <w:rPr>
          <w:rFonts w:ascii="Times New Roman" w:hAnsi="Times New Roman" w:cs="Times New Roman"/>
        </w:rPr>
      </w:pPr>
      <w:r w:rsidRPr="00446694">
        <w:rPr>
          <w:rFonts w:ascii="Times New Roman" w:hAnsi="Times New Roman" w:cs="Times New Roman"/>
        </w:rPr>
        <w:tab/>
      </w:r>
    </w:p>
    <w:p w:rsidR="00292993" w:rsidRPr="00446694" w:rsidRDefault="00292993" w:rsidP="0002545B">
      <w:pPr>
        <w:spacing w:line="360" w:lineRule="auto"/>
        <w:rPr>
          <w:rFonts w:ascii="Times New Roman" w:hAnsi="Times New Roman" w:cs="Times New Roman"/>
        </w:rPr>
      </w:pPr>
      <w:r w:rsidRPr="00446694">
        <w:rPr>
          <w:rFonts w:ascii="Times New Roman" w:hAnsi="Times New Roman" w:cs="Times New Roman"/>
        </w:rPr>
        <w:tab/>
      </w:r>
      <w:r w:rsidRPr="00446694">
        <w:rPr>
          <w:rFonts w:ascii="Times New Roman" w:hAnsi="Times New Roman" w:cs="Times New Roman"/>
        </w:rPr>
        <w:tab/>
        <w:t xml:space="preserve">In rate proceedings, the burden of proof does not shift to parties challenging a requested rate.  Rather, the utility’s burden of establishing the justness and reasonableness of every component of its rate request is an affirmative one and that burden remains with the utility throughout the course of the rate proceeding.  The courts have held that there is no similar burden placed on other parties to justify a proposed adjustment to the utility’s filing.  </w:t>
      </w:r>
      <w:proofErr w:type="spellStart"/>
      <w:proofErr w:type="gramStart"/>
      <w:r w:rsidRPr="00446694">
        <w:rPr>
          <w:rFonts w:ascii="Times New Roman" w:hAnsi="Times New Roman" w:cs="Times New Roman"/>
          <w:i/>
        </w:rPr>
        <w:t>Berner</w:t>
      </w:r>
      <w:proofErr w:type="spellEnd"/>
      <w:r w:rsidRPr="00446694">
        <w:rPr>
          <w:rFonts w:ascii="Times New Roman" w:hAnsi="Times New Roman" w:cs="Times New Roman"/>
          <w:i/>
        </w:rPr>
        <w:t xml:space="preserve"> v. Pa. PUC,</w:t>
      </w:r>
      <w:r w:rsidRPr="00446694">
        <w:rPr>
          <w:rFonts w:ascii="Times New Roman" w:hAnsi="Times New Roman" w:cs="Times New Roman"/>
        </w:rPr>
        <w:t xml:space="preserve"> 116 A.2d 738, 744 (Pa. 1955).</w:t>
      </w:r>
      <w:proofErr w:type="gramEnd"/>
    </w:p>
    <w:p w:rsidR="00292993" w:rsidRPr="00446694" w:rsidRDefault="00292993" w:rsidP="0002545B">
      <w:pPr>
        <w:spacing w:line="360" w:lineRule="auto"/>
        <w:rPr>
          <w:rFonts w:ascii="Times New Roman" w:hAnsi="Times New Roman" w:cs="Times New Roman"/>
        </w:rPr>
      </w:pPr>
    </w:p>
    <w:p w:rsidR="00292993" w:rsidRPr="00446694" w:rsidRDefault="00292993" w:rsidP="0002545B">
      <w:pPr>
        <w:numPr>
          <w:ilvl w:val="0"/>
          <w:numId w:val="15"/>
        </w:numPr>
        <w:spacing w:line="360" w:lineRule="auto"/>
        <w:ind w:hanging="720"/>
        <w:contextualSpacing/>
        <w:rPr>
          <w:rFonts w:ascii="Times New Roman" w:hAnsi="Times New Roman" w:cs="Times New Roman"/>
          <w:u w:val="single"/>
        </w:rPr>
      </w:pPr>
      <w:r w:rsidRPr="00446694">
        <w:rPr>
          <w:rFonts w:ascii="Times New Roman" w:hAnsi="Times New Roman" w:cs="Times New Roman"/>
          <w:u w:val="single"/>
        </w:rPr>
        <w:lastRenderedPageBreak/>
        <w:t>Non-General and General Rate Increase Filings</w:t>
      </w:r>
    </w:p>
    <w:p w:rsidR="00292993" w:rsidRPr="00446694" w:rsidRDefault="00292993" w:rsidP="0002545B">
      <w:pPr>
        <w:spacing w:line="360" w:lineRule="auto"/>
        <w:rPr>
          <w:rFonts w:ascii="Times New Roman" w:hAnsi="Times New Roman" w:cs="Times New Roman"/>
        </w:rPr>
      </w:pPr>
    </w:p>
    <w:p w:rsidR="00292993" w:rsidRPr="00446694" w:rsidRDefault="00292993" w:rsidP="0002545B">
      <w:pPr>
        <w:spacing w:line="360" w:lineRule="auto"/>
        <w:rPr>
          <w:rFonts w:ascii="Times New Roman" w:hAnsi="Times New Roman" w:cs="Times New Roman"/>
        </w:rPr>
      </w:pPr>
      <w:r w:rsidRPr="00446694">
        <w:rPr>
          <w:rFonts w:ascii="Times New Roman" w:hAnsi="Times New Roman" w:cs="Times New Roman"/>
        </w:rPr>
        <w:tab/>
      </w:r>
      <w:r w:rsidRPr="00446694">
        <w:rPr>
          <w:rFonts w:ascii="Times New Roman" w:hAnsi="Times New Roman" w:cs="Times New Roman"/>
        </w:rPr>
        <w:tab/>
        <w:t>Section 1308 of the Code provides for voluntary changes in a utility’s rates.</w:t>
      </w:r>
      <w:r w:rsidRPr="00446694">
        <w:rPr>
          <w:rFonts w:ascii="Times New Roman" w:hAnsi="Times New Roman" w:cs="Times New Roman"/>
          <w:vertAlign w:val="superscript"/>
        </w:rPr>
        <w:footnoteReference w:id="5"/>
      </w:r>
      <w:r w:rsidRPr="00446694">
        <w:rPr>
          <w:rFonts w:ascii="Times New Roman" w:hAnsi="Times New Roman" w:cs="Times New Roman"/>
        </w:rPr>
        <w:t xml:space="preserve">  Equitable contends its tariff supplements are appropriate for review, under Section 1308(b) of the Code, as a non-general rate increase case.</w:t>
      </w:r>
      <w:r w:rsidRPr="00446694">
        <w:rPr>
          <w:rFonts w:ascii="Times New Roman" w:hAnsi="Times New Roman" w:cs="Times New Roman"/>
          <w:vertAlign w:val="superscript"/>
        </w:rPr>
        <w:footnoteReference w:id="6"/>
      </w:r>
      <w:r w:rsidRPr="00446694">
        <w:rPr>
          <w:rFonts w:ascii="Times New Roman" w:hAnsi="Times New Roman" w:cs="Times New Roman"/>
        </w:rPr>
        <w:t xml:space="preserve">  The statutory parties retort that review should be in the context of a general rate increase case, under Section 1308(</w:t>
      </w:r>
      <w:r w:rsidR="00862547">
        <w:rPr>
          <w:rFonts w:ascii="Times New Roman" w:hAnsi="Times New Roman" w:cs="Times New Roman"/>
        </w:rPr>
        <w:t>d</w:t>
      </w:r>
      <w:r w:rsidRPr="00446694">
        <w:rPr>
          <w:rFonts w:ascii="Times New Roman" w:hAnsi="Times New Roman" w:cs="Times New Roman"/>
        </w:rPr>
        <w:t>) of the Code.</w:t>
      </w:r>
      <w:r w:rsidRPr="00446694">
        <w:rPr>
          <w:rFonts w:ascii="Times New Roman" w:hAnsi="Times New Roman" w:cs="Times New Roman"/>
          <w:vertAlign w:val="superscript"/>
        </w:rPr>
        <w:footnoteReference w:id="7"/>
      </w:r>
      <w:r w:rsidRPr="00446694">
        <w:rPr>
          <w:rFonts w:ascii="Times New Roman" w:hAnsi="Times New Roman" w:cs="Times New Roman"/>
        </w:rPr>
        <w:t xml:space="preserve">  </w:t>
      </w:r>
      <w:r w:rsidR="00862547">
        <w:rPr>
          <w:rFonts w:ascii="Times New Roman" w:hAnsi="Times New Roman" w:cs="Times New Roman"/>
        </w:rPr>
        <w:t xml:space="preserve">The </w:t>
      </w:r>
      <w:r w:rsidRPr="00446694">
        <w:rPr>
          <w:rFonts w:ascii="Times New Roman" w:hAnsi="Times New Roman" w:cs="Times New Roman"/>
        </w:rPr>
        <w:t xml:space="preserve">Commonwealth Court has clarified Sections 1308(b) and 1308(d). </w:t>
      </w:r>
    </w:p>
    <w:p w:rsidR="00292993" w:rsidRPr="00446694" w:rsidRDefault="00292993" w:rsidP="00292993">
      <w:pPr>
        <w:spacing w:line="360" w:lineRule="auto"/>
        <w:rPr>
          <w:rFonts w:ascii="Times New Roman" w:hAnsi="Times New Roman" w:cs="Times New Roman"/>
        </w:rPr>
      </w:pPr>
    </w:p>
    <w:p w:rsidR="00292993" w:rsidRPr="00446694" w:rsidRDefault="00292993" w:rsidP="00292993">
      <w:pPr>
        <w:widowControl w:val="0"/>
        <w:adjustRightInd w:val="0"/>
        <w:ind w:left="1440" w:right="1080"/>
        <w:rPr>
          <w:rFonts w:ascii="Times New Roman" w:hAnsi="Times New Roman" w:cs="Times New Roman"/>
          <w:color w:val="000000"/>
        </w:rPr>
      </w:pPr>
      <w:r w:rsidRPr="00446694">
        <w:rPr>
          <w:rFonts w:ascii="Times New Roman" w:hAnsi="Times New Roman" w:cs="Times New Roman"/>
        </w:rPr>
        <w:t xml:space="preserve">The differences between the two subsections of 1308 include the length of any suspension of rates, the setting of temporary rates for non-general rate filings, and the mandate that the PUC is required to investigate every general rate increase filing, whereas non-general rates may become effective based on a determination without a hearing because the PUC is given discretion to initiate a hearing on its own motion. </w:t>
      </w:r>
      <w:r w:rsidR="00D75A98">
        <w:rPr>
          <w:rFonts w:ascii="Times New Roman" w:hAnsi="Times New Roman" w:cs="Times New Roman"/>
        </w:rPr>
        <w:t xml:space="preserve"> </w:t>
      </w:r>
      <w:r w:rsidRPr="00446694">
        <w:rPr>
          <w:rFonts w:ascii="Times New Roman" w:hAnsi="Times New Roman" w:cs="Times New Roman"/>
          <w:color w:val="000000"/>
        </w:rPr>
        <w:t>In creating a two-pronged procedure based on the size of the rate increase, the General Assembly revealed its intention that the full regulatory oversight may not be necessary for minor rate increases and left that decision to the PUC.</w:t>
      </w:r>
    </w:p>
    <w:p w:rsidR="00292993" w:rsidRPr="00446694" w:rsidRDefault="00292993" w:rsidP="00292993">
      <w:pPr>
        <w:widowControl w:val="0"/>
        <w:adjustRightInd w:val="0"/>
        <w:ind w:left="720" w:right="720" w:firstLine="720"/>
        <w:jc w:val="both"/>
        <w:rPr>
          <w:rFonts w:ascii="Times New Roman" w:hAnsi="Times New Roman" w:cs="Times New Roman"/>
          <w:color w:val="000000"/>
        </w:rPr>
      </w:pPr>
    </w:p>
    <w:p w:rsidR="00292993" w:rsidRPr="00446694" w:rsidRDefault="00292993" w:rsidP="00292993">
      <w:pPr>
        <w:widowControl w:val="0"/>
        <w:adjustRightInd w:val="0"/>
        <w:spacing w:line="480" w:lineRule="auto"/>
        <w:jc w:val="both"/>
        <w:rPr>
          <w:rFonts w:ascii="Times New Roman" w:hAnsi="Times New Roman" w:cs="Times New Roman"/>
          <w:color w:val="000000"/>
        </w:rPr>
      </w:pPr>
      <w:proofErr w:type="spellStart"/>
      <w:r w:rsidRPr="00446694">
        <w:rPr>
          <w:rFonts w:ascii="Times New Roman" w:hAnsi="Times New Roman" w:cs="Times New Roman"/>
          <w:i/>
        </w:rPr>
        <w:t>Popowsky</w:t>
      </w:r>
      <w:proofErr w:type="spellEnd"/>
      <w:r w:rsidRPr="00446694">
        <w:rPr>
          <w:rFonts w:ascii="Times New Roman" w:hAnsi="Times New Roman" w:cs="Times New Roman"/>
          <w:i/>
        </w:rPr>
        <w:t xml:space="preserve"> v. Pa. P.U.C.</w:t>
      </w:r>
      <w:r w:rsidRPr="00446694">
        <w:rPr>
          <w:rFonts w:ascii="Times New Roman" w:hAnsi="Times New Roman" w:cs="Times New Roman"/>
        </w:rPr>
        <w:t xml:space="preserve">, </w:t>
      </w:r>
      <w:proofErr w:type="gramStart"/>
      <w:r w:rsidRPr="00446694">
        <w:rPr>
          <w:rFonts w:ascii="Times New Roman" w:hAnsi="Times New Roman" w:cs="Times New Roman"/>
        </w:rPr>
        <w:t xml:space="preserve">683 A.2d 958, 961-962 (Pa. </w:t>
      </w:r>
      <w:proofErr w:type="spellStart"/>
      <w:r w:rsidRPr="00446694">
        <w:rPr>
          <w:rFonts w:ascii="Times New Roman" w:hAnsi="Times New Roman" w:cs="Times New Roman"/>
        </w:rPr>
        <w:t>Cmwlth</w:t>
      </w:r>
      <w:proofErr w:type="spellEnd"/>
      <w:r w:rsidRPr="00446694">
        <w:rPr>
          <w:rFonts w:ascii="Times New Roman" w:hAnsi="Times New Roman" w:cs="Times New Roman"/>
        </w:rPr>
        <w:t>. 1996)</w:t>
      </w:r>
      <w:proofErr w:type="gramEnd"/>
      <w:r w:rsidRPr="00446694">
        <w:rPr>
          <w:rFonts w:ascii="Times New Roman" w:hAnsi="Times New Roman" w:cs="Times New Roman"/>
          <w:color w:val="000000"/>
        </w:rPr>
        <w:t>.</w:t>
      </w:r>
    </w:p>
    <w:p w:rsidR="00292993" w:rsidRPr="00446694" w:rsidRDefault="00292993" w:rsidP="00292993">
      <w:pPr>
        <w:ind w:left="1440" w:right="1080"/>
        <w:rPr>
          <w:rFonts w:ascii="Times New Roman" w:hAnsi="Times New Roman" w:cs="Times New Roman"/>
        </w:rPr>
      </w:pPr>
    </w:p>
    <w:p w:rsidR="00292993" w:rsidRPr="00446694" w:rsidRDefault="00292993" w:rsidP="0002545B">
      <w:pPr>
        <w:spacing w:line="360" w:lineRule="auto"/>
        <w:rPr>
          <w:rFonts w:ascii="Times New Roman" w:hAnsi="Times New Roman" w:cs="Times New Roman"/>
        </w:rPr>
      </w:pPr>
      <w:r w:rsidRPr="00446694">
        <w:rPr>
          <w:rFonts w:ascii="Times New Roman" w:hAnsi="Times New Roman" w:cs="Times New Roman"/>
        </w:rPr>
        <w:tab/>
      </w:r>
      <w:r w:rsidRPr="00446694">
        <w:rPr>
          <w:rFonts w:ascii="Times New Roman" w:hAnsi="Times New Roman" w:cs="Times New Roman"/>
        </w:rPr>
        <w:tab/>
      </w:r>
      <w:proofErr w:type="spellStart"/>
      <w:r w:rsidRPr="00446694">
        <w:rPr>
          <w:rFonts w:ascii="Times New Roman" w:hAnsi="Times New Roman" w:cs="Times New Roman"/>
        </w:rPr>
        <w:t>Equitable’s</w:t>
      </w:r>
      <w:proofErr w:type="spellEnd"/>
      <w:r w:rsidRPr="00446694">
        <w:rPr>
          <w:rFonts w:ascii="Times New Roman" w:hAnsi="Times New Roman" w:cs="Times New Roman"/>
        </w:rPr>
        <w:t xml:space="preserve"> Director of Gas Supply Thomas P. </w:t>
      </w:r>
      <w:proofErr w:type="spellStart"/>
      <w:r w:rsidRPr="00446694">
        <w:rPr>
          <w:rFonts w:ascii="Times New Roman" w:hAnsi="Times New Roman" w:cs="Times New Roman"/>
        </w:rPr>
        <w:t>Wiggers</w:t>
      </w:r>
      <w:proofErr w:type="spellEnd"/>
      <w:r w:rsidRPr="00446694">
        <w:rPr>
          <w:rFonts w:ascii="Times New Roman" w:hAnsi="Times New Roman" w:cs="Times New Roman"/>
        </w:rPr>
        <w:t xml:space="preserve"> (Director </w:t>
      </w:r>
      <w:proofErr w:type="spellStart"/>
      <w:r w:rsidRPr="00446694">
        <w:rPr>
          <w:rFonts w:ascii="Times New Roman" w:hAnsi="Times New Roman" w:cs="Times New Roman"/>
        </w:rPr>
        <w:t>Wiggers</w:t>
      </w:r>
      <w:proofErr w:type="spellEnd"/>
      <w:r w:rsidRPr="00446694">
        <w:rPr>
          <w:rFonts w:ascii="Times New Roman" w:hAnsi="Times New Roman" w:cs="Times New Roman"/>
        </w:rPr>
        <w:t>) proffers that the Company has been experiencing fluctuations and an upward trend in the average Btu content of gas supply delivered to its system since 2010.</w:t>
      </w:r>
      <w:r w:rsidRPr="00446694">
        <w:rPr>
          <w:rFonts w:ascii="Times New Roman" w:hAnsi="Times New Roman" w:cs="Times New Roman"/>
          <w:vertAlign w:val="superscript"/>
        </w:rPr>
        <w:footnoteReference w:id="8"/>
      </w:r>
      <w:r w:rsidRPr="00446694">
        <w:rPr>
          <w:rFonts w:ascii="Times New Roman" w:hAnsi="Times New Roman" w:cs="Times New Roman"/>
        </w:rPr>
        <w:t xml:space="preserve">  According to Director </w:t>
      </w:r>
      <w:proofErr w:type="spellStart"/>
      <w:r w:rsidRPr="00446694">
        <w:rPr>
          <w:rFonts w:ascii="Times New Roman" w:hAnsi="Times New Roman" w:cs="Times New Roman"/>
        </w:rPr>
        <w:t>Wiggers</w:t>
      </w:r>
      <w:proofErr w:type="spellEnd"/>
      <w:r w:rsidRPr="00446694">
        <w:rPr>
          <w:rFonts w:ascii="Times New Roman" w:hAnsi="Times New Roman" w:cs="Times New Roman"/>
        </w:rPr>
        <w:t>,</w:t>
      </w:r>
    </w:p>
    <w:p w:rsidR="00292993" w:rsidRPr="00446694" w:rsidRDefault="00292993" w:rsidP="0002545B">
      <w:pPr>
        <w:spacing w:line="360" w:lineRule="auto"/>
        <w:rPr>
          <w:rFonts w:ascii="Times New Roman" w:hAnsi="Times New Roman" w:cs="Times New Roman"/>
        </w:rPr>
      </w:pPr>
      <w:proofErr w:type="gramStart"/>
      <w:r w:rsidRPr="00446694">
        <w:rPr>
          <w:rFonts w:ascii="Times New Roman" w:hAnsi="Times New Roman" w:cs="Times New Roman"/>
        </w:rPr>
        <w:t>sometime</w:t>
      </w:r>
      <w:proofErr w:type="gramEnd"/>
      <w:r w:rsidRPr="00446694">
        <w:rPr>
          <w:rFonts w:ascii="Times New Roman" w:hAnsi="Times New Roman" w:cs="Times New Roman"/>
        </w:rPr>
        <w:t xml:space="preserve"> in 2010, </w:t>
      </w:r>
      <w:proofErr w:type="spellStart"/>
      <w:r w:rsidRPr="00446694">
        <w:rPr>
          <w:rFonts w:ascii="Times New Roman" w:hAnsi="Times New Roman" w:cs="Times New Roman"/>
        </w:rPr>
        <w:t>Equitable’s</w:t>
      </w:r>
      <w:proofErr w:type="spellEnd"/>
      <w:r w:rsidRPr="00446694">
        <w:rPr>
          <w:rFonts w:ascii="Times New Roman" w:hAnsi="Times New Roman" w:cs="Times New Roman"/>
        </w:rPr>
        <w:t xml:space="preserve"> natural gas supply purchases became more heavily weighted with purchases of local Appalachian </w:t>
      </w:r>
      <w:r w:rsidR="00862547">
        <w:rPr>
          <w:rFonts w:ascii="Times New Roman" w:hAnsi="Times New Roman" w:cs="Times New Roman"/>
        </w:rPr>
        <w:t>G</w:t>
      </w:r>
      <w:r w:rsidRPr="00446694">
        <w:rPr>
          <w:rFonts w:ascii="Times New Roman" w:hAnsi="Times New Roman" w:cs="Times New Roman"/>
        </w:rPr>
        <w:t>as and Marcellus Shale Gas.</w:t>
      </w:r>
      <w:r w:rsidRPr="00446694">
        <w:rPr>
          <w:rFonts w:ascii="Times New Roman" w:hAnsi="Times New Roman" w:cs="Times New Roman"/>
          <w:vertAlign w:val="superscript"/>
        </w:rPr>
        <w:footnoteReference w:id="9"/>
      </w:r>
      <w:r w:rsidRPr="00446694">
        <w:rPr>
          <w:rFonts w:ascii="Times New Roman" w:hAnsi="Times New Roman" w:cs="Times New Roman"/>
        </w:rPr>
        <w:t xml:space="preserve">  Further</w:t>
      </w:r>
      <w:r w:rsidR="00EA4315">
        <w:rPr>
          <w:rFonts w:ascii="Times New Roman" w:hAnsi="Times New Roman" w:cs="Times New Roman"/>
        </w:rPr>
        <w:t>,</w:t>
      </w:r>
      <w:r w:rsidRPr="00446694">
        <w:rPr>
          <w:rFonts w:ascii="Times New Roman" w:hAnsi="Times New Roman" w:cs="Times New Roman"/>
        </w:rPr>
        <w:t xml:space="preserve"> beginning in November 2012</w:t>
      </w:r>
      <w:r w:rsidR="00D75A98">
        <w:rPr>
          <w:rFonts w:ascii="Times New Roman" w:hAnsi="Times New Roman" w:cs="Times New Roman"/>
        </w:rPr>
        <w:t>,</w:t>
      </w:r>
      <w:r w:rsidRPr="00446694">
        <w:rPr>
          <w:rFonts w:ascii="Times New Roman" w:hAnsi="Times New Roman" w:cs="Times New Roman"/>
        </w:rPr>
        <w:t xml:space="preserve"> Equitable will no longer </w:t>
      </w:r>
      <w:r w:rsidR="00D75A98">
        <w:rPr>
          <w:rFonts w:ascii="Times New Roman" w:hAnsi="Times New Roman" w:cs="Times New Roman"/>
        </w:rPr>
        <w:t xml:space="preserve">be </w:t>
      </w:r>
      <w:r w:rsidRPr="00446694">
        <w:rPr>
          <w:rFonts w:ascii="Times New Roman" w:hAnsi="Times New Roman" w:cs="Times New Roman"/>
        </w:rPr>
        <w:t xml:space="preserve">under contract with any interstate pipeline to deliver gas from the Gulf or Mid-Continent Regions, Mr. </w:t>
      </w:r>
      <w:proofErr w:type="spellStart"/>
      <w:r w:rsidRPr="00446694">
        <w:rPr>
          <w:rFonts w:ascii="Times New Roman" w:hAnsi="Times New Roman" w:cs="Times New Roman"/>
        </w:rPr>
        <w:t>Wigggers</w:t>
      </w:r>
      <w:proofErr w:type="spellEnd"/>
      <w:r w:rsidRPr="00446694">
        <w:rPr>
          <w:rFonts w:ascii="Times New Roman" w:hAnsi="Times New Roman" w:cs="Times New Roman"/>
        </w:rPr>
        <w:t xml:space="preserve"> submits. </w:t>
      </w:r>
      <w:r w:rsidR="0002545B">
        <w:rPr>
          <w:rFonts w:ascii="Times New Roman" w:hAnsi="Times New Roman" w:cs="Times New Roman"/>
        </w:rPr>
        <w:t xml:space="preserve"> </w:t>
      </w:r>
      <w:r w:rsidRPr="00446694">
        <w:rPr>
          <w:rFonts w:ascii="Times New Roman" w:hAnsi="Times New Roman" w:cs="Times New Roman"/>
        </w:rPr>
        <w:t xml:space="preserve">Procuring gas locally is in keeping </w:t>
      </w:r>
      <w:r w:rsidRPr="00446694">
        <w:rPr>
          <w:rFonts w:ascii="Times New Roman" w:hAnsi="Times New Roman" w:cs="Times New Roman"/>
        </w:rPr>
        <w:lastRenderedPageBreak/>
        <w:t xml:space="preserve">with the Commission’s least cost purchasing standards and desire to promote Marcellus Shale production.   </w:t>
      </w:r>
    </w:p>
    <w:p w:rsidR="00292993" w:rsidRPr="00446694" w:rsidRDefault="00292993" w:rsidP="0002545B">
      <w:pPr>
        <w:spacing w:line="360" w:lineRule="auto"/>
        <w:rPr>
          <w:rFonts w:ascii="Times New Roman" w:hAnsi="Times New Roman" w:cs="Times New Roman"/>
        </w:rPr>
      </w:pPr>
    </w:p>
    <w:p w:rsidR="00292993" w:rsidRPr="00446694" w:rsidRDefault="00292993" w:rsidP="0002545B">
      <w:pPr>
        <w:spacing w:line="360" w:lineRule="auto"/>
        <w:rPr>
          <w:rFonts w:ascii="Times New Roman" w:hAnsi="Times New Roman" w:cs="Times New Roman"/>
        </w:rPr>
      </w:pPr>
      <w:r w:rsidRPr="00446694">
        <w:rPr>
          <w:rFonts w:ascii="Times New Roman" w:hAnsi="Times New Roman" w:cs="Times New Roman"/>
        </w:rPr>
        <w:tab/>
      </w:r>
      <w:r w:rsidRPr="00446694">
        <w:rPr>
          <w:rFonts w:ascii="Times New Roman" w:hAnsi="Times New Roman" w:cs="Times New Roman"/>
        </w:rPr>
        <w:tab/>
        <w:t xml:space="preserve">In this proceeding, essentially Equitable is attempting to generate the same </w:t>
      </w:r>
      <w:r w:rsidR="00B07E08">
        <w:rPr>
          <w:rFonts w:ascii="Times New Roman" w:hAnsi="Times New Roman" w:cs="Times New Roman"/>
        </w:rPr>
        <w:t>$</w:t>
      </w:r>
      <w:r w:rsidRPr="00446694">
        <w:rPr>
          <w:rFonts w:ascii="Times New Roman" w:hAnsi="Times New Roman" w:cs="Times New Roman"/>
        </w:rPr>
        <w:t xml:space="preserve">38.4 million revenue increase established in its 2008 general base rate filing by changing its billing system.  There are multiple factors that determine the revenue requirement which must be examined in a general </w:t>
      </w:r>
      <w:r w:rsidR="00862547">
        <w:rPr>
          <w:rFonts w:ascii="Times New Roman" w:hAnsi="Times New Roman" w:cs="Times New Roman"/>
        </w:rPr>
        <w:t xml:space="preserve">base </w:t>
      </w:r>
      <w:r w:rsidRPr="00446694">
        <w:rPr>
          <w:rFonts w:ascii="Times New Roman" w:hAnsi="Times New Roman" w:cs="Times New Roman"/>
        </w:rPr>
        <w:t xml:space="preserve">rate filing. </w:t>
      </w:r>
      <w:r w:rsidR="0002545B">
        <w:rPr>
          <w:rFonts w:ascii="Times New Roman" w:hAnsi="Times New Roman" w:cs="Times New Roman"/>
        </w:rPr>
        <w:t xml:space="preserve"> </w:t>
      </w:r>
      <w:r w:rsidRPr="00446694">
        <w:rPr>
          <w:rFonts w:ascii="Times New Roman" w:hAnsi="Times New Roman" w:cs="Times New Roman"/>
        </w:rPr>
        <w:t>Operating costs, taxes, annual depreciation, rate of return, facilities value and equipment, accumulated/accrued depreciation and off system sales determine the revenue requirement, which must be considered in establishing a just and reasonable utility rate.  Here Equitable seeks to extract one component which ostensibly affects revenue</w:t>
      </w:r>
      <w:r w:rsidR="00DB49C1">
        <w:rPr>
          <w:rFonts w:ascii="Times New Roman" w:hAnsi="Times New Roman" w:cs="Times New Roman"/>
        </w:rPr>
        <w:t>,</w:t>
      </w:r>
      <w:r w:rsidRPr="00446694">
        <w:rPr>
          <w:rFonts w:ascii="Times New Roman" w:hAnsi="Times New Roman" w:cs="Times New Roman"/>
        </w:rPr>
        <w:t xml:space="preserve"> </w:t>
      </w:r>
      <w:r w:rsidR="00107B23">
        <w:rPr>
          <w:rFonts w:ascii="Times New Roman" w:hAnsi="Times New Roman" w:cs="Times New Roman"/>
        </w:rPr>
        <w:t>i.e.</w:t>
      </w:r>
      <w:r w:rsidRPr="00446694">
        <w:rPr>
          <w:rFonts w:ascii="Times New Roman" w:hAnsi="Times New Roman" w:cs="Times New Roman"/>
        </w:rPr>
        <w:t xml:space="preserve"> the heat content of gas without considering other factors which affect the revenue such as customer usage, where the customers tap into the gas line, customer conservation, </w:t>
      </w:r>
      <w:proofErr w:type="gramStart"/>
      <w:r w:rsidRPr="00446694">
        <w:rPr>
          <w:rFonts w:ascii="Times New Roman" w:hAnsi="Times New Roman" w:cs="Times New Roman"/>
        </w:rPr>
        <w:t>number</w:t>
      </w:r>
      <w:proofErr w:type="gramEnd"/>
      <w:r w:rsidRPr="00446694">
        <w:rPr>
          <w:rFonts w:ascii="Times New Roman" w:hAnsi="Times New Roman" w:cs="Times New Roman"/>
        </w:rPr>
        <w:t xml:space="preserve"> of customers, </w:t>
      </w:r>
      <w:r w:rsidR="00B07E08">
        <w:rPr>
          <w:rFonts w:ascii="Times New Roman" w:hAnsi="Times New Roman" w:cs="Times New Roman"/>
        </w:rPr>
        <w:t xml:space="preserve">and </w:t>
      </w:r>
      <w:r w:rsidRPr="00446694">
        <w:rPr>
          <w:rFonts w:ascii="Times New Roman" w:hAnsi="Times New Roman" w:cs="Times New Roman"/>
        </w:rPr>
        <w:t>weather conditions that might affect revenues.</w:t>
      </w:r>
      <w:r w:rsidR="0002545B">
        <w:rPr>
          <w:rFonts w:ascii="Times New Roman" w:hAnsi="Times New Roman" w:cs="Times New Roman"/>
        </w:rPr>
        <w:t xml:space="preserve"> </w:t>
      </w:r>
      <w:r w:rsidRPr="00446694">
        <w:rPr>
          <w:rFonts w:ascii="Times New Roman" w:hAnsi="Times New Roman" w:cs="Times New Roman"/>
        </w:rPr>
        <w:t xml:space="preserve"> This is classic, but prohibitive, single issue rate making. </w:t>
      </w:r>
      <w:r w:rsidR="0002545B">
        <w:rPr>
          <w:rFonts w:ascii="Times New Roman" w:hAnsi="Times New Roman" w:cs="Times New Roman"/>
        </w:rPr>
        <w:t xml:space="preserve"> </w:t>
      </w:r>
      <w:r w:rsidRPr="00446694">
        <w:rPr>
          <w:rFonts w:ascii="Times New Roman" w:hAnsi="Times New Roman" w:cs="Times New Roman"/>
        </w:rPr>
        <w:t xml:space="preserve">“Single issue rate making is prohibited if it impacts on a matter considered in a base rate case.  </w:t>
      </w:r>
      <w:r w:rsidRPr="00446694">
        <w:rPr>
          <w:rFonts w:ascii="Times New Roman" w:hAnsi="Times New Roman" w:cs="Times New Roman"/>
          <w:i/>
        </w:rPr>
        <w:t xml:space="preserve">Philadelphia Electric Company v. Pennsylvania Public Utility Commission, 93 Pa. </w:t>
      </w:r>
      <w:proofErr w:type="spellStart"/>
      <w:r w:rsidRPr="00446694">
        <w:rPr>
          <w:rFonts w:ascii="Times New Roman" w:hAnsi="Times New Roman" w:cs="Times New Roman"/>
          <w:i/>
        </w:rPr>
        <w:t>Commw</w:t>
      </w:r>
      <w:proofErr w:type="spellEnd"/>
      <w:r w:rsidRPr="00446694">
        <w:rPr>
          <w:rFonts w:ascii="Times New Roman" w:hAnsi="Times New Roman" w:cs="Times New Roman"/>
          <w:i/>
        </w:rPr>
        <w:t xml:space="preserve">. </w:t>
      </w:r>
      <w:proofErr w:type="gramStart"/>
      <w:r w:rsidRPr="00446694">
        <w:rPr>
          <w:rFonts w:ascii="Times New Roman" w:hAnsi="Times New Roman" w:cs="Times New Roman"/>
          <w:i/>
        </w:rPr>
        <w:t xml:space="preserve">410, 502 A. 2d 722, 727-728 (Pa. </w:t>
      </w:r>
      <w:proofErr w:type="spellStart"/>
      <w:r w:rsidRPr="00446694">
        <w:rPr>
          <w:rFonts w:ascii="Times New Roman" w:hAnsi="Times New Roman" w:cs="Times New Roman"/>
          <w:i/>
        </w:rPr>
        <w:t>Cmwlth</w:t>
      </w:r>
      <w:proofErr w:type="spellEnd"/>
      <w:r w:rsidRPr="00446694">
        <w:rPr>
          <w:rFonts w:ascii="Times New Roman" w:hAnsi="Times New Roman" w:cs="Times New Roman"/>
          <w:i/>
        </w:rPr>
        <w:t>. 1985)</w:t>
      </w:r>
      <w:r w:rsidR="00863C99">
        <w:rPr>
          <w:rFonts w:ascii="Times New Roman" w:hAnsi="Times New Roman" w:cs="Times New Roman"/>
          <w:i/>
        </w:rPr>
        <w:t>.</w:t>
      </w:r>
      <w:r w:rsidRPr="00446694">
        <w:rPr>
          <w:rFonts w:ascii="Times New Roman" w:hAnsi="Times New Roman" w:cs="Times New Roman"/>
          <w:i/>
        </w:rPr>
        <w:t>”</w:t>
      </w:r>
      <w:proofErr w:type="gramEnd"/>
      <w:r w:rsidRPr="00446694">
        <w:rPr>
          <w:rFonts w:ascii="Times New Roman" w:hAnsi="Times New Roman" w:cs="Times New Roman"/>
          <w:i/>
        </w:rPr>
        <w:t xml:space="preserve"> </w:t>
      </w:r>
      <w:r w:rsidR="00651D0A">
        <w:rPr>
          <w:rFonts w:ascii="Times New Roman" w:hAnsi="Times New Roman" w:cs="Times New Roman"/>
          <w:i/>
        </w:rPr>
        <w:t xml:space="preserve"> </w:t>
      </w:r>
      <w:proofErr w:type="spellStart"/>
      <w:proofErr w:type="gramStart"/>
      <w:r w:rsidRPr="00446694">
        <w:rPr>
          <w:rFonts w:ascii="Times New Roman" w:hAnsi="Times New Roman" w:cs="Times New Roman"/>
          <w:i/>
        </w:rPr>
        <w:t>Popowsky</w:t>
      </w:r>
      <w:proofErr w:type="spellEnd"/>
      <w:r w:rsidRPr="00446694">
        <w:rPr>
          <w:rFonts w:ascii="Times New Roman" w:hAnsi="Times New Roman" w:cs="Times New Roman"/>
          <w:i/>
        </w:rPr>
        <w:t xml:space="preserve"> </w:t>
      </w:r>
      <w:r w:rsidR="00EA4315">
        <w:rPr>
          <w:rFonts w:ascii="Times New Roman" w:hAnsi="Times New Roman" w:cs="Times New Roman"/>
          <w:i/>
        </w:rPr>
        <w:t>v</w:t>
      </w:r>
      <w:r w:rsidRPr="00446694">
        <w:rPr>
          <w:rFonts w:ascii="Times New Roman" w:hAnsi="Times New Roman" w:cs="Times New Roman"/>
          <w:i/>
        </w:rPr>
        <w:t xml:space="preserve">. Pennsylvania Public Utility Commission, 869 A. 2d 1144, 1153 (Pa. </w:t>
      </w:r>
      <w:proofErr w:type="spellStart"/>
      <w:r w:rsidRPr="00446694">
        <w:rPr>
          <w:rFonts w:ascii="Times New Roman" w:hAnsi="Times New Roman" w:cs="Times New Roman"/>
          <w:i/>
        </w:rPr>
        <w:t>Commw</w:t>
      </w:r>
      <w:proofErr w:type="spellEnd"/>
      <w:r w:rsidRPr="00446694">
        <w:rPr>
          <w:rFonts w:ascii="Times New Roman" w:hAnsi="Times New Roman" w:cs="Times New Roman"/>
          <w:i/>
        </w:rPr>
        <w:t>. 2005).</w:t>
      </w:r>
      <w:proofErr w:type="gramEnd"/>
    </w:p>
    <w:p w:rsidR="00292993" w:rsidRPr="00446694" w:rsidRDefault="00292993" w:rsidP="0002545B">
      <w:pPr>
        <w:spacing w:line="360" w:lineRule="auto"/>
        <w:ind w:firstLine="720"/>
        <w:rPr>
          <w:rFonts w:ascii="Times New Roman" w:hAnsi="Times New Roman" w:cs="Times New Roman"/>
        </w:rPr>
      </w:pPr>
    </w:p>
    <w:p w:rsidR="00292993" w:rsidRPr="00446694" w:rsidRDefault="00292993" w:rsidP="0002545B">
      <w:pPr>
        <w:spacing w:line="360" w:lineRule="auto"/>
        <w:ind w:firstLine="720"/>
        <w:rPr>
          <w:rFonts w:ascii="Times New Roman" w:hAnsi="Times New Roman" w:cs="Times New Roman"/>
        </w:rPr>
      </w:pPr>
      <w:r w:rsidRPr="00446694">
        <w:rPr>
          <w:rFonts w:ascii="Times New Roman" w:hAnsi="Times New Roman" w:cs="Times New Roman"/>
        </w:rPr>
        <w:tab/>
        <w:t>Equitable insists that each of its alternative supplements is revenue neutral. However, under OCA’s cross-examination</w:t>
      </w:r>
      <w:r w:rsidR="00651D0A">
        <w:rPr>
          <w:rFonts w:ascii="Times New Roman" w:hAnsi="Times New Roman" w:cs="Times New Roman"/>
        </w:rPr>
        <w:t>,</w:t>
      </w:r>
      <w:r w:rsidRPr="00446694">
        <w:rPr>
          <w:rFonts w:ascii="Times New Roman" w:hAnsi="Times New Roman" w:cs="Times New Roman"/>
        </w:rPr>
        <w:t xml:space="preserve"> its Director of Gas Supply, Thomas P. </w:t>
      </w:r>
      <w:proofErr w:type="spellStart"/>
      <w:r w:rsidRPr="00446694">
        <w:rPr>
          <w:rFonts w:ascii="Times New Roman" w:hAnsi="Times New Roman" w:cs="Times New Roman"/>
        </w:rPr>
        <w:t>Wiggers</w:t>
      </w:r>
      <w:proofErr w:type="spellEnd"/>
      <w:r w:rsidRPr="00446694">
        <w:rPr>
          <w:rFonts w:ascii="Times New Roman" w:hAnsi="Times New Roman" w:cs="Times New Roman"/>
        </w:rPr>
        <w:t xml:space="preserve">, admits customers will experience a distribution rate increase. </w:t>
      </w:r>
      <w:r w:rsidR="0002545B">
        <w:rPr>
          <w:rFonts w:ascii="Times New Roman" w:hAnsi="Times New Roman" w:cs="Times New Roman"/>
        </w:rPr>
        <w:t xml:space="preserve"> </w:t>
      </w:r>
      <w:r w:rsidRPr="00446694">
        <w:rPr>
          <w:rFonts w:ascii="Times New Roman" w:hAnsi="Times New Roman" w:cs="Times New Roman"/>
        </w:rPr>
        <w:t xml:space="preserve">Mr. </w:t>
      </w:r>
      <w:proofErr w:type="spellStart"/>
      <w:r w:rsidRPr="00446694">
        <w:rPr>
          <w:rFonts w:ascii="Times New Roman" w:hAnsi="Times New Roman" w:cs="Times New Roman"/>
        </w:rPr>
        <w:t>Wiggers</w:t>
      </w:r>
      <w:proofErr w:type="spellEnd"/>
      <w:r w:rsidRPr="00446694">
        <w:rPr>
          <w:rFonts w:ascii="Times New Roman" w:hAnsi="Times New Roman" w:cs="Times New Roman"/>
        </w:rPr>
        <w:t xml:space="preserve"> testified as follows:</w:t>
      </w:r>
    </w:p>
    <w:p w:rsidR="00292993" w:rsidRPr="00446694" w:rsidRDefault="00292993" w:rsidP="0002545B">
      <w:pPr>
        <w:spacing w:line="360" w:lineRule="auto"/>
        <w:ind w:firstLine="720"/>
        <w:rPr>
          <w:rFonts w:ascii="Times New Roman" w:hAnsi="Times New Roman" w:cs="Times New Roman"/>
        </w:rPr>
      </w:pPr>
    </w:p>
    <w:p w:rsidR="00292993" w:rsidRPr="00446694" w:rsidRDefault="00292993" w:rsidP="0002545B">
      <w:pPr>
        <w:ind w:left="1440" w:right="1080"/>
        <w:rPr>
          <w:rFonts w:ascii="Times New Roman" w:hAnsi="Times New Roman" w:cs="Times New Roman"/>
        </w:rPr>
      </w:pPr>
      <w:r w:rsidRPr="00446694">
        <w:rPr>
          <w:rFonts w:ascii="Times New Roman" w:hAnsi="Times New Roman" w:cs="Times New Roman"/>
        </w:rPr>
        <w:t>Q.</w:t>
      </w:r>
      <w:r w:rsidRPr="00446694">
        <w:rPr>
          <w:rFonts w:ascii="Times New Roman" w:hAnsi="Times New Roman" w:cs="Times New Roman"/>
        </w:rPr>
        <w:tab/>
        <w:t xml:space="preserve">Would those shopping (CHOICE) customers experience a rate </w:t>
      </w:r>
      <w:r w:rsidRPr="00446694">
        <w:rPr>
          <w:rFonts w:ascii="Times New Roman" w:hAnsi="Times New Roman" w:cs="Times New Roman"/>
        </w:rPr>
        <w:tab/>
        <w:t>increase?</w:t>
      </w:r>
    </w:p>
    <w:p w:rsidR="00292993" w:rsidRPr="00446694" w:rsidRDefault="00292993" w:rsidP="0002545B">
      <w:pPr>
        <w:ind w:left="1440" w:right="1080"/>
        <w:rPr>
          <w:rFonts w:ascii="Times New Roman" w:hAnsi="Times New Roman" w:cs="Times New Roman"/>
        </w:rPr>
      </w:pPr>
    </w:p>
    <w:p w:rsidR="00292993" w:rsidRPr="00446694" w:rsidRDefault="00292993" w:rsidP="0002545B">
      <w:pPr>
        <w:ind w:left="1440" w:right="1080"/>
        <w:rPr>
          <w:rFonts w:ascii="Times New Roman" w:hAnsi="Times New Roman" w:cs="Times New Roman"/>
        </w:rPr>
      </w:pPr>
      <w:r w:rsidRPr="00446694">
        <w:rPr>
          <w:rFonts w:ascii="Times New Roman" w:hAnsi="Times New Roman" w:cs="Times New Roman"/>
        </w:rPr>
        <w:t>A.</w:t>
      </w:r>
      <w:r w:rsidRPr="00446694">
        <w:rPr>
          <w:rFonts w:ascii="Times New Roman" w:hAnsi="Times New Roman" w:cs="Times New Roman"/>
        </w:rPr>
        <w:tab/>
        <w:t>I haven’t done that analysis to go through it all.</w:t>
      </w:r>
    </w:p>
    <w:p w:rsidR="00292993" w:rsidRPr="00446694" w:rsidRDefault="00292993" w:rsidP="0002545B">
      <w:pPr>
        <w:ind w:left="1440" w:right="1080"/>
        <w:rPr>
          <w:rFonts w:ascii="Times New Roman" w:hAnsi="Times New Roman" w:cs="Times New Roman"/>
        </w:rPr>
      </w:pPr>
    </w:p>
    <w:p w:rsidR="00292993" w:rsidRPr="00446694" w:rsidRDefault="00292993" w:rsidP="0002545B">
      <w:pPr>
        <w:ind w:left="1440" w:right="1080"/>
        <w:rPr>
          <w:rFonts w:ascii="Times New Roman" w:hAnsi="Times New Roman" w:cs="Times New Roman"/>
        </w:rPr>
      </w:pPr>
      <w:r w:rsidRPr="00446694">
        <w:rPr>
          <w:rFonts w:ascii="Times New Roman" w:hAnsi="Times New Roman" w:cs="Times New Roman"/>
        </w:rPr>
        <w:t>Q.</w:t>
      </w:r>
      <w:r w:rsidRPr="00446694">
        <w:rPr>
          <w:rFonts w:ascii="Times New Roman" w:hAnsi="Times New Roman" w:cs="Times New Roman"/>
        </w:rPr>
        <w:tab/>
        <w:t xml:space="preserve">How about if we narrow it with respect to the distribution </w:t>
      </w:r>
      <w:r w:rsidRPr="00446694">
        <w:rPr>
          <w:rFonts w:ascii="Times New Roman" w:hAnsi="Times New Roman" w:cs="Times New Roman"/>
        </w:rPr>
        <w:tab/>
        <w:t>charge, if they’re currently paying $7.96, currently?</w:t>
      </w:r>
      <w:r w:rsidRPr="00446694">
        <w:rPr>
          <w:rFonts w:ascii="Times New Roman" w:hAnsi="Times New Roman" w:cs="Times New Roman"/>
        </w:rPr>
        <w:tab/>
      </w:r>
    </w:p>
    <w:p w:rsidR="00292993" w:rsidRPr="00446694" w:rsidRDefault="00292993" w:rsidP="0002545B">
      <w:pPr>
        <w:ind w:left="1440" w:right="1080"/>
        <w:rPr>
          <w:rFonts w:ascii="Times New Roman" w:hAnsi="Times New Roman" w:cs="Times New Roman"/>
        </w:rPr>
      </w:pPr>
      <w:r w:rsidRPr="00446694">
        <w:rPr>
          <w:rFonts w:ascii="Times New Roman" w:hAnsi="Times New Roman" w:cs="Times New Roman"/>
        </w:rPr>
        <w:tab/>
      </w:r>
    </w:p>
    <w:p w:rsidR="00292993" w:rsidRPr="00446694" w:rsidRDefault="00292993" w:rsidP="0002545B">
      <w:pPr>
        <w:ind w:right="1080" w:firstLine="720"/>
        <w:rPr>
          <w:rFonts w:ascii="Times New Roman" w:hAnsi="Times New Roman" w:cs="Times New Roman"/>
        </w:rPr>
      </w:pPr>
      <w:r w:rsidRPr="00446694">
        <w:rPr>
          <w:rFonts w:ascii="Times New Roman" w:hAnsi="Times New Roman" w:cs="Times New Roman"/>
        </w:rPr>
        <w:tab/>
        <w:t>A.</w:t>
      </w:r>
      <w:r w:rsidRPr="00446694">
        <w:rPr>
          <w:rFonts w:ascii="Times New Roman" w:hAnsi="Times New Roman" w:cs="Times New Roman"/>
        </w:rPr>
        <w:tab/>
        <w:t xml:space="preserve">They would pay the same.  They would pay – the $7.96 would </w:t>
      </w:r>
      <w:r w:rsidRPr="00446694">
        <w:rPr>
          <w:rFonts w:ascii="Times New Roman" w:hAnsi="Times New Roman" w:cs="Times New Roman"/>
        </w:rPr>
        <w:tab/>
      </w:r>
      <w:r w:rsidRPr="00446694">
        <w:rPr>
          <w:rFonts w:ascii="Times New Roman" w:hAnsi="Times New Roman" w:cs="Times New Roman"/>
        </w:rPr>
        <w:tab/>
      </w:r>
      <w:r w:rsidRPr="00446694">
        <w:rPr>
          <w:rFonts w:ascii="Times New Roman" w:hAnsi="Times New Roman" w:cs="Times New Roman"/>
        </w:rPr>
        <w:tab/>
        <w:t>go to $8.08 as well.</w:t>
      </w:r>
    </w:p>
    <w:p w:rsidR="00292993" w:rsidRPr="00446694" w:rsidRDefault="00292993" w:rsidP="0002545B">
      <w:pPr>
        <w:ind w:right="1080" w:firstLine="720"/>
        <w:rPr>
          <w:rFonts w:ascii="Times New Roman" w:hAnsi="Times New Roman" w:cs="Times New Roman"/>
        </w:rPr>
      </w:pPr>
    </w:p>
    <w:p w:rsidR="00292993" w:rsidRDefault="00292993" w:rsidP="0002545B">
      <w:pPr>
        <w:ind w:right="1080" w:firstLine="720"/>
        <w:rPr>
          <w:rFonts w:ascii="Times New Roman" w:hAnsi="Times New Roman" w:cs="Times New Roman"/>
        </w:rPr>
      </w:pPr>
      <w:r w:rsidRPr="00446694">
        <w:rPr>
          <w:rFonts w:ascii="Times New Roman" w:hAnsi="Times New Roman" w:cs="Times New Roman"/>
        </w:rPr>
        <w:tab/>
        <w:t>Q.</w:t>
      </w:r>
      <w:r w:rsidRPr="00446694">
        <w:rPr>
          <w:rFonts w:ascii="Times New Roman" w:hAnsi="Times New Roman" w:cs="Times New Roman"/>
        </w:rPr>
        <w:tab/>
        <w:t>So they would experience a distribution rate increase?</w:t>
      </w:r>
    </w:p>
    <w:p w:rsidR="0002545B" w:rsidRPr="00446694" w:rsidRDefault="0002545B" w:rsidP="0002545B">
      <w:pPr>
        <w:ind w:right="1080" w:firstLine="720"/>
        <w:rPr>
          <w:rFonts w:ascii="Times New Roman" w:hAnsi="Times New Roman" w:cs="Times New Roman"/>
        </w:rPr>
      </w:pPr>
    </w:p>
    <w:p w:rsidR="00292993" w:rsidRDefault="00292993" w:rsidP="0002545B">
      <w:pPr>
        <w:ind w:right="1080" w:firstLine="720"/>
        <w:rPr>
          <w:rFonts w:ascii="Times New Roman" w:hAnsi="Times New Roman" w:cs="Times New Roman"/>
        </w:rPr>
      </w:pPr>
      <w:r w:rsidRPr="00446694">
        <w:rPr>
          <w:rFonts w:ascii="Times New Roman" w:hAnsi="Times New Roman" w:cs="Times New Roman"/>
        </w:rPr>
        <w:lastRenderedPageBreak/>
        <w:tab/>
        <w:t>A.</w:t>
      </w:r>
      <w:r w:rsidRPr="00446694">
        <w:rPr>
          <w:rFonts w:ascii="Times New Roman" w:hAnsi="Times New Roman" w:cs="Times New Roman"/>
        </w:rPr>
        <w:tab/>
        <w:t xml:space="preserve">They would pay more than they did currently, yes.  We don’t </w:t>
      </w:r>
      <w:r w:rsidRPr="00446694">
        <w:rPr>
          <w:rFonts w:ascii="Times New Roman" w:hAnsi="Times New Roman" w:cs="Times New Roman"/>
        </w:rPr>
        <w:tab/>
      </w:r>
      <w:r w:rsidRPr="00446694">
        <w:rPr>
          <w:rFonts w:ascii="Times New Roman" w:hAnsi="Times New Roman" w:cs="Times New Roman"/>
        </w:rPr>
        <w:tab/>
      </w:r>
      <w:r w:rsidRPr="00446694">
        <w:rPr>
          <w:rFonts w:ascii="Times New Roman" w:hAnsi="Times New Roman" w:cs="Times New Roman"/>
        </w:rPr>
        <w:tab/>
        <w:t>view it as a rate increase.</w:t>
      </w:r>
    </w:p>
    <w:p w:rsidR="006B1BF2" w:rsidRPr="00446694" w:rsidRDefault="006B1BF2" w:rsidP="0002545B">
      <w:pPr>
        <w:ind w:right="1080" w:firstLine="720"/>
        <w:rPr>
          <w:rFonts w:ascii="Times New Roman" w:hAnsi="Times New Roman" w:cs="Times New Roman"/>
        </w:rPr>
      </w:pPr>
    </w:p>
    <w:p w:rsidR="00292993" w:rsidRPr="00446694" w:rsidRDefault="00292993" w:rsidP="0002545B">
      <w:pPr>
        <w:ind w:right="1080" w:firstLine="720"/>
        <w:rPr>
          <w:rFonts w:ascii="Times New Roman" w:hAnsi="Times New Roman" w:cs="Times New Roman"/>
        </w:rPr>
      </w:pPr>
    </w:p>
    <w:p w:rsidR="00652058" w:rsidRDefault="00292993" w:rsidP="006B1BF2">
      <w:pPr>
        <w:spacing w:line="360" w:lineRule="auto"/>
        <w:rPr>
          <w:rFonts w:ascii="Times New Roman" w:hAnsi="Times New Roman" w:cs="Times New Roman"/>
        </w:rPr>
      </w:pPr>
      <w:proofErr w:type="gramStart"/>
      <w:r w:rsidRPr="00446694">
        <w:rPr>
          <w:rFonts w:ascii="Times New Roman" w:hAnsi="Times New Roman" w:cs="Times New Roman"/>
        </w:rPr>
        <w:t>Tr. 59.</w:t>
      </w:r>
      <w:proofErr w:type="gramEnd"/>
      <w:r w:rsidR="00652058">
        <w:rPr>
          <w:rFonts w:ascii="Times New Roman" w:hAnsi="Times New Roman" w:cs="Times New Roman"/>
        </w:rPr>
        <w:t xml:space="preserve">  Mr. </w:t>
      </w:r>
      <w:proofErr w:type="spellStart"/>
      <w:r w:rsidR="00652058">
        <w:rPr>
          <w:rFonts w:ascii="Times New Roman" w:hAnsi="Times New Roman" w:cs="Times New Roman"/>
        </w:rPr>
        <w:t>Wiggers</w:t>
      </w:r>
      <w:proofErr w:type="spellEnd"/>
      <w:r w:rsidR="00652058">
        <w:rPr>
          <w:rFonts w:ascii="Times New Roman" w:hAnsi="Times New Roman" w:cs="Times New Roman"/>
        </w:rPr>
        <w:t xml:space="preserve"> did not fully explain </w:t>
      </w:r>
      <w:proofErr w:type="spellStart"/>
      <w:r w:rsidR="00652058">
        <w:rPr>
          <w:rFonts w:ascii="Times New Roman" w:hAnsi="Times New Roman" w:cs="Times New Roman"/>
        </w:rPr>
        <w:t>Equitable’s</w:t>
      </w:r>
      <w:proofErr w:type="spellEnd"/>
      <w:r w:rsidR="00652058">
        <w:rPr>
          <w:rFonts w:ascii="Times New Roman" w:hAnsi="Times New Roman" w:cs="Times New Roman"/>
        </w:rPr>
        <w:t xml:space="preserve"> position that the increase in distribution charges is not a rate increase. </w:t>
      </w:r>
      <w:r w:rsidR="006B1BF2">
        <w:rPr>
          <w:rFonts w:ascii="Times New Roman" w:hAnsi="Times New Roman" w:cs="Times New Roman"/>
        </w:rPr>
        <w:t xml:space="preserve"> </w:t>
      </w:r>
      <w:r w:rsidR="00652058">
        <w:rPr>
          <w:rFonts w:ascii="Times New Roman" w:hAnsi="Times New Roman" w:cs="Times New Roman"/>
        </w:rPr>
        <w:t>He only suggests the change i</w:t>
      </w:r>
      <w:r w:rsidR="007259CD">
        <w:rPr>
          <w:rFonts w:ascii="Times New Roman" w:hAnsi="Times New Roman" w:cs="Times New Roman"/>
        </w:rPr>
        <w:t>n the distribution charge “[</w:t>
      </w:r>
      <w:proofErr w:type="spellStart"/>
      <w:r w:rsidR="007259CD">
        <w:rPr>
          <w:rFonts w:ascii="Times New Roman" w:hAnsi="Times New Roman" w:cs="Times New Roman"/>
        </w:rPr>
        <w:t>i</w:t>
      </w:r>
      <w:proofErr w:type="spellEnd"/>
      <w:r w:rsidR="007259CD">
        <w:rPr>
          <w:rFonts w:ascii="Times New Roman" w:hAnsi="Times New Roman" w:cs="Times New Roman"/>
        </w:rPr>
        <w:t>]</w:t>
      </w:r>
      <w:proofErr w:type="gramStart"/>
      <w:r w:rsidR="007259CD">
        <w:rPr>
          <w:rFonts w:ascii="Times New Roman" w:hAnsi="Times New Roman" w:cs="Times New Roman"/>
        </w:rPr>
        <w:t xml:space="preserve">t </w:t>
      </w:r>
      <w:r w:rsidR="00652058">
        <w:rPr>
          <w:rFonts w:ascii="Times New Roman" w:hAnsi="Times New Roman" w:cs="Times New Roman"/>
        </w:rPr>
        <w:t xml:space="preserve"> represents</w:t>
      </w:r>
      <w:proofErr w:type="gramEnd"/>
      <w:r w:rsidR="00652058">
        <w:rPr>
          <w:rFonts w:ascii="Times New Roman" w:hAnsi="Times New Roman" w:cs="Times New Roman"/>
        </w:rPr>
        <w:t xml:space="preserve"> -- we’re resetting the – it’s not an increase in what was agreed to in (the) 2008 (base rate proceeding).” </w:t>
      </w:r>
      <w:r w:rsidR="006B1BF2">
        <w:rPr>
          <w:rFonts w:ascii="Times New Roman" w:hAnsi="Times New Roman" w:cs="Times New Roman"/>
        </w:rPr>
        <w:t xml:space="preserve"> </w:t>
      </w:r>
      <w:proofErr w:type="gramStart"/>
      <w:r w:rsidR="00652058">
        <w:rPr>
          <w:rFonts w:ascii="Times New Roman" w:hAnsi="Times New Roman" w:cs="Times New Roman"/>
        </w:rPr>
        <w:t>Tr. 57.</w:t>
      </w:r>
      <w:proofErr w:type="gramEnd"/>
      <w:r w:rsidR="00652058">
        <w:rPr>
          <w:rFonts w:ascii="Times New Roman" w:hAnsi="Times New Roman" w:cs="Times New Roman"/>
        </w:rPr>
        <w:t xml:space="preserve"> </w:t>
      </w:r>
    </w:p>
    <w:p w:rsidR="00652058" w:rsidRDefault="00652058" w:rsidP="006B1BF2">
      <w:pPr>
        <w:spacing w:line="360" w:lineRule="auto"/>
        <w:rPr>
          <w:rFonts w:ascii="Times New Roman" w:hAnsi="Times New Roman" w:cs="Times New Roman"/>
        </w:rPr>
      </w:pPr>
    </w:p>
    <w:p w:rsidR="00652058" w:rsidRDefault="00652058" w:rsidP="006B1BF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OCA’s witness, Ralph E. Miller, explained the differences in each of </w:t>
      </w:r>
      <w:proofErr w:type="spellStart"/>
      <w:r>
        <w:rPr>
          <w:rFonts w:ascii="Times New Roman" w:hAnsi="Times New Roman" w:cs="Times New Roman"/>
        </w:rPr>
        <w:t>Equitable’s</w:t>
      </w:r>
      <w:proofErr w:type="spellEnd"/>
      <w:r>
        <w:rPr>
          <w:rFonts w:ascii="Times New Roman" w:hAnsi="Times New Roman" w:cs="Times New Roman"/>
        </w:rPr>
        <w:t xml:space="preserve"> proposed supplements.</w:t>
      </w:r>
      <w:r>
        <w:rPr>
          <w:rStyle w:val="FootnoteReference"/>
          <w:rFonts w:ascii="Times New Roman" w:hAnsi="Times New Roman" w:cs="Times New Roman"/>
        </w:rPr>
        <w:footnoteReference w:id="10"/>
      </w:r>
      <w:r>
        <w:rPr>
          <w:rFonts w:ascii="Times New Roman" w:hAnsi="Times New Roman" w:cs="Times New Roman"/>
        </w:rPr>
        <w:t xml:space="preserve">  He stated, “In other words, each of these three proposed supplement</w:t>
      </w:r>
      <w:r w:rsidR="006B1BF2">
        <w:rPr>
          <w:rFonts w:ascii="Times New Roman" w:hAnsi="Times New Roman" w:cs="Times New Roman"/>
        </w:rPr>
        <w:t>s</w:t>
      </w:r>
      <w:r>
        <w:rPr>
          <w:rFonts w:ascii="Times New Roman" w:hAnsi="Times New Roman" w:cs="Times New Roman"/>
        </w:rPr>
        <w:t xml:space="preserve"> is a rate increase above </w:t>
      </w:r>
      <w:proofErr w:type="spellStart"/>
      <w:r>
        <w:rPr>
          <w:rFonts w:ascii="Times New Roman" w:hAnsi="Times New Roman" w:cs="Times New Roman"/>
        </w:rPr>
        <w:t>Equitable’s</w:t>
      </w:r>
      <w:proofErr w:type="spellEnd"/>
      <w:r>
        <w:rPr>
          <w:rFonts w:ascii="Times New Roman" w:hAnsi="Times New Roman" w:cs="Times New Roman"/>
        </w:rPr>
        <w:t xml:space="preserve"> present rates.”</w:t>
      </w:r>
      <w:r>
        <w:rPr>
          <w:rStyle w:val="FootnoteReference"/>
          <w:rFonts w:ascii="Times New Roman" w:hAnsi="Times New Roman" w:cs="Times New Roman"/>
        </w:rPr>
        <w:footnoteReference w:id="11"/>
      </w:r>
      <w:r>
        <w:rPr>
          <w:rFonts w:ascii="Times New Roman" w:hAnsi="Times New Roman" w:cs="Times New Roman"/>
        </w:rPr>
        <w:t xml:space="preserve">  Mr. Miller gave an example as to how the rate increase would affect a typical customer as follows:</w:t>
      </w:r>
    </w:p>
    <w:p w:rsidR="00652058" w:rsidRDefault="00652058" w:rsidP="00652058">
      <w:pPr>
        <w:spacing w:line="360" w:lineRule="auto"/>
        <w:rPr>
          <w:rFonts w:ascii="Times New Roman" w:hAnsi="Times New Roman" w:cs="Times New Roman"/>
        </w:rPr>
      </w:pPr>
    </w:p>
    <w:p w:rsidR="00652058" w:rsidRDefault="00652058" w:rsidP="00652058">
      <w:pPr>
        <w:autoSpaceDE/>
        <w:autoSpaceDN/>
        <w:ind w:left="1440" w:right="1080"/>
        <w:rPr>
          <w:rFonts w:ascii="Times New Roman" w:hAnsi="Times New Roman" w:cs="Times New Roman"/>
        </w:rPr>
      </w:pPr>
      <w:r w:rsidRPr="00724F75">
        <w:rPr>
          <w:rFonts w:ascii="Times New Roman" w:hAnsi="Times New Roman" w:cs="Times New Roman"/>
        </w:rPr>
        <w:t xml:space="preserve">If it had been in effect during the 12 months May 2011 through April 2012, each of </w:t>
      </w:r>
      <w:proofErr w:type="spellStart"/>
      <w:r w:rsidRPr="00724F75">
        <w:rPr>
          <w:rFonts w:ascii="Times New Roman" w:hAnsi="Times New Roman" w:cs="Times New Roman"/>
        </w:rPr>
        <w:t>Equitable’s</w:t>
      </w:r>
      <w:proofErr w:type="spellEnd"/>
      <w:r w:rsidRPr="00724F75">
        <w:rPr>
          <w:rFonts w:ascii="Times New Roman" w:hAnsi="Times New Roman" w:cs="Times New Roman"/>
        </w:rPr>
        <w:t xml:space="preserve"> proposed supplements would have increased a typical residential customer’s Delivery Charges by about 1.25%.  For a residential customer using 90 </w:t>
      </w:r>
      <w:proofErr w:type="spellStart"/>
      <w:r w:rsidRPr="00724F75">
        <w:rPr>
          <w:rFonts w:ascii="Times New Roman" w:hAnsi="Times New Roman" w:cs="Times New Roman"/>
        </w:rPr>
        <w:t>Mcf</w:t>
      </w:r>
      <w:proofErr w:type="spellEnd"/>
      <w:r w:rsidRPr="00724F75">
        <w:rPr>
          <w:rFonts w:ascii="Times New Roman" w:hAnsi="Times New Roman" w:cs="Times New Roman"/>
        </w:rPr>
        <w:t xml:space="preserve"> per year, the total annual Delivery Charges at </w:t>
      </w:r>
      <w:proofErr w:type="spellStart"/>
      <w:r w:rsidRPr="00724F75">
        <w:rPr>
          <w:rFonts w:ascii="Times New Roman" w:hAnsi="Times New Roman" w:cs="Times New Roman"/>
        </w:rPr>
        <w:t>Equitable’s</w:t>
      </w:r>
      <w:proofErr w:type="spellEnd"/>
      <w:r w:rsidRPr="00724F75">
        <w:rPr>
          <w:rFonts w:ascii="Times New Roman" w:hAnsi="Times New Roman" w:cs="Times New Roman"/>
        </w:rPr>
        <w:t xml:space="preserve"> present rate of $3.362 per </w:t>
      </w:r>
      <w:proofErr w:type="spellStart"/>
      <w:r w:rsidRPr="00724F75">
        <w:rPr>
          <w:rFonts w:ascii="Times New Roman" w:hAnsi="Times New Roman" w:cs="Times New Roman"/>
        </w:rPr>
        <w:t>Mcf</w:t>
      </w:r>
      <w:proofErr w:type="spellEnd"/>
      <w:r w:rsidRPr="00724F75">
        <w:rPr>
          <w:rFonts w:ascii="Times New Roman" w:hAnsi="Times New Roman" w:cs="Times New Roman"/>
        </w:rPr>
        <w:t xml:space="preserve"> (excluding riders) are $302.58.  The increase of 1.25% that would result from adoption of any one of </w:t>
      </w:r>
      <w:proofErr w:type="spellStart"/>
      <w:r w:rsidRPr="00724F75">
        <w:rPr>
          <w:rFonts w:ascii="Times New Roman" w:hAnsi="Times New Roman" w:cs="Times New Roman"/>
        </w:rPr>
        <w:t>Equitable’s</w:t>
      </w:r>
      <w:proofErr w:type="spellEnd"/>
      <w:r w:rsidRPr="00724F75">
        <w:rPr>
          <w:rFonts w:ascii="Times New Roman" w:hAnsi="Times New Roman" w:cs="Times New Roman"/>
        </w:rPr>
        <w:t xml:space="preserve"> proposed tariff supplements would be about $3.75.</w:t>
      </w:r>
    </w:p>
    <w:p w:rsidR="00652058" w:rsidRPr="00724F75" w:rsidRDefault="00652058" w:rsidP="00652058">
      <w:pPr>
        <w:autoSpaceDE/>
        <w:autoSpaceDN/>
        <w:ind w:left="1440" w:right="1080"/>
        <w:rPr>
          <w:rFonts w:ascii="Times New Roman" w:hAnsi="Times New Roman" w:cs="Times New Roman"/>
        </w:rPr>
      </w:pPr>
    </w:p>
    <w:p w:rsidR="00652058" w:rsidRDefault="00652058" w:rsidP="00652058">
      <w:pPr>
        <w:autoSpaceDE/>
        <w:autoSpaceDN/>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As to whether the Commission should approve of </w:t>
      </w:r>
      <w:proofErr w:type="spellStart"/>
      <w:r>
        <w:rPr>
          <w:rFonts w:ascii="Times New Roman" w:hAnsi="Times New Roman" w:cs="Times New Roman"/>
        </w:rPr>
        <w:t>Equitable’s</w:t>
      </w:r>
      <w:proofErr w:type="spellEnd"/>
      <w:r>
        <w:rPr>
          <w:rFonts w:ascii="Times New Roman" w:hAnsi="Times New Roman" w:cs="Times New Roman"/>
        </w:rPr>
        <w:t xml:space="preserve"> proposed supplements, Mr. Miller responded:</w:t>
      </w:r>
    </w:p>
    <w:p w:rsidR="008B44F8" w:rsidRDefault="008B44F8" w:rsidP="00652058">
      <w:pPr>
        <w:autoSpaceDE/>
        <w:autoSpaceDN/>
        <w:ind w:left="1440" w:right="1080"/>
        <w:rPr>
          <w:rFonts w:ascii="Times New Roman" w:hAnsi="Times New Roman" w:cs="Times New Roman"/>
        </w:rPr>
      </w:pPr>
    </w:p>
    <w:p w:rsidR="00652058" w:rsidRDefault="00652058" w:rsidP="00652058">
      <w:pPr>
        <w:autoSpaceDE/>
        <w:autoSpaceDN/>
        <w:ind w:left="1440" w:right="1080"/>
        <w:rPr>
          <w:rFonts w:ascii="Times New Roman" w:hAnsi="Times New Roman" w:cs="Times New Roman"/>
        </w:rPr>
      </w:pPr>
      <w:proofErr w:type="gramStart"/>
      <w:r w:rsidRPr="00724F75">
        <w:rPr>
          <w:rFonts w:ascii="Times New Roman" w:hAnsi="Times New Roman" w:cs="Times New Roman"/>
        </w:rPr>
        <w:t>No, not in the present proceeding.</w:t>
      </w:r>
      <w:proofErr w:type="gramEnd"/>
      <w:r w:rsidRPr="00724F75">
        <w:rPr>
          <w:rFonts w:ascii="Times New Roman" w:hAnsi="Times New Roman" w:cs="Times New Roman"/>
        </w:rPr>
        <w:t xml:space="preserve">  Each of these proposed tariff supplements would modify </w:t>
      </w:r>
      <w:proofErr w:type="spellStart"/>
      <w:r w:rsidRPr="00724F75">
        <w:rPr>
          <w:rFonts w:ascii="Times New Roman" w:hAnsi="Times New Roman" w:cs="Times New Roman"/>
        </w:rPr>
        <w:t>Equitable’s</w:t>
      </w:r>
      <w:proofErr w:type="spellEnd"/>
      <w:r w:rsidRPr="00724F75">
        <w:rPr>
          <w:rFonts w:ascii="Times New Roman" w:hAnsi="Times New Roman" w:cs="Times New Roman"/>
        </w:rPr>
        <w:t xml:space="preserve"> billing of its Delivery Charges, so that they reflect the heat energy or Btu content of the gas Equitable delivers, rather than the physical volume of those gas deliveries.  The appropriate place for this change is a base rate case, not a separate, single-issue filing like the present proceeding.  I explain my position on this issue in the next part of my testimony, after I complete this introductory summary.  However, I would note initially that the rate </w:t>
      </w:r>
      <w:r w:rsidRPr="00724F75">
        <w:rPr>
          <w:rFonts w:ascii="Times New Roman" w:hAnsi="Times New Roman" w:cs="Times New Roman"/>
        </w:rPr>
        <w:lastRenderedPageBreak/>
        <w:t xml:space="preserve">increase of about $1.2 million per year that is implicit in each of </w:t>
      </w:r>
      <w:proofErr w:type="spellStart"/>
      <w:r w:rsidRPr="00724F75">
        <w:rPr>
          <w:rFonts w:ascii="Times New Roman" w:hAnsi="Times New Roman" w:cs="Times New Roman"/>
        </w:rPr>
        <w:t>Equitable’s</w:t>
      </w:r>
      <w:proofErr w:type="spellEnd"/>
      <w:r w:rsidRPr="00724F75">
        <w:rPr>
          <w:rFonts w:ascii="Times New Roman" w:hAnsi="Times New Roman" w:cs="Times New Roman"/>
        </w:rPr>
        <w:t xml:space="preserve"> proposed tariff supplements is one of the major reasons they should not be adopted outside of a base rate case.</w:t>
      </w:r>
    </w:p>
    <w:p w:rsidR="00652058" w:rsidRDefault="00652058" w:rsidP="00652058">
      <w:pPr>
        <w:autoSpaceDE/>
        <w:autoSpaceDN/>
        <w:spacing w:line="360" w:lineRule="auto"/>
        <w:ind w:left="1440" w:right="1080"/>
        <w:rPr>
          <w:rFonts w:ascii="Times New Roman" w:hAnsi="Times New Roman" w:cs="Times New Roman"/>
        </w:rPr>
      </w:pPr>
    </w:p>
    <w:p w:rsidR="00652058" w:rsidRDefault="00652058" w:rsidP="00652058">
      <w:pPr>
        <w:autoSpaceDE/>
        <w:autoSpaceDN/>
        <w:spacing w:line="360" w:lineRule="auto"/>
        <w:ind w:right="1080" w:firstLine="1440"/>
        <w:rPr>
          <w:rFonts w:ascii="Times New Roman" w:hAnsi="Times New Roman" w:cs="Times New Roman"/>
        </w:rPr>
      </w:pPr>
      <w:r>
        <w:rPr>
          <w:rFonts w:ascii="Times New Roman" w:hAnsi="Times New Roman" w:cs="Times New Roman"/>
        </w:rPr>
        <w:t xml:space="preserve">Mr. Miller further explained his reasoning as to why </w:t>
      </w:r>
      <w:proofErr w:type="spellStart"/>
      <w:r>
        <w:rPr>
          <w:rFonts w:ascii="Times New Roman" w:hAnsi="Times New Roman" w:cs="Times New Roman"/>
        </w:rPr>
        <w:t>Equitable’s</w:t>
      </w:r>
      <w:proofErr w:type="spellEnd"/>
      <w:r>
        <w:rPr>
          <w:rFonts w:ascii="Times New Roman" w:hAnsi="Times New Roman" w:cs="Times New Roman"/>
        </w:rPr>
        <w:t xml:space="preserve"> proposed supplements should only be considered in a base rate proceeding.</w:t>
      </w:r>
    </w:p>
    <w:p w:rsidR="00652058" w:rsidRDefault="00652058" w:rsidP="00652058">
      <w:pPr>
        <w:autoSpaceDE/>
        <w:autoSpaceDN/>
        <w:spacing w:line="360" w:lineRule="auto"/>
        <w:ind w:right="1080" w:firstLine="1440"/>
        <w:rPr>
          <w:rFonts w:ascii="Times New Roman" w:hAnsi="Times New Roman" w:cs="Times New Roman"/>
        </w:rPr>
      </w:pPr>
    </w:p>
    <w:p w:rsidR="00652058" w:rsidRDefault="00652058" w:rsidP="00652058">
      <w:pPr>
        <w:pStyle w:val="Tty"/>
        <w:spacing w:line="240" w:lineRule="auto"/>
        <w:ind w:left="1440" w:right="1080" w:firstLine="0"/>
        <w:jc w:val="left"/>
      </w:pPr>
      <w:r>
        <w:tab/>
      </w:r>
      <w:r w:rsidRPr="005A1851">
        <w:t xml:space="preserve">There are several reasons.  The first is that the adoption of any of </w:t>
      </w:r>
      <w:proofErr w:type="spellStart"/>
      <w:r w:rsidRPr="005A1851">
        <w:t>Equitable’s</w:t>
      </w:r>
      <w:proofErr w:type="spellEnd"/>
      <w:r w:rsidRPr="005A1851">
        <w:t xml:space="preserve"> three alternative proposed tariff supplements would be a rate increase of about $1.2 million per year.  A rate increase of this nature should be considered only in a base rate case, not in a separate proceeding, because imposition of this rate increase in a separate proceeding would be an unfair and improper instance of single-issue ratemaking.  </w:t>
      </w:r>
      <w:proofErr w:type="spellStart"/>
      <w:r w:rsidRPr="005A1851">
        <w:t>Equitable’s</w:t>
      </w:r>
      <w:proofErr w:type="spellEnd"/>
      <w:r w:rsidRPr="005A1851">
        <w:t xml:space="preserve"> proposal also has an element of retroactivity because it would compensate the Company in the future for changes that have occurred in the past, before Equitable made the filings that initiated the present proceeding</w:t>
      </w:r>
      <w:r>
        <w:t>.</w:t>
      </w:r>
    </w:p>
    <w:p w:rsidR="00652058" w:rsidRPr="005A1851" w:rsidRDefault="00652058" w:rsidP="00652058">
      <w:pPr>
        <w:pStyle w:val="Tty"/>
        <w:spacing w:line="240" w:lineRule="auto"/>
        <w:ind w:left="1440" w:right="1080" w:firstLine="0"/>
        <w:jc w:val="left"/>
      </w:pPr>
    </w:p>
    <w:p w:rsidR="00652058" w:rsidRPr="005A1851" w:rsidRDefault="00652058" w:rsidP="00652058">
      <w:pPr>
        <w:pStyle w:val="Tty"/>
        <w:spacing w:line="240" w:lineRule="auto"/>
        <w:ind w:left="1440" w:right="1080" w:firstLine="0"/>
        <w:jc w:val="left"/>
      </w:pPr>
      <w:r w:rsidRPr="005A1851">
        <w:tab/>
        <w:t xml:space="preserve">A second reason is the complexity of the change from </w:t>
      </w:r>
      <w:proofErr w:type="spellStart"/>
      <w:r w:rsidRPr="005A1851">
        <w:t>Mcf</w:t>
      </w:r>
      <w:proofErr w:type="spellEnd"/>
      <w:r w:rsidRPr="005A1851">
        <w:t xml:space="preserve"> billing to dekatherm billing, in which all of </w:t>
      </w:r>
      <w:proofErr w:type="spellStart"/>
      <w:r w:rsidRPr="005A1851">
        <w:t>Equitable’s</w:t>
      </w:r>
      <w:proofErr w:type="spellEnd"/>
      <w:r w:rsidRPr="005A1851">
        <w:t xml:space="preserve"> rates and charges are restated on a per-</w:t>
      </w:r>
      <w:proofErr w:type="spellStart"/>
      <w:r w:rsidRPr="005A1851">
        <w:t>Dth</w:t>
      </w:r>
      <w:proofErr w:type="spellEnd"/>
      <w:r w:rsidRPr="005A1851">
        <w:t xml:space="preserve"> basis.  This restatement requires careful coordination with an appropriate test period, which is best achieved if the new rates and charges are developed in a base rate case, where complete data for the test period are readily available.  Equitable is proposing to base its new rates in Supplement No. 81 on the test period for its 2008 Base Rate Proceeding.  That test period is not appropriate for this purpose, because it causes the single-issue ratemaking and retroactivity problems that I have noted in the preceding paragraph of this answer.  But even if one ignores this problem, it turns out that Equitable has not properly coordinated the development of its proposed rates per </w:t>
      </w:r>
      <w:proofErr w:type="spellStart"/>
      <w:r w:rsidRPr="005A1851">
        <w:t>Dth</w:t>
      </w:r>
      <w:proofErr w:type="spellEnd"/>
      <w:r w:rsidRPr="005A1851">
        <w:t xml:space="preserve"> with the test year for its 2008 Base Rate Proceeding.  This lack of complete coordination has caused Equitable to overstate some of its proposed new rates per </w:t>
      </w:r>
      <w:proofErr w:type="spellStart"/>
      <w:r w:rsidRPr="005A1851">
        <w:t>Dth</w:t>
      </w:r>
      <w:proofErr w:type="spellEnd"/>
      <w:r w:rsidRPr="005A1851">
        <w:t>, and to understate others, as I shall explain.  A similar lack of full coordination causes a distortion of the Delivery Service charges that Equitable is proposing under Supplements 79 and 80, because they too are based on the test year for the 2008 Base Rate Proceeding, but they are not fully coordinated with that test year.</w:t>
      </w:r>
    </w:p>
    <w:p w:rsidR="00652058" w:rsidRDefault="00652058" w:rsidP="00652058">
      <w:pPr>
        <w:pStyle w:val="Tty"/>
        <w:spacing w:line="240" w:lineRule="auto"/>
        <w:ind w:left="1440" w:right="1080" w:firstLine="0"/>
        <w:jc w:val="left"/>
      </w:pPr>
    </w:p>
    <w:p w:rsidR="00652058" w:rsidRPr="005A1851" w:rsidRDefault="00652058" w:rsidP="00652058">
      <w:pPr>
        <w:pStyle w:val="Tty"/>
        <w:spacing w:line="240" w:lineRule="auto"/>
        <w:ind w:left="1440" w:right="1080" w:firstLine="0"/>
        <w:jc w:val="left"/>
      </w:pPr>
      <w:r w:rsidRPr="005A1851">
        <w:tab/>
        <w:t xml:space="preserve">A third reason is that Equitable has not addressed one important issue, which is the implicit assumption that all of its customers receive gas with the same Btu content.  The data needed to test this assumption are generally available only in a base rate case.  If it turns out that different Btu content factors should be applied to </w:t>
      </w:r>
      <w:r w:rsidRPr="005A1851">
        <w:lastRenderedPageBreak/>
        <w:t xml:space="preserve">customers in different locations on the </w:t>
      </w:r>
      <w:proofErr w:type="gramStart"/>
      <w:r w:rsidRPr="005A1851">
        <w:t>Equitable</w:t>
      </w:r>
      <w:proofErr w:type="gramEnd"/>
      <w:r w:rsidRPr="005A1851">
        <w:t xml:space="preserve"> system, base rate case data would be needed to implement such a change.</w:t>
      </w:r>
    </w:p>
    <w:p w:rsidR="00652058" w:rsidRDefault="00652058" w:rsidP="00652058">
      <w:pPr>
        <w:pStyle w:val="Tty"/>
        <w:spacing w:line="240" w:lineRule="auto"/>
        <w:ind w:left="1440" w:right="1080" w:firstLine="0"/>
        <w:jc w:val="left"/>
      </w:pPr>
    </w:p>
    <w:p w:rsidR="00652058" w:rsidRPr="005A1851" w:rsidRDefault="00652058" w:rsidP="00652058">
      <w:pPr>
        <w:pStyle w:val="Tty"/>
        <w:spacing w:line="240" w:lineRule="auto"/>
        <w:ind w:left="1440" w:right="1080" w:firstLine="0"/>
        <w:jc w:val="left"/>
      </w:pPr>
      <w:r w:rsidRPr="005A1851">
        <w:tab/>
        <w:t xml:space="preserve">Finally, the implementation of any of </w:t>
      </w:r>
      <w:proofErr w:type="spellStart"/>
      <w:r w:rsidRPr="005A1851">
        <w:t>Equitable’s</w:t>
      </w:r>
      <w:proofErr w:type="spellEnd"/>
      <w:r w:rsidRPr="005A1851">
        <w:t xml:space="preserve"> proposed tariff supplements will require customer education, and that educational process is best accomplished in the context of a rate case.</w:t>
      </w:r>
    </w:p>
    <w:p w:rsidR="00652058" w:rsidRDefault="00652058" w:rsidP="00863C99">
      <w:pPr>
        <w:autoSpaceDE/>
        <w:autoSpaceDN/>
        <w:ind w:right="1080" w:firstLine="1440"/>
        <w:rPr>
          <w:rFonts w:ascii="Times New Roman" w:hAnsi="Times New Roman" w:cs="Times New Roman"/>
        </w:rPr>
      </w:pPr>
    </w:p>
    <w:p w:rsidR="00652058" w:rsidRDefault="00652058" w:rsidP="00863C99">
      <w:pPr>
        <w:autoSpaceDE/>
        <w:autoSpaceDN/>
        <w:ind w:left="1440" w:right="1080"/>
        <w:rPr>
          <w:rFonts w:ascii="Times New Roman" w:hAnsi="Times New Roman" w:cs="Times New Roman"/>
        </w:rPr>
      </w:pPr>
    </w:p>
    <w:p w:rsidR="00652058" w:rsidRDefault="00652058" w:rsidP="00652058">
      <w:pPr>
        <w:spacing w:line="360" w:lineRule="auto"/>
        <w:ind w:firstLine="720"/>
        <w:rPr>
          <w:rFonts w:ascii="Times New Roman" w:hAnsi="Times New Roman" w:cs="Times New Roman"/>
        </w:rPr>
      </w:pPr>
      <w:r>
        <w:rPr>
          <w:rFonts w:ascii="Times New Roman" w:hAnsi="Times New Roman" w:cs="Times New Roman"/>
        </w:rPr>
        <w:tab/>
        <w:t>Consider</w:t>
      </w:r>
      <w:r w:rsidR="003255AD">
        <w:rPr>
          <w:rFonts w:ascii="Times New Roman" w:hAnsi="Times New Roman" w:cs="Times New Roman"/>
        </w:rPr>
        <w:t>ing</w:t>
      </w:r>
      <w:r>
        <w:rPr>
          <w:rFonts w:ascii="Times New Roman" w:hAnsi="Times New Roman" w:cs="Times New Roman"/>
        </w:rPr>
        <w:t xml:space="preserve"> Mr. Miller’s above analysis, I am not convinced that Equitable has carried it</w:t>
      </w:r>
      <w:r w:rsidR="003746DB">
        <w:rPr>
          <w:rFonts w:ascii="Times New Roman" w:hAnsi="Times New Roman" w:cs="Times New Roman"/>
        </w:rPr>
        <w:t>s</w:t>
      </w:r>
      <w:r>
        <w:rPr>
          <w:rFonts w:ascii="Times New Roman" w:hAnsi="Times New Roman" w:cs="Times New Roman"/>
        </w:rPr>
        <w:t xml:space="preserve"> burden of proving the justness and reasonableness of its proposed Supplement Nos. 79, 80 and 81.  I would agree with the statutory parties that </w:t>
      </w:r>
      <w:proofErr w:type="spellStart"/>
      <w:r>
        <w:rPr>
          <w:rFonts w:ascii="Times New Roman" w:hAnsi="Times New Roman" w:cs="Times New Roman"/>
        </w:rPr>
        <w:t>Equitable’s</w:t>
      </w:r>
      <w:proofErr w:type="spellEnd"/>
      <w:r>
        <w:rPr>
          <w:rFonts w:ascii="Times New Roman" w:hAnsi="Times New Roman" w:cs="Times New Roman"/>
        </w:rPr>
        <w:t xml:space="preserve"> proposed supplements constitute prohibitive single issue rate making.</w:t>
      </w:r>
      <w:r>
        <w:rPr>
          <w:rStyle w:val="FootnoteReference"/>
          <w:rFonts w:ascii="Times New Roman" w:hAnsi="Times New Roman" w:cs="Times New Roman"/>
        </w:rPr>
        <w:footnoteReference w:id="12"/>
      </w:r>
      <w:r w:rsidRPr="00A00436">
        <w:rPr>
          <w:rFonts w:ascii="Times New Roman" w:hAnsi="Times New Roman" w:cs="Times New Roman"/>
          <w:i/>
        </w:rPr>
        <w:t xml:space="preserve"> </w:t>
      </w:r>
      <w:r w:rsidR="003255AD">
        <w:rPr>
          <w:rFonts w:ascii="Times New Roman" w:hAnsi="Times New Roman" w:cs="Times New Roman"/>
          <w:i/>
        </w:rPr>
        <w:t xml:space="preserve"> </w:t>
      </w:r>
      <w:proofErr w:type="spellStart"/>
      <w:proofErr w:type="gramStart"/>
      <w:r>
        <w:rPr>
          <w:rFonts w:ascii="Times New Roman" w:hAnsi="Times New Roman" w:cs="Times New Roman"/>
          <w:i/>
        </w:rPr>
        <w:t>Popowsky</w:t>
      </w:r>
      <w:proofErr w:type="spellEnd"/>
      <w:r>
        <w:rPr>
          <w:rFonts w:ascii="Times New Roman" w:hAnsi="Times New Roman" w:cs="Times New Roman"/>
          <w:i/>
        </w:rPr>
        <w:t xml:space="preserve"> v. Pennsylvania Public Utility Commission, 869 A. 2d 1144, 1153 (Pa. </w:t>
      </w:r>
      <w:proofErr w:type="spellStart"/>
      <w:r>
        <w:rPr>
          <w:rFonts w:ascii="Times New Roman" w:hAnsi="Times New Roman" w:cs="Times New Roman"/>
          <w:i/>
        </w:rPr>
        <w:t>Commw</w:t>
      </w:r>
      <w:proofErr w:type="spellEnd"/>
      <w:r>
        <w:rPr>
          <w:rFonts w:ascii="Times New Roman" w:hAnsi="Times New Roman" w:cs="Times New Roman"/>
          <w:i/>
        </w:rPr>
        <w:t>. 2005).</w:t>
      </w:r>
      <w:proofErr w:type="gramEnd"/>
      <w:r>
        <w:rPr>
          <w:rFonts w:ascii="Times New Roman" w:hAnsi="Times New Roman" w:cs="Times New Roman"/>
        </w:rPr>
        <w:t xml:space="preserve">  Therefore I recommend that the Commission deny approval of any of the proposed supplements.</w:t>
      </w:r>
    </w:p>
    <w:p w:rsidR="00652058" w:rsidRDefault="00652058" w:rsidP="00652058">
      <w:pPr>
        <w:autoSpaceDE/>
        <w:autoSpaceDN/>
        <w:spacing w:line="480" w:lineRule="auto"/>
        <w:jc w:val="center"/>
        <w:rPr>
          <w:rFonts w:ascii="Times New Roman" w:hAnsi="Times New Roman" w:cs="Times New Roman"/>
        </w:rPr>
      </w:pPr>
    </w:p>
    <w:p w:rsidR="00E21914" w:rsidRPr="00E21914" w:rsidRDefault="00652058" w:rsidP="00B07E08">
      <w:pPr>
        <w:pStyle w:val="ListParagraph"/>
        <w:numPr>
          <w:ilvl w:val="0"/>
          <w:numId w:val="15"/>
        </w:numPr>
        <w:spacing w:line="360" w:lineRule="auto"/>
        <w:ind w:left="0" w:firstLine="0"/>
        <w:rPr>
          <w:sz w:val="24"/>
          <w:szCs w:val="24"/>
          <w:u w:val="single"/>
        </w:rPr>
      </w:pPr>
      <w:proofErr w:type="spellStart"/>
      <w:r w:rsidRPr="00652058">
        <w:rPr>
          <w:sz w:val="24"/>
          <w:szCs w:val="24"/>
          <w:u w:val="single"/>
        </w:rPr>
        <w:t>Equitable’s</w:t>
      </w:r>
      <w:proofErr w:type="spellEnd"/>
      <w:r w:rsidRPr="00652058">
        <w:rPr>
          <w:sz w:val="24"/>
          <w:szCs w:val="24"/>
          <w:u w:val="single"/>
        </w:rPr>
        <w:t xml:space="preserve"> Voluntary POR Program Proposal</w:t>
      </w:r>
    </w:p>
    <w:p w:rsidR="00E21914" w:rsidRDefault="00E21914" w:rsidP="00B07E08">
      <w:pPr>
        <w:spacing w:line="360" w:lineRule="auto"/>
        <w:rPr>
          <w:rFonts w:cs="Times New Roman"/>
        </w:rPr>
      </w:pPr>
      <w:r>
        <w:rPr>
          <w:rFonts w:cs="Times New Roman"/>
        </w:rPr>
        <w:tab/>
      </w:r>
      <w:r>
        <w:rPr>
          <w:rFonts w:cs="Times New Roman"/>
        </w:rPr>
        <w:tab/>
      </w:r>
    </w:p>
    <w:p w:rsidR="00E21914" w:rsidRDefault="00E21914" w:rsidP="00B07E08">
      <w:pPr>
        <w:spacing w:line="360" w:lineRule="auto"/>
        <w:rPr>
          <w:rFonts w:cs="Times New Roman"/>
        </w:rPr>
      </w:pPr>
      <w:r>
        <w:rPr>
          <w:rFonts w:cs="Times New Roman"/>
        </w:rPr>
        <w:tab/>
      </w:r>
      <w:r>
        <w:rPr>
          <w:rFonts w:cs="Times New Roman"/>
        </w:rPr>
        <w:tab/>
        <w:t>On June 23, 2011, the Commission issued Revised Final Rule</w:t>
      </w:r>
      <w:r w:rsidR="00862547">
        <w:rPr>
          <w:rFonts w:cs="Times New Roman"/>
        </w:rPr>
        <w:t>m</w:t>
      </w:r>
      <w:r>
        <w:rPr>
          <w:rFonts w:cs="Times New Roman"/>
        </w:rPr>
        <w:t>aking Order in Natural Gas Distribution Companies and Promotion of Competiti</w:t>
      </w:r>
      <w:r w:rsidR="00D509F9">
        <w:rPr>
          <w:rFonts w:cs="Times New Roman"/>
        </w:rPr>
        <w:t>ve Retail Markets</w:t>
      </w:r>
      <w:r w:rsidR="00107B23">
        <w:rPr>
          <w:rFonts w:cs="Times New Roman"/>
        </w:rPr>
        <w:t xml:space="preserve"> at</w:t>
      </w:r>
      <w:r>
        <w:rPr>
          <w:rFonts w:cs="Times New Roman"/>
        </w:rPr>
        <w:t xml:space="preserve"> Docket No. </w:t>
      </w:r>
      <w:proofErr w:type="gramStart"/>
      <w:r>
        <w:rPr>
          <w:rFonts w:cs="Times New Roman"/>
        </w:rPr>
        <w:t>L-2008-2069114.</w:t>
      </w:r>
      <w:proofErr w:type="gramEnd"/>
      <w:r>
        <w:rPr>
          <w:rFonts w:cs="Times New Roman"/>
        </w:rPr>
        <w:t xml:space="preserve">  The Commission’s regulations set forth in the Order have been adopted and published in Pa. Code Sections 62.221 through 62.225.</w:t>
      </w:r>
      <w:r w:rsidR="00B07E08">
        <w:rPr>
          <w:rFonts w:cs="Times New Roman"/>
        </w:rPr>
        <w:t xml:space="preserve"> </w:t>
      </w:r>
      <w:r w:rsidR="008B44F8">
        <w:rPr>
          <w:rFonts w:cs="Times New Roman"/>
        </w:rPr>
        <w:t xml:space="preserve"> </w:t>
      </w:r>
      <w:proofErr w:type="gramStart"/>
      <w:r>
        <w:rPr>
          <w:rFonts w:cs="Times New Roman"/>
        </w:rPr>
        <w:t>52 Pa. Code §§ 62.221-62.225.</w:t>
      </w:r>
      <w:proofErr w:type="gramEnd"/>
      <w:r>
        <w:rPr>
          <w:rFonts w:cs="Times New Roman"/>
        </w:rPr>
        <w:t xml:space="preserve">  Section 62.221 states:</w:t>
      </w:r>
    </w:p>
    <w:p w:rsidR="00E21914" w:rsidRDefault="00E21914" w:rsidP="00E21914">
      <w:pPr>
        <w:rPr>
          <w:rFonts w:cs="Times New Roman"/>
        </w:rPr>
      </w:pPr>
      <w:r>
        <w:rPr>
          <w:rFonts w:cs="Times New Roman"/>
        </w:rPr>
        <w:tab/>
      </w:r>
    </w:p>
    <w:p w:rsidR="00E21914" w:rsidRDefault="00E21914" w:rsidP="00E21914">
      <w:pPr>
        <w:rPr>
          <w:rFonts w:cs="Times New Roman"/>
        </w:rPr>
      </w:pPr>
      <w:r>
        <w:rPr>
          <w:rFonts w:cs="Times New Roman"/>
        </w:rPr>
        <w:tab/>
      </w:r>
      <w:r>
        <w:rPr>
          <w:rFonts w:cs="Times New Roman"/>
        </w:rPr>
        <w:tab/>
        <w:t>Purpose</w:t>
      </w:r>
    </w:p>
    <w:p w:rsidR="00E21914" w:rsidRDefault="00E21914" w:rsidP="00E21914">
      <w:pPr>
        <w:ind w:right="1080" w:firstLine="1440"/>
        <w:rPr>
          <w:rFonts w:cs="Times New Roman"/>
        </w:rPr>
      </w:pPr>
    </w:p>
    <w:p w:rsidR="00E21914" w:rsidRDefault="00E21914" w:rsidP="00E21914">
      <w:pPr>
        <w:ind w:left="1440" w:right="1080"/>
        <w:rPr>
          <w:rFonts w:cs="Times New Roman"/>
        </w:rPr>
      </w:pPr>
      <w:r>
        <w:rPr>
          <w:rFonts w:cs="Times New Roman"/>
        </w:rPr>
        <w:t>To foster a competitive retail marketplace for natural gas service to customers eligible for SOLR Service, which is a class of customer that consists largely of residential and small business customers, it is essential that these consumers are able to compare the price of gas purchased from their incumbent NGDCs with that offered for sale by NGSs.  This subchapter sets forth a number of regulatory changes which promote competition for natural gas supplies.</w:t>
      </w:r>
    </w:p>
    <w:p w:rsidR="00E21914" w:rsidRDefault="00E21914" w:rsidP="00E21914">
      <w:pPr>
        <w:spacing w:line="360" w:lineRule="auto"/>
        <w:ind w:right="1080"/>
        <w:rPr>
          <w:rFonts w:cs="Times New Roman"/>
        </w:rPr>
      </w:pPr>
    </w:p>
    <w:p w:rsidR="00E21914" w:rsidRDefault="00E21914" w:rsidP="00E21914">
      <w:pPr>
        <w:spacing w:line="360" w:lineRule="auto"/>
        <w:ind w:right="1080"/>
        <w:rPr>
          <w:rFonts w:cs="Times New Roman"/>
        </w:rPr>
      </w:pPr>
      <w:proofErr w:type="gramStart"/>
      <w:r>
        <w:rPr>
          <w:rFonts w:cs="Times New Roman"/>
        </w:rPr>
        <w:lastRenderedPageBreak/>
        <w:t>52 Pa. Code § 62.221.</w:t>
      </w:r>
      <w:proofErr w:type="gramEnd"/>
    </w:p>
    <w:p w:rsidR="00E21914" w:rsidRDefault="00E21914" w:rsidP="00E21914">
      <w:pPr>
        <w:spacing w:line="360" w:lineRule="auto"/>
        <w:ind w:right="1080"/>
        <w:rPr>
          <w:rFonts w:cs="Times New Roman"/>
        </w:rPr>
      </w:pPr>
    </w:p>
    <w:p w:rsidR="00E21914" w:rsidRDefault="00E21914" w:rsidP="00E21914">
      <w:pPr>
        <w:spacing w:line="360" w:lineRule="auto"/>
        <w:rPr>
          <w:rFonts w:cs="Times New Roman"/>
        </w:rPr>
      </w:pPr>
      <w:r>
        <w:rPr>
          <w:rFonts w:cs="Times New Roman"/>
        </w:rPr>
        <w:tab/>
      </w:r>
      <w:r>
        <w:rPr>
          <w:rFonts w:cs="Times New Roman"/>
        </w:rPr>
        <w:tab/>
      </w:r>
      <w:proofErr w:type="spellStart"/>
      <w:r>
        <w:rPr>
          <w:rFonts w:cs="Times New Roman"/>
        </w:rPr>
        <w:t>Equitable’s</w:t>
      </w:r>
      <w:proofErr w:type="spellEnd"/>
      <w:r>
        <w:rPr>
          <w:rFonts w:cs="Times New Roman"/>
        </w:rPr>
        <w:t xml:space="preserve"> Manager of Rates, Carol A. Scanlon proffered testimony that each of </w:t>
      </w:r>
      <w:proofErr w:type="spellStart"/>
      <w:r>
        <w:rPr>
          <w:rFonts w:cs="Times New Roman"/>
        </w:rPr>
        <w:t>Equitable’s</w:t>
      </w:r>
      <w:proofErr w:type="spellEnd"/>
      <w:r>
        <w:rPr>
          <w:rFonts w:cs="Times New Roman"/>
        </w:rPr>
        <w:t xml:space="preserve"> proposed tariff supplements contained the same voluntary Purchase of Receivables Program (POR).</w:t>
      </w:r>
      <w:r>
        <w:rPr>
          <w:rFonts w:cs="Times New Roman"/>
          <w:vertAlign w:val="superscript"/>
        </w:rPr>
        <w:footnoteReference w:id="13"/>
      </w:r>
      <w:r>
        <w:rPr>
          <w:rFonts w:cs="Times New Roman"/>
        </w:rPr>
        <w:t xml:space="preserve">  Ms. Scanlon testified:</w:t>
      </w:r>
    </w:p>
    <w:p w:rsidR="00E21914" w:rsidRDefault="00E21914" w:rsidP="00E21914">
      <w:pPr>
        <w:spacing w:line="360" w:lineRule="auto"/>
        <w:rPr>
          <w:rFonts w:cs="Times New Roman"/>
        </w:rPr>
      </w:pPr>
    </w:p>
    <w:p w:rsidR="00E21914" w:rsidRDefault="00E21914" w:rsidP="00862547">
      <w:pPr>
        <w:ind w:left="1440" w:right="1440"/>
        <w:rPr>
          <w:rFonts w:cs="Times New Roman"/>
        </w:rPr>
      </w:pPr>
      <w:r>
        <w:rPr>
          <w:rFonts w:cs="Times New Roman"/>
        </w:rPr>
        <w:t>Equitable participated in the Commission’s SEARCH process and Rulemaking proceedings which were designed to evaluate various alternative</w:t>
      </w:r>
      <w:r w:rsidR="00B07E08">
        <w:rPr>
          <w:rFonts w:cs="Times New Roman"/>
        </w:rPr>
        <w:t>s</w:t>
      </w:r>
      <w:r>
        <w:rPr>
          <w:rFonts w:cs="Times New Roman"/>
        </w:rPr>
        <w:t xml:space="preserve"> that a natural gas distribution company (NGDC) could undertake to improve natural gas Choice competition.  A POR was identified by natural gas suppliers (NGSs) as a program design element that could assist in promotion of NGS competition with the goal of increasing alternative supply offers from NGSs to firm residential and small business customers.  The POR program proposal is submitted, voluntarily by Equitable, in response to and consistent with the Commission’s Final Rulemaking Order at Docket No. </w:t>
      </w:r>
      <w:proofErr w:type="gramStart"/>
      <w:r>
        <w:rPr>
          <w:rFonts w:cs="Times New Roman"/>
        </w:rPr>
        <w:t>L-2008-2069114.</w:t>
      </w:r>
      <w:proofErr w:type="gramEnd"/>
      <w:r>
        <w:rPr>
          <w:rFonts w:cs="Times New Roman"/>
          <w:vertAlign w:val="superscript"/>
        </w:rPr>
        <w:footnoteReference w:id="14"/>
      </w:r>
    </w:p>
    <w:p w:rsidR="00C9140B" w:rsidRDefault="00C9140B" w:rsidP="00862547">
      <w:pPr>
        <w:ind w:right="1080" w:firstLine="1440"/>
        <w:rPr>
          <w:rFonts w:cs="Times New Roman"/>
        </w:rPr>
      </w:pPr>
    </w:p>
    <w:p w:rsidR="00E21914" w:rsidRDefault="00E21914" w:rsidP="00862547">
      <w:pPr>
        <w:ind w:right="1080" w:firstLine="1440"/>
        <w:rPr>
          <w:rFonts w:cs="Times New Roman"/>
        </w:rPr>
      </w:pPr>
      <w:r>
        <w:rPr>
          <w:rFonts w:cs="Times New Roman"/>
        </w:rPr>
        <w:t>….</w:t>
      </w:r>
    </w:p>
    <w:p w:rsidR="00E21914" w:rsidRDefault="00E21914" w:rsidP="00862547">
      <w:pPr>
        <w:ind w:left="1440" w:right="1080" w:firstLine="720"/>
        <w:rPr>
          <w:rFonts w:cs="Times New Roman"/>
        </w:rPr>
      </w:pPr>
    </w:p>
    <w:p w:rsidR="00E21914" w:rsidRDefault="00E21914" w:rsidP="00862547">
      <w:pPr>
        <w:ind w:left="1440" w:right="1080" w:firstLine="720"/>
        <w:rPr>
          <w:rFonts w:cs="Times New Roman"/>
        </w:rPr>
      </w:pPr>
      <w:r>
        <w:rPr>
          <w:rFonts w:cs="Times New Roman"/>
        </w:rPr>
        <w:t>As addressed earlier, the Company does not currently offer a POR program.  As a result, system programming changes and training will be required prior to initiation of the POR program.  The estimated time to accommodate these requirements is nine months.</w:t>
      </w:r>
    </w:p>
    <w:p w:rsidR="00E21914" w:rsidRDefault="00E21914" w:rsidP="00E21914">
      <w:pPr>
        <w:ind w:left="1440" w:right="1080" w:firstLine="1440"/>
        <w:rPr>
          <w:rFonts w:cs="Times New Roman"/>
        </w:rPr>
      </w:pPr>
    </w:p>
    <w:p w:rsidR="00E21914" w:rsidRDefault="00E21914" w:rsidP="00E21914">
      <w:pPr>
        <w:ind w:left="1440" w:right="1080" w:firstLine="720"/>
        <w:rPr>
          <w:rFonts w:cs="Times New Roman"/>
        </w:rPr>
      </w:pPr>
      <w:r>
        <w:rPr>
          <w:rFonts w:cs="Times New Roman"/>
        </w:rPr>
        <w:t xml:space="preserve">Presently, Equitable has only one pool administrator that operates a Choice program on the system.  This pool administrator has informed </w:t>
      </w:r>
      <w:r w:rsidR="008B44F8">
        <w:rPr>
          <w:rFonts w:cs="Times New Roman"/>
        </w:rPr>
        <w:t>Equitable that it does not plan</w:t>
      </w:r>
      <w:r>
        <w:rPr>
          <w:rFonts w:cs="Times New Roman"/>
        </w:rPr>
        <w:t xml:space="preserve"> to participate in a POR program if implemented.</w:t>
      </w:r>
      <w:r>
        <w:rPr>
          <w:rFonts w:cs="Times New Roman"/>
          <w:vertAlign w:val="superscript"/>
        </w:rPr>
        <w:t xml:space="preserve"> </w:t>
      </w:r>
      <w:r>
        <w:rPr>
          <w:rFonts w:cs="Times New Roman"/>
          <w:vertAlign w:val="superscript"/>
        </w:rPr>
        <w:footnoteReference w:id="15"/>
      </w:r>
      <w:r>
        <w:rPr>
          <w:rFonts w:cs="Times New Roman"/>
        </w:rPr>
        <w:t xml:space="preserve"> </w:t>
      </w:r>
    </w:p>
    <w:p w:rsidR="00E21914" w:rsidRDefault="00E21914" w:rsidP="00E21914">
      <w:pPr>
        <w:ind w:left="1440" w:right="1080" w:hanging="1440"/>
        <w:rPr>
          <w:rFonts w:cs="Times New Roman"/>
        </w:rPr>
      </w:pPr>
    </w:p>
    <w:p w:rsidR="00E21914" w:rsidRDefault="00E21914" w:rsidP="00E21914">
      <w:pPr>
        <w:ind w:left="1440" w:right="1080" w:hanging="1440"/>
        <w:rPr>
          <w:rFonts w:cs="Times New Roman"/>
        </w:rPr>
      </w:pPr>
    </w:p>
    <w:p w:rsidR="00615A0B" w:rsidRDefault="00E21914" w:rsidP="00E21914">
      <w:pPr>
        <w:spacing w:line="360" w:lineRule="auto"/>
        <w:rPr>
          <w:rFonts w:cs="Times New Roman"/>
        </w:rPr>
      </w:pPr>
      <w:r>
        <w:rPr>
          <w:rFonts w:cs="Times New Roman"/>
        </w:rPr>
        <w:tab/>
      </w:r>
      <w:r>
        <w:rPr>
          <w:rFonts w:cs="Times New Roman"/>
        </w:rPr>
        <w:tab/>
        <w:t xml:space="preserve">Except for OCA, the parties did </w:t>
      </w:r>
      <w:r w:rsidR="00107B23">
        <w:rPr>
          <w:rFonts w:cs="Times New Roman"/>
        </w:rPr>
        <w:t xml:space="preserve">not </w:t>
      </w:r>
      <w:r>
        <w:rPr>
          <w:rFonts w:cs="Times New Roman"/>
        </w:rPr>
        <w:t xml:space="preserve">specifically oppose </w:t>
      </w:r>
      <w:proofErr w:type="spellStart"/>
      <w:r>
        <w:rPr>
          <w:rFonts w:cs="Times New Roman"/>
        </w:rPr>
        <w:t>Equitable’s</w:t>
      </w:r>
      <w:proofErr w:type="spellEnd"/>
      <w:r>
        <w:rPr>
          <w:rFonts w:cs="Times New Roman"/>
        </w:rPr>
        <w:t xml:space="preserve"> proposed POR program but offered modifications.  OCA contended that there were defect</w:t>
      </w:r>
      <w:r w:rsidR="008B44F8">
        <w:rPr>
          <w:rFonts w:cs="Times New Roman"/>
        </w:rPr>
        <w:t>s</w:t>
      </w:r>
      <w:r>
        <w:rPr>
          <w:rFonts w:cs="Times New Roman"/>
        </w:rPr>
        <w:t xml:space="preserve"> in the POR and disagreed that </w:t>
      </w:r>
      <w:proofErr w:type="spellStart"/>
      <w:r>
        <w:rPr>
          <w:rFonts w:cs="Times New Roman"/>
        </w:rPr>
        <w:t>Equitable’s</w:t>
      </w:r>
      <w:proofErr w:type="spellEnd"/>
      <w:r>
        <w:rPr>
          <w:rFonts w:cs="Times New Roman"/>
        </w:rPr>
        <w:t xml:space="preserve"> proposed POR was consistent with the Commission’s Revised Final Rulemaking Order.</w:t>
      </w:r>
      <w:r>
        <w:rPr>
          <w:rFonts w:cs="Times New Roman"/>
          <w:vertAlign w:val="superscript"/>
        </w:rPr>
        <w:footnoteReference w:id="16"/>
      </w:r>
      <w:r>
        <w:rPr>
          <w:rFonts w:cs="Times New Roman"/>
        </w:rPr>
        <w:t xml:space="preserve">  However I find the most compelling reason for not approving </w:t>
      </w:r>
      <w:proofErr w:type="spellStart"/>
      <w:r>
        <w:rPr>
          <w:rFonts w:cs="Times New Roman"/>
        </w:rPr>
        <w:t>Equitable’s</w:t>
      </w:r>
      <w:proofErr w:type="spellEnd"/>
      <w:r>
        <w:rPr>
          <w:rFonts w:cs="Times New Roman"/>
        </w:rPr>
        <w:t xml:space="preserve"> </w:t>
      </w:r>
      <w:r>
        <w:rPr>
          <w:rFonts w:cs="Times New Roman"/>
        </w:rPr>
        <w:lastRenderedPageBreak/>
        <w:t xml:space="preserve">proposed POR program at this time is the lack of interest by any pool administrator.  I agree with OCA that it is inefficient to expend resources of the Commission and </w:t>
      </w:r>
      <w:r w:rsidR="00862547">
        <w:rPr>
          <w:rFonts w:cs="Times New Roman"/>
        </w:rPr>
        <w:t xml:space="preserve">the </w:t>
      </w:r>
      <w:r>
        <w:rPr>
          <w:rFonts w:cs="Times New Roman"/>
        </w:rPr>
        <w:t>other parties to debate the structure of a POR program at this time w</w:t>
      </w:r>
      <w:r w:rsidR="008B44F8">
        <w:rPr>
          <w:rFonts w:cs="Times New Roman"/>
        </w:rPr>
        <w:t>hen there is no documented level</w:t>
      </w:r>
      <w:r>
        <w:rPr>
          <w:rFonts w:cs="Times New Roman"/>
        </w:rPr>
        <w:t xml:space="preserve"> of interest in participating in a POR program by </w:t>
      </w:r>
      <w:r w:rsidR="00862547">
        <w:rPr>
          <w:rFonts w:cs="Times New Roman"/>
        </w:rPr>
        <w:t xml:space="preserve">any </w:t>
      </w:r>
      <w:r>
        <w:rPr>
          <w:rFonts w:cs="Times New Roman"/>
        </w:rPr>
        <w:t xml:space="preserve">NGS’s in </w:t>
      </w:r>
      <w:proofErr w:type="spellStart"/>
      <w:r>
        <w:rPr>
          <w:rFonts w:cs="Times New Roman"/>
        </w:rPr>
        <w:t>Equitable’s</w:t>
      </w:r>
      <w:proofErr w:type="spellEnd"/>
      <w:r>
        <w:rPr>
          <w:rFonts w:cs="Times New Roman"/>
        </w:rPr>
        <w:t xml:space="preserve"> service territory.  Accordingly I recommend that the Commission not approve </w:t>
      </w:r>
      <w:proofErr w:type="spellStart"/>
      <w:r>
        <w:rPr>
          <w:rFonts w:cs="Times New Roman"/>
        </w:rPr>
        <w:t>Equitable’s</w:t>
      </w:r>
      <w:proofErr w:type="spellEnd"/>
      <w:r>
        <w:rPr>
          <w:rFonts w:cs="Times New Roman"/>
        </w:rPr>
        <w:t xml:space="preserve"> proposed POR program.</w:t>
      </w:r>
    </w:p>
    <w:p w:rsidR="00615A0B" w:rsidRDefault="00615A0B" w:rsidP="00E21914">
      <w:pPr>
        <w:spacing w:line="360" w:lineRule="auto"/>
        <w:rPr>
          <w:rFonts w:cs="Times New Roman"/>
        </w:rPr>
      </w:pPr>
    </w:p>
    <w:p w:rsidR="00615A0B" w:rsidRDefault="00480236" w:rsidP="00615A0B">
      <w:pPr>
        <w:autoSpaceDE/>
        <w:autoSpaceDN/>
        <w:spacing w:line="360" w:lineRule="auto"/>
        <w:jc w:val="center"/>
        <w:rPr>
          <w:rFonts w:ascii="Times New Roman" w:hAnsi="Times New Roman" w:cs="Times New Roman"/>
          <w:u w:val="single"/>
        </w:rPr>
      </w:pPr>
      <w:r>
        <w:rPr>
          <w:rFonts w:ascii="Times New Roman" w:hAnsi="Times New Roman" w:cs="Times New Roman"/>
        </w:rPr>
        <w:t>V.</w:t>
      </w:r>
      <w:r>
        <w:rPr>
          <w:rFonts w:ascii="Times New Roman" w:hAnsi="Times New Roman" w:cs="Times New Roman"/>
        </w:rPr>
        <w:tab/>
      </w:r>
      <w:r w:rsidR="00615A0B">
        <w:rPr>
          <w:rFonts w:ascii="Times New Roman" w:hAnsi="Times New Roman" w:cs="Times New Roman"/>
          <w:u w:val="single"/>
        </w:rPr>
        <w:t>CONCLUSIONS OF LAW</w:t>
      </w:r>
    </w:p>
    <w:p w:rsidR="00615A0B" w:rsidRDefault="00615A0B" w:rsidP="00615A0B">
      <w:pPr>
        <w:autoSpaceDE/>
        <w:autoSpaceDN/>
        <w:spacing w:line="360" w:lineRule="auto"/>
        <w:jc w:val="center"/>
        <w:rPr>
          <w:rFonts w:ascii="Times New Roman" w:hAnsi="Times New Roman" w:cs="Times New Roman"/>
          <w:u w:val="single"/>
        </w:rPr>
      </w:pPr>
    </w:p>
    <w:p w:rsidR="00615A0B" w:rsidRPr="00F80520" w:rsidRDefault="00615A0B" w:rsidP="00615A0B">
      <w:pPr>
        <w:numPr>
          <w:ilvl w:val="0"/>
          <w:numId w:val="18"/>
        </w:numPr>
        <w:autoSpaceDE/>
        <w:autoSpaceDN/>
        <w:spacing w:line="360" w:lineRule="auto"/>
        <w:ind w:left="0" w:firstLine="1440"/>
        <w:rPr>
          <w:rFonts w:ascii="Times New Roman" w:hAnsi="Times New Roman" w:cs="Times New Roman"/>
          <w:szCs w:val="20"/>
        </w:rPr>
      </w:pPr>
      <w:r w:rsidRPr="00F80520">
        <w:rPr>
          <w:rFonts w:ascii="Times New Roman" w:hAnsi="Times New Roman" w:cs="Times New Roman"/>
          <w:szCs w:val="20"/>
        </w:rPr>
        <w:t xml:space="preserve">The Commission has jurisdiction over the subject matter and the </w:t>
      </w:r>
      <w:r>
        <w:rPr>
          <w:rFonts w:ascii="Times New Roman" w:hAnsi="Times New Roman" w:cs="Times New Roman"/>
          <w:szCs w:val="20"/>
        </w:rPr>
        <w:t>p</w:t>
      </w:r>
      <w:r w:rsidRPr="00F80520">
        <w:rPr>
          <w:rFonts w:ascii="Times New Roman" w:hAnsi="Times New Roman" w:cs="Times New Roman"/>
          <w:szCs w:val="20"/>
        </w:rPr>
        <w:t>arties to this proceeding.  66 Pa. C.S. §§</w:t>
      </w:r>
      <w:r>
        <w:rPr>
          <w:rFonts w:ascii="Times New Roman" w:hAnsi="Times New Roman" w:cs="Times New Roman"/>
          <w:szCs w:val="20"/>
        </w:rPr>
        <w:t xml:space="preserve"> </w:t>
      </w:r>
      <w:r w:rsidRPr="00F80520">
        <w:rPr>
          <w:rFonts w:ascii="Times New Roman" w:hAnsi="Times New Roman" w:cs="Times New Roman"/>
          <w:szCs w:val="20"/>
        </w:rPr>
        <w:t>501, et seq.</w:t>
      </w:r>
    </w:p>
    <w:p w:rsidR="00615A0B" w:rsidRPr="00F80520" w:rsidRDefault="00615A0B" w:rsidP="00615A0B">
      <w:pPr>
        <w:autoSpaceDE/>
        <w:autoSpaceDN/>
        <w:spacing w:line="360" w:lineRule="auto"/>
        <w:rPr>
          <w:rFonts w:ascii="Times New Roman" w:hAnsi="Times New Roman" w:cs="Times New Roman"/>
        </w:rPr>
      </w:pPr>
    </w:p>
    <w:p w:rsidR="00615A0B" w:rsidRPr="00D8498C" w:rsidRDefault="00615A0B" w:rsidP="00615A0B">
      <w:pPr>
        <w:pStyle w:val="ListParagraph"/>
        <w:numPr>
          <w:ilvl w:val="0"/>
          <w:numId w:val="18"/>
        </w:numPr>
        <w:tabs>
          <w:tab w:val="clear" w:pos="720"/>
        </w:tabs>
        <w:spacing w:line="360" w:lineRule="auto"/>
        <w:ind w:left="0" w:firstLine="1440"/>
        <w:rPr>
          <w:sz w:val="24"/>
          <w:szCs w:val="24"/>
        </w:rPr>
      </w:pPr>
      <w:r w:rsidRPr="00D8498C">
        <w:rPr>
          <w:sz w:val="24"/>
          <w:szCs w:val="24"/>
        </w:rPr>
        <w:t xml:space="preserve">Single issue rate making is prohibited if it impacts on a matter considered in a base rate case.  </w:t>
      </w:r>
      <w:r w:rsidRPr="00D8498C">
        <w:rPr>
          <w:i/>
          <w:sz w:val="24"/>
          <w:szCs w:val="24"/>
        </w:rPr>
        <w:t xml:space="preserve">Philadelphia Electric Company v. Pennsylvania Public Utility Commission, </w:t>
      </w:r>
      <w:r w:rsidRPr="00D8498C">
        <w:rPr>
          <w:sz w:val="24"/>
          <w:szCs w:val="24"/>
        </w:rPr>
        <w:t xml:space="preserve">93 Pa. </w:t>
      </w:r>
      <w:proofErr w:type="spellStart"/>
      <w:r w:rsidRPr="00D8498C">
        <w:rPr>
          <w:sz w:val="24"/>
          <w:szCs w:val="24"/>
        </w:rPr>
        <w:t>Commw</w:t>
      </w:r>
      <w:proofErr w:type="spellEnd"/>
      <w:r w:rsidRPr="00D8498C">
        <w:rPr>
          <w:sz w:val="24"/>
          <w:szCs w:val="24"/>
        </w:rPr>
        <w:t xml:space="preserve">. 410, 502 A. 2d 722, 727-728 (Pa. </w:t>
      </w:r>
      <w:proofErr w:type="spellStart"/>
      <w:r w:rsidRPr="00D8498C">
        <w:rPr>
          <w:sz w:val="24"/>
          <w:szCs w:val="24"/>
        </w:rPr>
        <w:t>Cmwlth</w:t>
      </w:r>
      <w:proofErr w:type="spellEnd"/>
      <w:r w:rsidRPr="00D8498C">
        <w:rPr>
          <w:sz w:val="24"/>
          <w:szCs w:val="24"/>
        </w:rPr>
        <w:t>. 1985);</w:t>
      </w:r>
      <w:r w:rsidRPr="00D8498C">
        <w:rPr>
          <w:i/>
          <w:sz w:val="24"/>
          <w:szCs w:val="24"/>
        </w:rPr>
        <w:t xml:space="preserve"> </w:t>
      </w:r>
      <w:proofErr w:type="spellStart"/>
      <w:r w:rsidRPr="00D8498C">
        <w:rPr>
          <w:i/>
          <w:sz w:val="24"/>
          <w:szCs w:val="24"/>
        </w:rPr>
        <w:t>Popowsky</w:t>
      </w:r>
      <w:proofErr w:type="spellEnd"/>
      <w:r w:rsidRPr="00D8498C">
        <w:rPr>
          <w:i/>
          <w:sz w:val="24"/>
          <w:szCs w:val="24"/>
        </w:rPr>
        <w:t xml:space="preserve"> v. Pennsylvania Public Utility Commission,</w:t>
      </w:r>
      <w:r w:rsidRPr="00D8498C">
        <w:rPr>
          <w:sz w:val="24"/>
          <w:szCs w:val="24"/>
        </w:rPr>
        <w:t xml:space="preserve"> 869 A. 2d 1144, 1153 (Pa. </w:t>
      </w:r>
      <w:proofErr w:type="spellStart"/>
      <w:r w:rsidRPr="00D8498C">
        <w:rPr>
          <w:sz w:val="24"/>
          <w:szCs w:val="24"/>
        </w:rPr>
        <w:t>Commw</w:t>
      </w:r>
      <w:proofErr w:type="spellEnd"/>
      <w:r w:rsidRPr="00D8498C">
        <w:rPr>
          <w:sz w:val="24"/>
          <w:szCs w:val="24"/>
        </w:rPr>
        <w:t>. 2005).</w:t>
      </w:r>
    </w:p>
    <w:p w:rsidR="00615A0B" w:rsidRPr="00D8498C" w:rsidRDefault="00615A0B" w:rsidP="00615A0B">
      <w:pPr>
        <w:pStyle w:val="ListParagraph"/>
        <w:rPr>
          <w:sz w:val="24"/>
          <w:szCs w:val="24"/>
        </w:rPr>
      </w:pPr>
    </w:p>
    <w:p w:rsidR="00615A0B" w:rsidRPr="00D8498C" w:rsidRDefault="00615A0B" w:rsidP="00615A0B">
      <w:pPr>
        <w:pStyle w:val="ListParagraph"/>
        <w:numPr>
          <w:ilvl w:val="0"/>
          <w:numId w:val="18"/>
        </w:numPr>
        <w:tabs>
          <w:tab w:val="clear" w:pos="720"/>
        </w:tabs>
        <w:spacing w:line="360" w:lineRule="auto"/>
        <w:ind w:left="0" w:firstLine="1440"/>
        <w:rPr>
          <w:sz w:val="24"/>
          <w:szCs w:val="24"/>
        </w:rPr>
      </w:pPr>
      <w:proofErr w:type="spellStart"/>
      <w:r>
        <w:rPr>
          <w:sz w:val="24"/>
          <w:szCs w:val="24"/>
        </w:rPr>
        <w:t>Equitable’s</w:t>
      </w:r>
      <w:proofErr w:type="spellEnd"/>
      <w:r>
        <w:rPr>
          <w:sz w:val="24"/>
          <w:szCs w:val="24"/>
        </w:rPr>
        <w:t xml:space="preserve"> proposed tariff supplements constitute impermissible single</w:t>
      </w:r>
      <w:r w:rsidRPr="00D8498C">
        <w:rPr>
          <w:sz w:val="24"/>
          <w:szCs w:val="24"/>
        </w:rPr>
        <w:t xml:space="preserve"> </w:t>
      </w:r>
      <w:r>
        <w:rPr>
          <w:sz w:val="24"/>
          <w:szCs w:val="24"/>
        </w:rPr>
        <w:t>issue rate making.</w:t>
      </w:r>
    </w:p>
    <w:p w:rsidR="00615A0B" w:rsidRDefault="00615A0B" w:rsidP="00615A0B">
      <w:pPr>
        <w:pStyle w:val="ListParagraph"/>
      </w:pPr>
    </w:p>
    <w:p w:rsidR="00615A0B" w:rsidRDefault="00615A0B" w:rsidP="00615A0B">
      <w:pPr>
        <w:numPr>
          <w:ilvl w:val="0"/>
          <w:numId w:val="18"/>
        </w:numPr>
        <w:autoSpaceDE/>
        <w:autoSpaceDN/>
        <w:spacing w:line="360" w:lineRule="auto"/>
        <w:ind w:left="0" w:firstLine="1440"/>
        <w:rPr>
          <w:rFonts w:ascii="Times New Roman" w:hAnsi="Times New Roman" w:cs="Times New Roman"/>
          <w:szCs w:val="20"/>
        </w:rPr>
      </w:pPr>
      <w:r>
        <w:rPr>
          <w:rFonts w:ascii="Times New Roman" w:hAnsi="Times New Roman" w:cs="Times New Roman"/>
          <w:szCs w:val="20"/>
        </w:rPr>
        <w:t>Equitable has failed to carry its burden of proof to establish that its proposed supplements are just and reasonable, as required by 66 Pa. C.S. § 315(a).</w:t>
      </w:r>
    </w:p>
    <w:p w:rsidR="00615A0B" w:rsidRDefault="00615A0B" w:rsidP="00615A0B">
      <w:pPr>
        <w:pStyle w:val="ListParagraph"/>
      </w:pPr>
    </w:p>
    <w:p w:rsidR="0093114C" w:rsidRDefault="0093114C">
      <w:pPr>
        <w:autoSpaceDE/>
        <w:autoSpaceDN/>
        <w:rPr>
          <w:rFonts w:ascii="Times New Roman" w:hAnsi="Times New Roman" w:cs="Times New Roman"/>
          <w:szCs w:val="20"/>
        </w:rPr>
      </w:pPr>
    </w:p>
    <w:p w:rsidR="009A1DCC" w:rsidRDefault="009A1DCC">
      <w:pPr>
        <w:autoSpaceDE/>
        <w:autoSpaceDN/>
        <w:rPr>
          <w:rFonts w:ascii="Times New Roman" w:hAnsi="Times New Roman" w:cs="Times New Roman"/>
          <w:szCs w:val="20"/>
        </w:rPr>
      </w:pPr>
      <w:r>
        <w:rPr>
          <w:rFonts w:ascii="Times New Roman" w:hAnsi="Times New Roman" w:cs="Times New Roman"/>
          <w:szCs w:val="20"/>
        </w:rPr>
        <w:br w:type="page"/>
      </w:r>
    </w:p>
    <w:p w:rsidR="00615A0B" w:rsidRPr="003B19DC" w:rsidRDefault="00615A0B" w:rsidP="00615A0B">
      <w:pPr>
        <w:autoSpaceDE/>
        <w:autoSpaceDN/>
        <w:spacing w:line="360" w:lineRule="auto"/>
        <w:jc w:val="center"/>
        <w:rPr>
          <w:rFonts w:ascii="Times New Roman" w:hAnsi="Times New Roman" w:cs="Times New Roman"/>
          <w:szCs w:val="20"/>
        </w:rPr>
      </w:pPr>
      <w:r w:rsidRPr="003B19DC">
        <w:rPr>
          <w:rFonts w:ascii="Times New Roman" w:hAnsi="Times New Roman" w:cs="Times New Roman"/>
          <w:szCs w:val="20"/>
        </w:rPr>
        <w:lastRenderedPageBreak/>
        <w:t>VI.</w:t>
      </w:r>
      <w:r w:rsidRPr="003B19DC">
        <w:rPr>
          <w:rFonts w:ascii="Times New Roman" w:hAnsi="Times New Roman" w:cs="Times New Roman"/>
          <w:szCs w:val="20"/>
        </w:rPr>
        <w:tab/>
      </w:r>
      <w:r w:rsidRPr="003B19DC">
        <w:rPr>
          <w:rFonts w:ascii="Times New Roman" w:hAnsi="Times New Roman" w:cs="Times New Roman"/>
          <w:szCs w:val="20"/>
          <w:u w:val="single"/>
        </w:rPr>
        <w:t>RECOMMENDED ORDER</w:t>
      </w:r>
    </w:p>
    <w:p w:rsidR="00615A0B" w:rsidRPr="003B19DC" w:rsidRDefault="00615A0B" w:rsidP="00615A0B">
      <w:pPr>
        <w:autoSpaceDE/>
        <w:autoSpaceDN/>
        <w:spacing w:line="360" w:lineRule="auto"/>
        <w:ind w:firstLine="1440"/>
        <w:rPr>
          <w:rFonts w:ascii="Times New Roman" w:hAnsi="Times New Roman" w:cs="Times New Roman"/>
          <w:szCs w:val="20"/>
        </w:rPr>
      </w:pPr>
    </w:p>
    <w:p w:rsidR="00615A0B" w:rsidRPr="003B19DC" w:rsidRDefault="00615A0B" w:rsidP="00615A0B">
      <w:pPr>
        <w:autoSpaceDE/>
        <w:autoSpaceDN/>
        <w:spacing w:line="360" w:lineRule="auto"/>
        <w:ind w:firstLine="1440"/>
        <w:rPr>
          <w:rFonts w:ascii="Times New Roman" w:hAnsi="Times New Roman" w:cs="Times New Roman"/>
          <w:szCs w:val="20"/>
        </w:rPr>
      </w:pPr>
    </w:p>
    <w:p w:rsidR="00615A0B" w:rsidRPr="003B19DC" w:rsidRDefault="00615A0B" w:rsidP="00615A0B">
      <w:pPr>
        <w:autoSpaceDE/>
        <w:autoSpaceDN/>
        <w:spacing w:line="360" w:lineRule="auto"/>
        <w:ind w:firstLine="1440"/>
        <w:rPr>
          <w:rFonts w:ascii="Times New Roman" w:hAnsi="Times New Roman" w:cs="Times New Roman"/>
          <w:szCs w:val="20"/>
        </w:rPr>
      </w:pPr>
      <w:r w:rsidRPr="003B19DC">
        <w:rPr>
          <w:rFonts w:ascii="Times New Roman" w:hAnsi="Times New Roman" w:cs="Times New Roman"/>
          <w:szCs w:val="20"/>
        </w:rPr>
        <w:t>THEREFORE,</w:t>
      </w:r>
    </w:p>
    <w:p w:rsidR="00615A0B" w:rsidRPr="003B19DC" w:rsidRDefault="00615A0B" w:rsidP="00615A0B">
      <w:pPr>
        <w:autoSpaceDE/>
        <w:autoSpaceDN/>
        <w:spacing w:line="360" w:lineRule="auto"/>
        <w:ind w:firstLine="1440"/>
        <w:rPr>
          <w:rFonts w:ascii="Times New Roman" w:hAnsi="Times New Roman" w:cs="Times New Roman"/>
          <w:szCs w:val="20"/>
        </w:rPr>
      </w:pPr>
    </w:p>
    <w:p w:rsidR="00615A0B" w:rsidRPr="003B19DC" w:rsidRDefault="00615A0B" w:rsidP="00615A0B">
      <w:pPr>
        <w:autoSpaceDE/>
        <w:autoSpaceDN/>
        <w:spacing w:line="360" w:lineRule="auto"/>
        <w:ind w:firstLine="1440"/>
        <w:rPr>
          <w:rFonts w:ascii="Times New Roman" w:hAnsi="Times New Roman" w:cs="Times New Roman"/>
          <w:szCs w:val="20"/>
        </w:rPr>
      </w:pPr>
      <w:r w:rsidRPr="003B19DC">
        <w:rPr>
          <w:rFonts w:ascii="Times New Roman" w:hAnsi="Times New Roman" w:cs="Times New Roman"/>
          <w:szCs w:val="20"/>
        </w:rPr>
        <w:t>IT IS RECOMMENDED:</w:t>
      </w:r>
    </w:p>
    <w:p w:rsidR="00615A0B" w:rsidRPr="003B19DC" w:rsidRDefault="00615A0B" w:rsidP="00615A0B">
      <w:pPr>
        <w:autoSpaceDE/>
        <w:autoSpaceDN/>
        <w:spacing w:line="360" w:lineRule="auto"/>
        <w:ind w:firstLine="1440"/>
        <w:rPr>
          <w:rFonts w:ascii="Times New Roman" w:hAnsi="Times New Roman" w:cs="Times New Roman"/>
          <w:szCs w:val="20"/>
        </w:rPr>
      </w:pPr>
    </w:p>
    <w:p w:rsidR="00615A0B" w:rsidRPr="00F50D2F" w:rsidRDefault="00615A0B" w:rsidP="00615A0B">
      <w:pPr>
        <w:numPr>
          <w:ilvl w:val="0"/>
          <w:numId w:val="19"/>
        </w:numPr>
        <w:tabs>
          <w:tab w:val="num" w:pos="0"/>
        </w:tabs>
        <w:autoSpaceDE/>
        <w:autoSpaceDN/>
        <w:spacing w:line="360" w:lineRule="auto"/>
        <w:ind w:left="0" w:firstLine="1440"/>
        <w:rPr>
          <w:rFonts w:ascii="Times New Roman" w:hAnsi="Times New Roman" w:cs="Times New Roman"/>
          <w:szCs w:val="20"/>
        </w:rPr>
      </w:pPr>
      <w:r w:rsidRPr="003B19DC">
        <w:rPr>
          <w:rFonts w:ascii="Times New Roman" w:hAnsi="Times New Roman" w:cs="Times New Roman"/>
          <w:szCs w:val="20"/>
        </w:rPr>
        <w:t xml:space="preserve">That </w:t>
      </w:r>
      <w:r>
        <w:rPr>
          <w:rFonts w:ascii="Times New Roman" w:hAnsi="Times New Roman" w:cs="Times New Roman"/>
          <w:szCs w:val="20"/>
        </w:rPr>
        <w:t xml:space="preserve">Equitable Gas Company, LLC Request for Approval of Supplement No. 79 to Tariff Gas Pa. P.U.C. No. 22 at </w:t>
      </w:r>
      <w:r w:rsidRPr="002038C4">
        <w:rPr>
          <w:rFonts w:ascii="Times New Roman" w:hAnsi="Times New Roman" w:cs="Times New Roman"/>
        </w:rPr>
        <w:t>Docket No. R-2012-2304727</w:t>
      </w:r>
      <w:r>
        <w:rPr>
          <w:rFonts w:ascii="Times New Roman" w:hAnsi="Times New Roman" w:cs="Times New Roman"/>
        </w:rPr>
        <w:t xml:space="preserve"> should be denied and not permitted to become effective on December 29, 2012.</w:t>
      </w:r>
    </w:p>
    <w:p w:rsidR="00615A0B" w:rsidRPr="00F50D2F" w:rsidRDefault="00615A0B" w:rsidP="00615A0B">
      <w:pPr>
        <w:autoSpaceDE/>
        <w:autoSpaceDN/>
        <w:spacing w:line="360" w:lineRule="auto"/>
        <w:rPr>
          <w:rFonts w:ascii="Times New Roman" w:hAnsi="Times New Roman" w:cs="Times New Roman"/>
          <w:szCs w:val="20"/>
        </w:rPr>
      </w:pPr>
    </w:p>
    <w:p w:rsidR="00615A0B" w:rsidRPr="00F50D2F" w:rsidRDefault="00615A0B" w:rsidP="00615A0B">
      <w:pPr>
        <w:numPr>
          <w:ilvl w:val="0"/>
          <w:numId w:val="19"/>
        </w:numPr>
        <w:tabs>
          <w:tab w:val="clear" w:pos="720"/>
        </w:tabs>
        <w:autoSpaceDE/>
        <w:autoSpaceDN/>
        <w:spacing w:line="360" w:lineRule="auto"/>
        <w:ind w:left="0" w:firstLine="1440"/>
        <w:rPr>
          <w:rFonts w:ascii="Times New Roman" w:hAnsi="Times New Roman" w:cs="Times New Roman"/>
          <w:szCs w:val="20"/>
        </w:rPr>
      </w:pPr>
      <w:r w:rsidRPr="003B19DC">
        <w:rPr>
          <w:rFonts w:ascii="Times New Roman" w:hAnsi="Times New Roman" w:cs="Times New Roman"/>
          <w:szCs w:val="20"/>
        </w:rPr>
        <w:t xml:space="preserve">That </w:t>
      </w:r>
      <w:r>
        <w:rPr>
          <w:rFonts w:ascii="Times New Roman" w:hAnsi="Times New Roman" w:cs="Times New Roman"/>
          <w:szCs w:val="20"/>
        </w:rPr>
        <w:t xml:space="preserve">Equitable Gas Company, LLC Request for Approval of Supplement No. 80 to Tariff Gas Pa. P.U.C. No. 22 at </w:t>
      </w:r>
      <w:r w:rsidRPr="002038C4">
        <w:rPr>
          <w:rFonts w:ascii="Times New Roman" w:hAnsi="Times New Roman" w:cs="Times New Roman"/>
        </w:rPr>
        <w:t>Docket No. R-2012-23047</w:t>
      </w:r>
      <w:r>
        <w:rPr>
          <w:rFonts w:ascii="Times New Roman" w:hAnsi="Times New Roman" w:cs="Times New Roman"/>
        </w:rPr>
        <w:t>31 should be denied and not permitted to become effective on December 29, 2012.</w:t>
      </w:r>
    </w:p>
    <w:p w:rsidR="00615A0B" w:rsidRPr="00F50D2F" w:rsidRDefault="00615A0B" w:rsidP="00615A0B">
      <w:pPr>
        <w:autoSpaceDE/>
        <w:autoSpaceDN/>
        <w:spacing w:line="360" w:lineRule="auto"/>
        <w:rPr>
          <w:rFonts w:ascii="Times New Roman" w:hAnsi="Times New Roman" w:cs="Times New Roman"/>
          <w:szCs w:val="20"/>
        </w:rPr>
      </w:pPr>
    </w:p>
    <w:p w:rsidR="00615A0B" w:rsidRPr="00F50D2F" w:rsidRDefault="00615A0B" w:rsidP="00615A0B">
      <w:pPr>
        <w:numPr>
          <w:ilvl w:val="0"/>
          <w:numId w:val="19"/>
        </w:numPr>
        <w:tabs>
          <w:tab w:val="clear" w:pos="720"/>
        </w:tabs>
        <w:autoSpaceDE/>
        <w:autoSpaceDN/>
        <w:spacing w:line="360" w:lineRule="auto"/>
        <w:ind w:left="0" w:firstLine="1440"/>
        <w:rPr>
          <w:rFonts w:ascii="Times New Roman" w:hAnsi="Times New Roman" w:cs="Times New Roman"/>
          <w:szCs w:val="20"/>
        </w:rPr>
      </w:pPr>
      <w:r w:rsidRPr="003B19DC">
        <w:rPr>
          <w:rFonts w:ascii="Times New Roman" w:hAnsi="Times New Roman" w:cs="Times New Roman"/>
          <w:szCs w:val="20"/>
        </w:rPr>
        <w:t xml:space="preserve">That </w:t>
      </w:r>
      <w:r>
        <w:rPr>
          <w:rFonts w:ascii="Times New Roman" w:hAnsi="Times New Roman" w:cs="Times New Roman"/>
          <w:szCs w:val="20"/>
        </w:rPr>
        <w:t xml:space="preserve">Equitable Gas Company, LLC Request for Approval of Supplement No.  81 to Tariff Gas Pa. P.U.C. No. 22 at </w:t>
      </w:r>
      <w:r w:rsidRPr="002038C4">
        <w:rPr>
          <w:rFonts w:ascii="Times New Roman" w:hAnsi="Times New Roman" w:cs="Times New Roman"/>
        </w:rPr>
        <w:t>Docket No. R-2012-23047</w:t>
      </w:r>
      <w:r>
        <w:rPr>
          <w:rFonts w:ascii="Times New Roman" w:hAnsi="Times New Roman" w:cs="Times New Roman"/>
        </w:rPr>
        <w:t>35 should be denied and not permitted to become effective on December 29, 2012.</w:t>
      </w:r>
    </w:p>
    <w:p w:rsidR="00615A0B" w:rsidRDefault="00615A0B" w:rsidP="00615A0B">
      <w:pPr>
        <w:pStyle w:val="ListParagraph"/>
        <w:spacing w:line="360" w:lineRule="auto"/>
      </w:pPr>
    </w:p>
    <w:p w:rsidR="00615A0B" w:rsidRPr="006A4D95" w:rsidRDefault="00615A0B" w:rsidP="00615A0B">
      <w:pPr>
        <w:numPr>
          <w:ilvl w:val="0"/>
          <w:numId w:val="19"/>
        </w:numPr>
        <w:tabs>
          <w:tab w:val="clear" w:pos="720"/>
        </w:tabs>
        <w:autoSpaceDE/>
        <w:autoSpaceDN/>
        <w:spacing w:line="360" w:lineRule="auto"/>
        <w:ind w:left="0" w:firstLine="1440"/>
        <w:rPr>
          <w:rFonts w:ascii="Times New Roman" w:hAnsi="Times New Roman" w:cs="Times New Roman"/>
          <w:szCs w:val="20"/>
        </w:rPr>
      </w:pPr>
      <w:r w:rsidRPr="003B19DC">
        <w:rPr>
          <w:rFonts w:ascii="Times New Roman" w:hAnsi="Times New Roman" w:cs="Times New Roman"/>
          <w:szCs w:val="20"/>
        </w:rPr>
        <w:t xml:space="preserve">That </w:t>
      </w:r>
      <w:r>
        <w:rPr>
          <w:rFonts w:ascii="Times New Roman" w:hAnsi="Times New Roman" w:cs="Times New Roman"/>
          <w:szCs w:val="20"/>
        </w:rPr>
        <w:t xml:space="preserve">the record of Equitable Gas Company, LLC Request for Approval of Supplement Nos. 79, 80 and 81 to Tariff Gas Pa. P.U.C. No. 22 at </w:t>
      </w:r>
      <w:r w:rsidRPr="002038C4">
        <w:rPr>
          <w:rFonts w:ascii="Times New Roman" w:hAnsi="Times New Roman" w:cs="Times New Roman"/>
        </w:rPr>
        <w:t>Docket Nos.</w:t>
      </w:r>
      <w:r w:rsidRPr="006A4D95">
        <w:rPr>
          <w:rFonts w:ascii="Times New Roman" w:hAnsi="Times New Roman" w:cs="Times New Roman"/>
        </w:rPr>
        <w:t xml:space="preserve"> </w:t>
      </w:r>
      <w:r w:rsidRPr="002038C4">
        <w:rPr>
          <w:rFonts w:ascii="Times New Roman" w:hAnsi="Times New Roman" w:cs="Times New Roman"/>
        </w:rPr>
        <w:t>R-2012-2304727</w:t>
      </w:r>
      <w:r>
        <w:rPr>
          <w:rFonts w:ascii="Times New Roman" w:hAnsi="Times New Roman" w:cs="Times New Roman"/>
        </w:rPr>
        <w:t xml:space="preserve">, </w:t>
      </w:r>
      <w:r w:rsidRPr="002038C4">
        <w:rPr>
          <w:rFonts w:ascii="Times New Roman" w:hAnsi="Times New Roman" w:cs="Times New Roman"/>
        </w:rPr>
        <w:t>R-2012-23047</w:t>
      </w:r>
      <w:r>
        <w:rPr>
          <w:rFonts w:ascii="Times New Roman" w:hAnsi="Times New Roman" w:cs="Times New Roman"/>
        </w:rPr>
        <w:t xml:space="preserve">31 and </w:t>
      </w:r>
      <w:r w:rsidRPr="002038C4">
        <w:rPr>
          <w:rFonts w:ascii="Times New Roman" w:hAnsi="Times New Roman" w:cs="Times New Roman"/>
        </w:rPr>
        <w:t>R-2012-23047</w:t>
      </w:r>
      <w:r>
        <w:rPr>
          <w:rFonts w:ascii="Times New Roman" w:hAnsi="Times New Roman" w:cs="Times New Roman"/>
        </w:rPr>
        <w:t xml:space="preserve">35 </w:t>
      </w:r>
      <w:proofErr w:type="gramStart"/>
      <w:r>
        <w:rPr>
          <w:rFonts w:ascii="Times New Roman" w:hAnsi="Times New Roman" w:cs="Times New Roman"/>
        </w:rPr>
        <w:t>be</w:t>
      </w:r>
      <w:proofErr w:type="gramEnd"/>
      <w:r>
        <w:rPr>
          <w:rFonts w:ascii="Times New Roman" w:hAnsi="Times New Roman" w:cs="Times New Roman"/>
        </w:rPr>
        <w:t xml:space="preserve"> marked closed.</w:t>
      </w:r>
    </w:p>
    <w:p w:rsidR="00615A0B" w:rsidRDefault="00615A0B" w:rsidP="00615A0B">
      <w:pPr>
        <w:pStyle w:val="ListParagraph"/>
        <w:spacing w:line="360" w:lineRule="auto"/>
      </w:pPr>
    </w:p>
    <w:p w:rsidR="00615A0B" w:rsidRPr="006A4D95" w:rsidRDefault="00615A0B" w:rsidP="00615A0B">
      <w:pPr>
        <w:numPr>
          <w:ilvl w:val="0"/>
          <w:numId w:val="19"/>
        </w:numPr>
        <w:tabs>
          <w:tab w:val="num" w:pos="0"/>
        </w:tabs>
        <w:autoSpaceDE/>
        <w:autoSpaceDN/>
        <w:spacing w:line="360" w:lineRule="auto"/>
        <w:ind w:left="0" w:firstLine="1440"/>
        <w:rPr>
          <w:rFonts w:ascii="Times New Roman" w:hAnsi="Times New Roman" w:cs="Times New Roman"/>
          <w:szCs w:val="20"/>
        </w:rPr>
      </w:pPr>
      <w:r>
        <w:rPr>
          <w:rFonts w:ascii="Times New Roman" w:hAnsi="Times New Roman" w:cs="Times New Roman"/>
          <w:szCs w:val="20"/>
        </w:rPr>
        <w:t xml:space="preserve">That </w:t>
      </w:r>
      <w:proofErr w:type="spellStart"/>
      <w:r>
        <w:rPr>
          <w:rFonts w:ascii="Times New Roman" w:hAnsi="Times New Roman" w:cs="Times New Roman"/>
          <w:szCs w:val="20"/>
        </w:rPr>
        <w:t>Equitable’s</w:t>
      </w:r>
      <w:proofErr w:type="spellEnd"/>
      <w:r>
        <w:rPr>
          <w:rFonts w:ascii="Times New Roman" w:hAnsi="Times New Roman" w:cs="Times New Roman"/>
          <w:szCs w:val="20"/>
        </w:rPr>
        <w:t xml:space="preserve"> proposed Purchase of Receivables program set forth in Supplement Nos. 79, 80 and 81 </w:t>
      </w:r>
      <w:proofErr w:type="gramStart"/>
      <w:r>
        <w:rPr>
          <w:rFonts w:ascii="Times New Roman" w:hAnsi="Times New Roman" w:cs="Times New Roman"/>
          <w:szCs w:val="20"/>
        </w:rPr>
        <w:t>be</w:t>
      </w:r>
      <w:proofErr w:type="gramEnd"/>
      <w:r>
        <w:rPr>
          <w:rFonts w:ascii="Times New Roman" w:hAnsi="Times New Roman" w:cs="Times New Roman"/>
          <w:szCs w:val="20"/>
        </w:rPr>
        <w:t xml:space="preserve"> disapproved.</w:t>
      </w:r>
    </w:p>
    <w:p w:rsidR="00615A0B" w:rsidRDefault="00615A0B" w:rsidP="00615A0B">
      <w:pPr>
        <w:pStyle w:val="ListParagraph"/>
        <w:spacing w:line="360" w:lineRule="auto"/>
      </w:pPr>
    </w:p>
    <w:p w:rsidR="009A1DCC" w:rsidRDefault="009A1DCC">
      <w:pPr>
        <w:autoSpaceDE/>
        <w:autoSpaceDN/>
        <w:rPr>
          <w:rFonts w:ascii="Times New Roman" w:hAnsi="Times New Roman" w:cs="Times New Roman"/>
        </w:rPr>
      </w:pPr>
      <w:r>
        <w:rPr>
          <w:rFonts w:ascii="Times New Roman" w:hAnsi="Times New Roman" w:cs="Times New Roman"/>
        </w:rPr>
        <w:br w:type="page"/>
      </w:r>
    </w:p>
    <w:p w:rsidR="00615A0B" w:rsidRPr="003B19DC" w:rsidRDefault="00615A0B" w:rsidP="00615A0B">
      <w:pPr>
        <w:numPr>
          <w:ilvl w:val="0"/>
          <w:numId w:val="19"/>
        </w:numPr>
        <w:tabs>
          <w:tab w:val="num" w:pos="0"/>
        </w:tabs>
        <w:autoSpaceDE/>
        <w:autoSpaceDN/>
        <w:spacing w:line="360" w:lineRule="auto"/>
        <w:ind w:left="0" w:firstLine="1440"/>
        <w:rPr>
          <w:rFonts w:ascii="Times New Roman" w:hAnsi="Times New Roman" w:cs="Times New Roman"/>
          <w:szCs w:val="20"/>
        </w:rPr>
      </w:pPr>
      <w:r w:rsidRPr="006A4D95">
        <w:rPr>
          <w:rFonts w:ascii="Times New Roman" w:hAnsi="Times New Roman" w:cs="Times New Roman"/>
        </w:rPr>
        <w:lastRenderedPageBreak/>
        <w:t>That the Complaints of the Office of Consumer Advocate (OCA) filed at Docket Nos. C-2012-2309549, C</w:t>
      </w:r>
      <w:r w:rsidRPr="006A4D95">
        <w:rPr>
          <w:rFonts w:ascii="Times New Roman" w:hAnsi="Times New Roman" w:cs="Times New Roman"/>
        </w:rPr>
        <w:noBreakHyphen/>
        <w:t xml:space="preserve">2012-2309502 and C-2012-2309538 to </w:t>
      </w:r>
      <w:proofErr w:type="spellStart"/>
      <w:r w:rsidRPr="006A4D95">
        <w:rPr>
          <w:rFonts w:ascii="Times New Roman" w:hAnsi="Times New Roman" w:cs="Times New Roman"/>
        </w:rPr>
        <w:t>Equitable’s</w:t>
      </w:r>
      <w:proofErr w:type="spellEnd"/>
      <w:r w:rsidRPr="006A4D95">
        <w:rPr>
          <w:rFonts w:ascii="Times New Roman" w:hAnsi="Times New Roman" w:cs="Times New Roman"/>
        </w:rPr>
        <w:t xml:space="preserve"> filings at Docket Nos. R-2012-2304727, R-2012-2304731 and R-2012-2304735, respectively, </w:t>
      </w:r>
      <w:proofErr w:type="gramStart"/>
      <w:r w:rsidRPr="006A4D95">
        <w:rPr>
          <w:rFonts w:ascii="Times New Roman" w:hAnsi="Times New Roman" w:cs="Times New Roman"/>
        </w:rPr>
        <w:t>be</w:t>
      </w:r>
      <w:proofErr w:type="gramEnd"/>
      <w:r w:rsidRPr="006A4D95">
        <w:rPr>
          <w:rFonts w:ascii="Times New Roman" w:hAnsi="Times New Roman" w:cs="Times New Roman"/>
        </w:rPr>
        <w:t xml:space="preserve"> sustained.   </w:t>
      </w:r>
    </w:p>
    <w:p w:rsidR="00615A0B" w:rsidRPr="003B19DC" w:rsidRDefault="00615A0B" w:rsidP="00615A0B">
      <w:pPr>
        <w:autoSpaceDE/>
        <w:autoSpaceDN/>
        <w:spacing w:line="360" w:lineRule="auto"/>
        <w:rPr>
          <w:rFonts w:ascii="Times New Roman" w:hAnsi="Times New Roman" w:cs="Times New Roman"/>
          <w:szCs w:val="20"/>
        </w:rPr>
      </w:pPr>
      <w:r w:rsidRPr="003B19DC">
        <w:rPr>
          <w:rFonts w:ascii="Times New Roman" w:hAnsi="Times New Roman" w:cs="Times New Roman"/>
          <w:noProof/>
          <w:szCs w:val="20"/>
        </w:rPr>
        <w:drawing>
          <wp:anchor distT="0" distB="0" distL="114300" distR="114300" simplePos="0" relativeHeight="251659264" behindDoc="1" locked="0" layoutInCell="1" allowOverlap="1" wp14:anchorId="0D641B07" wp14:editId="546D98C2">
            <wp:simplePos x="0" y="0"/>
            <wp:positionH relativeFrom="column">
              <wp:posOffset>2876551</wp:posOffset>
            </wp:positionH>
            <wp:positionV relativeFrom="paragraph">
              <wp:posOffset>215265</wp:posOffset>
            </wp:positionV>
            <wp:extent cx="2476500" cy="1047750"/>
            <wp:effectExtent l="0" t="0" r="0" b="0"/>
            <wp:wrapNone/>
            <wp:docPr id="1" name="Picture 1"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5A0B" w:rsidRPr="003B19DC" w:rsidRDefault="00615A0B" w:rsidP="00615A0B">
      <w:pPr>
        <w:autoSpaceDE/>
        <w:autoSpaceDN/>
        <w:spacing w:line="360" w:lineRule="auto"/>
        <w:rPr>
          <w:rFonts w:ascii="Times New Roman" w:hAnsi="Times New Roman" w:cs="Times New Roman"/>
          <w:szCs w:val="20"/>
        </w:rPr>
      </w:pPr>
    </w:p>
    <w:p w:rsidR="00615A0B" w:rsidRPr="00AB6C52" w:rsidRDefault="00615A0B" w:rsidP="00615A0B">
      <w:pPr>
        <w:rPr>
          <w:rFonts w:ascii="Times New Roman" w:hAnsi="Times New Roman" w:cs="Times New Roman"/>
        </w:rPr>
      </w:pPr>
      <w:r w:rsidRPr="00AB6C52">
        <w:rPr>
          <w:rFonts w:ascii="Times New Roman" w:hAnsi="Times New Roman" w:cs="Times New Roman"/>
        </w:rPr>
        <w:t xml:space="preserve">Date:  </w:t>
      </w:r>
      <w:r w:rsidRPr="00AB6C52">
        <w:rPr>
          <w:rFonts w:ascii="Times New Roman" w:hAnsi="Times New Roman" w:cs="Times New Roman"/>
          <w:u w:val="single"/>
        </w:rPr>
        <w:t>October 26, 2012</w:t>
      </w:r>
    </w:p>
    <w:p w:rsidR="00E21914" w:rsidRDefault="00E21914" w:rsidP="00E21914">
      <w:pPr>
        <w:spacing w:line="360" w:lineRule="auto"/>
        <w:rPr>
          <w:rFonts w:eastAsiaTheme="minorHAnsi" w:cstheme="minorBidi"/>
          <w:szCs w:val="22"/>
        </w:rPr>
      </w:pPr>
      <w:r>
        <w:rPr>
          <w:rFonts w:cs="Times New Roman"/>
        </w:rPr>
        <w:tab/>
      </w:r>
    </w:p>
    <w:p w:rsidR="00651D0A" w:rsidRPr="00651D0A" w:rsidRDefault="00651D0A" w:rsidP="00651D0A">
      <w:pPr>
        <w:rPr>
          <w:rFonts w:ascii="Times New Roman" w:hAnsi="Times New Roman" w:cs="Times New Roman"/>
        </w:rPr>
      </w:pPr>
    </w:p>
    <w:sectPr w:rsidR="00651D0A" w:rsidRPr="00651D0A" w:rsidSect="0076099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EA5" w:rsidRDefault="002A2EA5">
      <w:pPr>
        <w:spacing w:line="20" w:lineRule="exact"/>
        <w:rPr>
          <w:sz w:val="22"/>
          <w:szCs w:val="22"/>
        </w:rPr>
      </w:pPr>
    </w:p>
  </w:endnote>
  <w:endnote w:type="continuationSeparator" w:id="0">
    <w:p w:rsidR="002A2EA5" w:rsidRDefault="002A2EA5">
      <w:pPr>
        <w:pStyle w:val="ParaTab1"/>
        <w:rPr>
          <w:sz w:val="22"/>
          <w:szCs w:val="22"/>
        </w:rPr>
      </w:pPr>
      <w:r>
        <w:rPr>
          <w:sz w:val="22"/>
          <w:szCs w:val="22"/>
        </w:rPr>
        <w:t xml:space="preserve"> </w:t>
      </w:r>
    </w:p>
  </w:endnote>
  <w:endnote w:type="continuationNotice" w:id="1">
    <w:p w:rsidR="002A2EA5" w:rsidRDefault="002A2EA5">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2817470"/>
      <w:docPartObj>
        <w:docPartGallery w:val="Page Numbers (Bottom of Page)"/>
        <w:docPartUnique/>
      </w:docPartObj>
    </w:sdtPr>
    <w:sdtEndPr>
      <w:rPr>
        <w:rFonts w:ascii="Times New Roman" w:hAnsi="Times New Roman" w:cs="Times New Roman"/>
        <w:noProof/>
        <w:sz w:val="20"/>
        <w:szCs w:val="20"/>
      </w:rPr>
    </w:sdtEndPr>
    <w:sdtContent>
      <w:p w:rsidR="002038C4" w:rsidRPr="005E2B7F" w:rsidRDefault="002038C4">
        <w:pPr>
          <w:pStyle w:val="Footer"/>
          <w:jc w:val="center"/>
          <w:rPr>
            <w:rFonts w:ascii="Times New Roman" w:hAnsi="Times New Roman" w:cs="Times New Roman"/>
            <w:sz w:val="20"/>
            <w:szCs w:val="20"/>
          </w:rPr>
        </w:pPr>
        <w:r w:rsidRPr="005E2B7F">
          <w:rPr>
            <w:rFonts w:ascii="Times New Roman" w:hAnsi="Times New Roman" w:cs="Times New Roman"/>
            <w:sz w:val="20"/>
            <w:szCs w:val="20"/>
          </w:rPr>
          <w:fldChar w:fldCharType="begin"/>
        </w:r>
        <w:r w:rsidRPr="005E2B7F">
          <w:rPr>
            <w:rFonts w:ascii="Times New Roman" w:hAnsi="Times New Roman" w:cs="Times New Roman"/>
            <w:sz w:val="20"/>
            <w:szCs w:val="20"/>
          </w:rPr>
          <w:instrText xml:space="preserve"> PAGE   \* MERGEFORMAT </w:instrText>
        </w:r>
        <w:r w:rsidRPr="005E2B7F">
          <w:rPr>
            <w:rFonts w:ascii="Times New Roman" w:hAnsi="Times New Roman" w:cs="Times New Roman"/>
            <w:sz w:val="20"/>
            <w:szCs w:val="20"/>
          </w:rPr>
          <w:fldChar w:fldCharType="separate"/>
        </w:r>
        <w:r w:rsidR="00D815DE">
          <w:rPr>
            <w:rFonts w:ascii="Times New Roman" w:hAnsi="Times New Roman" w:cs="Times New Roman"/>
            <w:noProof/>
            <w:sz w:val="20"/>
            <w:szCs w:val="20"/>
          </w:rPr>
          <w:t>16</w:t>
        </w:r>
        <w:r w:rsidRPr="005E2B7F">
          <w:rPr>
            <w:rFonts w:ascii="Times New Roman" w:hAnsi="Times New Roman" w:cs="Times New Roman"/>
            <w:noProof/>
            <w:sz w:val="20"/>
            <w:szCs w:val="20"/>
          </w:rPr>
          <w:fldChar w:fldCharType="end"/>
        </w:r>
      </w:p>
    </w:sdtContent>
  </w:sdt>
  <w:p w:rsidR="008327BE" w:rsidRDefault="008327BE">
    <w:pPr>
      <w:spacing w:before="140" w:line="100" w:lineRule="exact"/>
      <w:rPr>
        <w:sz w:val="9"/>
        <w:szCs w:val="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EA5" w:rsidRPr="00D77EF6" w:rsidRDefault="002A2EA5" w:rsidP="00D77EF6">
      <w:pPr>
        <w:pStyle w:val="Footer"/>
      </w:pPr>
      <w:r>
        <w:separator/>
      </w:r>
    </w:p>
  </w:footnote>
  <w:footnote w:type="continuationSeparator" w:id="0">
    <w:p w:rsidR="002A2EA5" w:rsidRDefault="002A2EA5">
      <w:r>
        <w:continuationSeparator/>
      </w:r>
    </w:p>
  </w:footnote>
  <w:footnote w:id="1">
    <w:p w:rsidR="00BD12A6" w:rsidRPr="005E2B7F" w:rsidRDefault="00BD12A6" w:rsidP="005E2B7F">
      <w:pPr>
        <w:ind w:firstLine="720"/>
        <w:rPr>
          <w:rFonts w:ascii="Times New Roman" w:eastAsia="Calibri" w:hAnsi="Times New Roman" w:cs="Times New Roman"/>
          <w:b/>
          <w:color w:val="1F497D"/>
          <w:sz w:val="20"/>
          <w:szCs w:val="20"/>
        </w:rPr>
      </w:pPr>
      <w:r w:rsidRPr="005E2B7F">
        <w:rPr>
          <w:rStyle w:val="FootnoteReference"/>
          <w:rFonts w:ascii="Times New Roman" w:hAnsi="Times New Roman" w:cs="Times New Roman"/>
          <w:sz w:val="20"/>
          <w:szCs w:val="20"/>
        </w:rPr>
        <w:footnoteRef/>
      </w:r>
      <w:r w:rsidRPr="005E2B7F">
        <w:rPr>
          <w:rFonts w:ascii="Times New Roman" w:hAnsi="Times New Roman" w:cs="Times New Roman"/>
          <w:sz w:val="20"/>
          <w:szCs w:val="20"/>
        </w:rPr>
        <w:t xml:space="preserve"> </w:t>
      </w:r>
      <w:r w:rsidRPr="005E2B7F">
        <w:rPr>
          <w:rFonts w:ascii="Times New Roman" w:hAnsi="Times New Roman" w:cs="Times New Roman"/>
          <w:sz w:val="20"/>
          <w:szCs w:val="20"/>
        </w:rPr>
        <w:tab/>
        <w:t>By email dated July 2, 2012, the ALJ notified the partie</w:t>
      </w:r>
      <w:r w:rsidR="00DE4187">
        <w:rPr>
          <w:rFonts w:ascii="Times New Roman" w:hAnsi="Times New Roman" w:cs="Times New Roman"/>
          <w:sz w:val="20"/>
          <w:szCs w:val="20"/>
        </w:rPr>
        <w:t>s that if they intended to file</w:t>
      </w:r>
      <w:r w:rsidRPr="005E2B7F">
        <w:rPr>
          <w:rFonts w:ascii="Times New Roman" w:hAnsi="Times New Roman" w:cs="Times New Roman"/>
          <w:sz w:val="20"/>
          <w:szCs w:val="20"/>
        </w:rPr>
        <w:t xml:space="preserve"> an answer to the intervention petition to do so by July 9, 2012.  Otherwise a party’s lack of an answer may be deemed a waiver of any objection to </w:t>
      </w:r>
      <w:r w:rsidRPr="005E2B7F">
        <w:rPr>
          <w:rFonts w:ascii="Times New Roman" w:eastAsia="Calibri" w:hAnsi="Times New Roman" w:cs="Times New Roman"/>
          <w:sz w:val="20"/>
          <w:szCs w:val="20"/>
        </w:rPr>
        <w:t xml:space="preserve">the granting of the petition.  </w:t>
      </w:r>
      <w:proofErr w:type="gramStart"/>
      <w:r w:rsidRPr="005E2B7F">
        <w:rPr>
          <w:rFonts w:ascii="Times New Roman" w:eastAsia="Calibri" w:hAnsi="Times New Roman" w:cs="Times New Roman"/>
          <w:sz w:val="20"/>
          <w:szCs w:val="20"/>
        </w:rPr>
        <w:t>52 Pa. Code § 5.66(a).</w:t>
      </w:r>
      <w:proofErr w:type="gramEnd"/>
    </w:p>
    <w:p w:rsidR="00BD12A6" w:rsidRPr="005E2B7F" w:rsidRDefault="00BD12A6" w:rsidP="00BD12A6">
      <w:pPr>
        <w:pStyle w:val="FootnoteText"/>
        <w:rPr>
          <w:rFonts w:ascii="Times New Roman" w:hAnsi="Times New Roman" w:cs="Times New Roman"/>
          <w:sz w:val="20"/>
          <w:szCs w:val="20"/>
        </w:rPr>
      </w:pPr>
      <w:r w:rsidRPr="005E2B7F">
        <w:rPr>
          <w:rFonts w:ascii="Times New Roman" w:hAnsi="Times New Roman" w:cs="Times New Roman"/>
          <w:sz w:val="20"/>
          <w:szCs w:val="20"/>
        </w:rPr>
        <w:tab/>
      </w:r>
    </w:p>
  </w:footnote>
  <w:footnote w:id="2">
    <w:p w:rsidR="009B4EFA" w:rsidRPr="005E2B7F" w:rsidRDefault="009B4EFA" w:rsidP="005E2B7F">
      <w:pPr>
        <w:pStyle w:val="FootnoteText"/>
        <w:ind w:firstLine="720"/>
        <w:rPr>
          <w:rFonts w:ascii="Times New Roman" w:hAnsi="Times New Roman" w:cs="Times New Roman"/>
          <w:sz w:val="20"/>
          <w:szCs w:val="20"/>
        </w:rPr>
      </w:pPr>
      <w:r w:rsidRPr="005E2B7F">
        <w:rPr>
          <w:rStyle w:val="FootnoteReference"/>
          <w:rFonts w:ascii="Times New Roman" w:hAnsi="Times New Roman" w:cs="Times New Roman"/>
          <w:sz w:val="20"/>
          <w:szCs w:val="20"/>
        </w:rPr>
        <w:footnoteRef/>
      </w:r>
      <w:r w:rsidRPr="005E2B7F">
        <w:rPr>
          <w:rFonts w:ascii="Times New Roman" w:hAnsi="Times New Roman" w:cs="Times New Roman"/>
          <w:sz w:val="20"/>
          <w:szCs w:val="20"/>
        </w:rPr>
        <w:t xml:space="preserve"> </w:t>
      </w:r>
      <w:r w:rsidRPr="005E2B7F">
        <w:rPr>
          <w:rFonts w:ascii="Times New Roman" w:hAnsi="Times New Roman" w:cs="Times New Roman"/>
          <w:sz w:val="20"/>
          <w:szCs w:val="20"/>
        </w:rPr>
        <w:tab/>
        <w:t xml:space="preserve">Subsequently, RESA filed a reply to </w:t>
      </w:r>
      <w:proofErr w:type="spellStart"/>
      <w:r w:rsidRPr="005E2B7F">
        <w:rPr>
          <w:rFonts w:ascii="Times New Roman" w:hAnsi="Times New Roman" w:cs="Times New Roman"/>
          <w:sz w:val="20"/>
          <w:szCs w:val="20"/>
        </w:rPr>
        <w:t>Equitable’s</w:t>
      </w:r>
      <w:proofErr w:type="spellEnd"/>
      <w:r w:rsidRPr="005E2B7F">
        <w:rPr>
          <w:rFonts w:ascii="Times New Roman" w:hAnsi="Times New Roman" w:cs="Times New Roman"/>
          <w:sz w:val="20"/>
          <w:szCs w:val="20"/>
        </w:rPr>
        <w:t xml:space="preserve"> answer. </w:t>
      </w:r>
      <w:r w:rsidR="00A72C3F">
        <w:rPr>
          <w:rFonts w:ascii="Times New Roman" w:hAnsi="Times New Roman" w:cs="Times New Roman"/>
          <w:sz w:val="20"/>
          <w:szCs w:val="20"/>
        </w:rPr>
        <w:t xml:space="preserve"> </w:t>
      </w:r>
      <w:r w:rsidRPr="005E2B7F">
        <w:rPr>
          <w:rFonts w:ascii="Times New Roman" w:hAnsi="Times New Roman" w:cs="Times New Roman"/>
          <w:sz w:val="20"/>
          <w:szCs w:val="20"/>
        </w:rPr>
        <w:t xml:space="preserve">In turn, Equitable filed a motion to strike the reply and RESA filed an answer to the motion to strike.  The subsequent filings </w:t>
      </w:r>
      <w:r w:rsidR="0099006C" w:rsidRPr="005E2B7F">
        <w:rPr>
          <w:rFonts w:ascii="Times New Roman" w:hAnsi="Times New Roman" w:cs="Times New Roman"/>
          <w:sz w:val="20"/>
          <w:szCs w:val="20"/>
        </w:rPr>
        <w:t>we</w:t>
      </w:r>
      <w:r w:rsidRPr="005E2B7F">
        <w:rPr>
          <w:rFonts w:ascii="Times New Roman" w:hAnsi="Times New Roman" w:cs="Times New Roman"/>
          <w:sz w:val="20"/>
          <w:szCs w:val="20"/>
        </w:rPr>
        <w:t xml:space="preserve">re mooted by the </w:t>
      </w:r>
      <w:r w:rsidR="0099006C" w:rsidRPr="005E2B7F">
        <w:rPr>
          <w:rFonts w:ascii="Times New Roman" w:hAnsi="Times New Roman" w:cs="Times New Roman"/>
          <w:sz w:val="20"/>
          <w:szCs w:val="20"/>
        </w:rPr>
        <w:t>granting of RESA’s intervention petition</w:t>
      </w:r>
      <w:r w:rsidRPr="005E2B7F">
        <w:rPr>
          <w:rFonts w:ascii="Times New Roman" w:hAnsi="Times New Roman" w:cs="Times New Roman"/>
          <w:sz w:val="20"/>
          <w:szCs w:val="20"/>
        </w:rPr>
        <w:t>.</w:t>
      </w:r>
    </w:p>
    <w:p w:rsidR="00B15B2B" w:rsidRPr="005E2B7F" w:rsidRDefault="00B15B2B">
      <w:pPr>
        <w:pStyle w:val="FootnoteText"/>
      </w:pPr>
    </w:p>
  </w:footnote>
  <w:footnote w:id="3">
    <w:p w:rsidR="00292993" w:rsidRDefault="00292993" w:rsidP="00446694">
      <w:pPr>
        <w:pStyle w:val="FootnoteText"/>
        <w:ind w:firstLine="720"/>
        <w:rPr>
          <w:rFonts w:ascii="Times New Roman" w:hAnsi="Times New Roman" w:cs="Times New Roman"/>
          <w:sz w:val="20"/>
          <w:szCs w:val="20"/>
        </w:rPr>
      </w:pPr>
      <w:r w:rsidRPr="00446694">
        <w:rPr>
          <w:rStyle w:val="FootnoteReference"/>
          <w:rFonts w:ascii="Times New Roman" w:hAnsi="Times New Roman" w:cs="Times New Roman"/>
          <w:sz w:val="20"/>
          <w:szCs w:val="20"/>
        </w:rPr>
        <w:footnoteRef/>
      </w:r>
      <w:r w:rsidRPr="00446694">
        <w:rPr>
          <w:rFonts w:ascii="Times New Roman" w:hAnsi="Times New Roman" w:cs="Times New Roman"/>
          <w:sz w:val="20"/>
          <w:szCs w:val="20"/>
        </w:rPr>
        <w:t xml:space="preserve"> </w:t>
      </w:r>
      <w:r w:rsidRPr="00446694">
        <w:rPr>
          <w:rFonts w:ascii="Times New Roman" w:hAnsi="Times New Roman" w:cs="Times New Roman"/>
          <w:sz w:val="20"/>
          <w:szCs w:val="20"/>
        </w:rPr>
        <w:tab/>
        <w:t xml:space="preserve">Equitable Main Brief (M.B.), p. 18. </w:t>
      </w:r>
    </w:p>
    <w:p w:rsidR="00446694" w:rsidRPr="00446694" w:rsidRDefault="00446694" w:rsidP="00446694">
      <w:pPr>
        <w:pStyle w:val="FootnoteText"/>
        <w:ind w:firstLine="720"/>
        <w:rPr>
          <w:rFonts w:ascii="Times New Roman" w:hAnsi="Times New Roman" w:cs="Times New Roman"/>
          <w:sz w:val="20"/>
          <w:szCs w:val="20"/>
        </w:rPr>
      </w:pPr>
    </w:p>
  </w:footnote>
  <w:footnote w:id="4">
    <w:p w:rsidR="00292993" w:rsidRPr="00446694" w:rsidRDefault="00292993" w:rsidP="00446694">
      <w:pPr>
        <w:pStyle w:val="FootnoteText"/>
        <w:ind w:firstLine="720"/>
        <w:rPr>
          <w:rFonts w:ascii="Times New Roman" w:hAnsi="Times New Roman" w:cs="Times New Roman"/>
          <w:sz w:val="20"/>
          <w:szCs w:val="20"/>
        </w:rPr>
      </w:pPr>
      <w:r w:rsidRPr="00446694">
        <w:rPr>
          <w:rStyle w:val="FootnoteReference"/>
          <w:rFonts w:ascii="Times New Roman" w:hAnsi="Times New Roman" w:cs="Times New Roman"/>
          <w:sz w:val="20"/>
          <w:szCs w:val="20"/>
        </w:rPr>
        <w:footnoteRef/>
      </w:r>
      <w:r w:rsidRPr="00446694">
        <w:rPr>
          <w:rFonts w:ascii="Times New Roman" w:hAnsi="Times New Roman" w:cs="Times New Roman"/>
          <w:sz w:val="20"/>
          <w:szCs w:val="20"/>
        </w:rPr>
        <w:t xml:space="preserve"> </w:t>
      </w:r>
      <w:r w:rsidRPr="00446694">
        <w:rPr>
          <w:rFonts w:ascii="Times New Roman" w:hAnsi="Times New Roman" w:cs="Times New Roman"/>
          <w:sz w:val="20"/>
          <w:szCs w:val="20"/>
        </w:rPr>
        <w:tab/>
        <w:t>OCA M.B., pp</w:t>
      </w:r>
      <w:r w:rsidR="00446694">
        <w:rPr>
          <w:rFonts w:ascii="Times New Roman" w:hAnsi="Times New Roman" w:cs="Times New Roman"/>
          <w:sz w:val="20"/>
          <w:szCs w:val="20"/>
        </w:rPr>
        <w:t xml:space="preserve">. </w:t>
      </w:r>
      <w:r w:rsidRPr="00446694">
        <w:rPr>
          <w:rFonts w:ascii="Times New Roman" w:hAnsi="Times New Roman" w:cs="Times New Roman"/>
          <w:sz w:val="20"/>
          <w:szCs w:val="20"/>
        </w:rPr>
        <w:t>5-6; I&amp;E M.B.</w:t>
      </w:r>
      <w:r w:rsidR="00D75A98">
        <w:rPr>
          <w:rFonts w:ascii="Times New Roman" w:hAnsi="Times New Roman" w:cs="Times New Roman"/>
          <w:sz w:val="20"/>
          <w:szCs w:val="20"/>
        </w:rPr>
        <w:t>, pp.</w:t>
      </w:r>
      <w:r w:rsidRPr="00446694">
        <w:rPr>
          <w:rFonts w:ascii="Times New Roman" w:hAnsi="Times New Roman" w:cs="Times New Roman"/>
          <w:sz w:val="20"/>
          <w:szCs w:val="20"/>
        </w:rPr>
        <w:t xml:space="preserve"> 6, 14-15; OCA M.B.</w:t>
      </w:r>
      <w:r w:rsidR="007C7EB5">
        <w:rPr>
          <w:rFonts w:ascii="Times New Roman" w:hAnsi="Times New Roman" w:cs="Times New Roman"/>
          <w:sz w:val="20"/>
          <w:szCs w:val="20"/>
        </w:rPr>
        <w:t>,</w:t>
      </w:r>
      <w:r w:rsidRPr="00446694">
        <w:rPr>
          <w:rFonts w:ascii="Times New Roman" w:hAnsi="Times New Roman" w:cs="Times New Roman"/>
          <w:sz w:val="20"/>
          <w:szCs w:val="20"/>
        </w:rPr>
        <w:t xml:space="preserve"> p. 3; Reply Brief (R.B.), pp. 3, 6.   </w:t>
      </w:r>
    </w:p>
  </w:footnote>
  <w:footnote w:id="5">
    <w:p w:rsidR="00292993" w:rsidRDefault="00292993" w:rsidP="00292993">
      <w:pPr>
        <w:pStyle w:val="FootnoteText"/>
        <w:ind w:firstLine="720"/>
        <w:rPr>
          <w:rFonts w:ascii="Times New Roman" w:hAnsi="Times New Roman" w:cs="Times New Roman"/>
          <w:sz w:val="20"/>
          <w:szCs w:val="20"/>
        </w:rPr>
      </w:pPr>
      <w:r w:rsidRPr="00292993">
        <w:rPr>
          <w:rStyle w:val="FootnoteReference"/>
          <w:rFonts w:ascii="Times New Roman" w:hAnsi="Times New Roman" w:cs="Times New Roman"/>
          <w:sz w:val="20"/>
          <w:szCs w:val="20"/>
        </w:rPr>
        <w:footnoteRef/>
      </w:r>
      <w:r w:rsidRPr="00292993">
        <w:rPr>
          <w:rFonts w:ascii="Times New Roman" w:hAnsi="Times New Roman" w:cs="Times New Roman"/>
          <w:sz w:val="20"/>
          <w:szCs w:val="20"/>
        </w:rPr>
        <w:t xml:space="preserve"> </w:t>
      </w:r>
      <w:r w:rsidRPr="00292993">
        <w:rPr>
          <w:rFonts w:ascii="Times New Roman" w:hAnsi="Times New Roman" w:cs="Times New Roman"/>
          <w:sz w:val="20"/>
          <w:szCs w:val="20"/>
        </w:rPr>
        <w:tab/>
      </w:r>
      <w:proofErr w:type="gramStart"/>
      <w:r w:rsidRPr="00292993">
        <w:rPr>
          <w:rFonts w:ascii="Times New Roman" w:hAnsi="Times New Roman" w:cs="Times New Roman"/>
          <w:sz w:val="20"/>
          <w:szCs w:val="20"/>
        </w:rPr>
        <w:t>66 Pa. C.S. § 1308.</w:t>
      </w:r>
      <w:proofErr w:type="gramEnd"/>
    </w:p>
    <w:p w:rsidR="00292993" w:rsidRPr="00292993" w:rsidRDefault="00292993" w:rsidP="00292993">
      <w:pPr>
        <w:pStyle w:val="FootnoteText"/>
        <w:ind w:firstLine="720"/>
        <w:rPr>
          <w:rFonts w:ascii="Times New Roman" w:hAnsi="Times New Roman" w:cs="Times New Roman"/>
          <w:sz w:val="20"/>
          <w:szCs w:val="20"/>
        </w:rPr>
      </w:pPr>
    </w:p>
  </w:footnote>
  <w:footnote w:id="6">
    <w:p w:rsidR="00292993" w:rsidRDefault="00292993" w:rsidP="00292993">
      <w:pPr>
        <w:pStyle w:val="FootnoteText"/>
        <w:ind w:firstLine="720"/>
        <w:rPr>
          <w:rFonts w:ascii="Times New Roman" w:hAnsi="Times New Roman" w:cs="Times New Roman"/>
          <w:sz w:val="20"/>
          <w:szCs w:val="20"/>
        </w:rPr>
      </w:pPr>
      <w:r w:rsidRPr="00292993">
        <w:rPr>
          <w:rStyle w:val="FootnoteReference"/>
          <w:rFonts w:ascii="Times New Roman" w:hAnsi="Times New Roman" w:cs="Times New Roman"/>
          <w:sz w:val="20"/>
          <w:szCs w:val="20"/>
        </w:rPr>
        <w:footnoteRef/>
      </w:r>
      <w:r w:rsidRPr="00292993">
        <w:rPr>
          <w:rFonts w:ascii="Times New Roman" w:hAnsi="Times New Roman" w:cs="Times New Roman"/>
          <w:sz w:val="20"/>
          <w:szCs w:val="20"/>
        </w:rPr>
        <w:t xml:space="preserve"> </w:t>
      </w:r>
      <w:r w:rsidRPr="00292993">
        <w:rPr>
          <w:rFonts w:ascii="Times New Roman" w:hAnsi="Times New Roman" w:cs="Times New Roman"/>
          <w:sz w:val="20"/>
          <w:szCs w:val="20"/>
        </w:rPr>
        <w:tab/>
      </w:r>
      <w:proofErr w:type="gramStart"/>
      <w:r w:rsidRPr="00292993">
        <w:rPr>
          <w:rFonts w:ascii="Times New Roman" w:hAnsi="Times New Roman" w:cs="Times New Roman"/>
          <w:sz w:val="20"/>
          <w:szCs w:val="20"/>
        </w:rPr>
        <w:t>66 Pa. C.S. § 1308(b).</w:t>
      </w:r>
      <w:proofErr w:type="gramEnd"/>
    </w:p>
    <w:p w:rsidR="00292993" w:rsidRPr="00292993" w:rsidRDefault="00292993" w:rsidP="00292993">
      <w:pPr>
        <w:pStyle w:val="FootnoteText"/>
        <w:ind w:firstLine="720"/>
        <w:rPr>
          <w:rFonts w:ascii="Times New Roman" w:hAnsi="Times New Roman" w:cs="Times New Roman"/>
          <w:sz w:val="20"/>
          <w:szCs w:val="20"/>
        </w:rPr>
      </w:pPr>
    </w:p>
  </w:footnote>
  <w:footnote w:id="7">
    <w:p w:rsidR="00292993" w:rsidRDefault="00292993" w:rsidP="00292993">
      <w:pPr>
        <w:pStyle w:val="FootnoteText"/>
        <w:ind w:firstLine="720"/>
        <w:rPr>
          <w:rFonts w:ascii="Times New Roman" w:hAnsi="Times New Roman" w:cs="Times New Roman"/>
          <w:sz w:val="20"/>
          <w:szCs w:val="20"/>
        </w:rPr>
      </w:pPr>
      <w:r w:rsidRPr="00292993">
        <w:rPr>
          <w:rStyle w:val="FootnoteReference"/>
          <w:rFonts w:ascii="Times New Roman" w:hAnsi="Times New Roman" w:cs="Times New Roman"/>
          <w:sz w:val="20"/>
          <w:szCs w:val="20"/>
        </w:rPr>
        <w:footnoteRef/>
      </w:r>
      <w:r w:rsidRPr="00292993">
        <w:rPr>
          <w:rFonts w:ascii="Times New Roman" w:hAnsi="Times New Roman" w:cs="Times New Roman"/>
          <w:sz w:val="20"/>
          <w:szCs w:val="20"/>
        </w:rPr>
        <w:t xml:space="preserve"> </w:t>
      </w:r>
      <w:r w:rsidRPr="00292993">
        <w:rPr>
          <w:rFonts w:ascii="Times New Roman" w:hAnsi="Times New Roman" w:cs="Times New Roman"/>
          <w:sz w:val="20"/>
          <w:szCs w:val="20"/>
        </w:rPr>
        <w:tab/>
      </w:r>
      <w:proofErr w:type="gramStart"/>
      <w:r w:rsidRPr="00292993">
        <w:rPr>
          <w:rFonts w:ascii="Times New Roman" w:hAnsi="Times New Roman" w:cs="Times New Roman"/>
          <w:sz w:val="20"/>
          <w:szCs w:val="20"/>
        </w:rPr>
        <w:t>66 Pa. C.S. § 1308(d).</w:t>
      </w:r>
      <w:proofErr w:type="gramEnd"/>
    </w:p>
    <w:p w:rsidR="0007581E" w:rsidRPr="00292993" w:rsidRDefault="0007581E" w:rsidP="00292993">
      <w:pPr>
        <w:pStyle w:val="FootnoteText"/>
        <w:ind w:firstLine="720"/>
        <w:rPr>
          <w:rFonts w:ascii="Times New Roman" w:hAnsi="Times New Roman" w:cs="Times New Roman"/>
          <w:sz w:val="20"/>
          <w:szCs w:val="20"/>
        </w:rPr>
      </w:pPr>
    </w:p>
  </w:footnote>
  <w:footnote w:id="8">
    <w:p w:rsidR="00292993" w:rsidRDefault="00292993" w:rsidP="00292993">
      <w:pPr>
        <w:pStyle w:val="FootnoteText"/>
        <w:ind w:firstLine="720"/>
        <w:rPr>
          <w:rFonts w:ascii="Times New Roman" w:hAnsi="Times New Roman" w:cs="Times New Roman"/>
          <w:sz w:val="20"/>
          <w:szCs w:val="20"/>
        </w:rPr>
      </w:pPr>
      <w:r w:rsidRPr="00292993">
        <w:rPr>
          <w:rStyle w:val="FootnoteReference"/>
          <w:rFonts w:ascii="Times New Roman" w:hAnsi="Times New Roman" w:cs="Times New Roman"/>
          <w:sz w:val="20"/>
          <w:szCs w:val="20"/>
        </w:rPr>
        <w:footnoteRef/>
      </w:r>
      <w:r w:rsidRPr="00292993">
        <w:rPr>
          <w:rFonts w:ascii="Times New Roman" w:hAnsi="Times New Roman" w:cs="Times New Roman"/>
          <w:sz w:val="20"/>
          <w:szCs w:val="20"/>
        </w:rPr>
        <w:t xml:space="preserve"> </w:t>
      </w:r>
      <w:r w:rsidRPr="00292993">
        <w:rPr>
          <w:rFonts w:ascii="Times New Roman" w:hAnsi="Times New Roman" w:cs="Times New Roman"/>
          <w:sz w:val="20"/>
          <w:szCs w:val="20"/>
        </w:rPr>
        <w:tab/>
        <w:t>Equitable Statement No. 1 (EQ. St.), p.</w:t>
      </w:r>
      <w:r>
        <w:rPr>
          <w:rFonts w:ascii="Times New Roman" w:hAnsi="Times New Roman" w:cs="Times New Roman"/>
          <w:sz w:val="20"/>
          <w:szCs w:val="20"/>
        </w:rPr>
        <w:t xml:space="preserve"> </w:t>
      </w:r>
      <w:r w:rsidRPr="00292993">
        <w:rPr>
          <w:rFonts w:ascii="Times New Roman" w:hAnsi="Times New Roman" w:cs="Times New Roman"/>
          <w:sz w:val="20"/>
          <w:szCs w:val="20"/>
        </w:rPr>
        <w:t>4.</w:t>
      </w:r>
    </w:p>
    <w:p w:rsidR="00292993" w:rsidRPr="00292993" w:rsidRDefault="00292993" w:rsidP="00292993">
      <w:pPr>
        <w:pStyle w:val="FootnoteText"/>
        <w:ind w:firstLine="720"/>
        <w:rPr>
          <w:rFonts w:ascii="Times New Roman" w:hAnsi="Times New Roman" w:cs="Times New Roman"/>
          <w:sz w:val="20"/>
          <w:szCs w:val="20"/>
        </w:rPr>
      </w:pPr>
    </w:p>
  </w:footnote>
  <w:footnote w:id="9">
    <w:p w:rsidR="00292993" w:rsidRPr="00292993" w:rsidRDefault="00292993" w:rsidP="00292993">
      <w:pPr>
        <w:pStyle w:val="FootnoteText"/>
        <w:ind w:firstLine="720"/>
        <w:rPr>
          <w:rFonts w:ascii="Times New Roman" w:hAnsi="Times New Roman" w:cs="Times New Roman"/>
          <w:sz w:val="20"/>
          <w:szCs w:val="20"/>
        </w:rPr>
      </w:pPr>
      <w:r w:rsidRPr="00292993">
        <w:rPr>
          <w:rStyle w:val="FootnoteReference"/>
          <w:rFonts w:ascii="Times New Roman" w:hAnsi="Times New Roman" w:cs="Times New Roman"/>
          <w:sz w:val="20"/>
          <w:szCs w:val="20"/>
        </w:rPr>
        <w:footnoteRef/>
      </w:r>
      <w:r w:rsidRPr="00292993">
        <w:rPr>
          <w:rFonts w:ascii="Times New Roman" w:hAnsi="Times New Roman" w:cs="Times New Roman"/>
          <w:sz w:val="20"/>
          <w:szCs w:val="20"/>
        </w:rPr>
        <w:t xml:space="preserve"> </w:t>
      </w:r>
      <w:r w:rsidRPr="00292993">
        <w:rPr>
          <w:rFonts w:ascii="Times New Roman" w:hAnsi="Times New Roman" w:cs="Times New Roman"/>
          <w:sz w:val="20"/>
          <w:szCs w:val="20"/>
        </w:rPr>
        <w:tab/>
      </w:r>
      <w:r w:rsidRPr="00D75A98">
        <w:rPr>
          <w:rFonts w:ascii="Times New Roman" w:hAnsi="Times New Roman" w:cs="Times New Roman"/>
          <w:i/>
          <w:sz w:val="20"/>
          <w:szCs w:val="20"/>
        </w:rPr>
        <w:t>Id</w:t>
      </w:r>
      <w:r w:rsidRPr="00292993">
        <w:rPr>
          <w:rFonts w:ascii="Times New Roman" w:hAnsi="Times New Roman" w:cs="Times New Roman"/>
          <w:sz w:val="20"/>
          <w:szCs w:val="20"/>
        </w:rPr>
        <w:t>.</w:t>
      </w:r>
      <w:r w:rsidR="00863C99">
        <w:rPr>
          <w:rFonts w:ascii="Times New Roman" w:hAnsi="Times New Roman" w:cs="Times New Roman"/>
          <w:sz w:val="20"/>
          <w:szCs w:val="20"/>
        </w:rPr>
        <w:t>,</w:t>
      </w:r>
      <w:r w:rsidRPr="00292993">
        <w:rPr>
          <w:rFonts w:ascii="Times New Roman" w:hAnsi="Times New Roman" w:cs="Times New Roman"/>
          <w:sz w:val="20"/>
          <w:szCs w:val="20"/>
        </w:rPr>
        <w:t xml:space="preserve"> p.</w:t>
      </w:r>
      <w:r w:rsidR="00D75A98">
        <w:rPr>
          <w:rFonts w:ascii="Times New Roman" w:hAnsi="Times New Roman" w:cs="Times New Roman"/>
          <w:sz w:val="20"/>
          <w:szCs w:val="20"/>
        </w:rPr>
        <w:t xml:space="preserve"> </w:t>
      </w:r>
      <w:r w:rsidRPr="00292993">
        <w:rPr>
          <w:rFonts w:ascii="Times New Roman" w:hAnsi="Times New Roman" w:cs="Times New Roman"/>
          <w:sz w:val="20"/>
          <w:szCs w:val="20"/>
        </w:rPr>
        <w:t>5.</w:t>
      </w:r>
    </w:p>
  </w:footnote>
  <w:footnote w:id="10">
    <w:p w:rsidR="00652058" w:rsidRPr="00652058" w:rsidRDefault="00652058" w:rsidP="00652058">
      <w:pPr>
        <w:pStyle w:val="FootnoteText"/>
        <w:ind w:firstLine="720"/>
        <w:rPr>
          <w:rFonts w:ascii="Times New Roman" w:hAnsi="Times New Roman" w:cs="Times New Roman"/>
          <w:sz w:val="20"/>
          <w:szCs w:val="20"/>
        </w:rPr>
      </w:pPr>
      <w:r w:rsidRPr="00652058">
        <w:rPr>
          <w:rStyle w:val="FootnoteReference"/>
          <w:rFonts w:ascii="Times New Roman" w:hAnsi="Times New Roman" w:cs="Times New Roman"/>
          <w:sz w:val="20"/>
          <w:szCs w:val="20"/>
        </w:rPr>
        <w:footnoteRef/>
      </w:r>
      <w:r w:rsidRPr="00652058">
        <w:rPr>
          <w:rFonts w:ascii="Times New Roman" w:hAnsi="Times New Roman" w:cs="Times New Roman"/>
          <w:sz w:val="20"/>
          <w:szCs w:val="20"/>
        </w:rPr>
        <w:t xml:space="preserve"> </w:t>
      </w:r>
      <w:r w:rsidRPr="00652058">
        <w:rPr>
          <w:rFonts w:ascii="Times New Roman" w:hAnsi="Times New Roman" w:cs="Times New Roman"/>
          <w:sz w:val="20"/>
          <w:szCs w:val="20"/>
        </w:rPr>
        <w:tab/>
        <w:t xml:space="preserve">Mr. Miller is an economist specializing in the field of utility regulation industrial organization, and public policy towards business. </w:t>
      </w:r>
      <w:r w:rsidR="006B1BF2">
        <w:rPr>
          <w:rFonts w:ascii="Times New Roman" w:hAnsi="Times New Roman" w:cs="Times New Roman"/>
          <w:sz w:val="20"/>
          <w:szCs w:val="20"/>
        </w:rPr>
        <w:t xml:space="preserve"> </w:t>
      </w:r>
      <w:r w:rsidRPr="00652058">
        <w:rPr>
          <w:rFonts w:ascii="Times New Roman" w:hAnsi="Times New Roman" w:cs="Times New Roman"/>
          <w:sz w:val="20"/>
          <w:szCs w:val="20"/>
        </w:rPr>
        <w:t>He has forty years of experience in the public utility industry.  OCA Statement (St.) No. 1, p. 1.</w:t>
      </w:r>
    </w:p>
    <w:p w:rsidR="00652058" w:rsidRPr="00652058" w:rsidRDefault="00652058" w:rsidP="00652058">
      <w:pPr>
        <w:pStyle w:val="FootnoteText"/>
        <w:ind w:firstLine="720"/>
        <w:rPr>
          <w:rFonts w:ascii="Times New Roman" w:hAnsi="Times New Roman" w:cs="Times New Roman"/>
          <w:sz w:val="20"/>
          <w:szCs w:val="20"/>
        </w:rPr>
      </w:pPr>
    </w:p>
  </w:footnote>
  <w:footnote w:id="11">
    <w:p w:rsidR="00652058" w:rsidRPr="00652058" w:rsidRDefault="00652058" w:rsidP="00652058">
      <w:pPr>
        <w:pStyle w:val="FootnoteText"/>
        <w:ind w:firstLine="720"/>
        <w:rPr>
          <w:rFonts w:ascii="Times New Roman" w:hAnsi="Times New Roman" w:cs="Times New Roman"/>
          <w:sz w:val="20"/>
          <w:szCs w:val="20"/>
        </w:rPr>
      </w:pPr>
      <w:r w:rsidRPr="00652058">
        <w:rPr>
          <w:rStyle w:val="FootnoteReference"/>
          <w:rFonts w:ascii="Times New Roman" w:hAnsi="Times New Roman" w:cs="Times New Roman"/>
          <w:sz w:val="20"/>
          <w:szCs w:val="20"/>
        </w:rPr>
        <w:footnoteRef/>
      </w:r>
      <w:r w:rsidRPr="00652058">
        <w:rPr>
          <w:rFonts w:ascii="Times New Roman" w:hAnsi="Times New Roman" w:cs="Times New Roman"/>
          <w:sz w:val="20"/>
          <w:szCs w:val="20"/>
        </w:rPr>
        <w:t xml:space="preserve"> </w:t>
      </w:r>
      <w:r w:rsidRPr="00652058">
        <w:rPr>
          <w:rFonts w:ascii="Times New Roman" w:hAnsi="Times New Roman" w:cs="Times New Roman"/>
          <w:sz w:val="20"/>
          <w:szCs w:val="20"/>
        </w:rPr>
        <w:tab/>
      </w:r>
      <w:r w:rsidRPr="00652058">
        <w:rPr>
          <w:rFonts w:ascii="Times New Roman" w:hAnsi="Times New Roman" w:cs="Times New Roman"/>
          <w:i/>
          <w:sz w:val="20"/>
          <w:szCs w:val="20"/>
        </w:rPr>
        <w:t>Id</w:t>
      </w:r>
      <w:r w:rsidRPr="00652058">
        <w:rPr>
          <w:rFonts w:ascii="Times New Roman" w:hAnsi="Times New Roman" w:cs="Times New Roman"/>
          <w:sz w:val="20"/>
          <w:szCs w:val="20"/>
        </w:rPr>
        <w:t>., p. 7.</w:t>
      </w:r>
    </w:p>
  </w:footnote>
  <w:footnote w:id="12">
    <w:p w:rsidR="00652058" w:rsidRPr="00CD1874" w:rsidRDefault="00652058" w:rsidP="008B44F8">
      <w:pPr>
        <w:pStyle w:val="FootnoteText"/>
        <w:ind w:firstLine="720"/>
        <w:rPr>
          <w:sz w:val="20"/>
          <w:szCs w:val="20"/>
        </w:rPr>
      </w:pPr>
      <w:r>
        <w:rPr>
          <w:rStyle w:val="FootnoteReference"/>
        </w:rPr>
        <w:footnoteRef/>
      </w:r>
      <w:r>
        <w:t xml:space="preserve"> </w:t>
      </w:r>
      <w:r>
        <w:tab/>
      </w:r>
      <w:r w:rsidRPr="00CD1874">
        <w:rPr>
          <w:sz w:val="20"/>
          <w:szCs w:val="20"/>
        </w:rPr>
        <w:t>A</w:t>
      </w:r>
      <w:r>
        <w:rPr>
          <w:sz w:val="20"/>
          <w:szCs w:val="20"/>
        </w:rPr>
        <w:t>s noted in the Findings</w:t>
      </w:r>
      <w:r w:rsidR="00862547">
        <w:rPr>
          <w:sz w:val="20"/>
          <w:szCs w:val="20"/>
        </w:rPr>
        <w:t xml:space="preserve"> </w:t>
      </w:r>
      <w:r>
        <w:rPr>
          <w:sz w:val="20"/>
          <w:szCs w:val="20"/>
        </w:rPr>
        <w:t>of Fact No.</w:t>
      </w:r>
      <w:r w:rsidR="003255AD">
        <w:rPr>
          <w:sz w:val="20"/>
          <w:szCs w:val="20"/>
        </w:rPr>
        <w:t xml:space="preserve"> </w:t>
      </w:r>
      <w:r>
        <w:rPr>
          <w:sz w:val="20"/>
          <w:szCs w:val="20"/>
        </w:rPr>
        <w:t>14 above, Dominion</w:t>
      </w:r>
      <w:r w:rsidRPr="00CD1874">
        <w:rPr>
          <w:sz w:val="20"/>
          <w:szCs w:val="20"/>
        </w:rPr>
        <w:t xml:space="preserve"> opposed </w:t>
      </w:r>
      <w:proofErr w:type="spellStart"/>
      <w:r w:rsidRPr="00CD1874">
        <w:rPr>
          <w:sz w:val="20"/>
          <w:szCs w:val="20"/>
        </w:rPr>
        <w:t>Equitable’s</w:t>
      </w:r>
      <w:proofErr w:type="spellEnd"/>
      <w:r w:rsidRPr="00CD1874">
        <w:rPr>
          <w:sz w:val="20"/>
          <w:szCs w:val="20"/>
        </w:rPr>
        <w:t xml:space="preserve"> proposed supplements. </w:t>
      </w:r>
      <w:r w:rsidR="00862547">
        <w:rPr>
          <w:sz w:val="20"/>
          <w:szCs w:val="20"/>
        </w:rPr>
        <w:t xml:space="preserve"> </w:t>
      </w:r>
      <w:r w:rsidRPr="00CD1874">
        <w:rPr>
          <w:sz w:val="20"/>
          <w:szCs w:val="20"/>
        </w:rPr>
        <w:t xml:space="preserve">Because of my above recommendation, </w:t>
      </w:r>
      <w:r>
        <w:rPr>
          <w:sz w:val="20"/>
          <w:szCs w:val="20"/>
        </w:rPr>
        <w:t>Dominion</w:t>
      </w:r>
      <w:r w:rsidRPr="00CD1874">
        <w:rPr>
          <w:sz w:val="20"/>
          <w:szCs w:val="20"/>
        </w:rPr>
        <w:t>’s position is not address</w:t>
      </w:r>
      <w:r w:rsidR="003255AD">
        <w:rPr>
          <w:sz w:val="20"/>
          <w:szCs w:val="20"/>
        </w:rPr>
        <w:t>ed</w:t>
      </w:r>
      <w:r w:rsidRPr="00CD1874">
        <w:rPr>
          <w:sz w:val="20"/>
          <w:szCs w:val="20"/>
        </w:rPr>
        <w:t xml:space="preserve">. </w:t>
      </w:r>
      <w:r w:rsidR="00862547">
        <w:rPr>
          <w:sz w:val="20"/>
          <w:szCs w:val="20"/>
        </w:rPr>
        <w:t xml:space="preserve"> </w:t>
      </w:r>
      <w:r>
        <w:rPr>
          <w:sz w:val="20"/>
          <w:szCs w:val="20"/>
        </w:rPr>
        <w:t xml:space="preserve">Also RESA’s participation in this proceeding was limited to </w:t>
      </w:r>
      <w:proofErr w:type="spellStart"/>
      <w:r>
        <w:rPr>
          <w:sz w:val="20"/>
          <w:szCs w:val="20"/>
        </w:rPr>
        <w:t>Equitable’s</w:t>
      </w:r>
      <w:proofErr w:type="spellEnd"/>
      <w:r>
        <w:rPr>
          <w:sz w:val="20"/>
          <w:szCs w:val="20"/>
        </w:rPr>
        <w:t xml:space="preserve"> proposed Purchase of Receivables program, which is discussed below. </w:t>
      </w:r>
      <w:r w:rsidRPr="00CD1874">
        <w:rPr>
          <w:sz w:val="20"/>
          <w:szCs w:val="20"/>
        </w:rPr>
        <w:t xml:space="preserve"> </w:t>
      </w:r>
    </w:p>
    <w:p w:rsidR="00652058" w:rsidRDefault="00652058" w:rsidP="00652058">
      <w:pPr>
        <w:pStyle w:val="FootnoteText"/>
      </w:pPr>
    </w:p>
  </w:footnote>
  <w:footnote w:id="13">
    <w:p w:rsidR="00E21914" w:rsidRDefault="00E21914" w:rsidP="00E21914">
      <w:pPr>
        <w:pStyle w:val="FootnoteText"/>
        <w:ind w:firstLine="720"/>
        <w:rPr>
          <w:rFonts w:ascii="Times New Roman" w:hAnsi="Times New Roman" w:cs="Times New Roman"/>
          <w:sz w:val="20"/>
          <w:szCs w:val="20"/>
        </w:rPr>
      </w:pPr>
      <w:r w:rsidRPr="00E21914">
        <w:rPr>
          <w:rStyle w:val="FootnoteReference"/>
          <w:rFonts w:ascii="Times New Roman" w:hAnsi="Times New Roman" w:cs="Times New Roman"/>
          <w:sz w:val="20"/>
          <w:szCs w:val="20"/>
        </w:rPr>
        <w:footnoteRef/>
      </w:r>
      <w:r w:rsidRPr="00E21914">
        <w:rPr>
          <w:rFonts w:ascii="Times New Roman" w:hAnsi="Times New Roman" w:cs="Times New Roman"/>
          <w:sz w:val="20"/>
          <w:szCs w:val="20"/>
        </w:rPr>
        <w:t xml:space="preserve"> </w:t>
      </w:r>
      <w:r w:rsidRPr="00E21914">
        <w:rPr>
          <w:rFonts w:ascii="Times New Roman" w:hAnsi="Times New Roman" w:cs="Times New Roman"/>
          <w:sz w:val="20"/>
          <w:szCs w:val="20"/>
        </w:rPr>
        <w:tab/>
        <w:t>Equitable St. No. 2, p. 2.</w:t>
      </w:r>
    </w:p>
    <w:p w:rsidR="00E21914" w:rsidRPr="00E21914" w:rsidRDefault="00E21914" w:rsidP="00E21914">
      <w:pPr>
        <w:pStyle w:val="FootnoteText"/>
        <w:ind w:firstLine="720"/>
        <w:rPr>
          <w:rFonts w:ascii="Times New Roman" w:hAnsi="Times New Roman" w:cs="Times New Roman"/>
          <w:sz w:val="20"/>
          <w:szCs w:val="20"/>
        </w:rPr>
      </w:pPr>
    </w:p>
  </w:footnote>
  <w:footnote w:id="14">
    <w:p w:rsidR="00E21914" w:rsidRDefault="00E21914" w:rsidP="00E21914">
      <w:pPr>
        <w:pStyle w:val="FootnoteText"/>
        <w:ind w:firstLine="720"/>
        <w:rPr>
          <w:rFonts w:ascii="Times New Roman" w:hAnsi="Times New Roman" w:cs="Times New Roman"/>
          <w:sz w:val="20"/>
          <w:szCs w:val="20"/>
        </w:rPr>
      </w:pPr>
      <w:r w:rsidRPr="00E21914">
        <w:rPr>
          <w:rStyle w:val="FootnoteReference"/>
          <w:rFonts w:ascii="Times New Roman" w:hAnsi="Times New Roman" w:cs="Times New Roman"/>
          <w:sz w:val="20"/>
          <w:szCs w:val="20"/>
        </w:rPr>
        <w:footnoteRef/>
      </w:r>
      <w:r w:rsidRPr="00E21914">
        <w:rPr>
          <w:rFonts w:ascii="Times New Roman" w:hAnsi="Times New Roman" w:cs="Times New Roman"/>
          <w:sz w:val="20"/>
          <w:szCs w:val="20"/>
        </w:rPr>
        <w:t xml:space="preserve"> </w:t>
      </w:r>
      <w:r w:rsidRPr="00E21914">
        <w:rPr>
          <w:rFonts w:ascii="Times New Roman" w:hAnsi="Times New Roman" w:cs="Times New Roman"/>
          <w:sz w:val="20"/>
          <w:szCs w:val="20"/>
        </w:rPr>
        <w:tab/>
      </w:r>
      <w:r w:rsidRPr="00E21914">
        <w:rPr>
          <w:rFonts w:ascii="Times New Roman" w:hAnsi="Times New Roman" w:cs="Times New Roman"/>
          <w:i/>
          <w:sz w:val="20"/>
          <w:szCs w:val="20"/>
        </w:rPr>
        <w:t>Id</w:t>
      </w:r>
      <w:r w:rsidRPr="00E21914">
        <w:rPr>
          <w:rFonts w:ascii="Times New Roman" w:hAnsi="Times New Roman" w:cs="Times New Roman"/>
          <w:sz w:val="20"/>
          <w:szCs w:val="20"/>
        </w:rPr>
        <w:t>., p. 4.</w:t>
      </w:r>
    </w:p>
    <w:p w:rsidR="00B07E08" w:rsidRPr="00E21914" w:rsidRDefault="00B07E08" w:rsidP="00E21914">
      <w:pPr>
        <w:pStyle w:val="FootnoteText"/>
        <w:ind w:firstLine="720"/>
        <w:rPr>
          <w:rFonts w:ascii="Times New Roman" w:hAnsi="Times New Roman" w:cs="Times New Roman"/>
          <w:sz w:val="20"/>
          <w:szCs w:val="20"/>
        </w:rPr>
      </w:pPr>
    </w:p>
  </w:footnote>
  <w:footnote w:id="15">
    <w:p w:rsidR="00E21914" w:rsidRDefault="00E21914" w:rsidP="00E21914">
      <w:pPr>
        <w:pStyle w:val="FootnoteText"/>
        <w:ind w:firstLine="720"/>
        <w:rPr>
          <w:rFonts w:ascii="Times New Roman" w:hAnsi="Times New Roman" w:cs="Times New Roman"/>
          <w:sz w:val="20"/>
          <w:szCs w:val="20"/>
        </w:rPr>
      </w:pPr>
      <w:r w:rsidRPr="00E21914">
        <w:rPr>
          <w:rStyle w:val="FootnoteReference"/>
          <w:rFonts w:ascii="Times New Roman" w:hAnsi="Times New Roman" w:cs="Times New Roman"/>
          <w:sz w:val="20"/>
          <w:szCs w:val="20"/>
        </w:rPr>
        <w:footnoteRef/>
      </w:r>
      <w:r w:rsidRPr="00E21914">
        <w:rPr>
          <w:rFonts w:ascii="Times New Roman" w:hAnsi="Times New Roman" w:cs="Times New Roman"/>
          <w:sz w:val="20"/>
          <w:szCs w:val="20"/>
        </w:rPr>
        <w:t xml:space="preserve"> </w:t>
      </w:r>
      <w:r w:rsidRPr="00E21914">
        <w:rPr>
          <w:rFonts w:ascii="Times New Roman" w:hAnsi="Times New Roman" w:cs="Times New Roman"/>
          <w:sz w:val="20"/>
          <w:szCs w:val="20"/>
        </w:rPr>
        <w:tab/>
      </w:r>
      <w:r w:rsidRPr="00E21914">
        <w:rPr>
          <w:rFonts w:ascii="Times New Roman" w:hAnsi="Times New Roman" w:cs="Times New Roman"/>
          <w:i/>
          <w:sz w:val="20"/>
          <w:szCs w:val="20"/>
        </w:rPr>
        <w:t>Id</w:t>
      </w:r>
      <w:r w:rsidRPr="00E21914">
        <w:rPr>
          <w:rFonts w:ascii="Times New Roman" w:hAnsi="Times New Roman" w:cs="Times New Roman"/>
          <w:sz w:val="20"/>
          <w:szCs w:val="20"/>
        </w:rPr>
        <w:t>., p. 7.</w:t>
      </w:r>
    </w:p>
    <w:p w:rsidR="00E21914" w:rsidRPr="00E21914" w:rsidRDefault="00E21914" w:rsidP="00E21914">
      <w:pPr>
        <w:pStyle w:val="FootnoteText"/>
        <w:ind w:firstLine="720"/>
        <w:rPr>
          <w:rFonts w:ascii="Times New Roman" w:hAnsi="Times New Roman" w:cs="Times New Roman"/>
          <w:sz w:val="20"/>
          <w:szCs w:val="20"/>
        </w:rPr>
      </w:pPr>
    </w:p>
  </w:footnote>
  <w:footnote w:id="16">
    <w:p w:rsidR="00E21914" w:rsidRPr="00E21914" w:rsidRDefault="00E21914" w:rsidP="00E21914">
      <w:pPr>
        <w:pStyle w:val="FootnoteText"/>
        <w:ind w:firstLine="720"/>
        <w:rPr>
          <w:rFonts w:ascii="Times New Roman" w:hAnsi="Times New Roman" w:cs="Times New Roman"/>
          <w:sz w:val="20"/>
          <w:szCs w:val="20"/>
        </w:rPr>
      </w:pPr>
      <w:r w:rsidRPr="00E21914">
        <w:rPr>
          <w:rStyle w:val="FootnoteReference"/>
          <w:rFonts w:ascii="Times New Roman" w:hAnsi="Times New Roman" w:cs="Times New Roman"/>
          <w:sz w:val="20"/>
          <w:szCs w:val="20"/>
        </w:rPr>
        <w:footnoteRef/>
      </w:r>
      <w:r w:rsidRPr="00E21914">
        <w:rPr>
          <w:rFonts w:ascii="Times New Roman" w:hAnsi="Times New Roman" w:cs="Times New Roman"/>
          <w:sz w:val="20"/>
          <w:szCs w:val="20"/>
        </w:rPr>
        <w:t xml:space="preserve"> </w:t>
      </w:r>
      <w:r w:rsidRPr="00E21914">
        <w:rPr>
          <w:rFonts w:ascii="Times New Roman" w:hAnsi="Times New Roman" w:cs="Times New Roman"/>
          <w:sz w:val="20"/>
          <w:szCs w:val="20"/>
        </w:rPr>
        <w:tab/>
        <w:t>OCA St. No</w:t>
      </w:r>
      <w:r w:rsidR="00615A0B">
        <w:rPr>
          <w:rFonts w:ascii="Times New Roman" w:hAnsi="Times New Roman" w:cs="Times New Roman"/>
          <w:sz w:val="20"/>
          <w:szCs w:val="20"/>
        </w:rPr>
        <w:t>s</w:t>
      </w:r>
      <w:r w:rsidRPr="00E21914">
        <w:rPr>
          <w:rFonts w:ascii="Times New Roman" w:hAnsi="Times New Roman" w:cs="Times New Roman"/>
          <w:sz w:val="20"/>
          <w:szCs w:val="20"/>
        </w:rPr>
        <w:t>. 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2BB796E"/>
    <w:multiLevelType w:val="hybridMultilevel"/>
    <w:tmpl w:val="F4FE7C6E"/>
    <w:lvl w:ilvl="0" w:tplc="147087BE">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30D1F81"/>
    <w:multiLevelType w:val="hybridMultilevel"/>
    <w:tmpl w:val="F2D2E6E0"/>
    <w:lvl w:ilvl="0" w:tplc="AFC80D26">
      <w:start w:val="1"/>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57275"/>
    <w:multiLevelType w:val="hybridMultilevel"/>
    <w:tmpl w:val="BB90323E"/>
    <w:lvl w:ilvl="0" w:tplc="3172564A">
      <w:start w:val="3"/>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188F6D75"/>
    <w:multiLevelType w:val="hybridMultilevel"/>
    <w:tmpl w:val="ABBA6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2D7265"/>
    <w:multiLevelType w:val="hybridMultilevel"/>
    <w:tmpl w:val="7BA4C502"/>
    <w:lvl w:ilvl="0" w:tplc="D604D0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90D048C"/>
    <w:multiLevelType w:val="hybridMultilevel"/>
    <w:tmpl w:val="624ED800"/>
    <w:lvl w:ilvl="0" w:tplc="B7A6E290">
      <w:start w:val="1"/>
      <w:numFmt w:val="decimal"/>
      <w:lvlText w:val="%1."/>
      <w:lvlJc w:val="left"/>
      <w:pPr>
        <w:ind w:left="1080" w:hanging="360"/>
      </w:pPr>
      <w:rPr>
        <w:rFonts w:ascii="CG Times" w:hAnsi="CG Times" w:cs="CG Time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965EE8"/>
    <w:multiLevelType w:val="hybridMultilevel"/>
    <w:tmpl w:val="67B027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BF7B15"/>
    <w:multiLevelType w:val="hybridMultilevel"/>
    <w:tmpl w:val="B9186036"/>
    <w:lvl w:ilvl="0" w:tplc="14FED0A4">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11">
    <w:nsid w:val="6B79425E"/>
    <w:multiLevelType w:val="hybridMultilevel"/>
    <w:tmpl w:val="AFF4D174"/>
    <w:lvl w:ilvl="0" w:tplc="7E44719E">
      <w:start w:val="1"/>
      <w:numFmt w:val="decimal"/>
      <w:lvlText w:val="%1."/>
      <w:lvlJc w:val="left"/>
      <w:pPr>
        <w:tabs>
          <w:tab w:val="num" w:pos="2016"/>
        </w:tabs>
        <w:ind w:left="2016" w:hanging="1296"/>
      </w:pPr>
      <w:rPr>
        <w:rFonts w:ascii="Times New Roman" w:hAnsi="Times New Roman" w:cs="Times New Roman" w:hint="default"/>
        <w:b w:val="0"/>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3EF76BB"/>
    <w:multiLevelType w:val="hybridMultilevel"/>
    <w:tmpl w:val="48762D92"/>
    <w:lvl w:ilvl="0" w:tplc="44CCC702">
      <w:start w:val="1"/>
      <w:numFmt w:val="decimal"/>
      <w:lvlText w:val="%1."/>
      <w:lvlJc w:val="left"/>
      <w:pPr>
        <w:ind w:left="2520" w:hanging="360"/>
      </w:pPr>
      <w:rPr>
        <w:rFonts w:eastAsia="Time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74EA01F7"/>
    <w:multiLevelType w:val="hybridMultilevel"/>
    <w:tmpl w:val="0DBAE7DA"/>
    <w:lvl w:ilvl="0" w:tplc="04090015">
      <w:start w:val="1"/>
      <w:numFmt w:val="upperLetter"/>
      <w:lvlText w:val="%1."/>
      <w:lvlJc w:val="left"/>
      <w:pPr>
        <w:ind w:left="810" w:hanging="360"/>
      </w:pPr>
      <w:rPr>
        <w:rFonts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0"/>
  </w:num>
  <w:num w:numId="2">
    <w:abstractNumId w:val="1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1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1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1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1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7">
    <w:abstractNumId w:val="5"/>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3"/>
  </w:num>
  <w:num w:numId="14">
    <w:abstractNumId w:val="7"/>
  </w:num>
  <w:num w:numId="15">
    <w:abstractNumId w:val="2"/>
  </w:num>
  <w:num w:numId="16">
    <w:abstractNumId w:val="12"/>
  </w:num>
  <w:num w:numId="1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05E31"/>
    <w:rsid w:val="00006CC2"/>
    <w:rsid w:val="00012704"/>
    <w:rsid w:val="0002545B"/>
    <w:rsid w:val="00026FB1"/>
    <w:rsid w:val="00042BBD"/>
    <w:rsid w:val="00043517"/>
    <w:rsid w:val="00046DD6"/>
    <w:rsid w:val="00052B83"/>
    <w:rsid w:val="00053E84"/>
    <w:rsid w:val="00056A24"/>
    <w:rsid w:val="000674E6"/>
    <w:rsid w:val="0007581E"/>
    <w:rsid w:val="000A7A5A"/>
    <w:rsid w:val="000B15BC"/>
    <w:rsid w:val="000B331A"/>
    <w:rsid w:val="000B3EBD"/>
    <w:rsid w:val="000B4A57"/>
    <w:rsid w:val="000B60D5"/>
    <w:rsid w:val="000B620E"/>
    <w:rsid w:val="000D059E"/>
    <w:rsid w:val="000D0A76"/>
    <w:rsid w:val="000D5270"/>
    <w:rsid w:val="000E7490"/>
    <w:rsid w:val="000F0DB8"/>
    <w:rsid w:val="00107B23"/>
    <w:rsid w:val="00116653"/>
    <w:rsid w:val="00124C18"/>
    <w:rsid w:val="001278D1"/>
    <w:rsid w:val="0013028F"/>
    <w:rsid w:val="001331E9"/>
    <w:rsid w:val="001374D0"/>
    <w:rsid w:val="00137F2C"/>
    <w:rsid w:val="00144294"/>
    <w:rsid w:val="00153A6D"/>
    <w:rsid w:val="00165155"/>
    <w:rsid w:val="00170F2E"/>
    <w:rsid w:val="00172E40"/>
    <w:rsid w:val="00172F2B"/>
    <w:rsid w:val="00180DE8"/>
    <w:rsid w:val="00183890"/>
    <w:rsid w:val="00184787"/>
    <w:rsid w:val="00197D9A"/>
    <w:rsid w:val="001B6C93"/>
    <w:rsid w:val="001D2774"/>
    <w:rsid w:val="001D2816"/>
    <w:rsid w:val="001D4DA6"/>
    <w:rsid w:val="001E1E83"/>
    <w:rsid w:val="001E4FF7"/>
    <w:rsid w:val="001E7DBA"/>
    <w:rsid w:val="001F4182"/>
    <w:rsid w:val="002002FE"/>
    <w:rsid w:val="002038C4"/>
    <w:rsid w:val="00204E75"/>
    <w:rsid w:val="00204FF7"/>
    <w:rsid w:val="00217B50"/>
    <w:rsid w:val="0022204B"/>
    <w:rsid w:val="0022395F"/>
    <w:rsid w:val="00226C0C"/>
    <w:rsid w:val="002502FB"/>
    <w:rsid w:val="00250BE9"/>
    <w:rsid w:val="0025156E"/>
    <w:rsid w:val="002525E9"/>
    <w:rsid w:val="00260218"/>
    <w:rsid w:val="00267BEF"/>
    <w:rsid w:val="0027021B"/>
    <w:rsid w:val="0028293B"/>
    <w:rsid w:val="00292993"/>
    <w:rsid w:val="00296A28"/>
    <w:rsid w:val="00297FC9"/>
    <w:rsid w:val="002A2EA5"/>
    <w:rsid w:val="002B2ACE"/>
    <w:rsid w:val="002B4C4B"/>
    <w:rsid w:val="002B63AD"/>
    <w:rsid w:val="002C0ADB"/>
    <w:rsid w:val="002C216E"/>
    <w:rsid w:val="002C547E"/>
    <w:rsid w:val="002D18C8"/>
    <w:rsid w:val="002E64B6"/>
    <w:rsid w:val="002F0C51"/>
    <w:rsid w:val="00317F7F"/>
    <w:rsid w:val="00322BAE"/>
    <w:rsid w:val="003255AD"/>
    <w:rsid w:val="00330DBF"/>
    <w:rsid w:val="003363FE"/>
    <w:rsid w:val="003373B6"/>
    <w:rsid w:val="00345768"/>
    <w:rsid w:val="0034740C"/>
    <w:rsid w:val="003551F4"/>
    <w:rsid w:val="003558F8"/>
    <w:rsid w:val="00367963"/>
    <w:rsid w:val="003746DB"/>
    <w:rsid w:val="003818C5"/>
    <w:rsid w:val="0038363B"/>
    <w:rsid w:val="003845F9"/>
    <w:rsid w:val="0039678B"/>
    <w:rsid w:val="003B479E"/>
    <w:rsid w:val="003B6E62"/>
    <w:rsid w:val="003C10CD"/>
    <w:rsid w:val="003C6039"/>
    <w:rsid w:val="003E014E"/>
    <w:rsid w:val="003E413E"/>
    <w:rsid w:val="003F672D"/>
    <w:rsid w:val="003F7E9B"/>
    <w:rsid w:val="00424133"/>
    <w:rsid w:val="00431564"/>
    <w:rsid w:val="00434A06"/>
    <w:rsid w:val="0043769A"/>
    <w:rsid w:val="00441692"/>
    <w:rsid w:val="004427A7"/>
    <w:rsid w:val="00442ECA"/>
    <w:rsid w:val="00445BE4"/>
    <w:rsid w:val="00446694"/>
    <w:rsid w:val="00453CD6"/>
    <w:rsid w:val="00456870"/>
    <w:rsid w:val="0045713C"/>
    <w:rsid w:val="0045783A"/>
    <w:rsid w:val="004730B1"/>
    <w:rsid w:val="004779CE"/>
    <w:rsid w:val="00480236"/>
    <w:rsid w:val="004805AC"/>
    <w:rsid w:val="00485325"/>
    <w:rsid w:val="004903D8"/>
    <w:rsid w:val="00492D05"/>
    <w:rsid w:val="004A5459"/>
    <w:rsid w:val="004B1D1A"/>
    <w:rsid w:val="004B424F"/>
    <w:rsid w:val="004C2AF2"/>
    <w:rsid w:val="004C40E8"/>
    <w:rsid w:val="004C4B02"/>
    <w:rsid w:val="004C56D2"/>
    <w:rsid w:val="004D3088"/>
    <w:rsid w:val="004D390A"/>
    <w:rsid w:val="004D6595"/>
    <w:rsid w:val="004D7AAB"/>
    <w:rsid w:val="004E2D30"/>
    <w:rsid w:val="004F0EF3"/>
    <w:rsid w:val="004F34D5"/>
    <w:rsid w:val="00503FB7"/>
    <w:rsid w:val="0050672D"/>
    <w:rsid w:val="00520DE6"/>
    <w:rsid w:val="00523C23"/>
    <w:rsid w:val="00536574"/>
    <w:rsid w:val="00541503"/>
    <w:rsid w:val="00541D18"/>
    <w:rsid w:val="00551CCF"/>
    <w:rsid w:val="00554428"/>
    <w:rsid w:val="00557B3A"/>
    <w:rsid w:val="0056313D"/>
    <w:rsid w:val="0056620F"/>
    <w:rsid w:val="00571B96"/>
    <w:rsid w:val="00573D69"/>
    <w:rsid w:val="00590E0B"/>
    <w:rsid w:val="00595AD5"/>
    <w:rsid w:val="005A2AB2"/>
    <w:rsid w:val="005A4B91"/>
    <w:rsid w:val="005A6CCB"/>
    <w:rsid w:val="005A75A8"/>
    <w:rsid w:val="005B1AC1"/>
    <w:rsid w:val="005B4725"/>
    <w:rsid w:val="005C1543"/>
    <w:rsid w:val="005C3228"/>
    <w:rsid w:val="005C7F45"/>
    <w:rsid w:val="005D15F9"/>
    <w:rsid w:val="005D5C11"/>
    <w:rsid w:val="005E2B7F"/>
    <w:rsid w:val="005E3F61"/>
    <w:rsid w:val="005E71BA"/>
    <w:rsid w:val="005F0D3B"/>
    <w:rsid w:val="00605112"/>
    <w:rsid w:val="006071A0"/>
    <w:rsid w:val="00615A0B"/>
    <w:rsid w:val="00633B36"/>
    <w:rsid w:val="00633B78"/>
    <w:rsid w:val="006368E6"/>
    <w:rsid w:val="0063705F"/>
    <w:rsid w:val="0063744B"/>
    <w:rsid w:val="006374DA"/>
    <w:rsid w:val="006437E5"/>
    <w:rsid w:val="00647D71"/>
    <w:rsid w:val="00651D0A"/>
    <w:rsid w:val="00652058"/>
    <w:rsid w:val="0065239A"/>
    <w:rsid w:val="0066039D"/>
    <w:rsid w:val="00660FE8"/>
    <w:rsid w:val="0066493A"/>
    <w:rsid w:val="00665D09"/>
    <w:rsid w:val="0067057A"/>
    <w:rsid w:val="00675F02"/>
    <w:rsid w:val="0068390C"/>
    <w:rsid w:val="00686B90"/>
    <w:rsid w:val="00690709"/>
    <w:rsid w:val="00693B33"/>
    <w:rsid w:val="00697295"/>
    <w:rsid w:val="006A2C30"/>
    <w:rsid w:val="006A74E5"/>
    <w:rsid w:val="006B0B33"/>
    <w:rsid w:val="006B1BF2"/>
    <w:rsid w:val="006B2F3F"/>
    <w:rsid w:val="006C0C55"/>
    <w:rsid w:val="006C3247"/>
    <w:rsid w:val="006D5725"/>
    <w:rsid w:val="006D71E0"/>
    <w:rsid w:val="006E7C58"/>
    <w:rsid w:val="00702E1A"/>
    <w:rsid w:val="00703937"/>
    <w:rsid w:val="00705365"/>
    <w:rsid w:val="0070551D"/>
    <w:rsid w:val="00715E4E"/>
    <w:rsid w:val="0071738E"/>
    <w:rsid w:val="00721A3C"/>
    <w:rsid w:val="007259CD"/>
    <w:rsid w:val="00731452"/>
    <w:rsid w:val="00736638"/>
    <w:rsid w:val="00740607"/>
    <w:rsid w:val="00744FBB"/>
    <w:rsid w:val="00752244"/>
    <w:rsid w:val="00755F23"/>
    <w:rsid w:val="00756C59"/>
    <w:rsid w:val="00760994"/>
    <w:rsid w:val="00762CAD"/>
    <w:rsid w:val="00783F11"/>
    <w:rsid w:val="007903B1"/>
    <w:rsid w:val="00795433"/>
    <w:rsid w:val="007A080E"/>
    <w:rsid w:val="007A64A8"/>
    <w:rsid w:val="007B07B6"/>
    <w:rsid w:val="007B43EE"/>
    <w:rsid w:val="007B4C89"/>
    <w:rsid w:val="007B578D"/>
    <w:rsid w:val="007C2808"/>
    <w:rsid w:val="007C78A0"/>
    <w:rsid w:val="007C7EB5"/>
    <w:rsid w:val="007D4A30"/>
    <w:rsid w:val="007E4CDE"/>
    <w:rsid w:val="007E7016"/>
    <w:rsid w:val="007F382B"/>
    <w:rsid w:val="007F4CC8"/>
    <w:rsid w:val="00800666"/>
    <w:rsid w:val="0080457C"/>
    <w:rsid w:val="008144D3"/>
    <w:rsid w:val="00814B91"/>
    <w:rsid w:val="00814CDB"/>
    <w:rsid w:val="00816762"/>
    <w:rsid w:val="00827536"/>
    <w:rsid w:val="008327BE"/>
    <w:rsid w:val="008361ED"/>
    <w:rsid w:val="00840809"/>
    <w:rsid w:val="0084289F"/>
    <w:rsid w:val="0084634A"/>
    <w:rsid w:val="0086106E"/>
    <w:rsid w:val="00861F6D"/>
    <w:rsid w:val="00862547"/>
    <w:rsid w:val="00863C99"/>
    <w:rsid w:val="008734B6"/>
    <w:rsid w:val="008737D0"/>
    <w:rsid w:val="00874F25"/>
    <w:rsid w:val="00876391"/>
    <w:rsid w:val="008772DB"/>
    <w:rsid w:val="008816A3"/>
    <w:rsid w:val="0088196A"/>
    <w:rsid w:val="00882951"/>
    <w:rsid w:val="0088580B"/>
    <w:rsid w:val="00890424"/>
    <w:rsid w:val="00891EFE"/>
    <w:rsid w:val="008B03ED"/>
    <w:rsid w:val="008B4170"/>
    <w:rsid w:val="008B44F8"/>
    <w:rsid w:val="008E1410"/>
    <w:rsid w:val="008E318E"/>
    <w:rsid w:val="008F4A47"/>
    <w:rsid w:val="008F7854"/>
    <w:rsid w:val="00900538"/>
    <w:rsid w:val="009051D5"/>
    <w:rsid w:val="00905CB6"/>
    <w:rsid w:val="00906AC1"/>
    <w:rsid w:val="009154D5"/>
    <w:rsid w:val="00916B5D"/>
    <w:rsid w:val="0093114C"/>
    <w:rsid w:val="00931424"/>
    <w:rsid w:val="009314F9"/>
    <w:rsid w:val="009453A0"/>
    <w:rsid w:val="00954614"/>
    <w:rsid w:val="009606F4"/>
    <w:rsid w:val="00961D6C"/>
    <w:rsid w:val="0096260D"/>
    <w:rsid w:val="00964E6E"/>
    <w:rsid w:val="00965E97"/>
    <w:rsid w:val="009676BC"/>
    <w:rsid w:val="00975CFD"/>
    <w:rsid w:val="00984C37"/>
    <w:rsid w:val="0099006C"/>
    <w:rsid w:val="00993B80"/>
    <w:rsid w:val="0099785C"/>
    <w:rsid w:val="009A0BF5"/>
    <w:rsid w:val="009A1DCC"/>
    <w:rsid w:val="009A5C83"/>
    <w:rsid w:val="009A6C0E"/>
    <w:rsid w:val="009A7116"/>
    <w:rsid w:val="009B4EFA"/>
    <w:rsid w:val="009D106E"/>
    <w:rsid w:val="009D7847"/>
    <w:rsid w:val="009F66CA"/>
    <w:rsid w:val="009F72AB"/>
    <w:rsid w:val="00A0788C"/>
    <w:rsid w:val="00A1051A"/>
    <w:rsid w:val="00A10C22"/>
    <w:rsid w:val="00A119CA"/>
    <w:rsid w:val="00A12B4C"/>
    <w:rsid w:val="00A22C46"/>
    <w:rsid w:val="00A23D27"/>
    <w:rsid w:val="00A2405B"/>
    <w:rsid w:val="00A45C05"/>
    <w:rsid w:val="00A45D08"/>
    <w:rsid w:val="00A462DF"/>
    <w:rsid w:val="00A50692"/>
    <w:rsid w:val="00A52DF4"/>
    <w:rsid w:val="00A61D8E"/>
    <w:rsid w:val="00A72C3F"/>
    <w:rsid w:val="00A8365E"/>
    <w:rsid w:val="00A917CF"/>
    <w:rsid w:val="00A93EE4"/>
    <w:rsid w:val="00A97642"/>
    <w:rsid w:val="00AA3920"/>
    <w:rsid w:val="00AA6C4F"/>
    <w:rsid w:val="00AB066A"/>
    <w:rsid w:val="00AB1FB8"/>
    <w:rsid w:val="00AC0281"/>
    <w:rsid w:val="00AD0BEE"/>
    <w:rsid w:val="00AD142E"/>
    <w:rsid w:val="00AE3C54"/>
    <w:rsid w:val="00AF0ADE"/>
    <w:rsid w:val="00AF2379"/>
    <w:rsid w:val="00B01456"/>
    <w:rsid w:val="00B05ECD"/>
    <w:rsid w:val="00B062B5"/>
    <w:rsid w:val="00B07E08"/>
    <w:rsid w:val="00B10CBB"/>
    <w:rsid w:val="00B115DB"/>
    <w:rsid w:val="00B14406"/>
    <w:rsid w:val="00B15B2B"/>
    <w:rsid w:val="00B23626"/>
    <w:rsid w:val="00B30D5B"/>
    <w:rsid w:val="00B33EE9"/>
    <w:rsid w:val="00B37D57"/>
    <w:rsid w:val="00B41D53"/>
    <w:rsid w:val="00B50292"/>
    <w:rsid w:val="00B53BED"/>
    <w:rsid w:val="00B665C1"/>
    <w:rsid w:val="00B946ED"/>
    <w:rsid w:val="00BB3EA4"/>
    <w:rsid w:val="00BB4FC1"/>
    <w:rsid w:val="00BC0923"/>
    <w:rsid w:val="00BD12A6"/>
    <w:rsid w:val="00BD2A0D"/>
    <w:rsid w:val="00BD6742"/>
    <w:rsid w:val="00BE6296"/>
    <w:rsid w:val="00BE7C3B"/>
    <w:rsid w:val="00BF133B"/>
    <w:rsid w:val="00BF5619"/>
    <w:rsid w:val="00C06E32"/>
    <w:rsid w:val="00C128BF"/>
    <w:rsid w:val="00C17F99"/>
    <w:rsid w:val="00C21984"/>
    <w:rsid w:val="00C21BA3"/>
    <w:rsid w:val="00C24D95"/>
    <w:rsid w:val="00C27851"/>
    <w:rsid w:val="00C52DA6"/>
    <w:rsid w:val="00C5556B"/>
    <w:rsid w:val="00C66112"/>
    <w:rsid w:val="00C757F0"/>
    <w:rsid w:val="00C7615E"/>
    <w:rsid w:val="00C772F4"/>
    <w:rsid w:val="00C80B55"/>
    <w:rsid w:val="00C80E2E"/>
    <w:rsid w:val="00C90463"/>
    <w:rsid w:val="00C9140B"/>
    <w:rsid w:val="00C97D19"/>
    <w:rsid w:val="00CA4B98"/>
    <w:rsid w:val="00CA52A3"/>
    <w:rsid w:val="00CA65E7"/>
    <w:rsid w:val="00CB719B"/>
    <w:rsid w:val="00CC4BD7"/>
    <w:rsid w:val="00CC6CE9"/>
    <w:rsid w:val="00CD1931"/>
    <w:rsid w:val="00CE2D43"/>
    <w:rsid w:val="00CE33E5"/>
    <w:rsid w:val="00CE4D31"/>
    <w:rsid w:val="00CF291E"/>
    <w:rsid w:val="00D050AA"/>
    <w:rsid w:val="00D11469"/>
    <w:rsid w:val="00D13529"/>
    <w:rsid w:val="00D2189A"/>
    <w:rsid w:val="00D242A2"/>
    <w:rsid w:val="00D25B35"/>
    <w:rsid w:val="00D504F4"/>
    <w:rsid w:val="00D509F9"/>
    <w:rsid w:val="00D51607"/>
    <w:rsid w:val="00D534CF"/>
    <w:rsid w:val="00D630E3"/>
    <w:rsid w:val="00D74DD8"/>
    <w:rsid w:val="00D75047"/>
    <w:rsid w:val="00D75A98"/>
    <w:rsid w:val="00D775C0"/>
    <w:rsid w:val="00D77EF6"/>
    <w:rsid w:val="00D815DE"/>
    <w:rsid w:val="00D824AF"/>
    <w:rsid w:val="00D929BA"/>
    <w:rsid w:val="00DA5D2B"/>
    <w:rsid w:val="00DB49C1"/>
    <w:rsid w:val="00DB70A9"/>
    <w:rsid w:val="00DC0F14"/>
    <w:rsid w:val="00DD58B4"/>
    <w:rsid w:val="00DE4187"/>
    <w:rsid w:val="00DF36CD"/>
    <w:rsid w:val="00DF7288"/>
    <w:rsid w:val="00E1598A"/>
    <w:rsid w:val="00E21914"/>
    <w:rsid w:val="00E24E6B"/>
    <w:rsid w:val="00E325F8"/>
    <w:rsid w:val="00E3740C"/>
    <w:rsid w:val="00E43365"/>
    <w:rsid w:val="00E44BAD"/>
    <w:rsid w:val="00E50885"/>
    <w:rsid w:val="00E6156D"/>
    <w:rsid w:val="00E74A57"/>
    <w:rsid w:val="00E90AA7"/>
    <w:rsid w:val="00E91434"/>
    <w:rsid w:val="00EA4315"/>
    <w:rsid w:val="00EA4576"/>
    <w:rsid w:val="00EA74A9"/>
    <w:rsid w:val="00EB3DB6"/>
    <w:rsid w:val="00ED1D76"/>
    <w:rsid w:val="00ED246B"/>
    <w:rsid w:val="00ED3F42"/>
    <w:rsid w:val="00EE62E6"/>
    <w:rsid w:val="00EE78AB"/>
    <w:rsid w:val="00EF22F7"/>
    <w:rsid w:val="00F02B6E"/>
    <w:rsid w:val="00F13FE7"/>
    <w:rsid w:val="00F144D2"/>
    <w:rsid w:val="00F165CD"/>
    <w:rsid w:val="00F22CE7"/>
    <w:rsid w:val="00F32248"/>
    <w:rsid w:val="00F32539"/>
    <w:rsid w:val="00F45866"/>
    <w:rsid w:val="00F46222"/>
    <w:rsid w:val="00F50C1E"/>
    <w:rsid w:val="00F56073"/>
    <w:rsid w:val="00F82922"/>
    <w:rsid w:val="00F82BB3"/>
    <w:rsid w:val="00F868C7"/>
    <w:rsid w:val="00F9419A"/>
    <w:rsid w:val="00F9689E"/>
    <w:rsid w:val="00F97050"/>
    <w:rsid w:val="00F9791D"/>
    <w:rsid w:val="00FA10FF"/>
    <w:rsid w:val="00FB0D97"/>
    <w:rsid w:val="00FC107C"/>
    <w:rsid w:val="00FC4A6E"/>
    <w:rsid w:val="00FC55A8"/>
    <w:rsid w:val="00FD03AC"/>
    <w:rsid w:val="00FE3255"/>
    <w:rsid w:val="00FE3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82B"/>
    <w:pPr>
      <w:autoSpaceDE w:val="0"/>
      <w:autoSpaceDN w:val="0"/>
    </w:pPr>
    <w:rPr>
      <w:rFonts w:ascii="CG Times" w:hAnsi="CG Times" w:cs="CG Times"/>
      <w:sz w:val="24"/>
      <w:szCs w:val="24"/>
    </w:rPr>
  </w:style>
  <w:style w:type="paragraph" w:styleId="Heading2">
    <w:name w:val="heading 2"/>
    <w:basedOn w:val="Normal"/>
    <w:next w:val="Normal"/>
    <w:link w:val="Heading2Char"/>
    <w:unhideWhenUsed/>
    <w:qFormat/>
    <w:rsid w:val="004730B1"/>
    <w:pPr>
      <w:keepNext/>
      <w:autoSpaceDE/>
      <w:autoSpaceDN/>
      <w:spacing w:line="360" w:lineRule="auto"/>
      <w:jc w:val="both"/>
      <w:outlineLvl w:val="1"/>
    </w:pPr>
    <w:rPr>
      <w:rFonts w:ascii="Times New Roman" w:hAnsi="Times New Roman" w:cs="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F382B"/>
  </w:style>
  <w:style w:type="character" w:styleId="EndnoteReference">
    <w:name w:val="endnote reference"/>
    <w:semiHidden/>
    <w:rsid w:val="007F382B"/>
    <w:rPr>
      <w:vertAlign w:val="superscript"/>
    </w:rPr>
  </w:style>
  <w:style w:type="paragraph" w:styleId="FootnoteText">
    <w:name w:val="footnote text"/>
    <w:basedOn w:val="Normal"/>
    <w:link w:val="FootnoteTextChar"/>
    <w:uiPriority w:val="99"/>
    <w:semiHidden/>
    <w:rsid w:val="007F382B"/>
  </w:style>
  <w:style w:type="character" w:styleId="FootnoteReference">
    <w:name w:val="footnote reference"/>
    <w:uiPriority w:val="99"/>
    <w:semiHidden/>
    <w:rsid w:val="007F382B"/>
    <w:rPr>
      <w:vertAlign w:val="superscript"/>
    </w:rPr>
  </w:style>
  <w:style w:type="paragraph" w:customStyle="1" w:styleId="ParaTab1">
    <w:name w:val="ParaTab 1"/>
    <w:rsid w:val="007F382B"/>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F382B"/>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F382B"/>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F382B"/>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F382B"/>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F382B"/>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F382B"/>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F382B"/>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F382B"/>
    <w:pPr>
      <w:tabs>
        <w:tab w:val="right" w:leader="dot" w:pos="9360"/>
      </w:tabs>
      <w:suppressAutoHyphens/>
      <w:spacing w:before="480"/>
      <w:ind w:left="720" w:right="720" w:hanging="720"/>
    </w:pPr>
  </w:style>
  <w:style w:type="paragraph" w:styleId="TOC2">
    <w:name w:val="toc 2"/>
    <w:basedOn w:val="Normal"/>
    <w:next w:val="Normal"/>
    <w:autoRedefine/>
    <w:semiHidden/>
    <w:rsid w:val="007F382B"/>
    <w:pPr>
      <w:tabs>
        <w:tab w:val="right" w:leader="dot" w:pos="9360"/>
      </w:tabs>
      <w:suppressAutoHyphens/>
      <w:ind w:left="720" w:right="720"/>
    </w:pPr>
  </w:style>
  <w:style w:type="paragraph" w:styleId="TOC3">
    <w:name w:val="toc 3"/>
    <w:basedOn w:val="Normal"/>
    <w:next w:val="Normal"/>
    <w:autoRedefine/>
    <w:semiHidden/>
    <w:rsid w:val="007F382B"/>
    <w:pPr>
      <w:tabs>
        <w:tab w:val="right" w:leader="dot" w:pos="9360"/>
      </w:tabs>
      <w:suppressAutoHyphens/>
      <w:ind w:left="720" w:right="720"/>
    </w:pPr>
  </w:style>
  <w:style w:type="paragraph" w:styleId="TOC4">
    <w:name w:val="toc 4"/>
    <w:basedOn w:val="Normal"/>
    <w:next w:val="Normal"/>
    <w:autoRedefine/>
    <w:semiHidden/>
    <w:rsid w:val="007F382B"/>
    <w:pPr>
      <w:tabs>
        <w:tab w:val="right" w:leader="dot" w:pos="9360"/>
      </w:tabs>
      <w:suppressAutoHyphens/>
      <w:ind w:left="720" w:right="720"/>
    </w:pPr>
  </w:style>
  <w:style w:type="paragraph" w:styleId="TOC5">
    <w:name w:val="toc 5"/>
    <w:basedOn w:val="Normal"/>
    <w:next w:val="Normal"/>
    <w:autoRedefine/>
    <w:semiHidden/>
    <w:rsid w:val="007F382B"/>
    <w:pPr>
      <w:tabs>
        <w:tab w:val="right" w:leader="dot" w:pos="9360"/>
      </w:tabs>
      <w:suppressAutoHyphens/>
      <w:ind w:left="720" w:right="720"/>
    </w:pPr>
  </w:style>
  <w:style w:type="paragraph" w:styleId="TOC6">
    <w:name w:val="toc 6"/>
    <w:basedOn w:val="Normal"/>
    <w:next w:val="Normal"/>
    <w:autoRedefine/>
    <w:semiHidden/>
    <w:rsid w:val="007F382B"/>
    <w:pPr>
      <w:tabs>
        <w:tab w:val="right" w:pos="9360"/>
      </w:tabs>
      <w:suppressAutoHyphens/>
      <w:ind w:left="720" w:hanging="720"/>
    </w:pPr>
  </w:style>
  <w:style w:type="paragraph" w:styleId="TOC7">
    <w:name w:val="toc 7"/>
    <w:basedOn w:val="Normal"/>
    <w:next w:val="Normal"/>
    <w:autoRedefine/>
    <w:semiHidden/>
    <w:rsid w:val="007F382B"/>
    <w:pPr>
      <w:suppressAutoHyphens/>
      <w:ind w:left="720" w:hanging="720"/>
    </w:pPr>
  </w:style>
  <w:style w:type="paragraph" w:styleId="TOC8">
    <w:name w:val="toc 8"/>
    <w:basedOn w:val="Normal"/>
    <w:next w:val="Normal"/>
    <w:autoRedefine/>
    <w:semiHidden/>
    <w:rsid w:val="007F382B"/>
    <w:pPr>
      <w:tabs>
        <w:tab w:val="right" w:pos="9360"/>
      </w:tabs>
      <w:suppressAutoHyphens/>
      <w:ind w:left="720" w:hanging="720"/>
    </w:pPr>
  </w:style>
  <w:style w:type="paragraph" w:styleId="TOC9">
    <w:name w:val="toc 9"/>
    <w:basedOn w:val="Normal"/>
    <w:next w:val="Normal"/>
    <w:autoRedefine/>
    <w:semiHidden/>
    <w:rsid w:val="007F382B"/>
    <w:pPr>
      <w:tabs>
        <w:tab w:val="right" w:leader="dot" w:pos="9360"/>
      </w:tabs>
      <w:suppressAutoHyphens/>
      <w:ind w:left="720" w:hanging="720"/>
    </w:pPr>
  </w:style>
  <w:style w:type="paragraph" w:styleId="Index1">
    <w:name w:val="index 1"/>
    <w:basedOn w:val="Normal"/>
    <w:next w:val="Normal"/>
    <w:autoRedefine/>
    <w:semiHidden/>
    <w:rsid w:val="007F382B"/>
    <w:pPr>
      <w:tabs>
        <w:tab w:val="right" w:leader="dot" w:pos="9360"/>
      </w:tabs>
      <w:suppressAutoHyphens/>
      <w:ind w:left="720" w:hanging="720"/>
    </w:pPr>
  </w:style>
  <w:style w:type="paragraph" w:styleId="Index2">
    <w:name w:val="index 2"/>
    <w:basedOn w:val="Normal"/>
    <w:next w:val="Normal"/>
    <w:autoRedefine/>
    <w:semiHidden/>
    <w:rsid w:val="007F382B"/>
    <w:pPr>
      <w:tabs>
        <w:tab w:val="right" w:leader="dot" w:pos="9360"/>
      </w:tabs>
      <w:suppressAutoHyphens/>
      <w:ind w:left="720"/>
    </w:pPr>
  </w:style>
  <w:style w:type="paragraph" w:styleId="TOAHeading">
    <w:name w:val="toa heading"/>
    <w:basedOn w:val="Normal"/>
    <w:next w:val="Normal"/>
    <w:semiHidden/>
    <w:rsid w:val="007F382B"/>
    <w:pPr>
      <w:tabs>
        <w:tab w:val="right" w:pos="9360"/>
      </w:tabs>
      <w:suppressAutoHyphens/>
    </w:pPr>
  </w:style>
  <w:style w:type="paragraph" w:styleId="Caption">
    <w:name w:val="caption"/>
    <w:basedOn w:val="Normal"/>
    <w:next w:val="Normal"/>
    <w:qFormat/>
    <w:rsid w:val="007F382B"/>
  </w:style>
  <w:style w:type="character" w:customStyle="1" w:styleId="EquationCaption">
    <w:name w:val="_Equation Caption"/>
    <w:rsid w:val="007F382B"/>
  </w:style>
  <w:style w:type="paragraph" w:styleId="Footer">
    <w:name w:val="footer"/>
    <w:basedOn w:val="Normal"/>
    <w:link w:val="FooterChar"/>
    <w:uiPriority w:val="99"/>
    <w:rsid w:val="007F382B"/>
    <w:pPr>
      <w:tabs>
        <w:tab w:val="center" w:pos="4320"/>
        <w:tab w:val="right" w:pos="8640"/>
      </w:tabs>
    </w:pPr>
  </w:style>
  <w:style w:type="character" w:styleId="PageNumber">
    <w:name w:val="page number"/>
    <w:basedOn w:val="DefaultParagraphFont"/>
    <w:rsid w:val="007F382B"/>
  </w:style>
  <w:style w:type="paragraph" w:styleId="Header">
    <w:name w:val="header"/>
    <w:basedOn w:val="Normal"/>
    <w:rsid w:val="007F382B"/>
    <w:pPr>
      <w:tabs>
        <w:tab w:val="center" w:pos="4320"/>
        <w:tab w:val="right" w:pos="8640"/>
      </w:tabs>
    </w:pPr>
  </w:style>
  <w:style w:type="paragraph" w:styleId="ListParagraph">
    <w:name w:val="List Paragraph"/>
    <w:basedOn w:val="Normal"/>
    <w:uiPriority w:val="34"/>
    <w:qFormat/>
    <w:rsid w:val="00FC4A6E"/>
    <w:pPr>
      <w:autoSpaceDE/>
      <w:autoSpaceDN/>
      <w:ind w:left="720"/>
      <w:contextualSpacing/>
    </w:pPr>
    <w:rPr>
      <w:rFonts w:ascii="Times New Roman" w:hAnsi="Times New Roman" w:cs="Times New Roman"/>
      <w:sz w:val="20"/>
      <w:szCs w:val="20"/>
    </w:rPr>
  </w:style>
  <w:style w:type="character" w:customStyle="1" w:styleId="FooterChar">
    <w:name w:val="Footer Char"/>
    <w:link w:val="Footer"/>
    <w:uiPriority w:val="99"/>
    <w:rsid w:val="001F4182"/>
    <w:rPr>
      <w:rFonts w:ascii="CG Times" w:hAnsi="CG Times" w:cs="CG Times"/>
      <w:sz w:val="24"/>
      <w:szCs w:val="24"/>
    </w:rPr>
  </w:style>
  <w:style w:type="character" w:customStyle="1" w:styleId="Heading2Char">
    <w:name w:val="Heading 2 Char"/>
    <w:basedOn w:val="DefaultParagraphFont"/>
    <w:link w:val="Heading2"/>
    <w:rsid w:val="004730B1"/>
    <w:rPr>
      <w:b/>
      <w:sz w:val="26"/>
      <w:u w:val="single"/>
    </w:rPr>
  </w:style>
  <w:style w:type="character" w:styleId="Hyperlink">
    <w:name w:val="Hyperlink"/>
    <w:basedOn w:val="DefaultParagraphFont"/>
    <w:unhideWhenUsed/>
    <w:rsid w:val="004730B1"/>
    <w:rPr>
      <w:color w:val="0000FF"/>
      <w:u w:val="single"/>
    </w:rPr>
  </w:style>
  <w:style w:type="paragraph" w:styleId="BalloonText">
    <w:name w:val="Balloon Text"/>
    <w:basedOn w:val="Normal"/>
    <w:link w:val="BalloonTextChar"/>
    <w:rsid w:val="00A2405B"/>
    <w:rPr>
      <w:rFonts w:ascii="Tahoma" w:hAnsi="Tahoma" w:cs="Tahoma"/>
      <w:sz w:val="16"/>
      <w:szCs w:val="16"/>
    </w:rPr>
  </w:style>
  <w:style w:type="character" w:customStyle="1" w:styleId="BalloonTextChar">
    <w:name w:val="Balloon Text Char"/>
    <w:basedOn w:val="DefaultParagraphFont"/>
    <w:link w:val="BalloonText"/>
    <w:rsid w:val="00A2405B"/>
    <w:rPr>
      <w:rFonts w:ascii="Tahoma" w:hAnsi="Tahoma" w:cs="Tahoma"/>
      <w:sz w:val="16"/>
      <w:szCs w:val="16"/>
    </w:rPr>
  </w:style>
  <w:style w:type="character" w:customStyle="1" w:styleId="FootnoteTextChar">
    <w:name w:val="Footnote Text Char"/>
    <w:basedOn w:val="DefaultParagraphFont"/>
    <w:link w:val="FootnoteText"/>
    <w:uiPriority w:val="99"/>
    <w:semiHidden/>
    <w:rsid w:val="00292993"/>
    <w:rPr>
      <w:rFonts w:ascii="CG Times" w:hAnsi="CG Times" w:cs="CG Times"/>
      <w:sz w:val="24"/>
      <w:szCs w:val="24"/>
    </w:rPr>
  </w:style>
  <w:style w:type="paragraph" w:customStyle="1" w:styleId="Tty">
    <w:name w:val="Tty"/>
    <w:basedOn w:val="Normal"/>
    <w:rsid w:val="00652058"/>
    <w:pPr>
      <w:autoSpaceDE/>
      <w:autoSpaceDN/>
      <w:spacing w:line="480" w:lineRule="auto"/>
      <w:ind w:left="720" w:hanging="720"/>
      <w:jc w:val="both"/>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82B"/>
    <w:pPr>
      <w:autoSpaceDE w:val="0"/>
      <w:autoSpaceDN w:val="0"/>
    </w:pPr>
    <w:rPr>
      <w:rFonts w:ascii="CG Times" w:hAnsi="CG Times" w:cs="CG Times"/>
      <w:sz w:val="24"/>
      <w:szCs w:val="24"/>
    </w:rPr>
  </w:style>
  <w:style w:type="paragraph" w:styleId="Heading2">
    <w:name w:val="heading 2"/>
    <w:basedOn w:val="Normal"/>
    <w:next w:val="Normal"/>
    <w:link w:val="Heading2Char"/>
    <w:unhideWhenUsed/>
    <w:qFormat/>
    <w:rsid w:val="004730B1"/>
    <w:pPr>
      <w:keepNext/>
      <w:autoSpaceDE/>
      <w:autoSpaceDN/>
      <w:spacing w:line="360" w:lineRule="auto"/>
      <w:jc w:val="both"/>
      <w:outlineLvl w:val="1"/>
    </w:pPr>
    <w:rPr>
      <w:rFonts w:ascii="Times New Roman" w:hAnsi="Times New Roman" w:cs="Times New Roman"/>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7F382B"/>
  </w:style>
  <w:style w:type="character" w:styleId="EndnoteReference">
    <w:name w:val="endnote reference"/>
    <w:semiHidden/>
    <w:rsid w:val="007F382B"/>
    <w:rPr>
      <w:vertAlign w:val="superscript"/>
    </w:rPr>
  </w:style>
  <w:style w:type="paragraph" w:styleId="FootnoteText">
    <w:name w:val="footnote text"/>
    <w:basedOn w:val="Normal"/>
    <w:link w:val="FootnoteTextChar"/>
    <w:uiPriority w:val="99"/>
    <w:semiHidden/>
    <w:rsid w:val="007F382B"/>
  </w:style>
  <w:style w:type="character" w:styleId="FootnoteReference">
    <w:name w:val="footnote reference"/>
    <w:uiPriority w:val="99"/>
    <w:semiHidden/>
    <w:rsid w:val="007F382B"/>
    <w:rPr>
      <w:vertAlign w:val="superscript"/>
    </w:rPr>
  </w:style>
  <w:style w:type="paragraph" w:customStyle="1" w:styleId="ParaTab1">
    <w:name w:val="ParaTab 1"/>
    <w:rsid w:val="007F382B"/>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7F382B"/>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7F382B"/>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7F382B"/>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7F382B"/>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7F382B"/>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7F382B"/>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7F382B"/>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7F382B"/>
    <w:pPr>
      <w:tabs>
        <w:tab w:val="right" w:leader="dot" w:pos="9360"/>
      </w:tabs>
      <w:suppressAutoHyphens/>
      <w:spacing w:before="480"/>
      <w:ind w:left="720" w:right="720" w:hanging="720"/>
    </w:pPr>
  </w:style>
  <w:style w:type="paragraph" w:styleId="TOC2">
    <w:name w:val="toc 2"/>
    <w:basedOn w:val="Normal"/>
    <w:next w:val="Normal"/>
    <w:autoRedefine/>
    <w:semiHidden/>
    <w:rsid w:val="007F382B"/>
    <w:pPr>
      <w:tabs>
        <w:tab w:val="right" w:leader="dot" w:pos="9360"/>
      </w:tabs>
      <w:suppressAutoHyphens/>
      <w:ind w:left="720" w:right="720"/>
    </w:pPr>
  </w:style>
  <w:style w:type="paragraph" w:styleId="TOC3">
    <w:name w:val="toc 3"/>
    <w:basedOn w:val="Normal"/>
    <w:next w:val="Normal"/>
    <w:autoRedefine/>
    <w:semiHidden/>
    <w:rsid w:val="007F382B"/>
    <w:pPr>
      <w:tabs>
        <w:tab w:val="right" w:leader="dot" w:pos="9360"/>
      </w:tabs>
      <w:suppressAutoHyphens/>
      <w:ind w:left="720" w:right="720"/>
    </w:pPr>
  </w:style>
  <w:style w:type="paragraph" w:styleId="TOC4">
    <w:name w:val="toc 4"/>
    <w:basedOn w:val="Normal"/>
    <w:next w:val="Normal"/>
    <w:autoRedefine/>
    <w:semiHidden/>
    <w:rsid w:val="007F382B"/>
    <w:pPr>
      <w:tabs>
        <w:tab w:val="right" w:leader="dot" w:pos="9360"/>
      </w:tabs>
      <w:suppressAutoHyphens/>
      <w:ind w:left="720" w:right="720"/>
    </w:pPr>
  </w:style>
  <w:style w:type="paragraph" w:styleId="TOC5">
    <w:name w:val="toc 5"/>
    <w:basedOn w:val="Normal"/>
    <w:next w:val="Normal"/>
    <w:autoRedefine/>
    <w:semiHidden/>
    <w:rsid w:val="007F382B"/>
    <w:pPr>
      <w:tabs>
        <w:tab w:val="right" w:leader="dot" w:pos="9360"/>
      </w:tabs>
      <w:suppressAutoHyphens/>
      <w:ind w:left="720" w:right="720"/>
    </w:pPr>
  </w:style>
  <w:style w:type="paragraph" w:styleId="TOC6">
    <w:name w:val="toc 6"/>
    <w:basedOn w:val="Normal"/>
    <w:next w:val="Normal"/>
    <w:autoRedefine/>
    <w:semiHidden/>
    <w:rsid w:val="007F382B"/>
    <w:pPr>
      <w:tabs>
        <w:tab w:val="right" w:pos="9360"/>
      </w:tabs>
      <w:suppressAutoHyphens/>
      <w:ind w:left="720" w:hanging="720"/>
    </w:pPr>
  </w:style>
  <w:style w:type="paragraph" w:styleId="TOC7">
    <w:name w:val="toc 7"/>
    <w:basedOn w:val="Normal"/>
    <w:next w:val="Normal"/>
    <w:autoRedefine/>
    <w:semiHidden/>
    <w:rsid w:val="007F382B"/>
    <w:pPr>
      <w:suppressAutoHyphens/>
      <w:ind w:left="720" w:hanging="720"/>
    </w:pPr>
  </w:style>
  <w:style w:type="paragraph" w:styleId="TOC8">
    <w:name w:val="toc 8"/>
    <w:basedOn w:val="Normal"/>
    <w:next w:val="Normal"/>
    <w:autoRedefine/>
    <w:semiHidden/>
    <w:rsid w:val="007F382B"/>
    <w:pPr>
      <w:tabs>
        <w:tab w:val="right" w:pos="9360"/>
      </w:tabs>
      <w:suppressAutoHyphens/>
      <w:ind w:left="720" w:hanging="720"/>
    </w:pPr>
  </w:style>
  <w:style w:type="paragraph" w:styleId="TOC9">
    <w:name w:val="toc 9"/>
    <w:basedOn w:val="Normal"/>
    <w:next w:val="Normal"/>
    <w:autoRedefine/>
    <w:semiHidden/>
    <w:rsid w:val="007F382B"/>
    <w:pPr>
      <w:tabs>
        <w:tab w:val="right" w:leader="dot" w:pos="9360"/>
      </w:tabs>
      <w:suppressAutoHyphens/>
      <w:ind w:left="720" w:hanging="720"/>
    </w:pPr>
  </w:style>
  <w:style w:type="paragraph" w:styleId="Index1">
    <w:name w:val="index 1"/>
    <w:basedOn w:val="Normal"/>
    <w:next w:val="Normal"/>
    <w:autoRedefine/>
    <w:semiHidden/>
    <w:rsid w:val="007F382B"/>
    <w:pPr>
      <w:tabs>
        <w:tab w:val="right" w:leader="dot" w:pos="9360"/>
      </w:tabs>
      <w:suppressAutoHyphens/>
      <w:ind w:left="720" w:hanging="720"/>
    </w:pPr>
  </w:style>
  <w:style w:type="paragraph" w:styleId="Index2">
    <w:name w:val="index 2"/>
    <w:basedOn w:val="Normal"/>
    <w:next w:val="Normal"/>
    <w:autoRedefine/>
    <w:semiHidden/>
    <w:rsid w:val="007F382B"/>
    <w:pPr>
      <w:tabs>
        <w:tab w:val="right" w:leader="dot" w:pos="9360"/>
      </w:tabs>
      <w:suppressAutoHyphens/>
      <w:ind w:left="720"/>
    </w:pPr>
  </w:style>
  <w:style w:type="paragraph" w:styleId="TOAHeading">
    <w:name w:val="toa heading"/>
    <w:basedOn w:val="Normal"/>
    <w:next w:val="Normal"/>
    <w:semiHidden/>
    <w:rsid w:val="007F382B"/>
    <w:pPr>
      <w:tabs>
        <w:tab w:val="right" w:pos="9360"/>
      </w:tabs>
      <w:suppressAutoHyphens/>
    </w:pPr>
  </w:style>
  <w:style w:type="paragraph" w:styleId="Caption">
    <w:name w:val="caption"/>
    <w:basedOn w:val="Normal"/>
    <w:next w:val="Normal"/>
    <w:qFormat/>
    <w:rsid w:val="007F382B"/>
  </w:style>
  <w:style w:type="character" w:customStyle="1" w:styleId="EquationCaption">
    <w:name w:val="_Equation Caption"/>
    <w:rsid w:val="007F382B"/>
  </w:style>
  <w:style w:type="paragraph" w:styleId="Footer">
    <w:name w:val="footer"/>
    <w:basedOn w:val="Normal"/>
    <w:link w:val="FooterChar"/>
    <w:uiPriority w:val="99"/>
    <w:rsid w:val="007F382B"/>
    <w:pPr>
      <w:tabs>
        <w:tab w:val="center" w:pos="4320"/>
        <w:tab w:val="right" w:pos="8640"/>
      </w:tabs>
    </w:pPr>
  </w:style>
  <w:style w:type="character" w:styleId="PageNumber">
    <w:name w:val="page number"/>
    <w:basedOn w:val="DefaultParagraphFont"/>
    <w:rsid w:val="007F382B"/>
  </w:style>
  <w:style w:type="paragraph" w:styleId="Header">
    <w:name w:val="header"/>
    <w:basedOn w:val="Normal"/>
    <w:rsid w:val="007F382B"/>
    <w:pPr>
      <w:tabs>
        <w:tab w:val="center" w:pos="4320"/>
        <w:tab w:val="right" w:pos="8640"/>
      </w:tabs>
    </w:pPr>
  </w:style>
  <w:style w:type="paragraph" w:styleId="ListParagraph">
    <w:name w:val="List Paragraph"/>
    <w:basedOn w:val="Normal"/>
    <w:uiPriority w:val="34"/>
    <w:qFormat/>
    <w:rsid w:val="00FC4A6E"/>
    <w:pPr>
      <w:autoSpaceDE/>
      <w:autoSpaceDN/>
      <w:ind w:left="720"/>
      <w:contextualSpacing/>
    </w:pPr>
    <w:rPr>
      <w:rFonts w:ascii="Times New Roman" w:hAnsi="Times New Roman" w:cs="Times New Roman"/>
      <w:sz w:val="20"/>
      <w:szCs w:val="20"/>
    </w:rPr>
  </w:style>
  <w:style w:type="character" w:customStyle="1" w:styleId="FooterChar">
    <w:name w:val="Footer Char"/>
    <w:link w:val="Footer"/>
    <w:uiPriority w:val="99"/>
    <w:rsid w:val="001F4182"/>
    <w:rPr>
      <w:rFonts w:ascii="CG Times" w:hAnsi="CG Times" w:cs="CG Times"/>
      <w:sz w:val="24"/>
      <w:szCs w:val="24"/>
    </w:rPr>
  </w:style>
  <w:style w:type="character" w:customStyle="1" w:styleId="Heading2Char">
    <w:name w:val="Heading 2 Char"/>
    <w:basedOn w:val="DefaultParagraphFont"/>
    <w:link w:val="Heading2"/>
    <w:rsid w:val="004730B1"/>
    <w:rPr>
      <w:b/>
      <w:sz w:val="26"/>
      <w:u w:val="single"/>
    </w:rPr>
  </w:style>
  <w:style w:type="character" w:styleId="Hyperlink">
    <w:name w:val="Hyperlink"/>
    <w:basedOn w:val="DefaultParagraphFont"/>
    <w:unhideWhenUsed/>
    <w:rsid w:val="004730B1"/>
    <w:rPr>
      <w:color w:val="0000FF"/>
      <w:u w:val="single"/>
    </w:rPr>
  </w:style>
  <w:style w:type="paragraph" w:styleId="BalloonText">
    <w:name w:val="Balloon Text"/>
    <w:basedOn w:val="Normal"/>
    <w:link w:val="BalloonTextChar"/>
    <w:rsid w:val="00A2405B"/>
    <w:rPr>
      <w:rFonts w:ascii="Tahoma" w:hAnsi="Tahoma" w:cs="Tahoma"/>
      <w:sz w:val="16"/>
      <w:szCs w:val="16"/>
    </w:rPr>
  </w:style>
  <w:style w:type="character" w:customStyle="1" w:styleId="BalloonTextChar">
    <w:name w:val="Balloon Text Char"/>
    <w:basedOn w:val="DefaultParagraphFont"/>
    <w:link w:val="BalloonText"/>
    <w:rsid w:val="00A2405B"/>
    <w:rPr>
      <w:rFonts w:ascii="Tahoma" w:hAnsi="Tahoma" w:cs="Tahoma"/>
      <w:sz w:val="16"/>
      <w:szCs w:val="16"/>
    </w:rPr>
  </w:style>
  <w:style w:type="character" w:customStyle="1" w:styleId="FootnoteTextChar">
    <w:name w:val="Footnote Text Char"/>
    <w:basedOn w:val="DefaultParagraphFont"/>
    <w:link w:val="FootnoteText"/>
    <w:uiPriority w:val="99"/>
    <w:semiHidden/>
    <w:rsid w:val="00292993"/>
    <w:rPr>
      <w:rFonts w:ascii="CG Times" w:hAnsi="CG Times" w:cs="CG Times"/>
      <w:sz w:val="24"/>
      <w:szCs w:val="24"/>
    </w:rPr>
  </w:style>
  <w:style w:type="paragraph" w:customStyle="1" w:styleId="Tty">
    <w:name w:val="Tty"/>
    <w:basedOn w:val="Normal"/>
    <w:rsid w:val="00652058"/>
    <w:pPr>
      <w:autoSpaceDE/>
      <w:autoSpaceDN/>
      <w:spacing w:line="480" w:lineRule="auto"/>
      <w:ind w:left="720" w:hanging="720"/>
      <w:jc w:val="both"/>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6618">
      <w:bodyDiv w:val="1"/>
      <w:marLeft w:val="0"/>
      <w:marRight w:val="0"/>
      <w:marTop w:val="0"/>
      <w:marBottom w:val="0"/>
      <w:divBdr>
        <w:top w:val="none" w:sz="0" w:space="0" w:color="auto"/>
        <w:left w:val="none" w:sz="0" w:space="0" w:color="auto"/>
        <w:bottom w:val="none" w:sz="0" w:space="0" w:color="auto"/>
        <w:right w:val="none" w:sz="0" w:space="0" w:color="auto"/>
      </w:divBdr>
    </w:div>
    <w:div w:id="893858769">
      <w:bodyDiv w:val="1"/>
      <w:marLeft w:val="0"/>
      <w:marRight w:val="0"/>
      <w:marTop w:val="0"/>
      <w:marBottom w:val="0"/>
      <w:divBdr>
        <w:top w:val="none" w:sz="0" w:space="0" w:color="auto"/>
        <w:left w:val="none" w:sz="0" w:space="0" w:color="auto"/>
        <w:bottom w:val="none" w:sz="0" w:space="0" w:color="auto"/>
        <w:right w:val="none" w:sz="0" w:space="0" w:color="auto"/>
      </w:divBdr>
    </w:div>
    <w:div w:id="1102341796">
      <w:bodyDiv w:val="1"/>
      <w:marLeft w:val="0"/>
      <w:marRight w:val="0"/>
      <w:marTop w:val="0"/>
      <w:marBottom w:val="0"/>
      <w:divBdr>
        <w:top w:val="none" w:sz="0" w:space="0" w:color="auto"/>
        <w:left w:val="none" w:sz="0" w:space="0" w:color="auto"/>
        <w:bottom w:val="none" w:sz="0" w:space="0" w:color="auto"/>
        <w:right w:val="none" w:sz="0" w:space="0" w:color="auto"/>
      </w:divBdr>
    </w:div>
    <w:div w:id="1371959811">
      <w:bodyDiv w:val="1"/>
      <w:marLeft w:val="0"/>
      <w:marRight w:val="0"/>
      <w:marTop w:val="0"/>
      <w:marBottom w:val="0"/>
      <w:divBdr>
        <w:top w:val="none" w:sz="0" w:space="0" w:color="auto"/>
        <w:left w:val="none" w:sz="0" w:space="0" w:color="auto"/>
        <w:bottom w:val="none" w:sz="0" w:space="0" w:color="auto"/>
        <w:right w:val="none" w:sz="0" w:space="0" w:color="auto"/>
      </w:divBdr>
    </w:div>
    <w:div w:id="164431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70539-286B-4381-953C-7F695DF15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4373</Words>
  <Characters>24929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bfaccenda</cp:lastModifiedBy>
  <cp:revision>10</cp:revision>
  <cp:lastPrinted>2012-11-01T17:40:00Z</cp:lastPrinted>
  <dcterms:created xsi:type="dcterms:W3CDTF">2012-10-26T19:43:00Z</dcterms:created>
  <dcterms:modified xsi:type="dcterms:W3CDTF">2012-11-01T18:12:00Z</dcterms:modified>
</cp:coreProperties>
</file>