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978" w:rsidRPr="00A03D6F" w:rsidRDefault="00A34978" w:rsidP="00A34978">
      <w:pPr>
        <w:pStyle w:val="Title"/>
        <w:tabs>
          <w:tab w:val="clear" w:pos="360"/>
          <w:tab w:val="left" w:pos="0"/>
        </w:tabs>
        <w:spacing w:line="240" w:lineRule="auto"/>
      </w:pPr>
      <w:bookmarkStart w:id="0" w:name="_GoBack"/>
      <w:bookmarkEnd w:id="0"/>
      <w:r w:rsidRPr="00A03D6F">
        <w:t>BEFORE THE</w:t>
      </w:r>
    </w:p>
    <w:p w:rsidR="00A34978" w:rsidRPr="00A03D6F" w:rsidRDefault="00A34978" w:rsidP="00A34978">
      <w:pPr>
        <w:tabs>
          <w:tab w:val="left" w:pos="0"/>
        </w:tabs>
        <w:spacing w:after="0" w:line="240" w:lineRule="auto"/>
        <w:jc w:val="center"/>
        <w:rPr>
          <w:b/>
        </w:rPr>
      </w:pPr>
      <w:r w:rsidRPr="00A03D6F">
        <w:rPr>
          <w:b/>
        </w:rPr>
        <w:t>PENNSYLVANIA PUBLIC UTILITY COMMISSION</w:t>
      </w:r>
    </w:p>
    <w:p w:rsidR="00A34978" w:rsidRPr="00A03D6F" w:rsidRDefault="00A34978" w:rsidP="00A34978">
      <w:pPr>
        <w:tabs>
          <w:tab w:val="left" w:pos="0"/>
        </w:tabs>
        <w:spacing w:after="0" w:line="240" w:lineRule="auto"/>
        <w:jc w:val="both"/>
        <w:rPr>
          <w:b/>
        </w:rPr>
      </w:pPr>
    </w:p>
    <w:p w:rsidR="00A34978" w:rsidRPr="00A03D6F" w:rsidRDefault="00A34978" w:rsidP="00A34978">
      <w:pPr>
        <w:tabs>
          <w:tab w:val="left" w:pos="0"/>
        </w:tabs>
        <w:spacing w:after="0" w:line="240" w:lineRule="auto"/>
        <w:jc w:val="both"/>
        <w:rPr>
          <w:b/>
        </w:rPr>
      </w:pPr>
    </w:p>
    <w:p w:rsidR="00A34978" w:rsidRPr="00A03D6F" w:rsidRDefault="00A34978" w:rsidP="00A34978">
      <w:pPr>
        <w:tabs>
          <w:tab w:val="left" w:pos="0"/>
        </w:tabs>
        <w:spacing w:after="0" w:line="240" w:lineRule="auto"/>
        <w:jc w:val="both"/>
        <w:rPr>
          <w:b/>
        </w:rPr>
      </w:pPr>
    </w:p>
    <w:p w:rsidR="00A34978" w:rsidRPr="00A03D6F" w:rsidRDefault="00A34978" w:rsidP="00A34978">
      <w:pPr>
        <w:tabs>
          <w:tab w:val="left" w:pos="0"/>
        </w:tabs>
        <w:spacing w:after="0" w:line="240" w:lineRule="auto"/>
        <w:jc w:val="both"/>
        <w:rPr>
          <w:b/>
        </w:rPr>
      </w:pPr>
      <w:r>
        <w:t>Ann Penny</w:t>
      </w:r>
      <w:r>
        <w:tab/>
      </w:r>
      <w:r w:rsidRPr="00A03D6F">
        <w:tab/>
      </w:r>
      <w:r w:rsidRPr="00A03D6F">
        <w:tab/>
      </w:r>
      <w:r w:rsidRPr="00A03D6F">
        <w:tab/>
      </w:r>
      <w:r w:rsidRPr="00A03D6F">
        <w:tab/>
      </w:r>
      <w:r w:rsidRPr="00A03D6F">
        <w:tab/>
      </w:r>
      <w:r w:rsidRPr="00A03D6F">
        <w:rPr>
          <w:b/>
        </w:rPr>
        <w:t>:</w:t>
      </w:r>
    </w:p>
    <w:p w:rsidR="00A34978" w:rsidRPr="00A03D6F" w:rsidRDefault="00A34978" w:rsidP="00A34978">
      <w:pPr>
        <w:tabs>
          <w:tab w:val="left" w:pos="0"/>
        </w:tabs>
        <w:spacing w:after="0" w:line="240" w:lineRule="auto"/>
        <w:jc w:val="both"/>
      </w:pPr>
      <w:r w:rsidRPr="00A03D6F">
        <w:rPr>
          <w:b/>
        </w:rPr>
        <w:tab/>
      </w:r>
      <w:r w:rsidRPr="00A03D6F">
        <w:rPr>
          <w:b/>
        </w:rPr>
        <w:tab/>
      </w:r>
      <w:r w:rsidRPr="00A03D6F">
        <w:rPr>
          <w:b/>
        </w:rPr>
        <w:tab/>
      </w:r>
      <w:r w:rsidRPr="00A03D6F">
        <w:rPr>
          <w:b/>
        </w:rPr>
        <w:tab/>
      </w:r>
      <w:r w:rsidRPr="00A03D6F">
        <w:rPr>
          <w:b/>
        </w:rPr>
        <w:tab/>
      </w:r>
      <w:r w:rsidRPr="00A03D6F">
        <w:rPr>
          <w:b/>
        </w:rPr>
        <w:tab/>
      </w:r>
      <w:r w:rsidRPr="00A03D6F">
        <w:rPr>
          <w:b/>
        </w:rPr>
        <w:tab/>
        <w:t>:</w:t>
      </w:r>
    </w:p>
    <w:p w:rsidR="00A34978" w:rsidRPr="00A03D6F" w:rsidRDefault="00A34978" w:rsidP="00A34978">
      <w:pPr>
        <w:tabs>
          <w:tab w:val="left" w:pos="0"/>
        </w:tabs>
        <w:spacing w:after="0" w:line="240" w:lineRule="auto"/>
        <w:jc w:val="both"/>
      </w:pPr>
      <w:r w:rsidRPr="00A03D6F">
        <w:tab/>
        <w:t>v.</w:t>
      </w:r>
      <w:r w:rsidRPr="00A03D6F">
        <w:tab/>
      </w:r>
      <w:r w:rsidRPr="00A03D6F">
        <w:tab/>
      </w:r>
      <w:r w:rsidRPr="00A03D6F">
        <w:tab/>
      </w:r>
      <w:r w:rsidRPr="00A03D6F">
        <w:tab/>
      </w:r>
      <w:r w:rsidRPr="00A03D6F">
        <w:tab/>
      </w:r>
      <w:r w:rsidRPr="00A03D6F">
        <w:tab/>
      </w:r>
      <w:r w:rsidRPr="00A03D6F">
        <w:rPr>
          <w:b/>
        </w:rPr>
        <w:t>:</w:t>
      </w:r>
      <w:r w:rsidRPr="00A03D6F">
        <w:tab/>
      </w:r>
      <w:r w:rsidRPr="00A03D6F">
        <w:tab/>
      </w:r>
      <w:r>
        <w:t>C-2012-2289787</w:t>
      </w:r>
    </w:p>
    <w:p w:rsidR="00A34978" w:rsidRPr="00A03D6F" w:rsidRDefault="00A34978" w:rsidP="00A34978">
      <w:pPr>
        <w:tabs>
          <w:tab w:val="left" w:pos="0"/>
        </w:tabs>
        <w:spacing w:after="0" w:line="240" w:lineRule="auto"/>
        <w:jc w:val="both"/>
      </w:pPr>
      <w:r w:rsidRPr="00A03D6F">
        <w:tab/>
      </w:r>
      <w:r w:rsidRPr="00A03D6F">
        <w:tab/>
      </w:r>
      <w:r w:rsidRPr="00A03D6F">
        <w:tab/>
      </w:r>
      <w:r w:rsidRPr="00A03D6F">
        <w:tab/>
      </w:r>
      <w:r w:rsidRPr="00A03D6F">
        <w:tab/>
      </w:r>
      <w:r w:rsidRPr="00A03D6F">
        <w:tab/>
      </w:r>
      <w:r w:rsidRPr="00A03D6F">
        <w:tab/>
      </w:r>
      <w:r w:rsidRPr="00A03D6F">
        <w:rPr>
          <w:b/>
        </w:rPr>
        <w:t>:</w:t>
      </w:r>
    </w:p>
    <w:p w:rsidR="00A34978" w:rsidRPr="00A03D6F" w:rsidRDefault="00A34978" w:rsidP="00A34978">
      <w:pPr>
        <w:tabs>
          <w:tab w:val="left" w:pos="0"/>
        </w:tabs>
        <w:spacing w:after="0" w:line="240" w:lineRule="auto"/>
        <w:jc w:val="both"/>
        <w:rPr>
          <w:b/>
        </w:rPr>
      </w:pPr>
      <w:r>
        <w:t>Equitable Gas Company</w:t>
      </w:r>
      <w:r w:rsidRPr="00A03D6F">
        <w:tab/>
      </w:r>
      <w:r w:rsidRPr="00A03D6F">
        <w:tab/>
      </w:r>
      <w:r w:rsidRPr="00A03D6F">
        <w:tab/>
      </w:r>
      <w:r w:rsidRPr="00A03D6F">
        <w:tab/>
      </w:r>
      <w:r w:rsidRPr="00A03D6F">
        <w:rPr>
          <w:b/>
        </w:rPr>
        <w:t>:</w:t>
      </w:r>
    </w:p>
    <w:p w:rsidR="00A34978" w:rsidRPr="00A03D6F" w:rsidRDefault="00A34978" w:rsidP="00A34978">
      <w:pPr>
        <w:tabs>
          <w:tab w:val="left" w:pos="0"/>
        </w:tabs>
        <w:spacing w:after="0" w:line="240" w:lineRule="auto"/>
        <w:jc w:val="both"/>
        <w:rPr>
          <w:b/>
        </w:rPr>
      </w:pPr>
    </w:p>
    <w:p w:rsidR="00A34978" w:rsidRPr="00A03D6F" w:rsidRDefault="00A34978" w:rsidP="00A34978">
      <w:pPr>
        <w:tabs>
          <w:tab w:val="left" w:pos="0"/>
        </w:tabs>
        <w:spacing w:after="0" w:line="240" w:lineRule="auto"/>
        <w:jc w:val="both"/>
        <w:rPr>
          <w:b/>
        </w:rPr>
      </w:pPr>
    </w:p>
    <w:p w:rsidR="00792796" w:rsidRDefault="00792796" w:rsidP="00A34978">
      <w:pPr>
        <w:spacing w:after="0" w:line="240" w:lineRule="auto"/>
      </w:pPr>
    </w:p>
    <w:p w:rsidR="00D04D91" w:rsidRPr="00A34978" w:rsidRDefault="00D04D91" w:rsidP="00A34978">
      <w:pPr>
        <w:spacing w:after="0" w:line="240" w:lineRule="auto"/>
        <w:jc w:val="center"/>
        <w:rPr>
          <w:b/>
          <w:u w:val="single"/>
        </w:rPr>
      </w:pPr>
      <w:r w:rsidRPr="00A34978">
        <w:rPr>
          <w:b/>
          <w:u w:val="single"/>
        </w:rPr>
        <w:t>INITIAL DECISION</w:t>
      </w:r>
    </w:p>
    <w:p w:rsidR="00A34978" w:rsidRDefault="00A34978" w:rsidP="00A34978">
      <w:pPr>
        <w:spacing w:after="0" w:line="240" w:lineRule="auto"/>
        <w:jc w:val="center"/>
      </w:pPr>
    </w:p>
    <w:p w:rsidR="00D159E6" w:rsidRDefault="00D159E6" w:rsidP="00D159E6">
      <w:pPr>
        <w:spacing w:after="0" w:line="240" w:lineRule="auto"/>
        <w:jc w:val="center"/>
      </w:pPr>
    </w:p>
    <w:p w:rsidR="00D04D91" w:rsidRDefault="00D04D91" w:rsidP="00D159E6">
      <w:pPr>
        <w:spacing w:after="0" w:line="240" w:lineRule="auto"/>
        <w:jc w:val="center"/>
      </w:pPr>
      <w:r>
        <w:t>Before</w:t>
      </w:r>
    </w:p>
    <w:p w:rsidR="00D04D91" w:rsidRDefault="00D04D91" w:rsidP="00D159E6">
      <w:pPr>
        <w:spacing w:after="0" w:line="240" w:lineRule="auto"/>
        <w:jc w:val="center"/>
      </w:pPr>
      <w:r>
        <w:t>Mary D. Long</w:t>
      </w:r>
    </w:p>
    <w:p w:rsidR="00D04D91" w:rsidRDefault="00D04D91" w:rsidP="00D159E6">
      <w:pPr>
        <w:spacing w:after="0" w:line="240" w:lineRule="auto"/>
        <w:jc w:val="center"/>
      </w:pPr>
      <w:r>
        <w:t>Administrative Law Judge</w:t>
      </w:r>
    </w:p>
    <w:p w:rsidR="00A34978" w:rsidRDefault="00A34978" w:rsidP="00D159E6">
      <w:pPr>
        <w:spacing w:after="0" w:line="240" w:lineRule="auto"/>
        <w:jc w:val="center"/>
      </w:pPr>
    </w:p>
    <w:p w:rsidR="00D159E6" w:rsidRDefault="00D159E6" w:rsidP="00D159E6">
      <w:pPr>
        <w:spacing w:after="0" w:line="240" w:lineRule="auto"/>
        <w:jc w:val="center"/>
        <w:rPr>
          <w:u w:val="single"/>
        </w:rPr>
      </w:pPr>
    </w:p>
    <w:p w:rsidR="00D04D91" w:rsidRDefault="00D04D91" w:rsidP="00D159E6">
      <w:pPr>
        <w:spacing w:after="0" w:line="240" w:lineRule="auto"/>
        <w:jc w:val="center"/>
        <w:rPr>
          <w:u w:val="single"/>
        </w:rPr>
      </w:pPr>
      <w:r w:rsidRPr="00A34978">
        <w:rPr>
          <w:u w:val="single"/>
        </w:rPr>
        <w:t>PROCEDURAL HISTORY</w:t>
      </w:r>
    </w:p>
    <w:p w:rsidR="00D159E6" w:rsidRDefault="00D159E6" w:rsidP="00D159E6">
      <w:pPr>
        <w:spacing w:after="0" w:line="240" w:lineRule="auto"/>
        <w:jc w:val="center"/>
        <w:rPr>
          <w:u w:val="single"/>
        </w:rPr>
      </w:pPr>
    </w:p>
    <w:p w:rsidR="00D159E6" w:rsidRPr="00A34978" w:rsidRDefault="00D159E6" w:rsidP="00D159E6">
      <w:pPr>
        <w:spacing w:after="0" w:line="240" w:lineRule="auto"/>
        <w:jc w:val="center"/>
        <w:rPr>
          <w:u w:val="single"/>
        </w:rPr>
      </w:pPr>
    </w:p>
    <w:p w:rsidR="00D04D91" w:rsidRDefault="00D04D91" w:rsidP="00A203F4">
      <w:pPr>
        <w:spacing w:after="0"/>
      </w:pPr>
      <w:r>
        <w:tab/>
      </w:r>
      <w:r w:rsidR="00D159E6">
        <w:tab/>
      </w:r>
      <w:r>
        <w:t xml:space="preserve">Ann Penny, Esquire (Complainant) filed a formal complaint </w:t>
      </w:r>
      <w:r w:rsidR="00C50C54">
        <w:t xml:space="preserve">with the Commission </w:t>
      </w:r>
      <w:r>
        <w:t>against Equitable Gas Company</w:t>
      </w:r>
      <w:r w:rsidR="00C50C54">
        <w:t>, LLC</w:t>
      </w:r>
      <w:r>
        <w:t xml:space="preserve"> (Equitable) on February 16, 2012.  Ms. Penny contends that Equitable will not open a residential gas service account in her name for a property that she owns because of a past</w:t>
      </w:r>
      <w:r w:rsidR="0051338C">
        <w:t xml:space="preserve"> </w:t>
      </w:r>
      <w:r>
        <w:t xml:space="preserve">due balance </w:t>
      </w:r>
      <w:r w:rsidR="00170EDB">
        <w:t xml:space="preserve">owed by </w:t>
      </w:r>
      <w:r>
        <w:t xml:space="preserve">Roy Penny, her </w:t>
      </w:r>
      <w:r w:rsidR="001A75D7">
        <w:t>nephew</w:t>
      </w:r>
      <w:r>
        <w:t>.  On March 14, 2012, Equitable filed an answer and took the position that it would not commence service in Ms.</w:t>
      </w:r>
      <w:r w:rsidR="00C50C54">
        <w:t> </w:t>
      </w:r>
      <w:r>
        <w:t xml:space="preserve">Penny’s name as long as Roy Penny resided at the service address and would require </w:t>
      </w:r>
      <w:r w:rsidR="00170EDB">
        <w:t>the Complainant</w:t>
      </w:r>
      <w:r>
        <w:t xml:space="preserve"> to pay Mr. Penny’s past due balance before establishing service in her name.</w:t>
      </w:r>
    </w:p>
    <w:p w:rsidR="00D159E6" w:rsidRDefault="00D159E6" w:rsidP="00A203F4">
      <w:pPr>
        <w:spacing w:after="0"/>
      </w:pPr>
    </w:p>
    <w:p w:rsidR="00A95C2B" w:rsidRDefault="00A95C2B" w:rsidP="00A203F4">
      <w:pPr>
        <w:spacing w:after="0"/>
      </w:pPr>
      <w:r>
        <w:tab/>
      </w:r>
      <w:r w:rsidR="00D159E6">
        <w:tab/>
      </w:r>
      <w:r>
        <w:t>By hearing notice dated March 20, 2012</w:t>
      </w:r>
      <w:r w:rsidR="001F5201">
        <w:t>,</w:t>
      </w:r>
      <w:r>
        <w:t xml:space="preserve"> this matter was assigned to me and set for a telephonic hearing on April 30, 2012.  I issued my customary prehearing order on March 21, 2012.  The hearing was held as scheduled.  The Complainant</w:t>
      </w:r>
      <w:r w:rsidR="00852034">
        <w:t>, who is an attorney,</w:t>
      </w:r>
      <w:r>
        <w:t xml:space="preserve"> appeared on her own behalf.  She testified and offered</w:t>
      </w:r>
      <w:r w:rsidR="00D043E2">
        <w:t xml:space="preserve"> three </w:t>
      </w:r>
      <w:r>
        <w:t>ex</w:t>
      </w:r>
      <w:r w:rsidR="00D043E2">
        <w:t>h</w:t>
      </w:r>
      <w:r>
        <w:t xml:space="preserve">ibits which were admitted into the record.  </w:t>
      </w:r>
      <w:r w:rsidR="00D043E2">
        <w:lastRenderedPageBreak/>
        <w:t xml:space="preserve">By order dated May 22, 2012, the Complainant was </w:t>
      </w:r>
      <w:r w:rsidR="00170EDB">
        <w:t xml:space="preserve">also </w:t>
      </w:r>
      <w:r w:rsidR="00D043E2">
        <w:t>permitted to offer one additional exhibit which was admitted into the record.</w:t>
      </w:r>
      <w:r w:rsidR="00D043E2">
        <w:rPr>
          <w:rStyle w:val="FootnoteReference"/>
        </w:rPr>
        <w:footnoteReference w:id="1"/>
      </w:r>
    </w:p>
    <w:p w:rsidR="00D159E6" w:rsidRDefault="00D159E6" w:rsidP="00A203F4">
      <w:pPr>
        <w:spacing w:after="0"/>
      </w:pPr>
    </w:p>
    <w:p w:rsidR="00294E64" w:rsidRDefault="00294E64" w:rsidP="00A203F4">
      <w:pPr>
        <w:spacing w:after="0"/>
      </w:pPr>
      <w:r>
        <w:tab/>
      </w:r>
      <w:r w:rsidR="00D159E6">
        <w:tab/>
      </w:r>
      <w:r>
        <w:t>Equitable was represented at the hearing by Thomas S. Anderson, Esquire.  Equitable offered the testimony of two witnesses and 12 exhibits which were admitted into evidence.  The hearing generated a transcript of 71 pages.  Briefs</w:t>
      </w:r>
      <w:r w:rsidR="00452BD0">
        <w:rPr>
          <w:rStyle w:val="FootnoteReference"/>
        </w:rPr>
        <w:footnoteReference w:id="2"/>
      </w:r>
      <w:r>
        <w:t xml:space="preserve"> were filed by both parties and by order dated August 14, 2012, the record was closed.</w:t>
      </w:r>
    </w:p>
    <w:p w:rsidR="00D159E6" w:rsidRDefault="00D159E6" w:rsidP="00A203F4">
      <w:pPr>
        <w:spacing w:after="0"/>
      </w:pPr>
    </w:p>
    <w:p w:rsidR="00294E64" w:rsidRDefault="00294E64" w:rsidP="00A203F4">
      <w:pPr>
        <w:spacing w:after="0"/>
      </w:pPr>
      <w:r>
        <w:tab/>
      </w:r>
      <w:r w:rsidR="00D159E6">
        <w:tab/>
      </w:r>
      <w:r>
        <w:t>After full con</w:t>
      </w:r>
      <w:r w:rsidR="00D86D0C">
        <w:t>sideration of the record in these</w:t>
      </w:r>
      <w:r>
        <w:t xml:space="preserve"> proceedings, I make the following:</w:t>
      </w:r>
    </w:p>
    <w:p w:rsidR="00D159E6" w:rsidRDefault="00D159E6" w:rsidP="00A203F4">
      <w:pPr>
        <w:spacing w:after="0"/>
      </w:pPr>
    </w:p>
    <w:p w:rsidR="00281189" w:rsidRDefault="00281189" w:rsidP="00A203F4">
      <w:pPr>
        <w:spacing w:after="0"/>
        <w:jc w:val="center"/>
        <w:rPr>
          <w:u w:val="single"/>
        </w:rPr>
      </w:pPr>
      <w:r w:rsidRPr="009211F1">
        <w:rPr>
          <w:u w:val="single"/>
        </w:rPr>
        <w:t>FINDINGS OF FACT</w:t>
      </w:r>
    </w:p>
    <w:p w:rsidR="00A203F4" w:rsidRDefault="00A203F4" w:rsidP="00A203F4">
      <w:pPr>
        <w:spacing w:after="0"/>
        <w:jc w:val="center"/>
        <w:rPr>
          <w:u w:val="single"/>
        </w:rPr>
      </w:pPr>
    </w:p>
    <w:p w:rsidR="00281189" w:rsidRDefault="007A34E0" w:rsidP="00A203F4">
      <w:pPr>
        <w:pStyle w:val="ListParagraph"/>
      </w:pPr>
      <w:r>
        <w:t>Ann Penny (Complainant) resides at 112 E. 14</w:t>
      </w:r>
      <w:r w:rsidRPr="007A34E0">
        <w:rPr>
          <w:vertAlign w:val="superscript"/>
        </w:rPr>
        <w:t>th</w:t>
      </w:r>
      <w:r>
        <w:t xml:space="preserve"> Avenue, Homestead, Pennsylvania. (N.T. 8</w:t>
      </w:r>
      <w:r w:rsidR="000121BB">
        <w:t>)</w:t>
      </w:r>
    </w:p>
    <w:p w:rsidR="00D159E6" w:rsidRDefault="00D159E6" w:rsidP="00A203F4">
      <w:pPr>
        <w:spacing w:after="0"/>
        <w:ind w:left="720"/>
      </w:pPr>
    </w:p>
    <w:p w:rsidR="007A34E0" w:rsidRDefault="007A34E0" w:rsidP="00A203F4">
      <w:pPr>
        <w:pStyle w:val="ListParagraph"/>
      </w:pPr>
      <w:r>
        <w:t>The Complainant owns a house at 512 Junilla Street, Pittsburgh, Pennsylvania (Junilla Street).  She has not lived in that house since 1992. (N.T. 8-9</w:t>
      </w:r>
      <w:r w:rsidR="00B57748">
        <w:t>, 19</w:t>
      </w:r>
      <w:r>
        <w:t>)</w:t>
      </w:r>
    </w:p>
    <w:p w:rsidR="00D159E6" w:rsidRDefault="00D159E6" w:rsidP="00A203F4">
      <w:pPr>
        <w:spacing w:after="0"/>
        <w:ind w:left="720"/>
      </w:pPr>
    </w:p>
    <w:p w:rsidR="007A34E0" w:rsidRDefault="007A34E0" w:rsidP="00A203F4">
      <w:pPr>
        <w:pStyle w:val="ListParagraph"/>
      </w:pPr>
      <w:r>
        <w:t>Junilla Street is the home where the Complainant grew up and was owned by her father.  Various members of the family have lived in the home from time to time. (N.T. 12-13)</w:t>
      </w:r>
    </w:p>
    <w:p w:rsidR="00D159E6" w:rsidRDefault="00D159E6" w:rsidP="00A203F4">
      <w:pPr>
        <w:spacing w:after="0"/>
        <w:ind w:left="720"/>
      </w:pPr>
    </w:p>
    <w:p w:rsidR="00B57748" w:rsidRDefault="000E0C58" w:rsidP="00A203F4">
      <w:pPr>
        <w:pStyle w:val="ListParagraph"/>
      </w:pPr>
      <w:r>
        <w:t xml:space="preserve">Roy Penny, the ratepayer of record, is </w:t>
      </w:r>
      <w:r w:rsidR="007A34E0">
        <w:t>the Complainant</w:t>
      </w:r>
      <w:r>
        <w:t>’s nephew. He</w:t>
      </w:r>
      <w:r w:rsidR="000121BB">
        <w:t xml:space="preserve"> lived in the home fro</w:t>
      </w:r>
      <w:r w:rsidR="007A34E0">
        <w:t xml:space="preserve">m 2005 or 2006 until December 2011. </w:t>
      </w:r>
      <w:r w:rsidR="00B57748">
        <w:t>(N.T. 10</w:t>
      </w:r>
      <w:r w:rsidR="00860550">
        <w:t>, 40</w:t>
      </w:r>
      <w:r w:rsidR="004C3DDB">
        <w:t xml:space="preserve">; </w:t>
      </w:r>
      <w:r w:rsidR="00E45513">
        <w:t xml:space="preserve">see </w:t>
      </w:r>
      <w:r w:rsidR="004C3DDB">
        <w:t>Equitable Ex. 12</w:t>
      </w:r>
      <w:r w:rsidR="00B57748">
        <w:t>)</w:t>
      </w:r>
    </w:p>
    <w:p w:rsidR="00D159E6" w:rsidRDefault="00D159E6" w:rsidP="00A203F4">
      <w:pPr>
        <w:spacing w:after="0"/>
        <w:ind w:left="720"/>
      </w:pPr>
    </w:p>
    <w:p w:rsidR="00B57748" w:rsidRDefault="00B57748" w:rsidP="00A203F4">
      <w:pPr>
        <w:pStyle w:val="ListParagraph"/>
      </w:pPr>
      <w:r>
        <w:t xml:space="preserve">At one time he paid rent to the Complainant, but since he has been out of work, she has only required him to </w:t>
      </w:r>
      <w:r w:rsidR="000121BB">
        <w:t>maintain utility service</w:t>
      </w:r>
      <w:r>
        <w:t>.  He has accounts for water and electricity service. (N.T. 21-22)</w:t>
      </w:r>
    </w:p>
    <w:p w:rsidR="00D159E6" w:rsidRDefault="00D159E6" w:rsidP="00A203F4">
      <w:pPr>
        <w:pStyle w:val="ListParagraph"/>
        <w:numPr>
          <w:ilvl w:val="0"/>
          <w:numId w:val="0"/>
        </w:numPr>
        <w:ind w:left="1440"/>
      </w:pPr>
    </w:p>
    <w:p w:rsidR="002C1366" w:rsidRDefault="000121BB" w:rsidP="00A203F4">
      <w:pPr>
        <w:pStyle w:val="ListParagraph"/>
      </w:pPr>
      <w:r>
        <w:t xml:space="preserve">During the winter of 2011 </w:t>
      </w:r>
      <w:r w:rsidR="00B57748">
        <w:t>Roy Penny</w:t>
      </w:r>
      <w:r w:rsidR="007A34E0">
        <w:t xml:space="preserve"> moved out because the gas service was terminated due to his fail</w:t>
      </w:r>
      <w:r w:rsidR="00B57748">
        <w:t xml:space="preserve">ure to pay his bills. </w:t>
      </w:r>
      <w:r w:rsidR="001F5201">
        <w:t xml:space="preserve"> </w:t>
      </w:r>
      <w:r w:rsidR="002C1366">
        <w:t xml:space="preserve">He was not living at Junilla Street in December 2011. </w:t>
      </w:r>
      <w:r w:rsidR="002C1366" w:rsidRPr="000121BB">
        <w:t>(N.T.</w:t>
      </w:r>
      <w:r>
        <w:t xml:space="preserve"> 13</w:t>
      </w:r>
      <w:r w:rsidR="002C1366" w:rsidRPr="000121BB">
        <w:t>)</w:t>
      </w:r>
    </w:p>
    <w:p w:rsidR="00D159E6" w:rsidRDefault="00D159E6" w:rsidP="00A203F4">
      <w:pPr>
        <w:spacing w:after="0"/>
        <w:ind w:left="720"/>
      </w:pPr>
    </w:p>
    <w:p w:rsidR="007A34E0" w:rsidRDefault="00B57748" w:rsidP="00A203F4">
      <w:pPr>
        <w:pStyle w:val="ListParagraph"/>
      </w:pPr>
      <w:r>
        <w:t>He moved back into Junilla Street in April 2012</w:t>
      </w:r>
      <w:r w:rsidR="000121BB">
        <w:t>,</w:t>
      </w:r>
      <w:r>
        <w:t xml:space="preserve"> and as of the date of the hearing, he was living there. (N.T. </w:t>
      </w:r>
      <w:r w:rsidR="007A34E0">
        <w:t>12</w:t>
      </w:r>
      <w:r>
        <w:t>-13</w:t>
      </w:r>
      <w:r w:rsidR="007A34E0">
        <w:t>)</w:t>
      </w:r>
    </w:p>
    <w:p w:rsidR="00D159E6" w:rsidRDefault="00D159E6" w:rsidP="00A203F4">
      <w:pPr>
        <w:spacing w:after="0"/>
        <w:ind w:left="720"/>
      </w:pPr>
    </w:p>
    <w:p w:rsidR="007A34E0" w:rsidRDefault="007A34E0" w:rsidP="00A203F4">
      <w:pPr>
        <w:pStyle w:val="ListParagraph"/>
      </w:pPr>
      <w:r>
        <w:t xml:space="preserve">When the Complainant found out that gas service had been terminated, she was concerned that the pipes would burst due to winter freezing.  Therefore, </w:t>
      </w:r>
      <w:r w:rsidR="000121BB">
        <w:t xml:space="preserve">in December 2011 </w:t>
      </w:r>
      <w:r>
        <w:t xml:space="preserve">she contacted Equitable to apply for service in her own name. (N.T. </w:t>
      </w:r>
      <w:r w:rsidR="0009320D">
        <w:t>10)</w:t>
      </w:r>
    </w:p>
    <w:p w:rsidR="00D159E6" w:rsidRDefault="00D159E6" w:rsidP="00A203F4">
      <w:pPr>
        <w:spacing w:after="0"/>
        <w:ind w:left="720"/>
      </w:pPr>
    </w:p>
    <w:p w:rsidR="00BD7B79" w:rsidRDefault="000121BB" w:rsidP="00A203F4">
      <w:pPr>
        <w:pStyle w:val="ListParagraph"/>
      </w:pPr>
      <w:r>
        <w:t xml:space="preserve">The Complainant believes that Roy </w:t>
      </w:r>
      <w:r w:rsidR="00A203F4">
        <w:t>Penny owes</w:t>
      </w:r>
      <w:r w:rsidR="00BD7B79">
        <w:t xml:space="preserve"> Equitab</w:t>
      </w:r>
      <w:r>
        <w:t>le approximately $6,000. (N.T. 11)</w:t>
      </w:r>
    </w:p>
    <w:p w:rsidR="00D159E6" w:rsidRDefault="00D159E6" w:rsidP="00A203F4">
      <w:pPr>
        <w:spacing w:after="0"/>
        <w:ind w:left="720"/>
      </w:pPr>
    </w:p>
    <w:p w:rsidR="0009320D" w:rsidRDefault="00F5570F" w:rsidP="00A203F4">
      <w:pPr>
        <w:pStyle w:val="ListParagraph"/>
      </w:pPr>
      <w:r>
        <w:t>The Complainant</w:t>
      </w:r>
      <w:r w:rsidR="0009320D">
        <w:t xml:space="preserve"> contacted Equitable the last week of December 2011 and was told that she needed to complete a credit application.</w:t>
      </w:r>
      <w:r w:rsidR="001F5201">
        <w:t xml:space="preserve"> </w:t>
      </w:r>
      <w:r w:rsidR="0009320D">
        <w:t xml:space="preserve"> She returned the credit application</w:t>
      </w:r>
      <w:r>
        <w:t>.  A representative of Equitable initially told her that she passed the credit check.</w:t>
      </w:r>
      <w:r w:rsidR="0009320D">
        <w:t xml:space="preserve"> (N.T. 10, 13</w:t>
      </w:r>
      <w:r w:rsidR="00377C18">
        <w:t>; Equitable Ex. 11</w:t>
      </w:r>
      <w:r w:rsidR="0009320D">
        <w:t>)</w:t>
      </w:r>
    </w:p>
    <w:p w:rsidR="00D159E6" w:rsidRDefault="00D159E6" w:rsidP="00A203F4">
      <w:pPr>
        <w:spacing w:after="0"/>
        <w:ind w:left="720"/>
      </w:pPr>
    </w:p>
    <w:p w:rsidR="009211F1" w:rsidRDefault="00F5570F" w:rsidP="00A203F4">
      <w:pPr>
        <w:pStyle w:val="ListParagraph"/>
      </w:pPr>
      <w:r>
        <w:t xml:space="preserve">However, </w:t>
      </w:r>
      <w:r w:rsidR="009211F1">
        <w:t>Equitable denied her application because “[t]he ratepayer of record, Roy Penny, is attempting to secure gas service without paying the past due balance by having someone else apply for service.”  (Equitable Ex. 12)</w:t>
      </w:r>
    </w:p>
    <w:p w:rsidR="00D159E6" w:rsidRDefault="00D159E6" w:rsidP="00A203F4">
      <w:pPr>
        <w:spacing w:after="0"/>
        <w:ind w:left="720"/>
      </w:pPr>
    </w:p>
    <w:p w:rsidR="0009320D" w:rsidRDefault="0009320D" w:rsidP="00A203F4">
      <w:pPr>
        <w:pStyle w:val="ListParagraph"/>
      </w:pPr>
      <w:r>
        <w:t>A representative from Equitable told her that in order to begin service in her name, Roy Penny could not be living in the house. (N.T. 11)</w:t>
      </w:r>
    </w:p>
    <w:p w:rsidR="00D159E6" w:rsidRDefault="00D159E6" w:rsidP="00A203F4">
      <w:pPr>
        <w:spacing w:after="0"/>
        <w:ind w:left="720"/>
      </w:pPr>
    </w:p>
    <w:p w:rsidR="0068325C" w:rsidRDefault="0068325C" w:rsidP="00A203F4">
      <w:pPr>
        <w:pStyle w:val="ListParagraph"/>
      </w:pPr>
      <w:r>
        <w:t>As the owner of the Junilla Street house, the Complainant was never notified by Equitable that the gas service bills were not being paid or that gas service had been terminated. (N.T. 16)</w:t>
      </w:r>
    </w:p>
    <w:p w:rsidR="00D159E6" w:rsidRDefault="00D159E6" w:rsidP="00A203F4">
      <w:pPr>
        <w:spacing w:after="0"/>
        <w:ind w:left="720"/>
      </w:pPr>
    </w:p>
    <w:p w:rsidR="00941CD8" w:rsidRDefault="00941CD8" w:rsidP="00A203F4">
      <w:pPr>
        <w:pStyle w:val="ListParagraph"/>
      </w:pPr>
      <w:r>
        <w:lastRenderedPageBreak/>
        <w:t>The Complainant does not want Roy Penny to move out of the house because she does not want the house left empty</w:t>
      </w:r>
      <w:r w:rsidR="00EE42A4">
        <w:t xml:space="preserve"> for security reasons</w:t>
      </w:r>
      <w:r>
        <w:t>. (N.T. 17)</w:t>
      </w:r>
    </w:p>
    <w:p w:rsidR="00D159E6" w:rsidRDefault="00D159E6" w:rsidP="00A203F4">
      <w:pPr>
        <w:spacing w:after="0"/>
        <w:ind w:left="720"/>
      </w:pPr>
    </w:p>
    <w:p w:rsidR="00A651D4" w:rsidRDefault="00A651D4" w:rsidP="00A203F4">
      <w:pPr>
        <w:pStyle w:val="ListParagraph"/>
      </w:pPr>
      <w:r>
        <w:t>The Complainant does not have any utility service in her name for Junilla Street. (N.T. 22)</w:t>
      </w:r>
    </w:p>
    <w:p w:rsidR="00D159E6" w:rsidRDefault="00D159E6" w:rsidP="00A203F4">
      <w:pPr>
        <w:spacing w:after="0"/>
        <w:ind w:left="720"/>
      </w:pPr>
    </w:p>
    <w:p w:rsidR="00634B39" w:rsidRDefault="00E62E2A" w:rsidP="00A203F4">
      <w:pPr>
        <w:pStyle w:val="ListParagraph"/>
      </w:pPr>
      <w:r>
        <w:t>In September 2011, Sophia Washington, who identified herself as Roy Penny’s sister, applied for service at Junilla Street.  Equitable denied her application b</w:t>
      </w:r>
      <w:r w:rsidR="00283014">
        <w:t>ecause</w:t>
      </w:r>
      <w:r>
        <w:t xml:space="preserve"> it determined that Roy Penny was still living at Junilla Street</w:t>
      </w:r>
      <w:r w:rsidR="00283014">
        <w:t>.  Equitable would not commence service until Ms. Washington proved that Mr. Penny was no longer living at the home or Mr.</w:t>
      </w:r>
      <w:r w:rsidR="001F5201">
        <w:t> </w:t>
      </w:r>
      <w:r w:rsidR="00283014">
        <w:t>Penny’s past due balance was paid in full. (N.T. 26-32; 34-36)</w:t>
      </w:r>
    </w:p>
    <w:p w:rsidR="00D159E6" w:rsidRDefault="00D159E6" w:rsidP="00A203F4">
      <w:pPr>
        <w:spacing w:after="0"/>
        <w:ind w:left="720"/>
      </w:pPr>
    </w:p>
    <w:p w:rsidR="000121BB" w:rsidRDefault="000121BB" w:rsidP="00A203F4">
      <w:pPr>
        <w:pStyle w:val="ListParagraph"/>
      </w:pPr>
      <w:r>
        <w:t>Roy Penny provided a false address to Equitable in December 2011. (N.T. 40-41)</w:t>
      </w:r>
    </w:p>
    <w:p w:rsidR="00D159E6" w:rsidRDefault="00D159E6" w:rsidP="00A203F4">
      <w:pPr>
        <w:spacing w:after="0"/>
        <w:ind w:left="720"/>
      </w:pPr>
    </w:p>
    <w:p w:rsidR="00634B39" w:rsidRDefault="00634B39" w:rsidP="00A203F4">
      <w:pPr>
        <w:pStyle w:val="ListParagraph"/>
      </w:pPr>
      <w:r>
        <w:t xml:space="preserve">The Complainant was not aware </w:t>
      </w:r>
      <w:r w:rsidR="000121BB">
        <w:t>that Sophia Washington had also applied for service, or that Roy Penny had provided Equitable with a false address.  She</w:t>
      </w:r>
      <w:r>
        <w:t xml:space="preserve"> did not know there was a problem with the gas service at Junilla Street until </w:t>
      </w:r>
      <w:r w:rsidR="000121BB">
        <w:t xml:space="preserve">shortly before </w:t>
      </w:r>
      <w:r>
        <w:t>she contacted Equitable in December 2011. (N.T. 55)</w:t>
      </w:r>
    </w:p>
    <w:p w:rsidR="00D159E6" w:rsidRDefault="00D159E6" w:rsidP="00A203F4">
      <w:pPr>
        <w:spacing w:after="0"/>
        <w:ind w:left="720"/>
      </w:pPr>
    </w:p>
    <w:p w:rsidR="003E05FB" w:rsidRDefault="00634B39" w:rsidP="00A203F4">
      <w:pPr>
        <w:pStyle w:val="ListParagraph"/>
      </w:pPr>
      <w:r>
        <w:t>The residence at 112-114 E. 14</w:t>
      </w:r>
      <w:r w:rsidRPr="00634B39">
        <w:rPr>
          <w:vertAlign w:val="superscript"/>
        </w:rPr>
        <w:t>th</w:t>
      </w:r>
      <w:r>
        <w:t xml:space="preserve"> Street is a duplex.  The Complainant resides in the half denoted as number 112.  She does not have a gas service account in her name at the </w:t>
      </w:r>
      <w:r w:rsidR="00AD691F">
        <w:t>number 112</w:t>
      </w:r>
      <w:r>
        <w:t xml:space="preserve"> address because she pays half the gas bill to Betty Penny</w:t>
      </w:r>
      <w:r w:rsidR="00AD691F">
        <w:t>, who resides in number 114</w:t>
      </w:r>
      <w:r>
        <w:t>. (N.T. 54)</w:t>
      </w:r>
    </w:p>
    <w:p w:rsidR="00D159E6" w:rsidRDefault="00D159E6" w:rsidP="00A203F4">
      <w:pPr>
        <w:pStyle w:val="ListParagraph"/>
        <w:numPr>
          <w:ilvl w:val="0"/>
          <w:numId w:val="0"/>
        </w:numPr>
        <w:ind w:left="1440"/>
      </w:pPr>
    </w:p>
    <w:p w:rsidR="00B01195" w:rsidRDefault="00B01195" w:rsidP="00A203F4">
      <w:pPr>
        <w:pStyle w:val="ListParagraph"/>
      </w:pPr>
      <w:r>
        <w:t>The Complainant’s testimony that she resides at 112 E. 14</w:t>
      </w:r>
      <w:r w:rsidRPr="00B01195">
        <w:rPr>
          <w:vertAlign w:val="superscript"/>
        </w:rPr>
        <w:t>th</w:t>
      </w:r>
      <w:r>
        <w:t xml:space="preserve"> Street is credible.  The Complainant’s testimony that she has not resided at </w:t>
      </w:r>
      <w:r w:rsidR="00E002C6">
        <w:t>5</w:t>
      </w:r>
      <w:r>
        <w:t>12 Junilla Street since 1992 is credible.</w:t>
      </w:r>
    </w:p>
    <w:p w:rsidR="00D159E6" w:rsidRDefault="00D159E6" w:rsidP="00A203F4">
      <w:pPr>
        <w:spacing w:after="0" w:line="276" w:lineRule="auto"/>
        <w:rPr>
          <w:u w:val="single"/>
        </w:rPr>
      </w:pPr>
    </w:p>
    <w:p w:rsidR="00A203F4" w:rsidRDefault="00A203F4">
      <w:pPr>
        <w:spacing w:line="276" w:lineRule="auto"/>
        <w:rPr>
          <w:u w:val="single"/>
        </w:rPr>
      </w:pPr>
      <w:r>
        <w:rPr>
          <w:u w:val="single"/>
        </w:rPr>
        <w:br w:type="page"/>
      </w:r>
    </w:p>
    <w:p w:rsidR="00DB1861" w:rsidRPr="00DB1861" w:rsidRDefault="00DB1861" w:rsidP="00A203F4">
      <w:pPr>
        <w:spacing w:after="0"/>
        <w:ind w:left="360"/>
        <w:jc w:val="center"/>
        <w:rPr>
          <w:u w:val="single"/>
        </w:rPr>
      </w:pPr>
      <w:r w:rsidRPr="00DB1861">
        <w:rPr>
          <w:u w:val="single"/>
        </w:rPr>
        <w:lastRenderedPageBreak/>
        <w:t>DISCUSSION</w:t>
      </w:r>
    </w:p>
    <w:p w:rsidR="00D159E6" w:rsidRDefault="00D159E6" w:rsidP="00A203F4">
      <w:pPr>
        <w:spacing w:after="0"/>
        <w:ind w:firstLine="1440"/>
      </w:pPr>
    </w:p>
    <w:p w:rsidR="00DB1861" w:rsidRDefault="00DB1861" w:rsidP="00A203F4">
      <w:pPr>
        <w:spacing w:after="0"/>
        <w:ind w:firstLine="1440"/>
      </w:pPr>
      <w:r>
        <w:t xml:space="preserve">The sole issue for my review is whether Equitable Gas Company properly denied Ann Penny’s application for residential gas service to </w:t>
      </w:r>
      <w:r w:rsidR="00E002C6">
        <w:t>5</w:t>
      </w:r>
      <w:r>
        <w:t>12 Junilla Street.</w:t>
      </w:r>
      <w:r w:rsidR="00422C0F">
        <w:rPr>
          <w:rStyle w:val="FootnoteReference"/>
        </w:rPr>
        <w:footnoteReference w:id="3"/>
      </w:r>
      <w:r>
        <w:t xml:space="preserve">  </w:t>
      </w:r>
      <w:r w:rsidR="007F609A">
        <w:t>The Complainant argues that Equitable should have terminated Roy Penny’s account long before it reached $6,000, or that it could have informed her as the property owner that the account was past due</w:t>
      </w:r>
      <w:r w:rsidR="004C351E">
        <w:t>.</w:t>
      </w:r>
      <w:r w:rsidR="007F609A">
        <w:t xml:space="preserve">  Because it failed to do so, Equitab</w:t>
      </w:r>
      <w:r w:rsidR="00A1194E">
        <w:t>le can</w:t>
      </w:r>
      <w:r w:rsidR="007F609A">
        <w:t>not now condition gas service at Junilla Street on the eviction of a tenant.  I agree.</w:t>
      </w:r>
    </w:p>
    <w:p w:rsidR="00D159E6" w:rsidRDefault="00D159E6" w:rsidP="00A203F4">
      <w:pPr>
        <w:spacing w:after="0"/>
        <w:ind w:firstLine="1440"/>
      </w:pPr>
    </w:p>
    <w:p w:rsidR="00930514" w:rsidRDefault="008E2C48" w:rsidP="00A203F4">
      <w:pPr>
        <w:spacing w:after="0"/>
        <w:ind w:firstLine="1440"/>
        <w:rPr>
          <w:szCs w:val="24"/>
        </w:rPr>
      </w:pPr>
      <w:r w:rsidRPr="00035CC2">
        <w:rPr>
          <w:szCs w:val="24"/>
        </w:rPr>
        <w:t>Section 701 of the Public Utility Code (Code), provides that any person may complain, in writing, about any act or thing done or omitted to be done by a public utility in violation, or claimed violation, of any law which the Commission has the jurisdiction to administer, or of any regulation or order of the Commission.</w:t>
      </w:r>
      <w:r w:rsidRPr="00035CC2">
        <w:rPr>
          <w:rStyle w:val="FootnoteReference"/>
          <w:szCs w:val="24"/>
        </w:rPr>
        <w:footnoteReference w:id="4"/>
      </w:r>
      <w:r w:rsidRPr="00035CC2">
        <w:rPr>
          <w:szCs w:val="24"/>
        </w:rPr>
        <w:t xml:space="preserve">  A person seeking affirmative relief from the Commission has the burden of proof.</w:t>
      </w:r>
      <w:r w:rsidRPr="00035CC2">
        <w:rPr>
          <w:rStyle w:val="FootnoteReference"/>
          <w:szCs w:val="24"/>
        </w:rPr>
        <w:footnoteReference w:id="5"/>
      </w:r>
      <w:r w:rsidR="007E2513">
        <w:rPr>
          <w:szCs w:val="24"/>
        </w:rPr>
        <w:t xml:space="preserve">  </w:t>
      </w:r>
      <w:r w:rsidRPr="00035CC2">
        <w:rPr>
          <w:szCs w:val="24"/>
        </w:rPr>
        <w:t>In this matter, the Complainant is the party seeking affirmative relief from the Commission; therefore,</w:t>
      </w:r>
      <w:r w:rsidR="007E2513">
        <w:rPr>
          <w:szCs w:val="24"/>
        </w:rPr>
        <w:t xml:space="preserve"> s</w:t>
      </w:r>
      <w:r w:rsidRPr="00035CC2">
        <w:rPr>
          <w:szCs w:val="24"/>
        </w:rPr>
        <w:t xml:space="preserve">he has the burden of proof. </w:t>
      </w:r>
    </w:p>
    <w:p w:rsidR="00D159E6" w:rsidRDefault="00D159E6" w:rsidP="00A203F4">
      <w:pPr>
        <w:spacing w:after="0"/>
        <w:ind w:firstLine="1440"/>
        <w:rPr>
          <w:szCs w:val="24"/>
        </w:rPr>
      </w:pPr>
    </w:p>
    <w:p w:rsidR="00D159E6" w:rsidRDefault="00930514" w:rsidP="00A203F4">
      <w:pPr>
        <w:spacing w:after="0"/>
        <w:ind w:firstLine="1440"/>
        <w:rPr>
          <w:szCs w:val="24"/>
        </w:rPr>
      </w:pPr>
      <w:r>
        <w:rPr>
          <w:szCs w:val="24"/>
        </w:rPr>
        <w:t xml:space="preserve">It is Equitable’s position that </w:t>
      </w:r>
      <w:r w:rsidR="00D94814">
        <w:rPr>
          <w:szCs w:val="24"/>
        </w:rPr>
        <w:t>Roy Penny has attempted on numerous occasions to secure gas service without paying his past due balance.</w:t>
      </w:r>
      <w:r w:rsidR="008E2C48" w:rsidRPr="00035CC2">
        <w:rPr>
          <w:szCs w:val="24"/>
        </w:rPr>
        <w:t xml:space="preserve"> </w:t>
      </w:r>
      <w:r w:rsidR="001F5201">
        <w:rPr>
          <w:szCs w:val="24"/>
        </w:rPr>
        <w:t xml:space="preserve"> </w:t>
      </w:r>
      <w:r w:rsidR="00D94814">
        <w:rPr>
          <w:szCs w:val="24"/>
        </w:rPr>
        <w:t xml:space="preserve">Equitable has dropped its claim that the Complainant resided at the Junilla Street address </w:t>
      </w:r>
      <w:r w:rsidR="0032655E">
        <w:rPr>
          <w:szCs w:val="24"/>
        </w:rPr>
        <w:t>and</w:t>
      </w:r>
      <w:r w:rsidR="00D94814">
        <w:rPr>
          <w:szCs w:val="24"/>
        </w:rPr>
        <w:t xml:space="preserve"> is responsible for Mr.</w:t>
      </w:r>
      <w:r w:rsidR="00A203F4">
        <w:rPr>
          <w:szCs w:val="24"/>
        </w:rPr>
        <w:t> </w:t>
      </w:r>
      <w:r w:rsidR="00D94814">
        <w:rPr>
          <w:szCs w:val="24"/>
        </w:rPr>
        <w:t>Penny’s account balance</w:t>
      </w:r>
      <w:r w:rsidR="0032655E">
        <w:rPr>
          <w:szCs w:val="24"/>
        </w:rPr>
        <w:t xml:space="preserve"> pursuant to Section 1407(d) of the Public Utility Code.</w:t>
      </w:r>
      <w:r w:rsidR="0032655E">
        <w:rPr>
          <w:rStyle w:val="FootnoteReference"/>
          <w:szCs w:val="24"/>
        </w:rPr>
        <w:footnoteReference w:id="6"/>
      </w:r>
      <w:r w:rsidR="0032655E">
        <w:rPr>
          <w:szCs w:val="24"/>
        </w:rPr>
        <w:t xml:space="preserve">  However</w:t>
      </w:r>
      <w:r w:rsidR="00D94814">
        <w:rPr>
          <w:szCs w:val="24"/>
        </w:rPr>
        <w:t xml:space="preserve">, </w:t>
      </w:r>
      <w:r w:rsidR="00E96349">
        <w:rPr>
          <w:szCs w:val="24"/>
        </w:rPr>
        <w:t xml:space="preserve"> Equitable </w:t>
      </w:r>
      <w:r w:rsidR="00D94814">
        <w:rPr>
          <w:szCs w:val="24"/>
        </w:rPr>
        <w:t xml:space="preserve">is insisting that it is justified in requiring the eviction of Mr. Penny as a condition of commencing service in the Complainant’s name. </w:t>
      </w:r>
    </w:p>
    <w:p w:rsidR="00233A5D" w:rsidRDefault="00D94814" w:rsidP="00A203F4">
      <w:pPr>
        <w:spacing w:after="0"/>
        <w:ind w:firstLine="1440"/>
        <w:rPr>
          <w:szCs w:val="24"/>
        </w:rPr>
      </w:pPr>
      <w:r>
        <w:rPr>
          <w:szCs w:val="24"/>
        </w:rPr>
        <w:t xml:space="preserve"> </w:t>
      </w:r>
    </w:p>
    <w:p w:rsidR="00D94814" w:rsidRDefault="00D94814" w:rsidP="00A203F4">
      <w:pPr>
        <w:spacing w:after="0"/>
        <w:ind w:firstLine="1440"/>
        <w:rPr>
          <w:szCs w:val="24"/>
        </w:rPr>
      </w:pPr>
      <w:r>
        <w:rPr>
          <w:szCs w:val="24"/>
        </w:rPr>
        <w:t xml:space="preserve">There is no evidence in this record that the Complainant has been involved in any fraud or that </w:t>
      </w:r>
      <w:r w:rsidR="004C351E">
        <w:rPr>
          <w:szCs w:val="24"/>
        </w:rPr>
        <w:t xml:space="preserve">she </w:t>
      </w:r>
      <w:r>
        <w:rPr>
          <w:szCs w:val="24"/>
        </w:rPr>
        <w:t xml:space="preserve">has been less than truthful in her dealings with Equitable.  She states </w:t>
      </w:r>
      <w:r>
        <w:rPr>
          <w:szCs w:val="24"/>
        </w:rPr>
        <w:lastRenderedPageBreak/>
        <w:t>convincingly that she does not reside at Junilla Street</w:t>
      </w:r>
      <w:r w:rsidR="005C5E46">
        <w:rPr>
          <w:szCs w:val="24"/>
        </w:rPr>
        <w:t xml:space="preserve">. </w:t>
      </w:r>
      <w:r w:rsidR="00231E76">
        <w:rPr>
          <w:szCs w:val="24"/>
        </w:rPr>
        <w:t xml:space="preserve"> </w:t>
      </w:r>
      <w:r w:rsidR="0041545E">
        <w:rPr>
          <w:szCs w:val="24"/>
        </w:rPr>
        <w:t>This house belonged to her father and was left to her and her sister upon his death.  At various times various family members have resided at the home.  The Complainant</w:t>
      </w:r>
      <w:r w:rsidR="005C5E46">
        <w:rPr>
          <w:szCs w:val="24"/>
        </w:rPr>
        <w:t xml:space="preserve"> has the reasonable desire to have someone living in the house for security purposes and would like gas service so that the pipes do not freeze in the winter.  </w:t>
      </w:r>
      <w:r w:rsidR="00233A5D">
        <w:rPr>
          <w:szCs w:val="24"/>
        </w:rPr>
        <w:t>Equitable has not offered any evidence that she did not qualify for service due to her creditworthiness.</w:t>
      </w:r>
      <w:r w:rsidR="00091E34">
        <w:rPr>
          <w:szCs w:val="24"/>
        </w:rPr>
        <w:t xml:space="preserve">  Yet Equitable is essentially attempting to extort Roy Penny’s past due balance from the Complainant by requiring her to evict him from her home.  There is nothing in the regulations which permits a utility to condition service to a landlord upon the eviction of a tenant.</w:t>
      </w:r>
    </w:p>
    <w:p w:rsidR="00D159E6" w:rsidRDefault="00D159E6" w:rsidP="00A203F4">
      <w:pPr>
        <w:spacing w:after="0"/>
        <w:ind w:firstLine="1440"/>
        <w:rPr>
          <w:szCs w:val="24"/>
        </w:rPr>
      </w:pPr>
    </w:p>
    <w:p w:rsidR="0019081A" w:rsidRDefault="003C23DF" w:rsidP="006F2C7A">
      <w:pPr>
        <w:spacing w:after="0"/>
        <w:ind w:firstLine="1440"/>
        <w:rPr>
          <w:szCs w:val="24"/>
        </w:rPr>
      </w:pPr>
      <w:r>
        <w:rPr>
          <w:szCs w:val="24"/>
        </w:rPr>
        <w:t>Equitable attempts to rely on Section 56.32(c) of the Commission’s regulations which give a utility the authority to require an applicant for service to provide the identity of each adult occupant residing at the location.</w:t>
      </w:r>
      <w:r>
        <w:rPr>
          <w:rStyle w:val="FootnoteReference"/>
          <w:szCs w:val="24"/>
        </w:rPr>
        <w:footnoteReference w:id="7"/>
      </w:r>
      <w:r>
        <w:rPr>
          <w:szCs w:val="24"/>
        </w:rPr>
        <w:t xml:space="preserve">  Equitable correctly points out that the purpose of this provision </w:t>
      </w:r>
      <w:r w:rsidR="001F5201">
        <w:rPr>
          <w:szCs w:val="24"/>
        </w:rPr>
        <w:t xml:space="preserve">is </w:t>
      </w:r>
      <w:r>
        <w:rPr>
          <w:szCs w:val="24"/>
        </w:rPr>
        <w:t xml:space="preserve">to ensure that </w:t>
      </w:r>
      <w:r w:rsidR="00672154">
        <w:rPr>
          <w:szCs w:val="24"/>
        </w:rPr>
        <w:t xml:space="preserve">a potentially responsible party is not trying </w:t>
      </w:r>
      <w:r w:rsidR="001F5201">
        <w:rPr>
          <w:szCs w:val="24"/>
        </w:rPr>
        <w:t xml:space="preserve">to </w:t>
      </w:r>
      <w:r w:rsidR="00672154">
        <w:rPr>
          <w:szCs w:val="24"/>
        </w:rPr>
        <w:t>avoid paying a past due balance.</w:t>
      </w:r>
      <w:r w:rsidR="00672154">
        <w:rPr>
          <w:rStyle w:val="FootnoteReference"/>
          <w:szCs w:val="24"/>
        </w:rPr>
        <w:footnoteReference w:id="8"/>
      </w:r>
      <w:r w:rsidR="005B65E0">
        <w:rPr>
          <w:szCs w:val="24"/>
        </w:rPr>
        <w:t xml:space="preserve">  However, this provision does not support the notion that Equitable can force the Complainant to evict her tenant from the premises.  Equitable elected to allow Mr. </w:t>
      </w:r>
      <w:r w:rsidR="004C351E">
        <w:rPr>
          <w:szCs w:val="24"/>
        </w:rPr>
        <w:t>Penny’s balance to reach</w:t>
      </w:r>
      <w:r w:rsidR="005B65E0">
        <w:rPr>
          <w:szCs w:val="24"/>
        </w:rPr>
        <w:t xml:space="preserve"> $6,000 without terminating service. </w:t>
      </w:r>
      <w:r w:rsidR="00E002C6">
        <w:rPr>
          <w:szCs w:val="24"/>
        </w:rPr>
        <w:t xml:space="preserve"> </w:t>
      </w:r>
      <w:r w:rsidR="005B65E0">
        <w:rPr>
          <w:szCs w:val="24"/>
        </w:rPr>
        <w:t xml:space="preserve">It cannot now use the Complainant’s </w:t>
      </w:r>
      <w:r w:rsidR="0080018C">
        <w:rPr>
          <w:szCs w:val="24"/>
        </w:rPr>
        <w:t>desire</w:t>
      </w:r>
      <w:r w:rsidR="004C351E">
        <w:rPr>
          <w:szCs w:val="24"/>
        </w:rPr>
        <w:t xml:space="preserve"> to have a family member living in her home in order</w:t>
      </w:r>
      <w:r w:rsidR="0080018C">
        <w:rPr>
          <w:szCs w:val="24"/>
        </w:rPr>
        <w:t xml:space="preserve"> to protect her property</w:t>
      </w:r>
      <w:r w:rsidR="005B65E0">
        <w:rPr>
          <w:szCs w:val="24"/>
        </w:rPr>
        <w:t xml:space="preserve"> as a mechanism to remedy its</w:t>
      </w:r>
      <w:r w:rsidR="00F570AB">
        <w:rPr>
          <w:szCs w:val="24"/>
        </w:rPr>
        <w:t xml:space="preserve"> own</w:t>
      </w:r>
      <w:r w:rsidR="005B65E0">
        <w:rPr>
          <w:szCs w:val="24"/>
        </w:rPr>
        <w:t xml:space="preserve"> failure to safeguard ratepayer funds</w:t>
      </w:r>
      <w:r w:rsidR="004C351E">
        <w:rPr>
          <w:szCs w:val="24"/>
        </w:rPr>
        <w:t xml:space="preserve"> by failing to initiate termination proceedings against Mr. Penny in a timely fashion or informing the Complainant of the past due balance before it became so large. </w:t>
      </w:r>
      <w:r w:rsidR="00E002C6">
        <w:rPr>
          <w:szCs w:val="24"/>
        </w:rPr>
        <w:t xml:space="preserve"> </w:t>
      </w:r>
      <w:r w:rsidR="004C351E">
        <w:rPr>
          <w:szCs w:val="24"/>
        </w:rPr>
        <w:t>S</w:t>
      </w:r>
      <w:r w:rsidR="00157A9F">
        <w:rPr>
          <w:szCs w:val="24"/>
        </w:rPr>
        <w:t>he was not involved in Roy Penny’s failure to pay his bill</w:t>
      </w:r>
      <w:r w:rsidR="00746D24">
        <w:rPr>
          <w:szCs w:val="24"/>
        </w:rPr>
        <w:t xml:space="preserve"> and is not responsible for his bill.</w:t>
      </w:r>
      <w:r w:rsidR="005B65E0">
        <w:rPr>
          <w:szCs w:val="24"/>
        </w:rPr>
        <w:t xml:space="preserve">  </w:t>
      </w:r>
      <w:r w:rsidR="0019081A">
        <w:rPr>
          <w:szCs w:val="24"/>
        </w:rPr>
        <w:t>Moreover, the Commission’s regulations preclude Equitable from requiring payment of the outstanding balance by the Complainant as a condition of service:</w:t>
      </w:r>
    </w:p>
    <w:p w:rsidR="006F2C7A" w:rsidRDefault="006F2C7A" w:rsidP="006F2C7A">
      <w:pPr>
        <w:spacing w:after="0"/>
        <w:ind w:firstLine="1440"/>
        <w:rPr>
          <w:szCs w:val="24"/>
        </w:rPr>
      </w:pPr>
    </w:p>
    <w:p w:rsidR="0019081A" w:rsidRDefault="0019081A" w:rsidP="0019081A">
      <w:pPr>
        <w:tabs>
          <w:tab w:val="left" w:pos="1440"/>
        </w:tabs>
        <w:spacing w:after="0" w:line="240" w:lineRule="auto"/>
        <w:ind w:left="1440" w:right="1440"/>
        <w:rPr>
          <w:szCs w:val="24"/>
        </w:rPr>
      </w:pPr>
      <w:r>
        <w:rPr>
          <w:szCs w:val="24"/>
        </w:rPr>
        <w:t xml:space="preserve">A utility may not require, as a condition of the furnishing of residential service, payment for residential service previously furnished under and account in the name of a person other than the applicant unless a court, district justice or administrative agency </w:t>
      </w:r>
      <w:r>
        <w:rPr>
          <w:szCs w:val="24"/>
        </w:rPr>
        <w:lastRenderedPageBreak/>
        <w:t>has determined that the applicant is legally objected to pay for service previously furnished.</w:t>
      </w:r>
      <w:r w:rsidR="004042EE">
        <w:rPr>
          <w:rStyle w:val="FootnoteReference"/>
          <w:szCs w:val="24"/>
        </w:rPr>
        <w:footnoteReference w:id="9"/>
      </w:r>
    </w:p>
    <w:p w:rsidR="007C5AF6" w:rsidRDefault="007C5AF6" w:rsidP="0019081A">
      <w:pPr>
        <w:tabs>
          <w:tab w:val="left" w:pos="1440"/>
        </w:tabs>
        <w:spacing w:after="0" w:line="240" w:lineRule="auto"/>
        <w:ind w:left="1440" w:right="1440"/>
        <w:rPr>
          <w:szCs w:val="24"/>
        </w:rPr>
      </w:pPr>
    </w:p>
    <w:p w:rsidR="003C23DF" w:rsidRDefault="004C351E" w:rsidP="007C5AF6">
      <w:pPr>
        <w:spacing w:after="0"/>
        <w:rPr>
          <w:szCs w:val="24"/>
        </w:rPr>
      </w:pPr>
      <w:r>
        <w:rPr>
          <w:szCs w:val="24"/>
        </w:rPr>
        <w:t>Therefore Equitable must avail itself of proper collection procedures in order to collect the money it is owed.</w:t>
      </w:r>
    </w:p>
    <w:p w:rsidR="00D159E6" w:rsidRDefault="00D159E6" w:rsidP="00A203F4">
      <w:pPr>
        <w:spacing w:after="0"/>
        <w:ind w:firstLine="1440"/>
        <w:rPr>
          <w:szCs w:val="24"/>
        </w:rPr>
      </w:pPr>
    </w:p>
    <w:p w:rsidR="000A7F45" w:rsidRDefault="000A7F45" w:rsidP="00A203F4">
      <w:pPr>
        <w:spacing w:after="0"/>
        <w:ind w:firstLine="1440"/>
        <w:rPr>
          <w:szCs w:val="24"/>
        </w:rPr>
      </w:pPr>
      <w:r>
        <w:rPr>
          <w:szCs w:val="24"/>
        </w:rPr>
        <w:t xml:space="preserve">In sum, Equitable has no basis to deny service to the Complainant because she </w:t>
      </w:r>
      <w:r w:rsidR="000E0683">
        <w:rPr>
          <w:szCs w:val="24"/>
        </w:rPr>
        <w:t>does not wish</w:t>
      </w:r>
      <w:r>
        <w:rPr>
          <w:szCs w:val="24"/>
        </w:rPr>
        <w:t xml:space="preserve"> to evict her tenant from the premises.  Therefore the formal complaint by the Complainant is sustained.</w:t>
      </w:r>
    </w:p>
    <w:p w:rsidR="00997A02" w:rsidRDefault="00997A02" w:rsidP="00A203F4">
      <w:pPr>
        <w:spacing w:after="0"/>
        <w:ind w:firstLine="1440"/>
        <w:rPr>
          <w:szCs w:val="24"/>
        </w:rPr>
      </w:pPr>
    </w:p>
    <w:p w:rsidR="000A7F45" w:rsidRDefault="000A7F45" w:rsidP="00A203F4">
      <w:pPr>
        <w:spacing w:after="0"/>
        <w:jc w:val="center"/>
        <w:rPr>
          <w:szCs w:val="24"/>
          <w:u w:val="single"/>
        </w:rPr>
      </w:pPr>
      <w:r w:rsidRPr="00DA17A7">
        <w:rPr>
          <w:szCs w:val="24"/>
          <w:u w:val="single"/>
        </w:rPr>
        <w:t>CONCLUSIONS OF LAW</w:t>
      </w:r>
    </w:p>
    <w:p w:rsidR="00D159E6" w:rsidRPr="00DA17A7" w:rsidRDefault="00D159E6" w:rsidP="00A203F4">
      <w:pPr>
        <w:spacing w:after="0"/>
        <w:jc w:val="center"/>
        <w:rPr>
          <w:szCs w:val="24"/>
          <w:u w:val="single"/>
        </w:rPr>
      </w:pPr>
    </w:p>
    <w:p w:rsidR="000A7F45" w:rsidRDefault="000A7F45" w:rsidP="00A203F4">
      <w:pPr>
        <w:spacing w:after="0"/>
        <w:ind w:firstLine="720"/>
        <w:rPr>
          <w:szCs w:val="24"/>
        </w:rPr>
      </w:pPr>
      <w:r>
        <w:rPr>
          <w:szCs w:val="24"/>
        </w:rPr>
        <w:tab/>
        <w:t>1.</w:t>
      </w:r>
      <w:r>
        <w:rPr>
          <w:szCs w:val="24"/>
        </w:rPr>
        <w:tab/>
        <w:t>The Commission has jurisdiction over the parties and subject matter of these proceedings.</w:t>
      </w:r>
    </w:p>
    <w:p w:rsidR="00A203F4" w:rsidRDefault="000A7F45" w:rsidP="00A203F4">
      <w:pPr>
        <w:spacing w:after="0"/>
        <w:ind w:firstLine="720"/>
        <w:rPr>
          <w:szCs w:val="24"/>
        </w:rPr>
      </w:pPr>
      <w:r>
        <w:rPr>
          <w:szCs w:val="24"/>
        </w:rPr>
        <w:tab/>
      </w:r>
    </w:p>
    <w:p w:rsidR="000A7F45" w:rsidRDefault="000A7F45" w:rsidP="00A203F4">
      <w:pPr>
        <w:spacing w:after="0"/>
        <w:ind w:firstLine="1440"/>
        <w:rPr>
          <w:szCs w:val="24"/>
        </w:rPr>
      </w:pPr>
      <w:r>
        <w:rPr>
          <w:szCs w:val="24"/>
        </w:rPr>
        <w:t>2.</w:t>
      </w:r>
      <w:r>
        <w:rPr>
          <w:szCs w:val="24"/>
        </w:rPr>
        <w:tab/>
        <w:t>A utility cannot require a property owner to evict a tenant as a condition of providing utility service.</w:t>
      </w:r>
    </w:p>
    <w:p w:rsidR="00D159E6" w:rsidRDefault="00D159E6" w:rsidP="00A203F4">
      <w:pPr>
        <w:spacing w:after="0"/>
        <w:jc w:val="center"/>
        <w:rPr>
          <w:szCs w:val="24"/>
          <w:u w:val="single"/>
        </w:rPr>
      </w:pPr>
    </w:p>
    <w:p w:rsidR="00A203F4" w:rsidRDefault="00A203F4" w:rsidP="00A203F4">
      <w:pPr>
        <w:spacing w:after="0"/>
        <w:jc w:val="center"/>
        <w:rPr>
          <w:szCs w:val="24"/>
          <w:u w:val="single"/>
        </w:rPr>
      </w:pPr>
    </w:p>
    <w:p w:rsidR="000E0683" w:rsidRPr="000E0683" w:rsidRDefault="000E0683" w:rsidP="00A203F4">
      <w:pPr>
        <w:spacing w:after="0"/>
        <w:jc w:val="center"/>
        <w:rPr>
          <w:szCs w:val="24"/>
          <w:u w:val="single"/>
        </w:rPr>
      </w:pPr>
      <w:r w:rsidRPr="000E0683">
        <w:rPr>
          <w:szCs w:val="24"/>
          <w:u w:val="single"/>
        </w:rPr>
        <w:t>ORDER</w:t>
      </w:r>
    </w:p>
    <w:p w:rsidR="00D159E6" w:rsidRDefault="00D159E6" w:rsidP="00A203F4">
      <w:pPr>
        <w:spacing w:after="0"/>
        <w:ind w:firstLine="1440"/>
        <w:rPr>
          <w:szCs w:val="24"/>
        </w:rPr>
      </w:pPr>
    </w:p>
    <w:p w:rsidR="0051338C" w:rsidRDefault="0051338C" w:rsidP="00A203F4">
      <w:pPr>
        <w:spacing w:after="0"/>
        <w:ind w:firstLine="1440"/>
        <w:rPr>
          <w:szCs w:val="24"/>
        </w:rPr>
      </w:pPr>
    </w:p>
    <w:p w:rsidR="000A7F45" w:rsidRDefault="000A7F45" w:rsidP="00A203F4">
      <w:pPr>
        <w:spacing w:after="0"/>
        <w:ind w:firstLine="1440"/>
        <w:rPr>
          <w:szCs w:val="24"/>
        </w:rPr>
      </w:pPr>
      <w:r>
        <w:rPr>
          <w:szCs w:val="24"/>
        </w:rPr>
        <w:t>THEREFORE,</w:t>
      </w:r>
    </w:p>
    <w:p w:rsidR="00D159E6" w:rsidRDefault="00D159E6" w:rsidP="00A203F4">
      <w:pPr>
        <w:spacing w:after="0"/>
        <w:ind w:firstLine="1440"/>
        <w:rPr>
          <w:szCs w:val="24"/>
        </w:rPr>
      </w:pPr>
    </w:p>
    <w:p w:rsidR="000A7F45" w:rsidRDefault="000A7F45" w:rsidP="00A203F4">
      <w:pPr>
        <w:spacing w:after="0"/>
        <w:ind w:firstLine="1440"/>
        <w:rPr>
          <w:szCs w:val="24"/>
        </w:rPr>
      </w:pPr>
      <w:r>
        <w:rPr>
          <w:szCs w:val="24"/>
        </w:rPr>
        <w:t>IT IS ORDERED:</w:t>
      </w:r>
    </w:p>
    <w:p w:rsidR="00D159E6" w:rsidRDefault="00D159E6" w:rsidP="00A203F4">
      <w:pPr>
        <w:spacing w:after="0"/>
        <w:ind w:firstLine="1440"/>
        <w:rPr>
          <w:szCs w:val="24"/>
        </w:rPr>
      </w:pPr>
    </w:p>
    <w:p w:rsidR="000A7F45" w:rsidRDefault="000A7F45" w:rsidP="00A203F4">
      <w:pPr>
        <w:spacing w:after="0"/>
        <w:rPr>
          <w:szCs w:val="24"/>
        </w:rPr>
      </w:pPr>
      <w:r>
        <w:rPr>
          <w:szCs w:val="24"/>
        </w:rPr>
        <w:tab/>
      </w:r>
      <w:r w:rsidR="00D159E6">
        <w:rPr>
          <w:szCs w:val="24"/>
        </w:rPr>
        <w:tab/>
      </w:r>
      <w:r>
        <w:rPr>
          <w:szCs w:val="24"/>
        </w:rPr>
        <w:t>1.</w:t>
      </w:r>
      <w:r>
        <w:rPr>
          <w:szCs w:val="24"/>
        </w:rPr>
        <w:tab/>
        <w:t>That the complai</w:t>
      </w:r>
      <w:r w:rsidR="00BD7650">
        <w:rPr>
          <w:szCs w:val="24"/>
        </w:rPr>
        <w:t>nt of Ann Penny at PUC Docket No</w:t>
      </w:r>
      <w:r>
        <w:rPr>
          <w:szCs w:val="24"/>
        </w:rPr>
        <w:t>. C-2012-2289787 is sustained.</w:t>
      </w:r>
    </w:p>
    <w:p w:rsidR="00D159E6" w:rsidRDefault="000A7F45" w:rsidP="00A203F4">
      <w:pPr>
        <w:spacing w:after="0"/>
        <w:rPr>
          <w:szCs w:val="24"/>
        </w:rPr>
      </w:pPr>
      <w:r>
        <w:rPr>
          <w:szCs w:val="24"/>
        </w:rPr>
        <w:tab/>
      </w:r>
    </w:p>
    <w:p w:rsidR="000A7F45" w:rsidRDefault="000A7F45" w:rsidP="00A203F4">
      <w:pPr>
        <w:spacing w:after="0"/>
        <w:ind w:firstLine="1440"/>
        <w:rPr>
          <w:szCs w:val="24"/>
        </w:rPr>
      </w:pPr>
      <w:r>
        <w:rPr>
          <w:szCs w:val="24"/>
        </w:rPr>
        <w:lastRenderedPageBreak/>
        <w:t>2.</w:t>
      </w:r>
      <w:r>
        <w:rPr>
          <w:szCs w:val="24"/>
        </w:rPr>
        <w:tab/>
        <w:t xml:space="preserve">That </w:t>
      </w:r>
      <w:r w:rsidR="00AE673B">
        <w:rPr>
          <w:szCs w:val="24"/>
        </w:rPr>
        <w:t>upon satisfactory completion</w:t>
      </w:r>
      <w:r w:rsidR="00E002C6">
        <w:rPr>
          <w:szCs w:val="24"/>
        </w:rPr>
        <w:t xml:space="preserve"> of</w:t>
      </w:r>
      <w:r w:rsidR="00AE673B">
        <w:rPr>
          <w:szCs w:val="24"/>
        </w:rPr>
        <w:t xml:space="preserve"> an updated application for service, </w:t>
      </w:r>
      <w:r>
        <w:rPr>
          <w:szCs w:val="24"/>
        </w:rPr>
        <w:t xml:space="preserve">Equitable Gas Company, LLC, </w:t>
      </w:r>
      <w:r w:rsidR="00AE673B">
        <w:rPr>
          <w:szCs w:val="24"/>
        </w:rPr>
        <w:t xml:space="preserve">shall provide service to Ann Penny to her property </w:t>
      </w:r>
      <w:r w:rsidR="00A203F4">
        <w:rPr>
          <w:szCs w:val="24"/>
        </w:rPr>
        <w:t>at</w:t>
      </w:r>
      <w:r w:rsidR="00AE673B">
        <w:rPr>
          <w:szCs w:val="24"/>
        </w:rPr>
        <w:t xml:space="preserve"> 512 Junilla Street, Pittsburgh, Pennsylvania.</w:t>
      </w:r>
    </w:p>
    <w:p w:rsidR="00D159E6" w:rsidRDefault="00BD7650" w:rsidP="00A203F4">
      <w:pPr>
        <w:spacing w:after="0"/>
        <w:rPr>
          <w:szCs w:val="24"/>
        </w:rPr>
      </w:pPr>
      <w:r>
        <w:rPr>
          <w:szCs w:val="24"/>
        </w:rPr>
        <w:tab/>
      </w:r>
    </w:p>
    <w:p w:rsidR="00BD7650" w:rsidRDefault="00BD7650" w:rsidP="00A203F4">
      <w:pPr>
        <w:spacing w:after="0"/>
        <w:ind w:firstLine="1440"/>
        <w:rPr>
          <w:szCs w:val="24"/>
        </w:rPr>
      </w:pPr>
      <w:r>
        <w:rPr>
          <w:szCs w:val="24"/>
        </w:rPr>
        <w:t>3.</w:t>
      </w:r>
      <w:r>
        <w:rPr>
          <w:szCs w:val="24"/>
        </w:rPr>
        <w:tab/>
        <w:t>That the Secretary mark this docket closed.</w:t>
      </w:r>
    </w:p>
    <w:p w:rsidR="00A203F4" w:rsidRDefault="00A203F4" w:rsidP="00A203F4">
      <w:pPr>
        <w:spacing w:after="0"/>
        <w:ind w:firstLine="1440"/>
        <w:rPr>
          <w:szCs w:val="24"/>
        </w:rPr>
      </w:pPr>
    </w:p>
    <w:p w:rsidR="00F5570F" w:rsidRDefault="00F5570F" w:rsidP="00A203F4">
      <w:pPr>
        <w:spacing w:after="0"/>
        <w:ind w:firstLine="1440"/>
        <w:rPr>
          <w:szCs w:val="24"/>
        </w:rPr>
      </w:pPr>
    </w:p>
    <w:p w:rsidR="00A203F4" w:rsidRPr="00A03D6F" w:rsidRDefault="00A203F4" w:rsidP="00A203F4">
      <w:pPr>
        <w:tabs>
          <w:tab w:val="left" w:pos="0"/>
        </w:tabs>
        <w:spacing w:after="0" w:line="240" w:lineRule="auto"/>
        <w:jc w:val="both"/>
      </w:pPr>
      <w:r w:rsidRPr="00A03D6F">
        <w:t xml:space="preserve">Date:  </w:t>
      </w:r>
      <w:r>
        <w:rPr>
          <w:u w:val="single"/>
        </w:rPr>
        <w:t>October 22, 2012</w:t>
      </w:r>
      <w:r w:rsidRPr="00A03D6F">
        <w:tab/>
      </w:r>
      <w:r w:rsidRPr="00A03D6F">
        <w:tab/>
      </w:r>
      <w:r w:rsidRPr="00A03D6F">
        <w:tab/>
      </w:r>
      <w:r w:rsidRPr="00A03D6F">
        <w:tab/>
        <w:t>_______________________________</w:t>
      </w:r>
    </w:p>
    <w:p w:rsidR="00A203F4" w:rsidRPr="00A03D6F" w:rsidRDefault="00A203F4" w:rsidP="00A203F4">
      <w:pPr>
        <w:tabs>
          <w:tab w:val="left" w:pos="0"/>
        </w:tabs>
        <w:spacing w:after="0" w:line="240" w:lineRule="auto"/>
        <w:jc w:val="both"/>
      </w:pPr>
      <w:r w:rsidRPr="00A03D6F">
        <w:tab/>
      </w:r>
      <w:r w:rsidRPr="00A03D6F">
        <w:tab/>
      </w:r>
      <w:r w:rsidRPr="00A03D6F">
        <w:tab/>
      </w:r>
      <w:r w:rsidRPr="00A03D6F">
        <w:tab/>
      </w:r>
      <w:r w:rsidRPr="00A03D6F">
        <w:tab/>
      </w:r>
      <w:r w:rsidRPr="00A03D6F">
        <w:tab/>
      </w:r>
      <w:r w:rsidRPr="00A03D6F">
        <w:tab/>
      </w:r>
      <w:r>
        <w:t>Mary D. Long</w:t>
      </w:r>
    </w:p>
    <w:p w:rsidR="00A203F4" w:rsidRDefault="00A203F4" w:rsidP="00A203F4">
      <w:pPr>
        <w:tabs>
          <w:tab w:val="left" w:pos="0"/>
        </w:tabs>
        <w:spacing w:after="0" w:line="240" w:lineRule="auto"/>
        <w:jc w:val="both"/>
      </w:pPr>
      <w:r w:rsidRPr="00A03D6F">
        <w:tab/>
      </w:r>
      <w:r w:rsidRPr="00A03D6F">
        <w:tab/>
      </w:r>
      <w:r w:rsidRPr="00A03D6F">
        <w:tab/>
      </w:r>
      <w:r w:rsidRPr="00A03D6F">
        <w:tab/>
      </w:r>
      <w:r w:rsidRPr="00A03D6F">
        <w:tab/>
      </w:r>
      <w:r w:rsidRPr="00A03D6F">
        <w:tab/>
      </w:r>
      <w:r w:rsidRPr="00A03D6F">
        <w:tab/>
        <w:t>Administrative Law Judge</w:t>
      </w:r>
    </w:p>
    <w:p w:rsidR="00A203F4" w:rsidRDefault="00A203F4" w:rsidP="00A203F4">
      <w:pPr>
        <w:tabs>
          <w:tab w:val="left" w:pos="0"/>
        </w:tabs>
        <w:spacing w:after="0" w:line="240" w:lineRule="auto"/>
        <w:jc w:val="both"/>
      </w:pPr>
    </w:p>
    <w:sectPr w:rsidR="00A203F4" w:rsidSect="002839F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B94" w:rsidRDefault="008B7B94" w:rsidP="00D043E2">
      <w:pPr>
        <w:spacing w:after="0" w:line="240" w:lineRule="auto"/>
      </w:pPr>
      <w:r>
        <w:separator/>
      </w:r>
    </w:p>
  </w:endnote>
  <w:endnote w:type="continuationSeparator" w:id="0">
    <w:p w:rsidR="008B7B94" w:rsidRDefault="008B7B94" w:rsidP="00D04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7095861"/>
      <w:docPartObj>
        <w:docPartGallery w:val="Page Numbers (Bottom of Page)"/>
        <w:docPartUnique/>
      </w:docPartObj>
    </w:sdtPr>
    <w:sdtEndPr>
      <w:rPr>
        <w:noProof/>
      </w:rPr>
    </w:sdtEndPr>
    <w:sdtContent>
      <w:p w:rsidR="002839F8" w:rsidRDefault="002839F8">
        <w:pPr>
          <w:pStyle w:val="Footer"/>
          <w:jc w:val="center"/>
        </w:pPr>
        <w:r w:rsidRPr="00231E76">
          <w:rPr>
            <w:sz w:val="20"/>
            <w:szCs w:val="20"/>
          </w:rPr>
          <w:fldChar w:fldCharType="begin"/>
        </w:r>
        <w:r w:rsidRPr="00231E76">
          <w:rPr>
            <w:sz w:val="20"/>
            <w:szCs w:val="20"/>
          </w:rPr>
          <w:instrText xml:space="preserve"> PAGE   \* MERGEFORMAT </w:instrText>
        </w:r>
        <w:r w:rsidRPr="00231E76">
          <w:rPr>
            <w:sz w:val="20"/>
            <w:szCs w:val="20"/>
          </w:rPr>
          <w:fldChar w:fldCharType="separate"/>
        </w:r>
        <w:r w:rsidR="00AF4941">
          <w:rPr>
            <w:noProof/>
            <w:sz w:val="20"/>
            <w:szCs w:val="20"/>
          </w:rPr>
          <w:t>8</w:t>
        </w:r>
        <w:r w:rsidRPr="00231E76">
          <w:rPr>
            <w:noProof/>
            <w:sz w:val="20"/>
            <w:szCs w:val="20"/>
          </w:rPr>
          <w:fldChar w:fldCharType="end"/>
        </w:r>
      </w:p>
    </w:sdtContent>
  </w:sdt>
  <w:p w:rsidR="00393F2E" w:rsidRDefault="00393F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B94" w:rsidRDefault="008B7B94" w:rsidP="00D043E2">
      <w:pPr>
        <w:spacing w:after="0" w:line="240" w:lineRule="auto"/>
      </w:pPr>
      <w:r>
        <w:separator/>
      </w:r>
    </w:p>
  </w:footnote>
  <w:footnote w:type="continuationSeparator" w:id="0">
    <w:p w:rsidR="008B7B94" w:rsidRDefault="008B7B94" w:rsidP="00D043E2">
      <w:pPr>
        <w:spacing w:after="0" w:line="240" w:lineRule="auto"/>
      </w:pPr>
      <w:r>
        <w:continuationSeparator/>
      </w:r>
    </w:p>
  </w:footnote>
  <w:footnote w:id="1">
    <w:p w:rsidR="00D043E2" w:rsidRDefault="00D043E2" w:rsidP="00BD7AC8">
      <w:pPr>
        <w:pStyle w:val="FootnoteText"/>
        <w:ind w:firstLine="720"/>
      </w:pPr>
      <w:r>
        <w:rPr>
          <w:rStyle w:val="FootnoteReference"/>
        </w:rPr>
        <w:footnoteRef/>
      </w:r>
      <w:r>
        <w:t xml:space="preserve">  </w:t>
      </w:r>
      <w:r>
        <w:tab/>
        <w:t>The Complainant offered several other late-filed exhibits which were not admitted into the record. See Order dated May 22, 2012.</w:t>
      </w:r>
    </w:p>
    <w:p w:rsidR="00A203F4" w:rsidRDefault="00A203F4" w:rsidP="00BD7AC8">
      <w:pPr>
        <w:pStyle w:val="FootnoteText"/>
        <w:ind w:firstLine="720"/>
      </w:pPr>
    </w:p>
  </w:footnote>
  <w:footnote w:id="2">
    <w:p w:rsidR="00452BD0" w:rsidRDefault="00452BD0" w:rsidP="00452BD0">
      <w:pPr>
        <w:pStyle w:val="FootnoteText"/>
        <w:ind w:firstLine="720"/>
      </w:pPr>
      <w:r>
        <w:rPr>
          <w:rStyle w:val="FootnoteReference"/>
        </w:rPr>
        <w:footnoteRef/>
      </w:r>
      <w:r>
        <w:t xml:space="preserve">  </w:t>
      </w:r>
      <w:r>
        <w:tab/>
        <w:t>The Complainant appended several exhibits to her brief which were not part of the hearing record and were not considered in rendering this decision.</w:t>
      </w:r>
    </w:p>
  </w:footnote>
  <w:footnote w:id="3">
    <w:p w:rsidR="00422C0F" w:rsidRDefault="00422C0F" w:rsidP="00BD7AC8">
      <w:pPr>
        <w:pStyle w:val="FootnoteText"/>
        <w:spacing w:after="240"/>
        <w:ind w:firstLine="720"/>
      </w:pPr>
      <w:r>
        <w:rPr>
          <w:rStyle w:val="FootnoteReference"/>
        </w:rPr>
        <w:footnoteRef/>
      </w:r>
      <w:r>
        <w:t xml:space="preserve"> </w:t>
      </w:r>
      <w:r>
        <w:tab/>
        <w:t>Equitable has abandoned any claim that the Complainant is responsible for Roy Penny’s past due balance because she lived at Junilla Street.  Equitable Brief at 6</w:t>
      </w:r>
      <w:r w:rsidR="005C5E46">
        <w:t>.</w:t>
      </w:r>
    </w:p>
  </w:footnote>
  <w:footnote w:id="4">
    <w:p w:rsidR="008E2C48" w:rsidRDefault="008E2C48" w:rsidP="00BD7AC8">
      <w:pPr>
        <w:pStyle w:val="FootnoteText"/>
        <w:ind w:firstLine="720"/>
      </w:pPr>
      <w:r w:rsidRPr="00C81B96">
        <w:rPr>
          <w:rStyle w:val="FootnoteReference"/>
        </w:rPr>
        <w:footnoteRef/>
      </w:r>
      <w:r w:rsidRPr="00C81B96">
        <w:t xml:space="preserve"> </w:t>
      </w:r>
      <w:r>
        <w:tab/>
      </w:r>
      <w:r w:rsidRPr="00C81B96">
        <w:t>66 Pa. C.S. §</w:t>
      </w:r>
      <w:r>
        <w:t xml:space="preserve"> </w:t>
      </w:r>
      <w:r w:rsidRPr="00C81B96">
        <w:t>701.</w:t>
      </w:r>
    </w:p>
    <w:p w:rsidR="008E2C48" w:rsidRPr="00C81B96" w:rsidRDefault="008E2C48" w:rsidP="008E2C48">
      <w:pPr>
        <w:pStyle w:val="FootnoteText"/>
      </w:pPr>
    </w:p>
  </w:footnote>
  <w:footnote w:id="5">
    <w:p w:rsidR="008E2C48" w:rsidRDefault="008E2C48" w:rsidP="00BD7AC8">
      <w:pPr>
        <w:pStyle w:val="FootnoteText"/>
        <w:ind w:firstLine="720"/>
      </w:pPr>
      <w:r w:rsidRPr="00C81B96">
        <w:rPr>
          <w:rStyle w:val="FootnoteReference"/>
        </w:rPr>
        <w:footnoteRef/>
      </w:r>
      <w:r w:rsidRPr="00C81B96">
        <w:t xml:space="preserve"> </w:t>
      </w:r>
      <w:r>
        <w:tab/>
      </w:r>
      <w:r w:rsidRPr="00C81B96">
        <w:t>66 Pa. C.S. §</w:t>
      </w:r>
      <w:r>
        <w:t xml:space="preserve"> </w:t>
      </w:r>
      <w:r w:rsidRPr="00C81B96">
        <w:t>332(a).</w:t>
      </w:r>
    </w:p>
    <w:p w:rsidR="008E2C48" w:rsidRPr="00C81B96" w:rsidRDefault="008E2C48" w:rsidP="008E2C48">
      <w:pPr>
        <w:pStyle w:val="FootnoteText"/>
      </w:pPr>
    </w:p>
  </w:footnote>
  <w:footnote w:id="6">
    <w:p w:rsidR="0032655E" w:rsidRDefault="0032655E" w:rsidP="00CA45F4">
      <w:pPr>
        <w:pStyle w:val="FootnoteText"/>
        <w:ind w:firstLine="720"/>
      </w:pPr>
      <w:r>
        <w:rPr>
          <w:rStyle w:val="FootnoteReference"/>
        </w:rPr>
        <w:footnoteRef/>
      </w:r>
      <w:r>
        <w:t xml:space="preserve">  </w:t>
      </w:r>
      <w:r>
        <w:tab/>
        <w:t xml:space="preserve">66 Pa. C.S. </w:t>
      </w:r>
      <w:r w:rsidR="00EF2D3A">
        <w:t>§ 1407(d)(providing that an applicant for service can be responsible for an outstanding balance if the applicant resided at the property).</w:t>
      </w:r>
    </w:p>
  </w:footnote>
  <w:footnote w:id="7">
    <w:p w:rsidR="003C23DF" w:rsidRDefault="003C23DF" w:rsidP="00A203F4">
      <w:pPr>
        <w:pStyle w:val="FootnoteText"/>
        <w:spacing w:after="240"/>
        <w:ind w:firstLine="630"/>
      </w:pPr>
      <w:r>
        <w:rPr>
          <w:rStyle w:val="FootnoteReference"/>
        </w:rPr>
        <w:footnoteRef/>
      </w:r>
      <w:r>
        <w:t xml:space="preserve">  </w:t>
      </w:r>
      <w:r>
        <w:tab/>
        <w:t>52 Pa. Code § 56.32(c).</w:t>
      </w:r>
    </w:p>
  </w:footnote>
  <w:footnote w:id="8">
    <w:p w:rsidR="00672154" w:rsidRPr="00672154" w:rsidRDefault="00672154" w:rsidP="00A203F4">
      <w:pPr>
        <w:pStyle w:val="FootnoteText"/>
        <w:ind w:firstLine="630"/>
      </w:pPr>
      <w:r>
        <w:rPr>
          <w:rStyle w:val="FootnoteReference"/>
        </w:rPr>
        <w:footnoteRef/>
      </w:r>
      <w:r>
        <w:t xml:space="preserve"> </w:t>
      </w:r>
      <w:r>
        <w:tab/>
      </w:r>
      <w:r>
        <w:rPr>
          <w:i/>
        </w:rPr>
        <w:t>Cf. Manu v. Philadelphia Gas Works</w:t>
      </w:r>
      <w:r>
        <w:t xml:space="preserve">, PUC Docket No. F-2010-2191737 (Initial Decision </w:t>
      </w:r>
      <w:r w:rsidR="00E002C6">
        <w:t xml:space="preserve">dated </w:t>
      </w:r>
      <w:r>
        <w:t>June 4, 2012)</w:t>
      </w:r>
      <w:r w:rsidR="00A203F4">
        <w:t xml:space="preserve"> </w:t>
      </w:r>
      <w:r>
        <w:t>(describing an alleged scheme whereby a ratepayer attempts to obtain utility service without payment).</w:t>
      </w:r>
    </w:p>
  </w:footnote>
  <w:footnote w:id="9">
    <w:p w:rsidR="004042EE" w:rsidRDefault="004042EE" w:rsidP="004042EE">
      <w:pPr>
        <w:pStyle w:val="FootnoteText"/>
        <w:ind w:firstLine="630"/>
      </w:pPr>
      <w:r>
        <w:rPr>
          <w:rStyle w:val="FootnoteReference"/>
        </w:rPr>
        <w:footnoteRef/>
      </w:r>
      <w:r>
        <w:t xml:space="preserve">  </w:t>
      </w:r>
      <w:r>
        <w:tab/>
        <w:t>52 Pa. Code § 56.285.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D0CAD6"/>
    <w:lvl w:ilvl="0">
      <w:start w:val="1"/>
      <w:numFmt w:val="decimal"/>
      <w:lvlText w:val="%1."/>
      <w:lvlJc w:val="left"/>
      <w:pPr>
        <w:tabs>
          <w:tab w:val="num" w:pos="1800"/>
        </w:tabs>
        <w:ind w:left="1800" w:hanging="360"/>
      </w:pPr>
    </w:lvl>
  </w:abstractNum>
  <w:abstractNum w:abstractNumId="1">
    <w:nsid w:val="FFFFFF7D"/>
    <w:multiLevelType w:val="singleLevel"/>
    <w:tmpl w:val="2F289E30"/>
    <w:lvl w:ilvl="0">
      <w:start w:val="1"/>
      <w:numFmt w:val="decimal"/>
      <w:lvlText w:val="%1."/>
      <w:lvlJc w:val="left"/>
      <w:pPr>
        <w:tabs>
          <w:tab w:val="num" w:pos="1440"/>
        </w:tabs>
        <w:ind w:left="1440" w:hanging="360"/>
      </w:pPr>
    </w:lvl>
  </w:abstractNum>
  <w:abstractNum w:abstractNumId="2">
    <w:nsid w:val="FFFFFF7E"/>
    <w:multiLevelType w:val="singleLevel"/>
    <w:tmpl w:val="85A20138"/>
    <w:lvl w:ilvl="0">
      <w:start w:val="1"/>
      <w:numFmt w:val="decimal"/>
      <w:lvlText w:val="%1."/>
      <w:lvlJc w:val="left"/>
      <w:pPr>
        <w:tabs>
          <w:tab w:val="num" w:pos="1080"/>
        </w:tabs>
        <w:ind w:left="1080" w:hanging="360"/>
      </w:pPr>
    </w:lvl>
  </w:abstractNum>
  <w:abstractNum w:abstractNumId="3">
    <w:nsid w:val="FFFFFF7F"/>
    <w:multiLevelType w:val="singleLevel"/>
    <w:tmpl w:val="148A38F6"/>
    <w:lvl w:ilvl="0">
      <w:start w:val="1"/>
      <w:numFmt w:val="decimal"/>
      <w:lvlText w:val="%1."/>
      <w:lvlJc w:val="left"/>
      <w:pPr>
        <w:tabs>
          <w:tab w:val="num" w:pos="720"/>
        </w:tabs>
        <w:ind w:left="720" w:hanging="360"/>
      </w:pPr>
    </w:lvl>
  </w:abstractNum>
  <w:abstractNum w:abstractNumId="4">
    <w:nsid w:val="FFFFFF80"/>
    <w:multiLevelType w:val="singleLevel"/>
    <w:tmpl w:val="8ABCF47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F34E44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B24BDF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77AE1D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59EDAB6"/>
    <w:lvl w:ilvl="0">
      <w:start w:val="1"/>
      <w:numFmt w:val="decimal"/>
      <w:lvlText w:val="%1."/>
      <w:lvlJc w:val="left"/>
      <w:pPr>
        <w:tabs>
          <w:tab w:val="num" w:pos="360"/>
        </w:tabs>
        <w:ind w:left="360" w:hanging="360"/>
      </w:pPr>
    </w:lvl>
  </w:abstractNum>
  <w:abstractNum w:abstractNumId="9">
    <w:nsid w:val="FFFFFF89"/>
    <w:multiLevelType w:val="singleLevel"/>
    <w:tmpl w:val="3084A580"/>
    <w:lvl w:ilvl="0">
      <w:start w:val="1"/>
      <w:numFmt w:val="bullet"/>
      <w:lvlText w:val=""/>
      <w:lvlJc w:val="left"/>
      <w:pPr>
        <w:tabs>
          <w:tab w:val="num" w:pos="360"/>
        </w:tabs>
        <w:ind w:left="360" w:hanging="360"/>
      </w:pPr>
      <w:rPr>
        <w:rFonts w:ascii="Symbol" w:hAnsi="Symbol" w:hint="default"/>
      </w:rPr>
    </w:lvl>
  </w:abstractNum>
  <w:abstractNum w:abstractNumId="10">
    <w:nsid w:val="2A703DEE"/>
    <w:multiLevelType w:val="hybridMultilevel"/>
    <w:tmpl w:val="7672681A"/>
    <w:lvl w:ilvl="0" w:tplc="4F1E9786">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11"/>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D91"/>
    <w:rsid w:val="00004C37"/>
    <w:rsid w:val="000121BB"/>
    <w:rsid w:val="00091E34"/>
    <w:rsid w:val="0009320D"/>
    <w:rsid w:val="000A7F45"/>
    <w:rsid w:val="000E067F"/>
    <w:rsid w:val="000E0683"/>
    <w:rsid w:val="000E0C58"/>
    <w:rsid w:val="00157A9F"/>
    <w:rsid w:val="00170EDB"/>
    <w:rsid w:val="0019081A"/>
    <w:rsid w:val="001A1C91"/>
    <w:rsid w:val="001A75D7"/>
    <w:rsid w:val="001F0F29"/>
    <w:rsid w:val="001F5201"/>
    <w:rsid w:val="00231E76"/>
    <w:rsid w:val="00233A5D"/>
    <w:rsid w:val="00244797"/>
    <w:rsid w:val="00281189"/>
    <w:rsid w:val="00283014"/>
    <w:rsid w:val="002839F8"/>
    <w:rsid w:val="00294E64"/>
    <w:rsid w:val="002A74B6"/>
    <w:rsid w:val="002B080C"/>
    <w:rsid w:val="002C1366"/>
    <w:rsid w:val="0032655E"/>
    <w:rsid w:val="0036474D"/>
    <w:rsid w:val="00377C18"/>
    <w:rsid w:val="00380A3F"/>
    <w:rsid w:val="00393C92"/>
    <w:rsid w:val="00393F2E"/>
    <w:rsid w:val="003C23DF"/>
    <w:rsid w:val="003E05FB"/>
    <w:rsid w:val="004042EE"/>
    <w:rsid w:val="0041545E"/>
    <w:rsid w:val="00422C0F"/>
    <w:rsid w:val="00452BD0"/>
    <w:rsid w:val="0047458D"/>
    <w:rsid w:val="004C351E"/>
    <w:rsid w:val="004C3DDB"/>
    <w:rsid w:val="004D523C"/>
    <w:rsid w:val="0051338C"/>
    <w:rsid w:val="005A7179"/>
    <w:rsid w:val="005B65E0"/>
    <w:rsid w:val="005C5E46"/>
    <w:rsid w:val="00634B39"/>
    <w:rsid w:val="00672154"/>
    <w:rsid w:val="0068325C"/>
    <w:rsid w:val="006D5859"/>
    <w:rsid w:val="006E40D5"/>
    <w:rsid w:val="006F2C7A"/>
    <w:rsid w:val="00746D24"/>
    <w:rsid w:val="00792796"/>
    <w:rsid w:val="0079434A"/>
    <w:rsid w:val="007A34E0"/>
    <w:rsid w:val="007C5AF6"/>
    <w:rsid w:val="007E2513"/>
    <w:rsid w:val="007F609A"/>
    <w:rsid w:val="0080018C"/>
    <w:rsid w:val="00812003"/>
    <w:rsid w:val="00852034"/>
    <w:rsid w:val="008529D2"/>
    <w:rsid w:val="00860550"/>
    <w:rsid w:val="008B7B94"/>
    <w:rsid w:val="008E2C48"/>
    <w:rsid w:val="008F5004"/>
    <w:rsid w:val="00917C8F"/>
    <w:rsid w:val="009211F1"/>
    <w:rsid w:val="00930514"/>
    <w:rsid w:val="00941CD8"/>
    <w:rsid w:val="00942DE6"/>
    <w:rsid w:val="00997A02"/>
    <w:rsid w:val="00A1194E"/>
    <w:rsid w:val="00A203F4"/>
    <w:rsid w:val="00A34978"/>
    <w:rsid w:val="00A34D3C"/>
    <w:rsid w:val="00A651D4"/>
    <w:rsid w:val="00A66A6B"/>
    <w:rsid w:val="00A75E1D"/>
    <w:rsid w:val="00A95C2B"/>
    <w:rsid w:val="00AA3B4B"/>
    <w:rsid w:val="00AB4C73"/>
    <w:rsid w:val="00AD1551"/>
    <w:rsid w:val="00AD691F"/>
    <w:rsid w:val="00AE673B"/>
    <w:rsid w:val="00AF4941"/>
    <w:rsid w:val="00B01195"/>
    <w:rsid w:val="00B31DA5"/>
    <w:rsid w:val="00B57748"/>
    <w:rsid w:val="00B83514"/>
    <w:rsid w:val="00BD7650"/>
    <w:rsid w:val="00BD7AC8"/>
    <w:rsid w:val="00BD7B79"/>
    <w:rsid w:val="00BE0E0E"/>
    <w:rsid w:val="00BE3C80"/>
    <w:rsid w:val="00C50C54"/>
    <w:rsid w:val="00CA2156"/>
    <w:rsid w:val="00CA45F4"/>
    <w:rsid w:val="00D043E2"/>
    <w:rsid w:val="00D04D91"/>
    <w:rsid w:val="00D159E6"/>
    <w:rsid w:val="00D37865"/>
    <w:rsid w:val="00D86D0C"/>
    <w:rsid w:val="00D94814"/>
    <w:rsid w:val="00D96943"/>
    <w:rsid w:val="00DA17A7"/>
    <w:rsid w:val="00DB1861"/>
    <w:rsid w:val="00DD5C37"/>
    <w:rsid w:val="00E002C6"/>
    <w:rsid w:val="00E45513"/>
    <w:rsid w:val="00E62E2A"/>
    <w:rsid w:val="00E96349"/>
    <w:rsid w:val="00EE42A4"/>
    <w:rsid w:val="00EF2D3A"/>
    <w:rsid w:val="00F5570F"/>
    <w:rsid w:val="00F57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C73"/>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D159E6"/>
    <w:pPr>
      <w:numPr>
        <w:numId w:val="3"/>
      </w:numPr>
      <w:spacing w:after="0"/>
      <w:ind w:left="0" w:firstLine="1440"/>
    </w:pPr>
  </w:style>
  <w:style w:type="paragraph" w:styleId="FootnoteText">
    <w:name w:val="footnote text"/>
    <w:aliases w:val="Car"/>
    <w:basedOn w:val="Normal"/>
    <w:link w:val="FootnoteTextChar"/>
    <w:uiPriority w:val="99"/>
    <w:unhideWhenUsed/>
    <w:qFormat/>
    <w:rsid w:val="00D043E2"/>
    <w:pPr>
      <w:spacing w:after="0" w:line="240" w:lineRule="auto"/>
    </w:pPr>
    <w:rPr>
      <w:sz w:val="20"/>
      <w:szCs w:val="20"/>
    </w:rPr>
  </w:style>
  <w:style w:type="character" w:customStyle="1" w:styleId="FootnoteTextChar">
    <w:name w:val="Footnote Text Char"/>
    <w:aliases w:val="Car Char"/>
    <w:basedOn w:val="DefaultParagraphFont"/>
    <w:link w:val="FootnoteText"/>
    <w:uiPriority w:val="99"/>
    <w:rsid w:val="00D043E2"/>
    <w:rPr>
      <w:rFonts w:ascii="Times New Roman" w:hAnsi="Times New Roman"/>
      <w:sz w:val="20"/>
      <w:szCs w:val="20"/>
    </w:rPr>
  </w:style>
  <w:style w:type="character" w:styleId="FootnoteReference">
    <w:name w:val="footnote reference"/>
    <w:basedOn w:val="DefaultParagraphFont"/>
    <w:uiPriority w:val="99"/>
    <w:unhideWhenUsed/>
    <w:rsid w:val="00D043E2"/>
    <w:rPr>
      <w:vertAlign w:val="superscript"/>
    </w:rPr>
  </w:style>
  <w:style w:type="paragraph" w:styleId="Header">
    <w:name w:val="header"/>
    <w:basedOn w:val="Normal"/>
    <w:link w:val="HeaderChar"/>
    <w:uiPriority w:val="99"/>
    <w:unhideWhenUsed/>
    <w:rsid w:val="00393F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F2E"/>
    <w:rPr>
      <w:rFonts w:ascii="Times New Roman" w:hAnsi="Times New Roman"/>
      <w:sz w:val="24"/>
    </w:rPr>
  </w:style>
  <w:style w:type="paragraph" w:styleId="Footer">
    <w:name w:val="footer"/>
    <w:basedOn w:val="Normal"/>
    <w:link w:val="FooterChar"/>
    <w:uiPriority w:val="99"/>
    <w:unhideWhenUsed/>
    <w:rsid w:val="00393F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F2E"/>
    <w:rPr>
      <w:rFonts w:ascii="Times New Roman" w:hAnsi="Times New Roman"/>
      <w:sz w:val="24"/>
    </w:rPr>
  </w:style>
  <w:style w:type="paragraph" w:styleId="Title">
    <w:name w:val="Title"/>
    <w:basedOn w:val="Normal"/>
    <w:link w:val="TitleChar"/>
    <w:qFormat/>
    <w:rsid w:val="00A34978"/>
    <w:pPr>
      <w:tabs>
        <w:tab w:val="left" w:pos="360"/>
      </w:tabs>
      <w:spacing w:after="0" w:line="233" w:lineRule="auto"/>
      <w:jc w:val="center"/>
    </w:pPr>
    <w:rPr>
      <w:rFonts w:eastAsia="SimSun" w:cs="Times New Roman"/>
      <w:b/>
      <w:szCs w:val="20"/>
    </w:rPr>
  </w:style>
  <w:style w:type="character" w:customStyle="1" w:styleId="TitleChar">
    <w:name w:val="Title Char"/>
    <w:basedOn w:val="DefaultParagraphFont"/>
    <w:link w:val="Title"/>
    <w:rsid w:val="00A34978"/>
    <w:rPr>
      <w:rFonts w:ascii="Times New Roman" w:eastAsia="SimSun" w:hAnsi="Times New Roman" w:cs="Times New Roman"/>
      <w:b/>
      <w:sz w:val="24"/>
      <w:szCs w:val="20"/>
    </w:rPr>
  </w:style>
  <w:style w:type="character" w:styleId="PageNumber">
    <w:name w:val="page number"/>
    <w:basedOn w:val="DefaultParagraphFont"/>
    <w:rsid w:val="00A203F4"/>
  </w:style>
  <w:style w:type="paragraph" w:styleId="BalloonText">
    <w:name w:val="Balloon Text"/>
    <w:basedOn w:val="Normal"/>
    <w:link w:val="BalloonTextChar"/>
    <w:uiPriority w:val="99"/>
    <w:semiHidden/>
    <w:unhideWhenUsed/>
    <w:rsid w:val="002839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9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C73"/>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D159E6"/>
    <w:pPr>
      <w:numPr>
        <w:numId w:val="3"/>
      </w:numPr>
      <w:spacing w:after="0"/>
      <w:ind w:left="0" w:firstLine="1440"/>
    </w:pPr>
  </w:style>
  <w:style w:type="paragraph" w:styleId="FootnoteText">
    <w:name w:val="footnote text"/>
    <w:aliases w:val="Car"/>
    <w:basedOn w:val="Normal"/>
    <w:link w:val="FootnoteTextChar"/>
    <w:uiPriority w:val="99"/>
    <w:unhideWhenUsed/>
    <w:qFormat/>
    <w:rsid w:val="00D043E2"/>
    <w:pPr>
      <w:spacing w:after="0" w:line="240" w:lineRule="auto"/>
    </w:pPr>
    <w:rPr>
      <w:sz w:val="20"/>
      <w:szCs w:val="20"/>
    </w:rPr>
  </w:style>
  <w:style w:type="character" w:customStyle="1" w:styleId="FootnoteTextChar">
    <w:name w:val="Footnote Text Char"/>
    <w:aliases w:val="Car Char"/>
    <w:basedOn w:val="DefaultParagraphFont"/>
    <w:link w:val="FootnoteText"/>
    <w:uiPriority w:val="99"/>
    <w:rsid w:val="00D043E2"/>
    <w:rPr>
      <w:rFonts w:ascii="Times New Roman" w:hAnsi="Times New Roman"/>
      <w:sz w:val="20"/>
      <w:szCs w:val="20"/>
    </w:rPr>
  </w:style>
  <w:style w:type="character" w:styleId="FootnoteReference">
    <w:name w:val="footnote reference"/>
    <w:basedOn w:val="DefaultParagraphFont"/>
    <w:uiPriority w:val="99"/>
    <w:unhideWhenUsed/>
    <w:rsid w:val="00D043E2"/>
    <w:rPr>
      <w:vertAlign w:val="superscript"/>
    </w:rPr>
  </w:style>
  <w:style w:type="paragraph" w:styleId="Header">
    <w:name w:val="header"/>
    <w:basedOn w:val="Normal"/>
    <w:link w:val="HeaderChar"/>
    <w:uiPriority w:val="99"/>
    <w:unhideWhenUsed/>
    <w:rsid w:val="00393F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F2E"/>
    <w:rPr>
      <w:rFonts w:ascii="Times New Roman" w:hAnsi="Times New Roman"/>
      <w:sz w:val="24"/>
    </w:rPr>
  </w:style>
  <w:style w:type="paragraph" w:styleId="Footer">
    <w:name w:val="footer"/>
    <w:basedOn w:val="Normal"/>
    <w:link w:val="FooterChar"/>
    <w:uiPriority w:val="99"/>
    <w:unhideWhenUsed/>
    <w:rsid w:val="00393F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F2E"/>
    <w:rPr>
      <w:rFonts w:ascii="Times New Roman" w:hAnsi="Times New Roman"/>
      <w:sz w:val="24"/>
    </w:rPr>
  </w:style>
  <w:style w:type="paragraph" w:styleId="Title">
    <w:name w:val="Title"/>
    <w:basedOn w:val="Normal"/>
    <w:link w:val="TitleChar"/>
    <w:qFormat/>
    <w:rsid w:val="00A34978"/>
    <w:pPr>
      <w:tabs>
        <w:tab w:val="left" w:pos="360"/>
      </w:tabs>
      <w:spacing w:after="0" w:line="233" w:lineRule="auto"/>
      <w:jc w:val="center"/>
    </w:pPr>
    <w:rPr>
      <w:rFonts w:eastAsia="SimSun" w:cs="Times New Roman"/>
      <w:b/>
      <w:szCs w:val="20"/>
    </w:rPr>
  </w:style>
  <w:style w:type="character" w:customStyle="1" w:styleId="TitleChar">
    <w:name w:val="Title Char"/>
    <w:basedOn w:val="DefaultParagraphFont"/>
    <w:link w:val="Title"/>
    <w:rsid w:val="00A34978"/>
    <w:rPr>
      <w:rFonts w:ascii="Times New Roman" w:eastAsia="SimSun" w:hAnsi="Times New Roman" w:cs="Times New Roman"/>
      <w:b/>
      <w:sz w:val="24"/>
      <w:szCs w:val="20"/>
    </w:rPr>
  </w:style>
  <w:style w:type="character" w:styleId="PageNumber">
    <w:name w:val="page number"/>
    <w:basedOn w:val="DefaultParagraphFont"/>
    <w:rsid w:val="00A203F4"/>
  </w:style>
  <w:style w:type="paragraph" w:styleId="BalloonText">
    <w:name w:val="Balloon Text"/>
    <w:basedOn w:val="Normal"/>
    <w:link w:val="BalloonTextChar"/>
    <w:uiPriority w:val="99"/>
    <w:semiHidden/>
    <w:unhideWhenUsed/>
    <w:rsid w:val="002839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9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29400-B8E3-4224-8274-39ADF3BB0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1583</Words>
  <Characters>9029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bfaccenda</cp:lastModifiedBy>
  <cp:revision>7</cp:revision>
  <cp:lastPrinted>2012-11-05T14:55:00Z</cp:lastPrinted>
  <dcterms:created xsi:type="dcterms:W3CDTF">2012-11-05T19:42:00Z</dcterms:created>
  <dcterms:modified xsi:type="dcterms:W3CDTF">2012-11-05T19:46:00Z</dcterms:modified>
</cp:coreProperties>
</file>